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p>
      <w:pPr>
        <w:spacing w:line="1680" w:lineRule="exact"/>
        <w:ind w:left="165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drawing>
          <wp:inline distT="0" distB="0" distL="0" distR="0">
            <wp:extent cx="3324225" cy="10668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3324225" cy="1066800"/>
                    </a:xfrm>
                    <a:prstGeom prst="rect">
                      <a:avLst/>
                    </a:prstGeom>
                  </pic:spPr>
                </pic:pic>
              </a:graphicData>
            </a:graphic>
          </wp:inline>
        </w:drawing>
      </w:r>
      <w:r>
        <w:rPr>
          <w:rFonts w:ascii="Times New Roman" w:hAnsi="Times New Roman" w:cs="Times New Roman" w:eastAsia="Times New Roman" w:hint="default"/>
          <w:position w:val="-3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spacing w:line="460" w:lineRule="exact" w:before="0"/>
        <w:ind w:left="2086" w:right="3763" w:firstLine="0"/>
        <w:jc w:val="center"/>
        <w:rPr>
          <w:rFonts w:ascii="宋体" w:hAnsi="宋体" w:cs="宋体" w:eastAsia="宋体" w:hint="default"/>
          <w:sz w:val="36"/>
          <w:szCs w:val="36"/>
        </w:rPr>
      </w:pPr>
      <w:r>
        <w:rPr>
          <w:rFonts w:ascii="宋体" w:hAnsi="宋体" w:cs="宋体" w:eastAsia="宋体" w:hint="default"/>
          <w:b/>
          <w:bCs/>
          <w:sz w:val="36"/>
          <w:szCs w:val="36"/>
        </w:rPr>
        <w:t>中科创达软件股份有限公司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84" w:right="3763" w:firstLine="0"/>
        <w:jc w:val="center"/>
        <w:rPr>
          <w:rFonts w:ascii="宋体" w:hAnsi="宋体" w:cs="宋体" w:eastAsia="宋体" w:hint="default"/>
          <w:sz w:val="32"/>
          <w:szCs w:val="32"/>
        </w:rPr>
      </w:pPr>
      <w:r>
        <w:rPr>
          <w:rFonts w:ascii="宋体" w:hAnsi="宋体" w:cs="宋体" w:eastAsia="宋体" w:hint="default"/>
          <w:b/>
          <w:bCs/>
          <w:sz w:val="32"/>
          <w:szCs w:val="32"/>
        </w:rPr>
        <w:t>2018</w:t>
      </w:r>
      <w:r>
        <w:rPr>
          <w:rFonts w:ascii="宋体" w:hAnsi="宋体" w:cs="宋体" w:eastAsia="宋体" w:hint="default"/>
          <w:b/>
          <w:bCs/>
          <w:spacing w:val="-8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2"/>
          <w:szCs w:val="42"/>
        </w:rPr>
      </w:pPr>
    </w:p>
    <w:p>
      <w:pPr>
        <w:spacing w:before="0"/>
        <w:ind w:left="2086" w:right="3762" w:firstLine="0"/>
        <w:jc w:val="center"/>
        <w:rPr>
          <w:rFonts w:ascii="宋体" w:hAnsi="宋体" w:cs="宋体" w:eastAsia="宋体" w:hint="default"/>
          <w:sz w:val="32"/>
          <w:szCs w:val="32"/>
        </w:rPr>
      </w:pPr>
      <w:r>
        <w:rPr>
          <w:rFonts w:ascii="宋体" w:hAnsi="宋体" w:cs="宋体" w:eastAsia="宋体" w:hint="default"/>
          <w:b/>
          <w:bCs/>
          <w:sz w:val="32"/>
          <w:szCs w:val="32"/>
        </w:rPr>
        <w:t>2019</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04</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Heading1"/>
        <w:spacing w:line="441" w:lineRule="exact"/>
        <w:ind w:right="3773"/>
        <w:jc w:val="center"/>
        <w:rPr>
          <w:b w:val="0"/>
          <w:bCs w:val="0"/>
        </w:rPr>
      </w:pPr>
      <w:bookmarkStart w:name="第一节 重要提示、目录和释义" w:id="1"/>
      <w:bookmarkEnd w:id="1"/>
      <w:r>
        <w:rPr>
          <w:b w:val="0"/>
          <w:bCs w:val="0"/>
        </w:rPr>
      </w:r>
      <w:r>
        <w:rPr/>
        <w:t>第一节</w:t>
      </w:r>
      <w:r>
        <w:rPr>
          <w:spacing w:val="62"/>
        </w:rPr>
        <w:t> </w:t>
      </w:r>
      <w:r>
        <w:rPr/>
        <w:t>重要提示、目录和释义</w:t>
      </w:r>
      <w:r>
        <w:rPr>
          <w:b w:val="0"/>
          <w:bCs w:val="0"/>
        </w:rPr>
      </w:r>
    </w:p>
    <w:p>
      <w:pPr>
        <w:spacing w:line="240" w:lineRule="auto" w:before="7"/>
        <w:rPr>
          <w:rFonts w:ascii="微软雅黑" w:hAnsi="微软雅黑" w:cs="微软雅黑" w:eastAsia="微软雅黑" w:hint="default"/>
          <w:b/>
          <w:bCs/>
          <w:sz w:val="45"/>
          <w:szCs w:val="45"/>
        </w:rPr>
      </w:pPr>
    </w:p>
    <w:p>
      <w:pPr>
        <w:pStyle w:val="Heading3"/>
        <w:spacing w:line="297" w:lineRule="auto"/>
        <w:ind w:left="154" w:right="1116" w:firstLine="422"/>
        <w:jc w:val="left"/>
        <w:rPr>
          <w:b w:val="0"/>
          <w:bCs w:val="0"/>
        </w:rPr>
      </w:pPr>
      <w:r>
        <w:rPr>
          <w:spacing w:val="-1"/>
          <w:w w:val="95"/>
        </w:rPr>
        <w:t>公司董事会、监事会及董事、监事、高级管理人员保证年度报告内容的真实、准确、完整，不存在虚</w:t>
      </w:r>
      <w:r>
        <w:rPr>
          <w:spacing w:val="-84"/>
          <w:w w:val="95"/>
        </w:rPr>
        <w:t> </w:t>
      </w:r>
      <w:r>
        <w:rPr>
          <w:spacing w:val="-84"/>
          <w:w w:val="95"/>
        </w:rPr>
      </w:r>
      <w:r>
        <w:rPr/>
        <w:t>假记载、误导性陈述或重大遗漏，并承担个别和连带的法律责任。</w:t>
      </w:r>
      <w:r>
        <w:rPr>
          <w:b w:val="0"/>
          <w:bCs w:val="0"/>
        </w:rPr>
      </w:r>
    </w:p>
    <w:p>
      <w:pPr>
        <w:spacing w:line="240" w:lineRule="auto" w:before="0"/>
        <w:rPr>
          <w:rFonts w:ascii="宋体" w:hAnsi="宋体" w:cs="宋体" w:eastAsia="宋体" w:hint="default"/>
          <w:b/>
          <w:bCs/>
          <w:sz w:val="14"/>
          <w:szCs w:val="14"/>
        </w:rPr>
      </w:pPr>
    </w:p>
    <w:p>
      <w:pPr>
        <w:pStyle w:val="Heading3"/>
        <w:spacing w:line="297" w:lineRule="auto"/>
        <w:ind w:left="154" w:right="1116" w:firstLine="422"/>
        <w:jc w:val="left"/>
        <w:rPr>
          <w:b w:val="0"/>
          <w:bCs w:val="0"/>
        </w:rPr>
      </w:pPr>
      <w:r>
        <w:rPr>
          <w:spacing w:val="-1"/>
          <w:w w:val="95"/>
        </w:rPr>
        <w:t>公司负责人赵鸿飞、主管会计工作负责人王焕欣及会计机构负责人</w:t>
      </w:r>
      <w:r>
        <w:rPr>
          <w:rFonts w:ascii="宋体" w:hAnsi="宋体" w:cs="宋体" w:eastAsia="宋体" w:hint="default"/>
          <w:spacing w:val="-1"/>
          <w:w w:val="95"/>
        </w:rPr>
        <w:t>(</w:t>
      </w:r>
      <w:r>
        <w:rPr>
          <w:spacing w:val="-1"/>
          <w:w w:val="95"/>
        </w:rPr>
        <w:t>会计主管人员</w:t>
      </w:r>
      <w:r>
        <w:rPr>
          <w:rFonts w:ascii="宋体" w:hAnsi="宋体" w:cs="宋体" w:eastAsia="宋体" w:hint="default"/>
          <w:spacing w:val="-1"/>
          <w:w w:val="95"/>
        </w:rPr>
        <w:t>)</w:t>
      </w:r>
      <w:r>
        <w:rPr>
          <w:spacing w:val="-1"/>
          <w:w w:val="95"/>
        </w:rPr>
        <w:t>马晓培声明：保证</w:t>
      </w:r>
      <w:r>
        <w:rPr>
          <w:spacing w:val="-79"/>
          <w:w w:val="95"/>
        </w:rPr>
        <w:t> </w:t>
      </w:r>
      <w:r>
        <w:rPr>
          <w:spacing w:val="-79"/>
          <w:w w:val="95"/>
        </w:rPr>
      </w:r>
      <w:r>
        <w:rPr/>
        <w:t>年度报告中财务报告的真实、准确、完整。</w:t>
      </w:r>
      <w:r>
        <w:rPr>
          <w:b w:val="0"/>
          <w:bCs w:val="0"/>
        </w:rPr>
      </w:r>
    </w:p>
    <w:p>
      <w:pPr>
        <w:pStyle w:val="Heading3"/>
        <w:spacing w:line="508" w:lineRule="exact" w:before="22"/>
        <w:ind w:left="576" w:right="1116"/>
        <w:jc w:val="left"/>
        <w:rPr>
          <w:b w:val="0"/>
          <w:bCs w:val="0"/>
        </w:rPr>
      </w:pPr>
      <w:r>
        <w:rPr/>
        <w:t>所有董事均已出席了审议本报告的董事会会议。</w:t>
      </w:r>
      <w:r>
        <w:rPr>
          <w:w w:val="99"/>
        </w:rPr>
        <w:t> </w:t>
      </w:r>
      <w:r>
        <w:rPr/>
        <w:t>公司经本次董事会审议通过的利润分配预案为：以公司本次董事会召开日的总股本</w:t>
      </w:r>
      <w:r>
        <w:rPr>
          <w:spacing w:val="-86"/>
        </w:rPr>
        <w:t> </w:t>
      </w:r>
      <w:r>
        <w:rPr>
          <w:rFonts w:ascii="宋体" w:hAnsi="宋体" w:cs="宋体" w:eastAsia="宋体" w:hint="default"/>
        </w:rPr>
        <w:t>403,090,847</w:t>
      </w:r>
      <w:r>
        <w:rPr>
          <w:rFonts w:ascii="宋体" w:hAnsi="宋体" w:cs="宋体" w:eastAsia="宋体" w:hint="default"/>
          <w:spacing w:val="-87"/>
        </w:rPr>
        <w:t> </w:t>
      </w:r>
      <w:r>
        <w:rPr/>
        <w:t>为基</w:t>
      </w:r>
      <w:r>
        <w:rPr>
          <w:b w:val="0"/>
          <w:bCs w:val="0"/>
        </w:rPr>
      </w:r>
    </w:p>
    <w:p>
      <w:pPr>
        <w:pStyle w:val="Heading3"/>
        <w:spacing w:line="268" w:lineRule="exact"/>
        <w:ind w:left="154" w:right="0"/>
        <w:jc w:val="left"/>
        <w:rPr>
          <w:b w:val="0"/>
          <w:bCs w:val="0"/>
        </w:rPr>
      </w:pPr>
      <w:r>
        <w:rPr>
          <w:spacing w:val="1"/>
          <w:w w:val="99"/>
        </w:rPr>
        <w:t>数</w:t>
      </w:r>
      <w:r>
        <w:rPr>
          <w:spacing w:val="-11"/>
          <w:w w:val="99"/>
        </w:rPr>
        <w:t>，</w:t>
      </w:r>
      <w:r>
        <w:rPr>
          <w:w w:val="99"/>
        </w:rPr>
        <w:t>向</w:t>
      </w:r>
      <w:r>
        <w:rPr>
          <w:spacing w:val="1"/>
          <w:w w:val="99"/>
        </w:rPr>
        <w:t>全</w:t>
      </w:r>
      <w:r>
        <w:rPr>
          <w:w w:val="99"/>
        </w:rPr>
        <w:t>体</w:t>
      </w:r>
      <w:r>
        <w:rPr>
          <w:spacing w:val="1"/>
          <w:w w:val="99"/>
        </w:rPr>
        <w:t>股东</w:t>
      </w:r>
      <w:r>
        <w:rPr>
          <w:w w:val="99"/>
        </w:rPr>
        <w:t>每</w:t>
      </w:r>
      <w:r>
        <w:rPr>
          <w:spacing w:val="-53"/>
        </w:rPr>
        <w:t> </w:t>
      </w:r>
      <w:r>
        <w:rPr>
          <w:rFonts w:ascii="宋体" w:hAnsi="宋体" w:cs="宋体" w:eastAsia="宋体" w:hint="default"/>
          <w:w w:val="99"/>
        </w:rPr>
        <w:t>10</w:t>
      </w:r>
      <w:r>
        <w:rPr>
          <w:rFonts w:ascii="宋体" w:hAnsi="宋体" w:cs="宋体" w:eastAsia="宋体" w:hint="default"/>
          <w:spacing w:val="-52"/>
        </w:rPr>
        <w:t> </w:t>
      </w:r>
      <w:r>
        <w:rPr>
          <w:w w:val="99"/>
        </w:rPr>
        <w:t>股</w:t>
      </w:r>
      <w:r>
        <w:rPr>
          <w:spacing w:val="1"/>
          <w:w w:val="99"/>
        </w:rPr>
        <w:t>派发现</w:t>
      </w:r>
      <w:r>
        <w:rPr>
          <w:w w:val="99"/>
        </w:rPr>
        <w:t>金红利</w:t>
      </w:r>
      <w:r>
        <w:rPr>
          <w:spacing w:val="-52"/>
        </w:rPr>
        <w:t> </w:t>
      </w:r>
      <w:r>
        <w:rPr>
          <w:rFonts w:ascii="宋体" w:hAnsi="宋体" w:cs="宋体" w:eastAsia="宋体" w:hint="default"/>
          <w:w w:val="99"/>
        </w:rPr>
        <w:t>0.90</w:t>
      </w:r>
      <w:r>
        <w:rPr>
          <w:rFonts w:ascii="宋体" w:hAnsi="宋体" w:cs="宋体" w:eastAsia="宋体" w:hint="default"/>
          <w:spacing w:val="-51"/>
        </w:rPr>
        <w:t> </w:t>
      </w:r>
      <w:r>
        <w:rPr>
          <w:spacing w:val="-12"/>
          <w:w w:val="99"/>
        </w:rPr>
        <w:t>元</w:t>
      </w:r>
      <w:r>
        <w:rPr>
          <w:w w:val="99"/>
        </w:rPr>
        <w:t>（</w:t>
      </w:r>
      <w:r>
        <w:rPr>
          <w:spacing w:val="1"/>
          <w:w w:val="99"/>
        </w:rPr>
        <w:t>含税</w:t>
      </w:r>
      <w:r>
        <w:rPr>
          <w:spacing w:val="-106"/>
          <w:w w:val="99"/>
        </w:rPr>
        <w:t>）</w:t>
      </w:r>
      <w:r>
        <w:rPr>
          <w:spacing w:val="-11"/>
          <w:w w:val="99"/>
        </w:rPr>
        <w:t>，</w:t>
      </w:r>
      <w:r>
        <w:rPr>
          <w:spacing w:val="1"/>
          <w:w w:val="99"/>
        </w:rPr>
        <w:t>送</w:t>
      </w:r>
      <w:r>
        <w:rPr>
          <w:w w:val="99"/>
        </w:rPr>
        <w:t>红股</w:t>
      </w:r>
      <w:r>
        <w:rPr>
          <w:spacing w:val="-52"/>
        </w:rPr>
        <w:t> </w:t>
      </w:r>
      <w:r>
        <w:rPr>
          <w:rFonts w:ascii="宋体" w:hAnsi="宋体" w:cs="宋体" w:eastAsia="宋体" w:hint="default"/>
          <w:w w:val="99"/>
        </w:rPr>
        <w:t>0</w:t>
      </w:r>
      <w:r>
        <w:rPr>
          <w:rFonts w:ascii="宋体" w:hAnsi="宋体" w:cs="宋体" w:eastAsia="宋体" w:hint="default"/>
          <w:spacing w:val="-53"/>
        </w:rPr>
        <w:t> </w:t>
      </w:r>
      <w:r>
        <w:rPr>
          <w:spacing w:val="-11"/>
          <w:w w:val="99"/>
        </w:rPr>
        <w:t>股</w:t>
      </w:r>
      <w:r>
        <w:rPr>
          <w:w w:val="99"/>
        </w:rPr>
        <w:t>（含</w:t>
      </w:r>
      <w:r>
        <w:rPr>
          <w:spacing w:val="1"/>
          <w:w w:val="99"/>
        </w:rPr>
        <w:t>税</w:t>
      </w:r>
      <w:r>
        <w:rPr>
          <w:spacing w:val="-105"/>
          <w:w w:val="99"/>
        </w:rPr>
        <w:t>）</w:t>
      </w:r>
      <w:r>
        <w:rPr>
          <w:spacing w:val="-12"/>
          <w:w w:val="99"/>
        </w:rPr>
        <w:t>，</w:t>
      </w:r>
      <w:r>
        <w:rPr>
          <w:spacing w:val="1"/>
          <w:w w:val="99"/>
        </w:rPr>
        <w:t>以资</w:t>
      </w:r>
      <w:r>
        <w:rPr>
          <w:w w:val="99"/>
        </w:rPr>
        <w:t>本</w:t>
      </w:r>
      <w:r>
        <w:rPr>
          <w:spacing w:val="1"/>
          <w:w w:val="99"/>
        </w:rPr>
        <w:t>公积金</w:t>
      </w:r>
      <w:r>
        <w:rPr>
          <w:w w:val="99"/>
        </w:rPr>
        <w:t>向</w:t>
      </w:r>
      <w:r>
        <w:rPr>
          <w:spacing w:val="1"/>
          <w:w w:val="99"/>
        </w:rPr>
        <w:t>全体股东每</w:t>
      </w:r>
      <w:r>
        <w:rPr>
          <w:b w:val="0"/>
          <w:bCs w:val="0"/>
        </w:rPr>
      </w:r>
    </w:p>
    <w:p>
      <w:pPr>
        <w:pStyle w:val="Heading3"/>
        <w:spacing w:line="240" w:lineRule="auto" w:before="66"/>
        <w:ind w:left="154" w:right="1116"/>
        <w:jc w:val="left"/>
        <w:rPr>
          <w:b w:val="0"/>
          <w:bCs w:val="0"/>
        </w:rPr>
      </w:pPr>
      <w:r>
        <w:rPr>
          <w:rFonts w:ascii="宋体" w:hAnsi="宋体" w:cs="宋体" w:eastAsia="宋体" w:hint="default"/>
        </w:rPr>
        <w:t>10</w:t>
      </w:r>
      <w:r>
        <w:rPr>
          <w:rFonts w:ascii="宋体" w:hAnsi="宋体" w:cs="宋体" w:eastAsia="宋体" w:hint="default"/>
          <w:spacing w:val="-54"/>
        </w:rPr>
        <w:t> </w:t>
      </w:r>
      <w:r>
        <w:rPr/>
        <w:t>股转增</w:t>
      </w:r>
      <w:r>
        <w:rPr>
          <w:spacing w:val="-55"/>
        </w:rPr>
        <w:t> </w:t>
      </w:r>
      <w:r>
        <w:rPr>
          <w:rFonts w:ascii="宋体" w:hAnsi="宋体" w:cs="宋体" w:eastAsia="宋体" w:hint="default"/>
        </w:rPr>
        <w:t>0</w:t>
      </w:r>
      <w:r>
        <w:rPr>
          <w:rFonts w:ascii="宋体" w:hAnsi="宋体" w:cs="宋体" w:eastAsia="宋体" w:hint="default"/>
          <w:spacing w:val="-55"/>
        </w:rPr>
        <w:t> </w:t>
      </w:r>
      <w:r>
        <w:rPr/>
        <w:t>股。</w:t>
      </w:r>
      <w:r>
        <w:rPr>
          <w:b w:val="0"/>
          <w:bCs w:val="0"/>
        </w:rPr>
      </w:r>
    </w:p>
    <w:p>
      <w:pPr>
        <w:spacing w:after="0" w:line="240" w:lineRule="auto"/>
        <w:jc w:val="left"/>
        <w:sectPr>
          <w:headerReference w:type="default" r:id="rId7"/>
          <w:footerReference w:type="default" r:id="rId8"/>
          <w:pgSz w:w="11910" w:h="16840"/>
          <w:pgMar w:header="801" w:footer="1007" w:top="1080" w:bottom="1200" w:left="98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line="441" w:lineRule="exact" w:before="0"/>
        <w:ind w:left="2796" w:right="3772"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目录</w:t>
      </w:r>
      <w:r>
        <w:rPr>
          <w:rFonts w:ascii="微软雅黑" w:hAnsi="微软雅黑" w:cs="微软雅黑" w:eastAsia="微软雅黑" w:hint="default"/>
          <w:sz w:val="32"/>
          <w:szCs w:val="32"/>
        </w:rPr>
      </w:r>
    </w:p>
    <w:sdt>
      <w:sdtPr>
        <w:docPartObj>
          <w:docPartGallery w:val="Table of Contents"/>
          <w:docPartUnique/>
        </w:docPartObj>
      </w:sdtPr>
      <w:sdtEndPr/>
      <w:sdtContent>
        <w:p>
          <w:pPr>
            <w:pStyle w:val="TOC1"/>
            <w:tabs>
              <w:tab w:pos="9782" w:val="right" w:leader="dot"/>
            </w:tabs>
            <w:spacing w:line="240" w:lineRule="auto" w:before="78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159"/>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2" w:val="right" w:leader="dot"/>
            </w:tabs>
            <w:spacing w:line="240" w:lineRule="auto" w:before="159"/>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before="159"/>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before="159"/>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before="159"/>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197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01" w:footer="1007" w:top="1100" w:bottom="1200" w:left="980" w:right="0"/>
        </w:sectPr>
      </w:pPr>
    </w:p>
    <w:p>
      <w:pPr>
        <w:spacing w:before="672"/>
        <w:ind w:left="193" w:right="1109"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释义</w:t>
      </w:r>
      <w:r>
        <w:rPr>
          <w:rFonts w:ascii="微软雅黑" w:hAnsi="微软雅黑" w:cs="微软雅黑" w:eastAsia="微软雅黑" w:hint="default"/>
          <w:sz w:val="32"/>
          <w:szCs w:val="32"/>
        </w:rPr>
      </w: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27"/>
          <w:szCs w:val="27"/>
        </w:rPr>
      </w:pPr>
    </w:p>
    <w:tbl>
      <w:tblPr>
        <w:tblW w:w="0" w:type="auto"/>
        <w:jc w:val="left"/>
        <w:tblInd w:w="101" w:type="dxa"/>
        <w:tblLayout w:type="fixed"/>
        <w:tblCellMar>
          <w:top w:w="0" w:type="dxa"/>
          <w:left w:w="0" w:type="dxa"/>
          <w:bottom w:w="0" w:type="dxa"/>
          <w:right w:w="0" w:type="dxa"/>
        </w:tblCellMar>
        <w:tblLook w:val="01E0"/>
      </w:tblPr>
      <w:tblGrid>
        <w:gridCol w:w="3629"/>
        <w:gridCol w:w="640"/>
        <w:gridCol w:w="5586"/>
      </w:tblGrid>
      <w:tr>
        <w:trPr>
          <w:trHeight w:val="407" w:hRule="exact"/>
        </w:trPr>
        <w:tc>
          <w:tcPr>
            <w:tcW w:w="3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公司、本公司、中科创达</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c>
      </w:tr>
      <w:tr>
        <w:trPr>
          <w:trHeight w:val="40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年度，即</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 </w:t>
            </w:r>
            <w:r>
              <w:rPr>
                <w:rFonts w:ascii="宋体" w:hAnsi="宋体" w:cs="宋体" w:eastAsia="宋体" w:hint="default"/>
                <w:sz w:val="18"/>
                <w:szCs w:val="18"/>
              </w:rPr>
              <w:t>日</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越超公司</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越超有限公司（</w:t>
            </w:r>
            <w:r>
              <w:rPr>
                <w:rFonts w:ascii="宋体" w:hAnsi="宋体" w:cs="宋体" w:eastAsia="宋体" w:hint="default"/>
                <w:sz w:val="18"/>
                <w:szCs w:val="18"/>
              </w:rPr>
              <w:t>Alpha Achieve Limited</w:t>
            </w:r>
            <w:r>
              <w:rPr>
                <w:rFonts w:ascii="宋体" w:hAnsi="宋体" w:cs="宋体" w:eastAsia="宋体" w:hint="default"/>
                <w:spacing w:val="-90"/>
                <w:sz w:val="18"/>
                <w:szCs w:val="18"/>
              </w:rPr>
              <w:t>）</w:t>
            </w:r>
            <w:r>
              <w:rPr>
                <w:rFonts w:ascii="宋体" w:hAnsi="宋体" w:cs="宋体" w:eastAsia="宋体" w:hint="default"/>
                <w:sz w:val="18"/>
                <w:szCs w:val="18"/>
              </w:rPr>
              <w:t>，系公司发起人股东之一</w:t>
            </w:r>
          </w:p>
        </w:tc>
      </w:tr>
      <w:tr>
        <w:trPr>
          <w:trHeight w:val="476"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大洋中科</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大洋中科特别目的株式会社（大洋中科</w:t>
            </w:r>
            <w:r>
              <w:rPr>
                <w:rFonts w:ascii="宋体" w:hAnsi="宋体" w:cs="宋体" w:eastAsia="宋体" w:hint="default"/>
                <w:spacing w:val="-46"/>
                <w:sz w:val="18"/>
                <w:szCs w:val="18"/>
              </w:rPr>
              <w:t> </w:t>
            </w:r>
            <w:r>
              <w:rPr>
                <w:rFonts w:ascii="宋体" w:hAnsi="宋体" w:cs="宋体" w:eastAsia="宋体" w:hint="default"/>
                <w:sz w:val="18"/>
                <w:szCs w:val="18"/>
              </w:rPr>
              <w:t>SPC</w:t>
            </w:r>
            <w:r>
              <w:rPr>
                <w:rFonts w:ascii="宋体" w:hAnsi="宋体" w:cs="宋体" w:eastAsia="宋体" w:hint="default"/>
                <w:spacing w:val="-46"/>
                <w:sz w:val="18"/>
                <w:szCs w:val="18"/>
              </w:rPr>
              <w:t> </w:t>
            </w:r>
            <w:r>
              <w:rPr>
                <w:rFonts w:ascii="宋体" w:hAnsi="宋体" w:cs="宋体" w:eastAsia="宋体" w:hint="default"/>
                <w:sz w:val="18"/>
                <w:szCs w:val="18"/>
              </w:rPr>
              <w:t>株式会社</w:t>
            </w:r>
            <w:r>
              <w:rPr>
                <w:rFonts w:ascii="宋体" w:hAnsi="宋体" w:cs="宋体" w:eastAsia="宋体" w:hint="default"/>
                <w:spacing w:val="-90"/>
                <w:sz w:val="18"/>
                <w:szCs w:val="18"/>
              </w:rPr>
              <w:t>）</w:t>
            </w:r>
            <w:r>
              <w:rPr>
                <w:rFonts w:ascii="宋体" w:hAnsi="宋体" w:cs="宋体" w:eastAsia="宋体" w:hint="default"/>
                <w:sz w:val="18"/>
                <w:szCs w:val="18"/>
              </w:rPr>
              <w:t>，系公司发起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人股东之一</w:t>
            </w:r>
          </w:p>
        </w:tc>
      </w:tr>
      <w:tr>
        <w:trPr>
          <w:trHeight w:val="40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国科瑞祺</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国科瑞祺物联网创业投资有限公司，系公司发起人股东之一</w:t>
            </w:r>
          </w:p>
        </w:tc>
      </w:tr>
      <w:tr>
        <w:trPr>
          <w:trHeight w:val="476"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世悦控股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世悦控股有限公司（</w:t>
            </w:r>
            <w:r>
              <w:rPr>
                <w:rFonts w:ascii="宋体" w:hAnsi="宋体" w:cs="宋体" w:eastAsia="宋体" w:hint="default"/>
                <w:sz w:val="18"/>
                <w:szCs w:val="18"/>
              </w:rPr>
              <w:t>Jolly World Holdings Limited</w:t>
            </w:r>
            <w:r>
              <w:rPr>
                <w:rFonts w:ascii="宋体" w:hAnsi="宋体" w:cs="宋体" w:eastAsia="宋体" w:hint="default"/>
                <w:spacing w:val="-90"/>
                <w:sz w:val="18"/>
                <w:szCs w:val="18"/>
              </w:rPr>
              <w:t>）</w:t>
            </w:r>
            <w:r>
              <w:rPr>
                <w:rFonts w:ascii="宋体" w:hAnsi="宋体" w:cs="宋体" w:eastAsia="宋体" w:hint="default"/>
                <w:sz w:val="18"/>
                <w:szCs w:val="18"/>
              </w:rPr>
              <w:t>，系公司发起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人股东之一</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创达汇</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达孜县创达汇咨询有限公司，系公司发起人股东之一</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创达信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达孜县创达信科技有限公司，系公司发起人股东之一</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创达立</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达孜县创达立咨询有限公司，系公司发起人股东之一</w:t>
            </w:r>
          </w:p>
        </w:tc>
      </w:tr>
      <w:tr>
        <w:trPr>
          <w:trHeight w:val="40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展讯天津</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展讯通信（天津）有限公司，系公司发起人股东之一</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ARM</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ARM Limited</w:t>
            </w:r>
            <w:r>
              <w:rPr>
                <w:rFonts w:ascii="宋体" w:hAnsi="宋体" w:cs="宋体" w:eastAsia="宋体" w:hint="default"/>
                <w:sz w:val="18"/>
                <w:szCs w:val="18"/>
              </w:rPr>
              <w:t>，一家半导体知识产权提供商</w:t>
            </w:r>
          </w:p>
        </w:tc>
      </w:tr>
      <w:tr>
        <w:trPr>
          <w:trHeight w:val="476"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安创空间加速器</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北京安创空间科技有限公司，系公司与</w:t>
            </w:r>
            <w:r>
              <w:rPr>
                <w:rFonts w:ascii="宋体" w:hAnsi="宋体" w:cs="宋体" w:eastAsia="宋体" w:hint="default"/>
                <w:spacing w:val="-61"/>
                <w:sz w:val="18"/>
                <w:szCs w:val="18"/>
              </w:rPr>
              <w:t> </w:t>
            </w:r>
            <w:r>
              <w:rPr>
                <w:rFonts w:ascii="宋体" w:hAnsi="宋体" w:cs="宋体" w:eastAsia="宋体" w:hint="default"/>
                <w:sz w:val="18"/>
                <w:szCs w:val="18"/>
              </w:rPr>
              <w:t>ARM</w:t>
            </w:r>
            <w:r>
              <w:rPr>
                <w:rFonts w:ascii="宋体" w:hAnsi="宋体" w:cs="宋体" w:eastAsia="宋体" w:hint="default"/>
                <w:spacing w:val="-61"/>
                <w:sz w:val="18"/>
                <w:szCs w:val="18"/>
              </w:rPr>
              <w:t> </w:t>
            </w:r>
            <w:r>
              <w:rPr>
                <w:rFonts w:ascii="宋体" w:hAnsi="宋体" w:cs="宋体" w:eastAsia="宋体" w:hint="default"/>
                <w:sz w:val="18"/>
                <w:szCs w:val="18"/>
              </w:rPr>
              <w:t>的合资公司，公司持股比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pacing w:val="-46"/>
                <w:sz w:val="18"/>
                <w:szCs w:val="18"/>
              </w:rPr>
              <w:t> </w:t>
            </w:r>
            <w:r>
              <w:rPr>
                <w:rFonts w:ascii="宋体" w:hAnsi="宋体" w:cs="宋体" w:eastAsia="宋体" w:hint="default"/>
                <w:sz w:val="18"/>
                <w:szCs w:val="18"/>
              </w:rPr>
              <w:t>35.07%</w:t>
            </w:r>
          </w:p>
        </w:tc>
      </w:tr>
      <w:tr>
        <w:trPr>
          <w:trHeight w:val="47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重庆创通联达</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重庆创通联达智能技术有限公司，系公司与高通的合资公司，公司持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股比例</w:t>
            </w:r>
            <w:r>
              <w:rPr>
                <w:rFonts w:ascii="宋体" w:hAnsi="宋体" w:cs="宋体" w:eastAsia="宋体" w:hint="default"/>
                <w:spacing w:val="-46"/>
                <w:sz w:val="18"/>
                <w:szCs w:val="18"/>
              </w:rPr>
              <w:t> </w:t>
            </w:r>
            <w:r>
              <w:rPr>
                <w:rFonts w:ascii="宋体" w:hAnsi="宋体" w:cs="宋体" w:eastAsia="宋体" w:hint="default"/>
                <w:sz w:val="18"/>
                <w:szCs w:val="18"/>
              </w:rPr>
              <w:t>65.57%</w:t>
            </w:r>
          </w:p>
        </w:tc>
      </w:tr>
      <w:tr>
        <w:trPr>
          <w:trHeight w:val="476"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台湾聚引</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台湾聚引移动有限公司，系公司与</w:t>
            </w:r>
            <w:r>
              <w:rPr>
                <w:rFonts w:ascii="宋体" w:hAnsi="宋体" w:cs="宋体" w:eastAsia="宋体" w:hint="default"/>
                <w:spacing w:val="-63"/>
                <w:sz w:val="18"/>
                <w:szCs w:val="18"/>
              </w:rPr>
              <w:t> </w:t>
            </w:r>
            <w:r>
              <w:rPr>
                <w:rFonts w:ascii="宋体" w:hAnsi="宋体" w:cs="宋体" w:eastAsia="宋体" w:hint="default"/>
                <w:sz w:val="18"/>
                <w:szCs w:val="18"/>
              </w:rPr>
              <w:t>Intel</w:t>
            </w:r>
            <w:r>
              <w:rPr>
                <w:rFonts w:ascii="宋体" w:hAnsi="宋体" w:cs="宋体" w:eastAsia="宋体" w:hint="default"/>
                <w:spacing w:val="-62"/>
                <w:sz w:val="18"/>
                <w:szCs w:val="18"/>
              </w:rPr>
              <w:t> </w:t>
            </w:r>
            <w:r>
              <w:rPr>
                <w:rFonts w:ascii="宋体" w:hAnsi="宋体" w:cs="宋体" w:eastAsia="宋体" w:hint="default"/>
                <w:sz w:val="18"/>
                <w:szCs w:val="18"/>
              </w:rPr>
              <w:t>的合资公司，公司持股比例</w:t>
            </w:r>
          </w:p>
          <w:p>
            <w:pPr>
              <w:pStyle w:val="TableParagraph"/>
              <w:spacing w:line="234" w:lineRule="exact"/>
              <w:ind w:left="103" w:right="0"/>
              <w:jc w:val="left"/>
              <w:rPr>
                <w:rFonts w:ascii="宋体" w:hAnsi="宋体" w:cs="宋体" w:eastAsia="宋体" w:hint="default"/>
                <w:sz w:val="18"/>
                <w:szCs w:val="18"/>
              </w:rPr>
            </w:pPr>
            <w:r>
              <w:rPr>
                <w:rFonts w:ascii="宋体"/>
                <w:sz w:val="18"/>
              </w:rPr>
              <w:t>80.1%</w:t>
            </w:r>
          </w:p>
        </w:tc>
      </w:tr>
      <w:tr>
        <w:trPr>
          <w:trHeight w:val="476"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Rightware</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Rightware</w:t>
            </w:r>
            <w:r>
              <w:rPr>
                <w:rFonts w:ascii="宋体" w:hAnsi="宋体" w:cs="宋体" w:eastAsia="宋体" w:hint="default"/>
                <w:spacing w:val="-31"/>
                <w:sz w:val="18"/>
                <w:szCs w:val="18"/>
              </w:rPr>
              <w:t> </w:t>
            </w:r>
            <w:r>
              <w:rPr>
                <w:rFonts w:ascii="宋体" w:hAnsi="宋体" w:cs="宋体" w:eastAsia="宋体" w:hint="default"/>
                <w:sz w:val="18"/>
                <w:szCs w:val="18"/>
              </w:rPr>
              <w:t>Oy</w:t>
            </w:r>
            <w:r>
              <w:rPr>
                <w:rFonts w:ascii="宋体" w:hAnsi="宋体" w:cs="宋体" w:eastAsia="宋体" w:hint="default"/>
                <w:sz w:val="18"/>
                <w:szCs w:val="18"/>
              </w:rPr>
              <w:t>，系本公司通过重大资产重组收购的一家芬兰公司，于</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日完成交割</w:t>
            </w:r>
          </w:p>
        </w:tc>
      </w:tr>
      <w:tr>
        <w:trPr>
          <w:trHeight w:val="47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MMS</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MM Solutions EAD</w:t>
            </w:r>
            <w:r>
              <w:rPr>
                <w:rFonts w:ascii="宋体" w:hAnsi="宋体" w:cs="宋体" w:eastAsia="宋体" w:hint="default"/>
                <w:sz w:val="18"/>
                <w:szCs w:val="18"/>
              </w:rPr>
              <w:t>，系本公司于报告期内收购的一家保加利亚公司，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日完成交割</w:t>
            </w:r>
          </w:p>
        </w:tc>
      </w:tr>
      <w:tr>
        <w:trPr>
          <w:trHeight w:val="476"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高通</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Qualcomm Incorporated</w:t>
            </w:r>
            <w:r>
              <w:rPr>
                <w:rFonts w:ascii="宋体" w:hAnsi="宋体" w:cs="宋体" w:eastAsia="宋体" w:hint="default"/>
                <w:sz w:val="18"/>
                <w:szCs w:val="18"/>
              </w:rPr>
              <w:t>，系一家美国纳斯达克（代码：</w:t>
            </w:r>
            <w:r>
              <w:rPr>
                <w:rFonts w:ascii="宋体" w:hAnsi="宋体" w:cs="宋体" w:eastAsia="宋体" w:hint="default"/>
                <w:sz w:val="18"/>
                <w:szCs w:val="18"/>
              </w:rPr>
              <w:t>QCOM</w:t>
            </w:r>
            <w:r>
              <w:rPr>
                <w:rFonts w:ascii="宋体" w:hAnsi="宋体" w:cs="宋体" w:eastAsia="宋体" w:hint="default"/>
                <w:sz w:val="18"/>
                <w:szCs w:val="18"/>
              </w:rPr>
              <w:t>）上市</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47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TI</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Texas Instruments</w:t>
            </w:r>
            <w:r>
              <w:rPr>
                <w:rFonts w:ascii="宋体" w:hAnsi="宋体" w:cs="宋体" w:eastAsia="宋体" w:hint="default"/>
                <w:sz w:val="18"/>
                <w:szCs w:val="18"/>
              </w:rPr>
              <w:t>，德州仪器，系一家总部位于美国德克萨斯州的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半导体设计与制造企业</w:t>
            </w:r>
          </w:p>
        </w:tc>
      </w:tr>
      <w:tr>
        <w:trPr>
          <w:trHeight w:val="476"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Intel</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Intel Corporation</w:t>
            </w:r>
            <w:r>
              <w:rPr>
                <w:rFonts w:ascii="宋体" w:hAnsi="宋体" w:cs="宋体" w:eastAsia="宋体" w:hint="default"/>
                <w:sz w:val="18"/>
                <w:szCs w:val="18"/>
              </w:rPr>
              <w:t>，英特尔，系一家美国纳斯达克（代码：</w:t>
            </w:r>
            <w:r>
              <w:rPr>
                <w:rFonts w:ascii="宋体" w:hAnsi="宋体" w:cs="宋体" w:eastAsia="宋体" w:hint="default"/>
                <w:sz w:val="18"/>
                <w:szCs w:val="18"/>
              </w:rPr>
              <w:t>INTC</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上市公司</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SONY</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Sony Corporation</w:t>
            </w:r>
            <w:r>
              <w:rPr>
                <w:rFonts w:ascii="宋体" w:hAnsi="宋体" w:cs="宋体" w:eastAsia="宋体" w:hint="default"/>
                <w:sz w:val="18"/>
                <w:szCs w:val="18"/>
              </w:rPr>
              <w:t>，索尼，系一家日本的综合性跨国企业集团</w:t>
            </w:r>
          </w:p>
        </w:tc>
      </w:tr>
      <w:tr>
        <w:trPr>
          <w:trHeight w:val="47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QNX</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QNX Real-Time Operating System</w:t>
            </w:r>
            <w:r>
              <w:rPr>
                <w:rFonts w:ascii="宋体" w:hAnsi="宋体" w:cs="宋体" w:eastAsia="宋体" w:hint="default"/>
                <w:sz w:val="18"/>
                <w:szCs w:val="18"/>
              </w:rPr>
              <w:t>，</w:t>
            </w:r>
            <w:r>
              <w:rPr>
                <w:rFonts w:ascii="宋体" w:hAnsi="宋体" w:cs="宋体" w:eastAsia="宋体" w:hint="default"/>
                <w:sz w:val="18"/>
                <w:szCs w:val="18"/>
              </w:rPr>
              <w:t>QNX</w:t>
            </w:r>
            <w:r>
              <w:rPr>
                <w:rFonts w:ascii="宋体" w:hAnsi="宋体" w:cs="宋体" w:eastAsia="宋体" w:hint="default"/>
                <w:spacing w:val="-46"/>
                <w:sz w:val="18"/>
                <w:szCs w:val="18"/>
              </w:rPr>
              <w:t> </w:t>
            </w:r>
            <w:r>
              <w:rPr>
                <w:rFonts w:ascii="宋体" w:hAnsi="宋体" w:cs="宋体" w:eastAsia="宋体" w:hint="default"/>
                <w:sz w:val="18"/>
                <w:szCs w:val="18"/>
              </w:rPr>
              <w:t>实时操作系统，系加拿大通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信公司黑莓</w:t>
            </w:r>
            <w:r>
              <w:rPr>
                <w:rFonts w:ascii="宋体" w:hAnsi="宋体" w:cs="宋体" w:eastAsia="宋体" w:hint="default"/>
                <w:spacing w:val="-46"/>
                <w:sz w:val="18"/>
                <w:szCs w:val="18"/>
              </w:rPr>
              <w:t> </w:t>
            </w:r>
            <w:r>
              <w:rPr>
                <w:rFonts w:ascii="宋体" w:hAnsi="宋体" w:cs="宋体" w:eastAsia="宋体" w:hint="default"/>
                <w:sz w:val="18"/>
                <w:szCs w:val="18"/>
              </w:rPr>
              <w:t>BlackBerry</w:t>
            </w:r>
            <w:r>
              <w:rPr>
                <w:rFonts w:ascii="宋体" w:hAnsi="宋体" w:cs="宋体" w:eastAsia="宋体" w:hint="default"/>
                <w:spacing w:val="-46"/>
                <w:sz w:val="18"/>
                <w:szCs w:val="18"/>
              </w:rPr>
              <w:t> </w:t>
            </w:r>
            <w:r>
              <w:rPr>
                <w:rFonts w:ascii="宋体" w:hAnsi="宋体" w:cs="宋体" w:eastAsia="宋体" w:hint="default"/>
                <w:sz w:val="18"/>
                <w:szCs w:val="18"/>
              </w:rPr>
              <w:t>旗下的一款商用实时操作系统品牌</w:t>
            </w:r>
          </w:p>
        </w:tc>
      </w:tr>
      <w:tr>
        <w:trPr>
          <w:trHeight w:val="709"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微软雅黑" w:hAnsi="微软雅黑" w:cs="微软雅黑" w:eastAsia="微软雅黑" w:hint="default"/>
                <w:b/>
                <w:bCs/>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sz w:val="18"/>
              </w:rPr>
              <w:t>NXP</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微软雅黑" w:hAnsi="微软雅黑" w:cs="微软雅黑" w:eastAsia="微软雅黑"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NXP</w:t>
            </w:r>
            <w:r>
              <w:rPr>
                <w:rFonts w:ascii="宋体" w:hAnsi="宋体" w:cs="宋体" w:eastAsia="宋体" w:hint="default"/>
                <w:spacing w:val="-31"/>
                <w:sz w:val="18"/>
                <w:szCs w:val="18"/>
              </w:rPr>
              <w:t> </w:t>
            </w:r>
            <w:r>
              <w:rPr>
                <w:rFonts w:ascii="宋体" w:hAnsi="宋体" w:cs="宋体" w:eastAsia="宋体" w:hint="default"/>
                <w:sz w:val="18"/>
                <w:szCs w:val="18"/>
              </w:rPr>
              <w:t>Semiconductors</w:t>
            </w:r>
            <w:r>
              <w:rPr>
                <w:rFonts w:ascii="宋体" w:hAnsi="宋体" w:cs="宋体" w:eastAsia="宋体" w:hint="default"/>
                <w:sz w:val="18"/>
                <w:szCs w:val="18"/>
              </w:rPr>
              <w:t>，恩智浦半导体，系荷兰一家全球知名的无晶圆</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2"/>
                <w:sz w:val="18"/>
                <w:szCs w:val="18"/>
              </w:rPr>
              <w:t>半导体设计公司，主要面向汽车电子、消费电子及工业控制等领域提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供产品与服务</w:t>
            </w:r>
          </w:p>
        </w:tc>
      </w:tr>
      <w:tr>
        <w:trPr>
          <w:trHeight w:val="40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北极光创投</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系一家风险投资机构，投资阶段主要为早期和成长期初期</w:t>
            </w:r>
          </w:p>
        </w:tc>
      </w:tr>
      <w:tr>
        <w:trPr>
          <w:trHeight w:val="476"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SAVARI</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SAVARI Incorporated</w:t>
            </w:r>
            <w:r>
              <w:rPr>
                <w:rFonts w:ascii="宋体" w:hAnsi="宋体" w:cs="宋体" w:eastAsia="宋体" w:hint="default"/>
                <w:sz w:val="18"/>
                <w:szCs w:val="18"/>
              </w:rPr>
              <w:t>，系一家总部位于美国硅谷的汽车技术公司，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主要面向互联汽车、智慧城市领域提供通讯系统解决方案</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清智科技</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天津清智科技有限公司，系一家位于天津的汽车技术公司</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629"/>
        <w:gridCol w:w="640"/>
        <w:gridCol w:w="5586"/>
      </w:tblGrid>
      <w:tr>
        <w:trPr>
          <w:trHeight w:val="407" w:hRule="exact"/>
        </w:trPr>
        <w:tc>
          <w:tcPr>
            <w:tcW w:w="3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7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黑芝麻科技</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Black Sesame Technologies Inc</w:t>
            </w:r>
            <w:r>
              <w:rPr>
                <w:rFonts w:ascii="宋体" w:hAnsi="宋体" w:cs="宋体" w:eastAsia="宋体" w:hint="default"/>
                <w:sz w:val="18"/>
                <w:szCs w:val="18"/>
              </w:rPr>
              <w:t>，系一家位于硅谷和上海的公司，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主要研发智能视觉人工智能算法</w:t>
            </w:r>
          </w:p>
        </w:tc>
      </w:tr>
      <w:tr>
        <w:trPr>
          <w:trHeight w:val="47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Linux</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系一种免费、开源的软件操作系统，可安装在各种计算机硬件设备中，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如手机、平板电脑、路由器、台式计算机、大型计算机等</w:t>
            </w:r>
          </w:p>
        </w:tc>
      </w:tr>
      <w:tr>
        <w:trPr>
          <w:trHeight w:val="711"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Android/</w:t>
            </w:r>
            <w:r>
              <w:rPr>
                <w:rFonts w:ascii="宋体" w:hAnsi="宋体" w:cs="宋体" w:eastAsia="宋体" w:hint="default"/>
                <w:sz w:val="18"/>
                <w:szCs w:val="18"/>
              </w:rPr>
              <w:t>安卓</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Android</w:t>
            </w:r>
            <w:r>
              <w:rPr>
                <w:rFonts w:ascii="宋体" w:hAnsi="宋体" w:cs="宋体" w:eastAsia="宋体" w:hint="default"/>
                <w:spacing w:val="-46"/>
                <w:sz w:val="18"/>
                <w:szCs w:val="18"/>
              </w:rPr>
              <w:t> </w:t>
            </w:r>
            <w:r>
              <w:rPr>
                <w:rFonts w:ascii="宋体" w:hAnsi="宋体" w:cs="宋体" w:eastAsia="宋体" w:hint="default"/>
                <w:sz w:val="18"/>
                <w:szCs w:val="18"/>
              </w:rPr>
              <w:t>是一种基于</w:t>
            </w:r>
            <w:r>
              <w:rPr>
                <w:rFonts w:ascii="宋体" w:hAnsi="宋体" w:cs="宋体" w:eastAsia="宋体" w:hint="default"/>
                <w:spacing w:val="-46"/>
                <w:sz w:val="18"/>
                <w:szCs w:val="18"/>
              </w:rPr>
              <w:t> </w:t>
            </w:r>
            <w:r>
              <w:rPr>
                <w:rFonts w:ascii="宋体" w:hAnsi="宋体" w:cs="宋体" w:eastAsia="宋体" w:hint="default"/>
                <w:sz w:val="18"/>
                <w:szCs w:val="18"/>
              </w:rPr>
              <w:t>Linux</w:t>
            </w:r>
            <w:r>
              <w:rPr>
                <w:rFonts w:ascii="宋体" w:hAnsi="宋体" w:cs="宋体" w:eastAsia="宋体" w:hint="default"/>
                <w:spacing w:val="-46"/>
                <w:sz w:val="18"/>
                <w:szCs w:val="18"/>
              </w:rPr>
              <w:t> </w:t>
            </w:r>
            <w:r>
              <w:rPr>
                <w:rFonts w:ascii="宋体" w:hAnsi="宋体" w:cs="宋体" w:eastAsia="宋体" w:hint="default"/>
                <w:sz w:val="18"/>
                <w:szCs w:val="18"/>
              </w:rPr>
              <w:t>的自由及开放源代码的操作系统，主要使</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pacing w:val="-2"/>
                <w:sz w:val="18"/>
                <w:szCs w:val="18"/>
              </w:rPr>
              <w:t>用于移动设备，如智能手机和平板电脑，由谷歌公司和开放手机联盟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领导及开发</w:t>
            </w:r>
          </w:p>
        </w:tc>
      </w:tr>
      <w:tr>
        <w:trPr>
          <w:trHeight w:val="476"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sz w:val="18"/>
              </w:rPr>
              <w:t>RTOS</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Real-Time Operating</w:t>
            </w:r>
            <w:r>
              <w:rPr>
                <w:rFonts w:ascii="宋体" w:hAnsi="宋体" w:cs="宋体" w:eastAsia="宋体" w:hint="default"/>
                <w:spacing w:val="-34"/>
                <w:sz w:val="18"/>
                <w:szCs w:val="18"/>
              </w:rPr>
              <w:t> </w:t>
            </w:r>
            <w:r>
              <w:rPr>
                <w:rFonts w:ascii="宋体" w:hAnsi="宋体" w:cs="宋体" w:eastAsia="宋体" w:hint="default"/>
                <w:sz w:val="18"/>
                <w:szCs w:val="18"/>
              </w:rPr>
              <w:t>System</w:t>
            </w:r>
            <w:r>
              <w:rPr>
                <w:rFonts w:ascii="宋体" w:hAnsi="宋体" w:cs="宋体" w:eastAsia="宋体" w:hint="default"/>
                <w:sz w:val="18"/>
                <w:szCs w:val="18"/>
              </w:rPr>
              <w:t>，实时操作系统，是一种专门为实时应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用而设计的操作系统</w:t>
            </w:r>
          </w:p>
        </w:tc>
      </w:tr>
      <w:tr>
        <w:trPr>
          <w:trHeight w:val="47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Kanzi</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Rightware</w:t>
            </w:r>
            <w:r>
              <w:rPr>
                <w:rFonts w:ascii="宋体" w:hAnsi="宋体" w:cs="宋体" w:eastAsia="宋体" w:hint="default"/>
                <w:spacing w:val="-46"/>
                <w:sz w:val="18"/>
                <w:szCs w:val="18"/>
              </w:rPr>
              <w:t> </w:t>
            </w:r>
            <w:r>
              <w:rPr>
                <w:rFonts w:ascii="宋体" w:hAnsi="宋体" w:cs="宋体" w:eastAsia="宋体" w:hint="default"/>
                <w:sz w:val="18"/>
                <w:szCs w:val="18"/>
              </w:rPr>
              <w:t>公司自主研发的智能汽车系列产品的品牌，为智能驾驶舱</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量身打造的</w:t>
            </w:r>
            <w:r>
              <w:rPr>
                <w:rFonts w:ascii="宋体" w:hAnsi="宋体" w:cs="宋体" w:eastAsia="宋体" w:hint="default"/>
                <w:spacing w:val="-46"/>
                <w:sz w:val="18"/>
                <w:szCs w:val="18"/>
              </w:rPr>
              <w:t> </w:t>
            </w:r>
            <w:r>
              <w:rPr>
                <w:rFonts w:ascii="宋体" w:hAnsi="宋体" w:cs="宋体" w:eastAsia="宋体" w:hint="default"/>
                <w:sz w:val="18"/>
                <w:szCs w:val="18"/>
              </w:rPr>
              <w:t>HMI</w:t>
            </w:r>
            <w:r>
              <w:rPr>
                <w:rFonts w:ascii="宋体" w:hAnsi="宋体" w:cs="宋体" w:eastAsia="宋体" w:hint="default"/>
                <w:spacing w:val="-46"/>
                <w:sz w:val="18"/>
                <w:szCs w:val="18"/>
              </w:rPr>
              <w:t> </w:t>
            </w:r>
            <w:r>
              <w:rPr>
                <w:rFonts w:ascii="宋体" w:hAnsi="宋体" w:cs="宋体" w:eastAsia="宋体" w:hint="default"/>
                <w:sz w:val="18"/>
                <w:szCs w:val="18"/>
              </w:rPr>
              <w:t>开发工具</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IVI</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In-Vehicle Infotainment</w:t>
            </w:r>
            <w:r>
              <w:rPr>
                <w:rFonts w:ascii="宋体" w:hAnsi="宋体" w:cs="宋体" w:eastAsia="宋体" w:hint="default"/>
                <w:sz w:val="18"/>
                <w:szCs w:val="18"/>
              </w:rPr>
              <w:t>，车载信息娱乐系统</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ADAS</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Advanced Driving Assistant System</w:t>
            </w:r>
            <w:r>
              <w:rPr>
                <w:rFonts w:ascii="宋体" w:hAnsi="宋体" w:cs="宋体" w:eastAsia="宋体" w:hint="default"/>
                <w:sz w:val="18"/>
                <w:szCs w:val="18"/>
              </w:rPr>
              <w:t>，高级驾驶辅助系统</w:t>
            </w:r>
          </w:p>
        </w:tc>
      </w:tr>
      <w:tr>
        <w:trPr>
          <w:trHeight w:val="476"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HMI</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Human Machine</w:t>
            </w:r>
            <w:r>
              <w:rPr>
                <w:rFonts w:ascii="宋体" w:hAnsi="宋体" w:cs="宋体" w:eastAsia="宋体" w:hint="default"/>
                <w:spacing w:val="-33"/>
                <w:sz w:val="18"/>
                <w:szCs w:val="18"/>
              </w:rPr>
              <w:t> </w:t>
            </w:r>
            <w:r>
              <w:rPr>
                <w:rFonts w:ascii="宋体" w:hAnsi="宋体" w:cs="宋体" w:eastAsia="宋体" w:hint="default"/>
                <w:sz w:val="18"/>
                <w:szCs w:val="18"/>
              </w:rPr>
              <w:t>Inerface</w:t>
            </w:r>
            <w:r>
              <w:rPr>
                <w:rFonts w:ascii="宋体" w:hAnsi="宋体" w:cs="宋体" w:eastAsia="宋体" w:hint="default"/>
                <w:sz w:val="18"/>
                <w:szCs w:val="18"/>
              </w:rPr>
              <w:t>，人机交互界面，是系统和用户进行交互和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信息交换的媒介</w:t>
            </w:r>
          </w:p>
        </w:tc>
      </w:tr>
      <w:tr>
        <w:trPr>
          <w:trHeight w:val="47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SoC</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System</w:t>
            </w:r>
            <w:r>
              <w:rPr>
                <w:rFonts w:ascii="宋体" w:hAnsi="宋体" w:cs="宋体" w:eastAsia="宋体" w:hint="default"/>
                <w:spacing w:val="-51"/>
                <w:sz w:val="18"/>
                <w:szCs w:val="18"/>
              </w:rPr>
              <w:t> </w:t>
            </w:r>
            <w:r>
              <w:rPr>
                <w:rFonts w:ascii="宋体" w:hAnsi="宋体" w:cs="宋体" w:eastAsia="宋体" w:hint="default"/>
                <w:sz w:val="18"/>
                <w:szCs w:val="18"/>
              </w:rPr>
              <w:t>on</w:t>
            </w:r>
            <w:r>
              <w:rPr>
                <w:rFonts w:ascii="宋体" w:hAnsi="宋体" w:cs="宋体" w:eastAsia="宋体" w:hint="default"/>
                <w:spacing w:val="-51"/>
                <w:sz w:val="18"/>
                <w:szCs w:val="18"/>
              </w:rPr>
              <w:t> </w:t>
            </w:r>
            <w:r>
              <w:rPr>
                <w:rFonts w:ascii="宋体" w:hAnsi="宋体" w:cs="宋体" w:eastAsia="宋体" w:hint="default"/>
                <w:sz w:val="18"/>
                <w:szCs w:val="18"/>
              </w:rPr>
              <w:t>Chip,</w:t>
            </w:r>
            <w:r>
              <w:rPr>
                <w:rFonts w:ascii="宋体" w:hAnsi="宋体" w:cs="宋体" w:eastAsia="宋体" w:hint="default"/>
                <w:spacing w:val="-11"/>
                <w:sz w:val="18"/>
                <w:szCs w:val="18"/>
              </w:rPr>
              <w:t> </w:t>
            </w:r>
            <w:r>
              <w:rPr>
                <w:rFonts w:ascii="宋体" w:hAnsi="宋体" w:cs="宋体" w:eastAsia="宋体" w:hint="default"/>
                <w:sz w:val="18"/>
                <w:szCs w:val="18"/>
              </w:rPr>
              <w:t>系统芯片，是将</w:t>
            </w:r>
            <w:r>
              <w:rPr>
                <w:rFonts w:ascii="宋体" w:hAnsi="宋体" w:cs="宋体" w:eastAsia="宋体" w:hint="default"/>
                <w:spacing w:val="-52"/>
                <w:sz w:val="18"/>
                <w:szCs w:val="18"/>
              </w:rPr>
              <w:t> </w:t>
            </w:r>
            <w:r>
              <w:rPr>
                <w:rFonts w:ascii="宋体" w:hAnsi="宋体" w:cs="宋体" w:eastAsia="宋体" w:hint="default"/>
                <w:sz w:val="18"/>
                <w:szCs w:val="18"/>
              </w:rPr>
              <w:t>CPU</w:t>
            </w:r>
            <w:r>
              <w:rPr>
                <w:rFonts w:ascii="宋体" w:hAnsi="宋体" w:cs="宋体" w:eastAsia="宋体" w:hint="default"/>
                <w:sz w:val="18"/>
                <w:szCs w:val="18"/>
              </w:rPr>
              <w:t>、</w:t>
            </w:r>
            <w:r>
              <w:rPr>
                <w:rFonts w:ascii="宋体" w:hAnsi="宋体" w:cs="宋体" w:eastAsia="宋体" w:hint="default"/>
                <w:sz w:val="18"/>
                <w:szCs w:val="18"/>
              </w:rPr>
              <w:t>GPU</w:t>
            </w:r>
            <w:r>
              <w:rPr>
                <w:rFonts w:ascii="宋体" w:hAnsi="宋体" w:cs="宋体" w:eastAsia="宋体" w:hint="default"/>
                <w:sz w:val="18"/>
                <w:szCs w:val="18"/>
              </w:rPr>
              <w:t>、</w:t>
            </w:r>
            <w:r>
              <w:rPr>
                <w:rFonts w:ascii="宋体" w:hAnsi="宋体" w:cs="宋体" w:eastAsia="宋体" w:hint="default"/>
                <w:sz w:val="18"/>
                <w:szCs w:val="18"/>
              </w:rPr>
              <w:t>ISP</w:t>
            </w:r>
            <w:r>
              <w:rPr>
                <w:rFonts w:ascii="宋体" w:hAnsi="宋体" w:cs="宋体" w:eastAsia="宋体" w:hint="default"/>
                <w:sz w:val="18"/>
                <w:szCs w:val="18"/>
              </w:rPr>
              <w:t>、</w:t>
            </w:r>
            <w:r>
              <w:rPr>
                <w:rFonts w:ascii="宋体" w:hAnsi="宋体" w:cs="宋体" w:eastAsia="宋体" w:hint="default"/>
                <w:sz w:val="18"/>
                <w:szCs w:val="18"/>
              </w:rPr>
              <w:t>DSP</w:t>
            </w:r>
            <w:r>
              <w:rPr>
                <w:rFonts w:ascii="宋体" w:hAnsi="宋体" w:cs="宋体" w:eastAsia="宋体" w:hint="default"/>
                <w:sz w:val="18"/>
                <w:szCs w:val="18"/>
              </w:rPr>
              <w:t>、</w:t>
            </w:r>
            <w:r>
              <w:rPr>
                <w:rFonts w:ascii="宋体" w:hAnsi="宋体" w:cs="宋体" w:eastAsia="宋体" w:hint="default"/>
                <w:sz w:val="18"/>
                <w:szCs w:val="18"/>
              </w:rPr>
              <w:t>RAM</w:t>
            </w:r>
            <w:r>
              <w:rPr>
                <w:rFonts w:ascii="宋体" w:hAnsi="宋体" w:cs="宋体" w:eastAsia="宋体" w:hint="default"/>
                <w:spacing w:val="-52"/>
                <w:sz w:val="18"/>
                <w:szCs w:val="18"/>
              </w:rPr>
              <w:t> </w:t>
            </w:r>
            <w:r>
              <w:rPr>
                <w:rFonts w:ascii="宋体" w:hAnsi="宋体" w:cs="宋体" w:eastAsia="宋体" w:hint="default"/>
                <w:sz w:val="18"/>
                <w:szCs w:val="18"/>
              </w:rPr>
              <w:t>存储器、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WiFi</w:t>
            </w:r>
            <w:r>
              <w:rPr>
                <w:rFonts w:ascii="宋体" w:hAnsi="宋体" w:cs="宋体" w:eastAsia="宋体" w:hint="default"/>
                <w:spacing w:val="-46"/>
                <w:sz w:val="18"/>
                <w:szCs w:val="18"/>
              </w:rPr>
              <w:t> </w:t>
            </w:r>
            <w:r>
              <w:rPr>
                <w:rFonts w:ascii="宋体" w:hAnsi="宋体" w:cs="宋体" w:eastAsia="宋体" w:hint="default"/>
                <w:sz w:val="18"/>
                <w:szCs w:val="18"/>
              </w:rPr>
              <w:t>控制器、基带芯片等模块集成到单一芯片的集成电路</w:t>
            </w:r>
          </w:p>
        </w:tc>
      </w:tr>
      <w:tr>
        <w:trPr>
          <w:trHeight w:val="710"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CPU</w:t>
            </w:r>
            <w:r>
              <w:rPr>
                <w:rFonts w:ascii="宋体" w:hAnsi="宋体" w:cs="宋体" w:eastAsia="宋体" w:hint="default"/>
                <w:sz w:val="18"/>
                <w:szCs w:val="18"/>
              </w:rPr>
              <w:t>、</w:t>
            </w:r>
            <w:r>
              <w:rPr>
                <w:rFonts w:ascii="宋体" w:hAnsi="宋体" w:cs="宋体" w:eastAsia="宋体" w:hint="default"/>
                <w:sz w:val="18"/>
                <w:szCs w:val="18"/>
              </w:rPr>
              <w:t>GPU</w:t>
            </w:r>
            <w:r>
              <w:rPr>
                <w:rFonts w:ascii="宋体" w:hAnsi="宋体" w:cs="宋体" w:eastAsia="宋体" w:hint="default"/>
                <w:sz w:val="18"/>
                <w:szCs w:val="18"/>
              </w:rPr>
              <w:t>、</w:t>
            </w:r>
            <w:r>
              <w:rPr>
                <w:rFonts w:ascii="宋体" w:hAnsi="宋体" w:cs="宋体" w:eastAsia="宋体" w:hint="default"/>
                <w:sz w:val="18"/>
                <w:szCs w:val="18"/>
              </w:rPr>
              <w:t>DSP</w:t>
            </w:r>
            <w:r>
              <w:rPr>
                <w:rFonts w:ascii="宋体" w:hAnsi="宋体" w:cs="宋体" w:eastAsia="宋体" w:hint="default"/>
                <w:sz w:val="18"/>
                <w:szCs w:val="18"/>
              </w:rPr>
              <w:t>、</w:t>
            </w:r>
            <w:r>
              <w:rPr>
                <w:rFonts w:ascii="宋体" w:hAnsi="宋体" w:cs="宋体" w:eastAsia="宋体" w:hint="default"/>
                <w:sz w:val="18"/>
                <w:szCs w:val="18"/>
              </w:rPr>
              <w:t>NPU</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Central</w:t>
            </w:r>
            <w:r>
              <w:rPr>
                <w:rFonts w:ascii="宋体" w:hAnsi="宋体" w:cs="宋体" w:eastAsia="宋体" w:hint="default"/>
                <w:spacing w:val="-44"/>
                <w:sz w:val="18"/>
                <w:szCs w:val="18"/>
              </w:rPr>
              <w:t> </w:t>
            </w:r>
            <w:r>
              <w:rPr>
                <w:rFonts w:ascii="宋体" w:hAnsi="宋体" w:cs="宋体" w:eastAsia="宋体" w:hint="default"/>
                <w:sz w:val="18"/>
                <w:szCs w:val="18"/>
              </w:rPr>
              <w:t>Processing</w:t>
            </w:r>
            <w:r>
              <w:rPr>
                <w:rFonts w:ascii="宋体" w:hAnsi="宋体" w:cs="宋体" w:eastAsia="宋体" w:hint="default"/>
                <w:spacing w:val="-44"/>
                <w:sz w:val="18"/>
                <w:szCs w:val="18"/>
              </w:rPr>
              <w:t> </w:t>
            </w:r>
            <w:r>
              <w:rPr>
                <w:rFonts w:ascii="宋体" w:hAnsi="宋体" w:cs="宋体" w:eastAsia="宋体" w:hint="default"/>
                <w:sz w:val="18"/>
                <w:szCs w:val="18"/>
              </w:rPr>
              <w:t>Unit,</w:t>
            </w:r>
            <w:r>
              <w:rPr>
                <w:rFonts w:ascii="宋体" w:hAnsi="宋体" w:cs="宋体" w:eastAsia="宋体" w:hint="default"/>
                <w:spacing w:val="2"/>
                <w:sz w:val="18"/>
                <w:szCs w:val="18"/>
              </w:rPr>
              <w:t> </w:t>
            </w:r>
            <w:r>
              <w:rPr>
                <w:rFonts w:ascii="宋体" w:hAnsi="宋体" w:cs="宋体" w:eastAsia="宋体" w:hint="default"/>
                <w:spacing w:val="-3"/>
                <w:sz w:val="18"/>
                <w:szCs w:val="18"/>
              </w:rPr>
              <w:t>中央处理器；</w:t>
            </w:r>
            <w:r>
              <w:rPr>
                <w:rFonts w:ascii="宋体" w:hAnsi="宋体" w:cs="宋体" w:eastAsia="宋体" w:hint="default"/>
                <w:spacing w:val="-3"/>
                <w:sz w:val="18"/>
                <w:szCs w:val="18"/>
              </w:rPr>
              <w:t>Graphics</w:t>
            </w:r>
            <w:r>
              <w:rPr>
                <w:rFonts w:ascii="宋体" w:hAnsi="宋体" w:cs="宋体" w:eastAsia="宋体" w:hint="default"/>
                <w:spacing w:val="-44"/>
                <w:sz w:val="18"/>
                <w:szCs w:val="18"/>
              </w:rPr>
              <w:t> </w:t>
            </w:r>
            <w:r>
              <w:rPr>
                <w:rFonts w:ascii="宋体" w:hAnsi="宋体" w:cs="宋体" w:eastAsia="宋体" w:hint="default"/>
                <w:sz w:val="18"/>
                <w:szCs w:val="18"/>
              </w:rPr>
              <w:t>Processing</w:t>
            </w:r>
            <w:r>
              <w:rPr>
                <w:rFonts w:ascii="宋体" w:hAnsi="宋体" w:cs="宋体" w:eastAsia="宋体" w:hint="default"/>
                <w:spacing w:val="-44"/>
                <w:sz w:val="18"/>
                <w:szCs w:val="18"/>
              </w:rPr>
              <w:t> </w:t>
            </w:r>
            <w:r>
              <w:rPr>
                <w:rFonts w:ascii="宋体" w:hAnsi="宋体" w:cs="宋体" w:eastAsia="宋体" w:hint="default"/>
                <w:sz w:val="18"/>
                <w:szCs w:val="18"/>
              </w:rPr>
              <w:t>Unit</w:t>
            </w:r>
            <w:r>
              <w:rPr>
                <w:rFonts w:ascii="宋体" w:hAnsi="宋体" w:cs="宋体" w:eastAsia="宋体" w:hint="default"/>
                <w:sz w:val="18"/>
                <w:szCs w:val="18"/>
              </w:rPr>
              <w:t>，</w:t>
            </w:r>
          </w:p>
          <w:p>
            <w:pPr>
              <w:pStyle w:val="TableParagraph"/>
              <w:spacing w:line="232" w:lineRule="exact" w:before="24"/>
              <w:ind w:left="103" w:right="102"/>
              <w:jc w:val="left"/>
              <w:rPr>
                <w:rFonts w:ascii="宋体" w:hAnsi="宋体" w:cs="宋体" w:eastAsia="宋体" w:hint="default"/>
                <w:sz w:val="18"/>
                <w:szCs w:val="18"/>
              </w:rPr>
            </w:pPr>
            <w:r>
              <w:rPr>
                <w:rFonts w:ascii="宋体" w:hAnsi="宋体" w:cs="宋体" w:eastAsia="宋体" w:hint="default"/>
                <w:sz w:val="18"/>
                <w:szCs w:val="18"/>
              </w:rPr>
              <w:t>图像处理器；</w:t>
            </w:r>
            <w:r>
              <w:rPr>
                <w:rFonts w:ascii="宋体" w:hAnsi="宋体" w:cs="宋体" w:eastAsia="宋体" w:hint="default"/>
                <w:sz w:val="18"/>
                <w:szCs w:val="18"/>
              </w:rPr>
              <w:t>Digital Signal</w:t>
            </w:r>
            <w:r>
              <w:rPr>
                <w:rFonts w:ascii="宋体" w:hAnsi="宋体" w:cs="宋体" w:eastAsia="宋体" w:hint="default"/>
                <w:spacing w:val="-33"/>
                <w:sz w:val="18"/>
                <w:szCs w:val="18"/>
              </w:rPr>
              <w:t> </w:t>
            </w:r>
            <w:r>
              <w:rPr>
                <w:rFonts w:ascii="宋体" w:hAnsi="宋体" w:cs="宋体" w:eastAsia="宋体" w:hint="default"/>
                <w:sz w:val="18"/>
                <w:szCs w:val="18"/>
              </w:rPr>
              <w:t>Processor</w:t>
            </w:r>
            <w:r>
              <w:rPr>
                <w:rFonts w:ascii="宋体" w:hAnsi="宋体" w:cs="宋体" w:eastAsia="宋体" w:hint="default"/>
                <w:sz w:val="18"/>
                <w:szCs w:val="18"/>
              </w:rPr>
              <w:t>，数字信号处理器；</w:t>
            </w:r>
            <w:r>
              <w:rPr>
                <w:rFonts w:ascii="宋体" w:hAnsi="宋体" w:cs="宋体" w:eastAsia="宋体" w:hint="default"/>
                <w:sz w:val="18"/>
                <w:szCs w:val="18"/>
              </w:rPr>
              <w:t>Neural Processing Unit</w:t>
            </w:r>
            <w:r>
              <w:rPr>
                <w:rFonts w:ascii="宋体" w:hAnsi="宋体" w:cs="宋体" w:eastAsia="宋体" w:hint="default"/>
                <w:sz w:val="18"/>
                <w:szCs w:val="18"/>
              </w:rPr>
              <w:t>，神经网络处理器</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VR</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Virtual Reality</w:t>
            </w:r>
            <w:r>
              <w:rPr>
                <w:rFonts w:ascii="宋体" w:hAnsi="宋体" w:cs="宋体" w:eastAsia="宋体" w:hint="default"/>
                <w:sz w:val="18"/>
                <w:szCs w:val="18"/>
              </w:rPr>
              <w:t>，虚拟现实</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AR</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Augmented Reality</w:t>
            </w:r>
            <w:r>
              <w:rPr>
                <w:rFonts w:ascii="宋体" w:hAnsi="宋体" w:cs="宋体" w:eastAsia="宋体" w:hint="default"/>
                <w:sz w:val="18"/>
                <w:szCs w:val="18"/>
              </w:rPr>
              <w:t>，增强现实</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sz w:val="18"/>
              </w:rPr>
              <w:t>IoT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Internet of things</w:t>
            </w:r>
            <w:r>
              <w:rPr>
                <w:rFonts w:ascii="宋体" w:hAnsi="宋体" w:cs="宋体" w:eastAsia="宋体" w:hint="default"/>
                <w:sz w:val="18"/>
                <w:szCs w:val="18"/>
              </w:rPr>
              <w:t>，物联网</w:t>
            </w:r>
          </w:p>
        </w:tc>
      </w:tr>
      <w:tr>
        <w:trPr>
          <w:trHeight w:val="47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PCBA</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Printed Circuit Board +</w:t>
            </w:r>
            <w:r>
              <w:rPr>
                <w:rFonts w:ascii="宋体" w:hAnsi="宋体" w:cs="宋体" w:eastAsia="宋体" w:hint="default"/>
                <w:spacing w:val="-34"/>
                <w:sz w:val="18"/>
                <w:szCs w:val="18"/>
              </w:rPr>
              <w:t> </w:t>
            </w:r>
            <w:r>
              <w:rPr>
                <w:rFonts w:ascii="宋体" w:hAnsi="宋体" w:cs="宋体" w:eastAsia="宋体" w:hint="default"/>
                <w:sz w:val="18"/>
                <w:szCs w:val="18"/>
              </w:rPr>
              <w:t>Assembly</w:t>
            </w:r>
            <w:r>
              <w:rPr>
                <w:rFonts w:ascii="宋体" w:hAnsi="宋体" w:cs="宋体" w:eastAsia="宋体" w:hint="default"/>
                <w:sz w:val="18"/>
                <w:szCs w:val="18"/>
              </w:rPr>
              <w:t>，智能终端的成品主板（包含电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路板、主要芯片和元器件）</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TurboX</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系公司自主研发的智能物联网产品品牌</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TurboX Cloud</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系公司物联网云端管理的产品的统称</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sz w:val="18"/>
              </w:rPr>
              <w:t>SoM</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System on Module</w:t>
            </w:r>
            <w:r>
              <w:rPr>
                <w:rFonts w:ascii="宋体" w:hAnsi="宋体" w:cs="宋体" w:eastAsia="宋体" w:hint="default"/>
                <w:sz w:val="18"/>
                <w:szCs w:val="18"/>
              </w:rPr>
              <w:t>，公司自主研发的智能大脑计算平台</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sz w:val="18"/>
              </w:rPr>
              <w:t>SDK</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Software Development Kit</w:t>
            </w:r>
            <w:r>
              <w:rPr>
                <w:rFonts w:ascii="宋体" w:hAnsi="宋体" w:cs="宋体" w:eastAsia="宋体" w:hint="default"/>
                <w:sz w:val="18"/>
                <w:szCs w:val="18"/>
              </w:rPr>
              <w:t>，软件开发工具包</w:t>
            </w:r>
          </w:p>
        </w:tc>
      </w:tr>
      <w:tr>
        <w:trPr>
          <w:trHeight w:val="407"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sz w:val="18"/>
              </w:rPr>
              <w:t>FOTA</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Firmware Over-The-Air</w:t>
            </w:r>
            <w:r>
              <w:rPr>
                <w:rFonts w:ascii="宋体" w:hAnsi="宋体" w:cs="宋体" w:eastAsia="宋体" w:hint="default"/>
                <w:sz w:val="18"/>
                <w:szCs w:val="18"/>
              </w:rPr>
              <w:t>，移动终端的空中下载软件升级</w:t>
            </w:r>
          </w:p>
        </w:tc>
      </w:tr>
      <w:tr>
        <w:trPr>
          <w:trHeight w:val="408" w:hRule="exact"/>
        </w:trPr>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sz w:val="18"/>
              </w:rPr>
              <w:t>5G</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Fifth-Generation</w:t>
            </w:r>
            <w:r>
              <w:rPr>
                <w:rFonts w:ascii="宋体" w:hAnsi="宋体" w:cs="宋体" w:eastAsia="宋体" w:hint="default"/>
                <w:sz w:val="18"/>
                <w:szCs w:val="18"/>
              </w:rPr>
              <w:t>，第五代移动通信技术</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pStyle w:val="Heading1"/>
        <w:spacing w:line="441" w:lineRule="exact"/>
        <w:ind w:left="2714" w:right="1016"/>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61"/>
        </w:rPr>
        <w:t> </w:t>
      </w:r>
      <w:r>
        <w:rPr/>
        <w:t>公司简介和主要财务指标</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3"/>
        <w:rPr>
          <w:rFonts w:ascii="微软雅黑" w:hAnsi="微软雅黑" w:cs="微软雅黑" w:eastAsia="微软雅黑" w:hint="default"/>
          <w:b/>
          <w:bCs/>
          <w:sz w:val="29"/>
          <w:szCs w:val="29"/>
        </w:rPr>
      </w:pPr>
    </w:p>
    <w:p>
      <w:pPr>
        <w:pStyle w:val="Heading2"/>
        <w:spacing w:line="397" w:lineRule="exact"/>
        <w:ind w:right="1016"/>
        <w:jc w:val="left"/>
      </w:pPr>
      <w:bookmarkStart w:name="一、公司信息" w:id="4"/>
      <w:bookmarkEnd w:id="4"/>
      <w:r>
        <w:rPr/>
      </w:r>
      <w:r>
        <w:rPr/>
        <w:t>一、公司信息</w:t>
      </w:r>
    </w:p>
    <w:p>
      <w:pPr>
        <w:spacing w:line="240" w:lineRule="auto" w:before="17"/>
        <w:rPr>
          <w:rFonts w:ascii="微软雅黑" w:hAnsi="微软雅黑" w:cs="微软雅黑" w:eastAsia="微软雅黑"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2352"/>
        <w:gridCol w:w="3041"/>
        <w:gridCol w:w="2220"/>
        <w:gridCol w:w="2242"/>
      </w:tblGrid>
      <w:tr>
        <w:trPr>
          <w:trHeight w:val="407"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3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中科创达</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300496</w:t>
            </w:r>
          </w:p>
        </w:tc>
      </w:tr>
      <w:tr>
        <w:trPr>
          <w:trHeight w:val="408"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c>
      </w:tr>
      <w:tr>
        <w:trPr>
          <w:trHeight w:val="407"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中科创达</w:t>
            </w:r>
          </w:p>
        </w:tc>
      </w:tr>
      <w:tr>
        <w:trPr>
          <w:trHeight w:val="407"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Thunder Software Technology</w:t>
            </w:r>
            <w:r>
              <w:rPr>
                <w:rFonts w:ascii="Times New Roman"/>
                <w:spacing w:val="-23"/>
                <w:sz w:val="18"/>
              </w:rPr>
              <w:t> </w:t>
            </w:r>
            <w:r>
              <w:rPr>
                <w:rFonts w:ascii="Times New Roman"/>
                <w:sz w:val="18"/>
              </w:rPr>
              <w:t>Co.,Ltd.</w:t>
            </w:r>
          </w:p>
        </w:tc>
      </w:tr>
      <w:tr>
        <w:trPr>
          <w:trHeight w:val="476"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公司的外文名称缩写（如</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ThunderSoft</w:t>
            </w:r>
          </w:p>
        </w:tc>
      </w:tr>
      <w:tr>
        <w:trPr>
          <w:trHeight w:val="407"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r>
      <w:tr>
        <w:trPr>
          <w:trHeight w:val="408"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北京市海淀区龙翔路甲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号泰翔商务楼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401-409</w:t>
            </w:r>
          </w:p>
        </w:tc>
      </w:tr>
      <w:tr>
        <w:trPr>
          <w:trHeight w:val="407"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100191</w:t>
            </w:r>
          </w:p>
        </w:tc>
      </w:tr>
      <w:tr>
        <w:trPr>
          <w:trHeight w:val="407"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北京市海淀区清华东路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号楼创达大厦</w:t>
            </w:r>
          </w:p>
        </w:tc>
      </w:tr>
      <w:tr>
        <w:trPr>
          <w:trHeight w:val="407"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100083</w:t>
            </w:r>
          </w:p>
        </w:tc>
      </w:tr>
      <w:tr>
        <w:trPr>
          <w:trHeight w:val="407"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9">
              <w:r>
                <w:rPr>
                  <w:rFonts w:ascii="Times New Roman"/>
                  <w:sz w:val="18"/>
                </w:rPr>
                <w:t>www.thundersoft.com</w:t>
              </w:r>
            </w:hyperlink>
          </w:p>
        </w:tc>
      </w:tr>
      <w:tr>
        <w:trPr>
          <w:trHeight w:val="408"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50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zq@thundersoft.com</w:t>
              </w:r>
            </w:hyperlink>
          </w:p>
        </w:tc>
      </w:tr>
    </w:tbl>
    <w:p>
      <w:pPr>
        <w:spacing w:line="240" w:lineRule="auto" w:before="10"/>
        <w:rPr>
          <w:rFonts w:ascii="微软雅黑" w:hAnsi="微软雅黑" w:cs="微软雅黑" w:eastAsia="微软雅黑" w:hint="default"/>
          <w:sz w:val="15"/>
          <w:szCs w:val="15"/>
        </w:rPr>
      </w:pPr>
    </w:p>
    <w:p>
      <w:pPr>
        <w:pStyle w:val="Heading2"/>
        <w:spacing w:line="397" w:lineRule="exact"/>
        <w:ind w:right="1016"/>
        <w:jc w:val="left"/>
      </w:pPr>
      <w:bookmarkStart w:name="二、联系人和联系方式" w:id="5"/>
      <w:bookmarkEnd w:id="5"/>
      <w:r>
        <w:rPr/>
      </w:r>
      <w:r>
        <w:rPr/>
        <w:t>二、联系人和联系方式</w:t>
      </w:r>
    </w:p>
    <w:p>
      <w:pPr>
        <w:spacing w:line="240" w:lineRule="auto" w:before="17"/>
        <w:rPr>
          <w:rFonts w:ascii="微软雅黑" w:hAnsi="微软雅黑" w:cs="微软雅黑" w:eastAsia="微软雅黑"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王焕欣</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王珊珊</w:t>
            </w:r>
          </w:p>
        </w:tc>
      </w:tr>
      <w:tr>
        <w:trPr>
          <w:trHeight w:val="47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北京市海淀区清华东路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号楼创</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达大厦</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北京市海淀区清华东路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号楼创</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达大厦</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010-82036551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010-82036551</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010-82036511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010-82036511</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zq@thundersoft.com</w:t>
              </w:r>
            </w:hyperlink>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zq@thundersoft.com</w:t>
              </w:r>
            </w:hyperlink>
          </w:p>
        </w:tc>
      </w:tr>
    </w:tbl>
    <w:p>
      <w:pPr>
        <w:spacing w:line="240" w:lineRule="auto" w:before="10"/>
        <w:rPr>
          <w:rFonts w:ascii="微软雅黑" w:hAnsi="微软雅黑" w:cs="微软雅黑" w:eastAsia="微软雅黑" w:hint="default"/>
          <w:sz w:val="15"/>
          <w:szCs w:val="15"/>
        </w:rPr>
      </w:pPr>
    </w:p>
    <w:p>
      <w:pPr>
        <w:pStyle w:val="Heading2"/>
        <w:spacing w:line="397" w:lineRule="exact"/>
        <w:ind w:right="1016"/>
        <w:jc w:val="left"/>
      </w:pPr>
      <w:bookmarkStart w:name="三、信息披露及备置地点" w:id="6"/>
      <w:bookmarkEnd w:id="6"/>
      <w:r>
        <w:rPr/>
      </w:r>
      <w:r>
        <w:rPr/>
        <w:t>三、信息披露及备置地点</w:t>
      </w:r>
    </w:p>
    <w:p>
      <w:pPr>
        <w:spacing w:line="240" w:lineRule="auto" w:before="17"/>
        <w:rPr>
          <w:rFonts w:ascii="微软雅黑" w:hAnsi="微软雅黑" w:cs="微软雅黑" w:eastAsia="微软雅黑" w:hint="default"/>
          <w:sz w:val="23"/>
          <w:szCs w:val="23"/>
        </w:rPr>
      </w:pPr>
    </w:p>
    <w:tbl>
      <w:tblPr>
        <w:tblW w:w="0" w:type="auto"/>
        <w:jc w:val="left"/>
        <w:tblInd w:w="101" w:type="dxa"/>
        <w:tblLayout w:type="fixed"/>
        <w:tblCellMar>
          <w:top w:w="0" w:type="dxa"/>
          <w:left w:w="0" w:type="dxa"/>
          <w:bottom w:w="0" w:type="dxa"/>
          <w:right w:w="0" w:type="dxa"/>
        </w:tblCellMar>
        <w:tblLook w:val="01E0"/>
      </w:tblPr>
      <w:tblGrid>
        <w:gridCol w:w="4112"/>
        <w:gridCol w:w="5744"/>
      </w:tblGrid>
      <w:tr>
        <w:trPr>
          <w:trHeight w:val="40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7"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r>
        <w:trPr>
          <w:trHeight w:val="407"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4"/>
        <w:rPr>
          <w:rFonts w:ascii="微软雅黑" w:hAnsi="微软雅黑" w:cs="微软雅黑" w:eastAsia="微软雅黑" w:hint="default"/>
          <w:sz w:val="20"/>
          <w:szCs w:val="20"/>
        </w:rPr>
      </w:pPr>
    </w:p>
    <w:p>
      <w:pPr>
        <w:pStyle w:val="Heading2"/>
        <w:spacing w:line="397" w:lineRule="exact"/>
        <w:ind w:right="1016"/>
        <w:jc w:val="left"/>
      </w:pPr>
      <w:bookmarkStart w:name="四、其他有关资料" w:id="7"/>
      <w:bookmarkEnd w:id="7"/>
      <w:r>
        <w:rPr/>
      </w:r>
      <w:r>
        <w:rPr/>
        <w:t>四、其他有关资料</w:t>
      </w:r>
    </w:p>
    <w:p>
      <w:pPr>
        <w:spacing w:line="240" w:lineRule="auto" w:before="12"/>
        <w:rPr>
          <w:rFonts w:ascii="微软雅黑" w:hAnsi="微软雅黑" w:cs="微软雅黑" w:eastAsia="微软雅黑" w:hint="default"/>
          <w:sz w:val="24"/>
          <w:szCs w:val="24"/>
        </w:rPr>
      </w:pPr>
    </w:p>
    <w:p>
      <w:pPr>
        <w:pStyle w:val="BodyText"/>
        <w:spacing w:line="240" w:lineRule="auto"/>
        <w:ind w:right="1016"/>
        <w:jc w:val="left"/>
      </w:pPr>
      <w:r>
        <w:rPr/>
        <w:t>公司聘请的会计师事务所</w:t>
      </w:r>
    </w:p>
    <w:p>
      <w:pPr>
        <w:spacing w:line="240" w:lineRule="auto" w:before="8"/>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742"/>
        <w:gridCol w:w="7113"/>
      </w:tblGrid>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北京市西城区车公庄大街 </w:t>
            </w:r>
            <w:r>
              <w:rPr>
                <w:rFonts w:ascii="Times New Roman" w:hAnsi="Times New Roman" w:cs="Times New Roman" w:eastAsia="Times New Roman" w:hint="default"/>
                <w:sz w:val="18"/>
                <w:szCs w:val="18"/>
              </w:rPr>
              <w:t>9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Times New Roman" w:hAnsi="Times New Roman" w:cs="Times New Roman" w:eastAsia="Times New Roman" w:hint="default"/>
                <w:sz w:val="18"/>
                <w:szCs w:val="18"/>
              </w:rPr>
              <w:t>B2</w:t>
            </w:r>
            <w:r>
              <w:rPr>
                <w:rFonts w:ascii="宋体" w:hAnsi="宋体" w:cs="宋体" w:eastAsia="宋体" w:hint="default"/>
                <w:sz w:val="18"/>
                <w:szCs w:val="18"/>
              </w:rPr>
              <w:t>）座 </w:t>
            </w:r>
            <w:r>
              <w:rPr>
                <w:rFonts w:ascii="Times New Roman" w:hAnsi="Times New Roman" w:cs="Times New Roman" w:eastAsia="Times New Roman" w:hint="default"/>
                <w:sz w:val="18"/>
                <w:szCs w:val="18"/>
              </w:rPr>
              <w:t>301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室</w:t>
            </w:r>
          </w:p>
        </w:tc>
      </w:tr>
      <w:tr>
        <w:trPr>
          <w:trHeight w:val="408"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李万军、蔡中伏</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1016"/>
        <w:jc w:val="left"/>
      </w:pPr>
      <w:r>
        <w:rPr/>
        <w:t>公司聘请的报告期内履行持续督导职责的保荐机构</w:t>
      </w:r>
    </w:p>
    <w:p>
      <w:pPr>
        <w:spacing w:line="240" w:lineRule="auto" w:before="8"/>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464"/>
        <w:gridCol w:w="2465"/>
      </w:tblGrid>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6"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6"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6"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深圳市福田区福田街道福华</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一路</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沈韬、许阳</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2017.8.28-2018.12.31</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5"/>
        <w:ind w:right="1016"/>
        <w:jc w:val="left"/>
      </w:pPr>
      <w:r>
        <w:rPr/>
        <w:t>公司聘请的报告期内履行持续督导职责的财务顾问</w:t>
      </w:r>
    </w:p>
    <w:p>
      <w:pPr>
        <w:spacing w:line="240" w:lineRule="auto" w:before="7"/>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464"/>
        <w:gridCol w:w="2465"/>
      </w:tblGrid>
      <w:tr>
        <w:trPr>
          <w:trHeight w:val="406"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6"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6"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深圳市福田区福田街道福华</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一路</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沈韬、徐睿</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2017.2.28-2018.12.31</w:t>
            </w:r>
          </w:p>
        </w:tc>
      </w:tr>
    </w:tbl>
    <w:p>
      <w:pPr>
        <w:spacing w:line="240" w:lineRule="auto" w:before="7"/>
        <w:rPr>
          <w:rFonts w:ascii="宋体" w:hAnsi="宋体" w:cs="宋体" w:eastAsia="宋体" w:hint="default"/>
          <w:sz w:val="20"/>
          <w:szCs w:val="20"/>
        </w:rPr>
      </w:pPr>
    </w:p>
    <w:p>
      <w:pPr>
        <w:pStyle w:val="Heading2"/>
        <w:spacing w:line="397" w:lineRule="exact"/>
        <w:ind w:right="1016"/>
        <w:jc w:val="left"/>
      </w:pPr>
      <w:bookmarkStart w:name="五、主要会计数据和财务指标" w:id="8"/>
      <w:bookmarkEnd w:id="8"/>
      <w:r>
        <w:rPr/>
      </w:r>
      <w:r>
        <w:rPr/>
        <w:t>五、主要会计数据和财务指标</w:t>
      </w:r>
    </w:p>
    <w:p>
      <w:pPr>
        <w:spacing w:line="240" w:lineRule="auto" w:before="13"/>
        <w:rPr>
          <w:rFonts w:ascii="微软雅黑" w:hAnsi="微软雅黑" w:cs="微软雅黑" w:eastAsia="微软雅黑" w:hint="default"/>
          <w:sz w:val="24"/>
          <w:szCs w:val="24"/>
        </w:rPr>
      </w:pPr>
    </w:p>
    <w:p>
      <w:pPr>
        <w:pStyle w:val="BodyText"/>
        <w:spacing w:line="240" w:lineRule="auto"/>
        <w:ind w:right="1016"/>
        <w:jc w:val="left"/>
      </w:pPr>
      <w:r>
        <w:rPr/>
        <w:t>公司无需追溯调整或重述以前年度会计数据</w:t>
      </w:r>
    </w:p>
    <w:p>
      <w:pPr>
        <w:spacing w:line="240" w:lineRule="auto" w:before="7"/>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698"/>
        <w:gridCol w:w="1791"/>
        <w:gridCol w:w="1789"/>
        <w:gridCol w:w="1950"/>
        <w:gridCol w:w="1627"/>
      </w:tblGrid>
      <w:tr>
        <w:trPr>
          <w:trHeight w:val="406"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8"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1,464,583,745.46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1,162,327,240.88</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26.00%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847,902,181.67</w:t>
            </w:r>
          </w:p>
        </w:tc>
      </w:tr>
      <w:tr>
        <w:trPr>
          <w:trHeight w:val="476"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164,304,280.80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78,044,301.23</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2"/>
                <w:sz w:val="18"/>
              </w:rPr>
              <w:t>110.53%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120,282,199.78</w:t>
            </w:r>
          </w:p>
        </w:tc>
      </w:tr>
      <w:tr>
        <w:trPr>
          <w:trHeight w:val="476"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经常性损益的净利润（元）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pacing w:val="-1"/>
                <w:sz w:val="18"/>
              </w:rPr>
              <w:t>103,176,981.11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68,141,764.37</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51.42%</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106,870,133.02</w:t>
            </w:r>
          </w:p>
        </w:tc>
      </w:tr>
      <w:tr>
        <w:trPr>
          <w:trHeight w:val="478"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253,327,252.84</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188,661,093.20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34.28%</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73,962,922.19</w:t>
            </w:r>
          </w:p>
        </w:tc>
      </w:tr>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0.4141</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0.1970</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2"/>
                <w:sz w:val="18"/>
              </w:rPr>
              <w:t>110.20%</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0.3039</w:t>
            </w:r>
          </w:p>
        </w:tc>
      </w:tr>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0.4070</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0.1935</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2"/>
                <w:sz w:val="18"/>
              </w:rPr>
              <w:t>110.34%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0.2999</w:t>
            </w:r>
          </w:p>
        </w:tc>
      </w:tr>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11.96%</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6.55%</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5.41%</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11.61%</w:t>
            </w:r>
          </w:p>
        </w:tc>
      </w:tr>
      <w:tr>
        <w:trPr>
          <w:trHeight w:val="406"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9"/>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8"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2,603,673,629.69</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2,657,630,556.76</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-2.03%</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1,906,496,377.57</w:t>
            </w:r>
          </w:p>
        </w:tc>
      </w:tr>
      <w:tr>
        <w:trPr>
          <w:trHeight w:val="476"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1,493,702,703.87</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1,252,677,854.45</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19.24%</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1,102,961,949.61</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9"/>
        <w:rPr>
          <w:rFonts w:ascii="宋体" w:hAnsi="宋体" w:cs="宋体" w:eastAsia="宋体" w:hint="default"/>
          <w:sz w:val="26"/>
          <w:szCs w:val="26"/>
        </w:rPr>
      </w:pPr>
    </w:p>
    <w:p>
      <w:pPr>
        <w:pStyle w:val="Heading2"/>
        <w:spacing w:line="397" w:lineRule="exact"/>
        <w:ind w:right="1016"/>
        <w:jc w:val="left"/>
      </w:pPr>
      <w:bookmarkStart w:name="六、分季度主要财务指标" w:id="9"/>
      <w:bookmarkEnd w:id="9"/>
      <w:r>
        <w:rPr/>
      </w:r>
      <w:r>
        <w:rPr/>
        <w:t>六、分季度主要财务指标</w:t>
      </w:r>
    </w:p>
    <w:p>
      <w:pPr>
        <w:spacing w:line="240" w:lineRule="auto" w:before="11"/>
        <w:rPr>
          <w:rFonts w:ascii="微软雅黑" w:hAnsi="微软雅黑" w:cs="微软雅黑" w:eastAsia="微软雅黑" w:hint="default"/>
          <w:sz w:val="19"/>
          <w:szCs w:val="1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698"/>
        <w:gridCol w:w="1793"/>
        <w:gridCol w:w="1790"/>
        <w:gridCol w:w="1792"/>
        <w:gridCol w:w="1782"/>
      </w:tblGrid>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281,055,583.71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297,076,958.16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321,178,584.72</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565,272,618.87</w:t>
            </w:r>
          </w:p>
        </w:tc>
      </w:tr>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37,967,566.90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23,094,752.66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41,953,160.67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61,288,800.57</w:t>
            </w:r>
          </w:p>
        </w:tc>
      </w:tr>
      <w:tr>
        <w:trPr>
          <w:trHeight w:val="478"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经常性损益的净利润</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pacing w:val="-1"/>
                <w:sz w:val="18"/>
              </w:rPr>
              <w:t>31,749,965.27</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23,340,313.87</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29,081,047.27</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19,005,654.70</w:t>
            </w:r>
          </w:p>
        </w:tc>
      </w:tr>
      <w:tr>
        <w:trPr>
          <w:trHeight w:val="407" w:hRule="exact"/>
        </w:trPr>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36,658,275.23</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39,791,291.12</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-9,414,428.03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186,292,114.52</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上述财务指标或其加总数与公司已披露季度报告、半年度报告相关财务指标不存在重大差异</w:t>
      </w:r>
    </w:p>
    <w:p>
      <w:pPr>
        <w:spacing w:line="240" w:lineRule="auto" w:before="9"/>
        <w:rPr>
          <w:rFonts w:ascii="宋体" w:hAnsi="宋体" w:cs="宋体" w:eastAsia="宋体" w:hint="default"/>
          <w:sz w:val="21"/>
          <w:szCs w:val="21"/>
        </w:rPr>
      </w:pPr>
    </w:p>
    <w:p>
      <w:pPr>
        <w:pStyle w:val="Heading2"/>
        <w:spacing w:line="240" w:lineRule="auto"/>
        <w:ind w:right="1016"/>
        <w:jc w:val="left"/>
      </w:pPr>
      <w:bookmarkStart w:name="七、境内外会计准则下会计数据差异" w:id="10"/>
      <w:bookmarkEnd w:id="10"/>
      <w:r>
        <w:rPr/>
      </w:r>
      <w:r>
        <w:rPr/>
        <w:t>七、境内外会计准则下会计数据差异</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同时按照国际会计准则与按照中国会计准则披露的财务报告中净利润和净资产差异情况" w:id="11"/>
      <w:bookmarkEnd w:id="11"/>
      <w:r>
        <w:rPr/>
      </w:r>
      <w:r>
        <w:rPr>
          <w:rFonts w:ascii="Times New Roman" w:hAnsi="Times New Roman" w:cs="Times New Roman" w:eastAsia="Times New Roman" w:hint="default"/>
        </w:rPr>
        <w:t>1</w:t>
      </w:r>
      <w:r>
        <w:rPr>
          <w:rFonts w:ascii="微软雅黑" w:hAnsi="微软雅黑" w:cs="微软雅黑" w:eastAsia="微软雅黑" w:hint="default"/>
        </w:rPr>
        <w:t>、同时按照国际会计准则与按照中国会计准则披露的财务报告中净利润和净资产差异情况</w:t>
      </w:r>
    </w:p>
    <w:p>
      <w:pPr>
        <w:spacing w:line="240" w:lineRule="auto" w:before="8"/>
        <w:rPr>
          <w:rFonts w:ascii="微软雅黑" w:hAnsi="微软雅黑" w:cs="微软雅黑" w:eastAsia="微软雅黑" w:hint="default"/>
          <w:sz w:val="20"/>
          <w:szCs w:val="20"/>
        </w:rPr>
      </w:pPr>
    </w:p>
    <w:p>
      <w:pPr>
        <w:pStyle w:val="BodyText"/>
        <w:spacing w:line="297" w:lineRule="auto"/>
        <w:ind w:left="214" w:right="1016" w:firstLine="420"/>
        <w:jc w:val="left"/>
      </w:pPr>
      <w:r>
        <w:rPr>
          <w:spacing w:val="3"/>
        </w:rPr>
        <w:t>公司报告期不存在按照国际会计准则与按照中国会计准则披露的财务报告中净利润和净资产差异情</w:t>
      </w:r>
      <w:r>
        <w:rPr/>
        <w:t> 况。</w:t>
      </w:r>
    </w:p>
    <w:p>
      <w:pPr>
        <w:pStyle w:val="BodyText"/>
        <w:spacing w:line="240" w:lineRule="auto" w:before="176"/>
        <w:ind w:right="1016"/>
        <w:jc w:val="left"/>
        <w:rPr>
          <w:rFonts w:ascii="微软雅黑" w:hAnsi="微软雅黑" w:cs="微软雅黑" w:eastAsia="微软雅黑" w:hint="default"/>
        </w:rPr>
      </w:pPr>
      <w:bookmarkStart w:name="2、同时按照境外会计准则与按照中国会计准则披露的财务报告中净利润和净资产差异情况" w:id="12"/>
      <w:bookmarkEnd w:id="12"/>
      <w:r>
        <w:rPr/>
      </w:r>
      <w:r>
        <w:rPr>
          <w:rFonts w:ascii="Times New Roman" w:hAnsi="Times New Roman" w:cs="Times New Roman" w:eastAsia="Times New Roman" w:hint="default"/>
        </w:rPr>
        <w:t>2</w:t>
      </w:r>
      <w:r>
        <w:rPr>
          <w:rFonts w:ascii="微软雅黑" w:hAnsi="微软雅黑" w:cs="微软雅黑" w:eastAsia="微软雅黑" w:hint="default"/>
        </w:rPr>
        <w:t>、同时按照境外会计准则与按照中国会计准则披露的财务报告中净利润和净资产差异情况</w:t>
      </w:r>
    </w:p>
    <w:p>
      <w:pPr>
        <w:spacing w:line="240" w:lineRule="auto" w:before="8"/>
        <w:rPr>
          <w:rFonts w:ascii="微软雅黑" w:hAnsi="微软雅黑" w:cs="微软雅黑" w:eastAsia="微软雅黑" w:hint="default"/>
          <w:sz w:val="20"/>
          <w:szCs w:val="20"/>
        </w:rPr>
      </w:pPr>
    </w:p>
    <w:p>
      <w:pPr>
        <w:pStyle w:val="BodyText"/>
        <w:spacing w:line="297" w:lineRule="auto"/>
        <w:ind w:left="214" w:right="1016" w:firstLine="420"/>
        <w:jc w:val="left"/>
      </w:pPr>
      <w:r>
        <w:rPr>
          <w:spacing w:val="3"/>
        </w:rPr>
        <w:t>公司报告期不存在按照境外会计准则与按照中国会计准则披露的财务报告中净利润和净资产差异情</w:t>
      </w:r>
      <w:r>
        <w:rPr/>
        <w:t> 况。</w:t>
      </w:r>
    </w:p>
    <w:p>
      <w:pPr>
        <w:spacing w:line="240" w:lineRule="auto" w:before="11"/>
        <w:rPr>
          <w:rFonts w:ascii="宋体" w:hAnsi="宋体" w:cs="宋体" w:eastAsia="宋体" w:hint="default"/>
          <w:sz w:val="17"/>
          <w:szCs w:val="17"/>
        </w:rPr>
      </w:pPr>
    </w:p>
    <w:p>
      <w:pPr>
        <w:pStyle w:val="Heading2"/>
        <w:spacing w:line="240" w:lineRule="auto"/>
        <w:ind w:right="1016"/>
        <w:jc w:val="left"/>
      </w:pPr>
      <w:bookmarkStart w:name="八、非经常性损益项目及金额" w:id="13"/>
      <w:bookmarkEnd w:id="13"/>
      <w:r>
        <w:rPr/>
      </w:r>
      <w:r>
        <w:rPr/>
        <w:t>八、非经常性损益项目及金额</w:t>
      </w:r>
    </w:p>
    <w:p>
      <w:pPr>
        <w:spacing w:line="240" w:lineRule="auto" w:before="4"/>
        <w:rPr>
          <w:rFonts w:ascii="微软雅黑" w:hAnsi="微软雅黑" w:cs="微软雅黑" w:eastAsia="微软雅黑" w:hint="default"/>
          <w:sz w:val="22"/>
          <w:szCs w:val="22"/>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396"/>
        <w:gridCol w:w="1565"/>
        <w:gridCol w:w="1565"/>
        <w:gridCol w:w="1568"/>
        <w:gridCol w:w="1762"/>
      </w:tblGrid>
      <w:tr>
        <w:trPr>
          <w:trHeight w:val="407"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76"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值准备的冲销部分）</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79,608.48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-200,986.37</w:t>
            </w:r>
            <w:r>
              <w:rPr>
                <w:rFonts w:ascii="Times New Roman"/>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4,451,295.71</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4"/>
                <w:sz w:val="18"/>
                <w:szCs w:val="18"/>
              </w:rPr>
              <w:t>切相关，按照国家统一标准定额或定量享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受的政府补助除外）</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69,934,870.11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14,928,741.27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9,819,694.11</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金占用费</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115,166.28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43,238.98</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企业重组费用，如安置职工的支出、整合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费用等</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-1,573,420.61</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-5,819,558.37</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-7,804,453.90</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pacing w:val="-4"/>
                <w:sz w:val="18"/>
                <w:szCs w:val="18"/>
              </w:rPr>
              <w:t>保值业务外，持有交易性金融资产、交易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性金融负债产生的公允价值变动损益，以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及处置交易性金融资产、交易性金融负债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和可供出售金融资产取得的投资收益</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-13,928,616.26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773,664.85</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-291,951.91</w:t>
            </w:r>
            <w:r>
              <w:rPr>
                <w:rFonts w:ascii="Times New Roman"/>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128,037.48</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-737,838.42</w:t>
            </w:r>
            <w:r>
              <w:rPr>
                <w:rFonts w:ascii="Times New Roman"/>
                <w:sz w:val="18"/>
              </w:rPr>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损益的金融资产、金融负债和可供出售金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-886,589.19</w:t>
            </w:r>
            <w:r>
              <w:rPr>
                <w:rFonts w:ascii="Times New Roman"/>
                <w:sz w:val="18"/>
              </w:rPr>
            </w: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100" w:bottom="120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396"/>
        <w:gridCol w:w="1565"/>
        <w:gridCol w:w="1565"/>
        <w:gridCol w:w="1568"/>
        <w:gridCol w:w="1762"/>
      </w:tblGrid>
      <w:tr>
        <w:trPr>
          <w:trHeight w:val="407"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7"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融资产取得的投资收益</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或有对价公允价值变动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-512,232.42</w:t>
            </w:r>
            <w:r>
              <w:rPr>
                <w:rFonts w:ascii="Times New Roman"/>
                <w:sz w:val="18"/>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17,918,900.00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-1,261,200.00</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无形资产评估对外投资</w:t>
            </w:r>
          </w:p>
        </w:tc>
        <w:tc>
          <w:tcPr>
            <w:tcW w:w="1565"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10,200,000.00</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5,335,800.63</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2,775,809.23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2,072,334.57</w:t>
            </w: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287,184.14</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463,337.94</w:t>
            </w:r>
          </w:p>
        </w:tc>
        <w:tc>
          <w:tcPr>
            <w:tcW w:w="156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61,127,299.69</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9,902,536.86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13,412,066.76</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7"/>
          <w:szCs w:val="7"/>
        </w:rPr>
      </w:pPr>
    </w:p>
    <w:p>
      <w:pPr>
        <w:pStyle w:val="BodyText"/>
        <w:spacing w:line="297" w:lineRule="auto" w:before="35"/>
        <w:ind w:left="214" w:right="1016" w:firstLine="421"/>
        <w:jc w:val="left"/>
      </w:pPr>
      <w:r>
        <w:rPr>
          <w:spacing w:val="-3"/>
        </w:rPr>
        <w:t>公司报告期不存在将根据《公开发行证券的公司信息披露解释性公告第 </w:t>
      </w:r>
      <w:r>
        <w:rPr>
          <w:rFonts w:ascii="宋体" w:hAnsi="宋体" w:cs="宋体" w:eastAsia="宋体" w:hint="default"/>
        </w:rPr>
        <w:t>1</w:t>
      </w:r>
      <w:r>
        <w:rPr>
          <w:rFonts w:ascii="宋体" w:hAnsi="宋体" w:cs="宋体" w:eastAsia="宋体" w:hint="default"/>
          <w:spacing w:val="-66"/>
        </w:rPr>
        <w:t> </w:t>
      </w:r>
      <w:r>
        <w:rPr>
          <w:spacing w:val="-6"/>
        </w:rPr>
        <w:t>号——非经常性损益》定义、</w:t>
      </w:r>
      <w:r>
        <w:rPr/>
        <w:t> 列举的非经常性损益项目界定为经常性损益的项目的情形。</w:t>
      </w:r>
    </w:p>
    <w:p>
      <w:pPr>
        <w:spacing w:after="0" w:line="297" w:lineRule="auto"/>
        <w:jc w:val="left"/>
        <w:sectPr>
          <w:pgSz w:w="11910" w:h="16840"/>
          <w:pgMar w:header="801" w:footer="1007" w:top="1100" w:bottom="120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441" w:lineRule="exact"/>
        <w:ind w:left="3453" w:right="1116"/>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64"/>
        </w:rPr>
        <w:t> </w:t>
      </w:r>
      <w:r>
        <w:rPr/>
        <w:t>公司业务概要</w:t>
      </w:r>
      <w:r>
        <w:rPr>
          <w:b w:val="0"/>
          <w:bCs w:val="0"/>
        </w:rPr>
      </w:r>
    </w:p>
    <w:p>
      <w:pPr>
        <w:spacing w:line="240" w:lineRule="auto" w:before="2"/>
        <w:rPr>
          <w:rFonts w:ascii="微软雅黑" w:hAnsi="微软雅黑" w:cs="微软雅黑" w:eastAsia="微软雅黑" w:hint="default"/>
          <w:b/>
          <w:bCs/>
          <w:sz w:val="44"/>
          <w:szCs w:val="44"/>
        </w:rPr>
      </w:pPr>
    </w:p>
    <w:p>
      <w:pPr>
        <w:pStyle w:val="Heading2"/>
        <w:spacing w:line="240" w:lineRule="auto"/>
        <w:ind w:left="154" w:right="1116"/>
        <w:jc w:val="left"/>
      </w:pPr>
      <w:bookmarkStart w:name="一、报告期内公司从事的主要业务" w:id="16"/>
      <w:bookmarkEnd w:id="16"/>
      <w:r>
        <w:rPr/>
      </w:r>
      <w:r>
        <w:rPr/>
        <w:t>一、报告期内公司从事的主要业务</w:t>
      </w:r>
    </w:p>
    <w:p>
      <w:pPr>
        <w:spacing w:line="240" w:lineRule="auto" w:before="13"/>
        <w:rPr>
          <w:rFonts w:ascii="微软雅黑" w:hAnsi="微软雅黑" w:cs="微软雅黑" w:eastAsia="微软雅黑" w:hint="default"/>
          <w:sz w:val="24"/>
          <w:szCs w:val="24"/>
        </w:rPr>
      </w:pPr>
    </w:p>
    <w:p>
      <w:pPr>
        <w:pStyle w:val="BodyText"/>
        <w:spacing w:line="240" w:lineRule="auto"/>
        <w:ind w:left="574" w:right="1116"/>
        <w:jc w:val="left"/>
      </w:pPr>
      <w:r>
        <w:rPr/>
        <w:t>公司是否需要遵守特殊行业的披露要求</w:t>
      </w:r>
    </w:p>
    <w:p>
      <w:pPr>
        <w:spacing w:line="240" w:lineRule="auto" w:before="10"/>
        <w:rPr>
          <w:rFonts w:ascii="宋体" w:hAnsi="宋体" w:cs="宋体" w:eastAsia="宋体" w:hint="default"/>
          <w:sz w:val="17"/>
          <w:szCs w:val="17"/>
        </w:rPr>
      </w:pPr>
    </w:p>
    <w:p>
      <w:pPr>
        <w:pStyle w:val="BodyText"/>
        <w:spacing w:line="297" w:lineRule="auto"/>
        <w:ind w:left="154" w:right="1010" w:firstLine="420"/>
        <w:jc w:val="left"/>
      </w:pPr>
      <w:r>
        <w:rPr/>
        <w:t>公司需遵守《深圳证券交易所行业信息披露指引第</w:t>
      </w:r>
      <w:r>
        <w:rPr>
          <w:spacing w:val="-64"/>
        </w:rPr>
        <w:t> </w:t>
      </w:r>
      <w:r>
        <w:rPr>
          <w:rFonts w:ascii="宋体" w:hAnsi="宋体" w:cs="宋体" w:eastAsia="宋体" w:hint="default"/>
        </w:rPr>
        <w:t>12</w:t>
      </w:r>
      <w:r>
        <w:rPr>
          <w:rFonts w:ascii="宋体" w:hAnsi="宋体" w:cs="宋体" w:eastAsia="宋体" w:hint="default"/>
          <w:spacing w:val="-64"/>
        </w:rPr>
        <w:t> </w:t>
      </w:r>
      <w:r>
        <w:rPr/>
        <w:t>号——上市公司从事软件与信息技术服务业务》 的披露要求</w:t>
      </w:r>
    </w:p>
    <w:p>
      <w:pPr>
        <w:pStyle w:val="BodyText"/>
        <w:spacing w:line="508" w:lineRule="exact" w:before="22"/>
        <w:ind w:left="574" w:right="1116"/>
        <w:jc w:val="left"/>
      </w:pPr>
      <w:r>
        <w:rPr/>
        <w:t>（一）报告期内公司从事的主要业务 </w:t>
      </w:r>
      <w:r>
        <w:rPr>
          <w:spacing w:val="-1"/>
        </w:rPr>
        <w:t>公司是全球领先的智能操作系统产品和技术提供商。公司以智能操作系统技术为核心，聚焦人工智能</w:t>
      </w:r>
    </w:p>
    <w:p>
      <w:pPr>
        <w:pStyle w:val="BodyText"/>
        <w:spacing w:line="297" w:lineRule="auto"/>
        <w:ind w:left="154" w:right="1116"/>
        <w:jc w:val="left"/>
      </w:pPr>
      <w:r>
        <w:rPr>
          <w:spacing w:val="-1"/>
        </w:rPr>
        <w:t>关键技术，助力并加速智能系统、智能物联网、智能网联汽车等领域的产品化与技术创新，为智能产业赋</w:t>
      </w:r>
      <w:r>
        <w:rPr>
          <w:spacing w:val="-86"/>
        </w:rPr>
        <w:t> </w:t>
      </w:r>
      <w:r>
        <w:rPr>
          <w:spacing w:val="-86"/>
        </w:rPr>
      </w:r>
      <w:r>
        <w:rPr/>
        <w:t>能。</w:t>
      </w:r>
    </w:p>
    <w:p>
      <w:pPr>
        <w:spacing w:line="240" w:lineRule="auto" w:before="12"/>
        <w:rPr>
          <w:rFonts w:ascii="宋体" w:hAnsi="宋体" w:cs="宋体" w:eastAsia="宋体" w:hint="default"/>
          <w:sz w:val="13"/>
          <w:szCs w:val="13"/>
        </w:rPr>
      </w:pPr>
    </w:p>
    <w:p>
      <w:pPr>
        <w:pStyle w:val="BodyText"/>
        <w:spacing w:line="297" w:lineRule="auto"/>
        <w:ind w:left="154" w:right="1130" w:firstLine="420"/>
        <w:jc w:val="both"/>
      </w:pPr>
      <w:r>
        <w:rPr>
          <w:spacing w:val="-1"/>
        </w:rPr>
        <w:t>公司以“创造丰富多彩的智能世界”为使命，坚持“让我们的智能技术应用于每一台设备”的企业愿</w:t>
      </w:r>
      <w:r>
        <w:rPr/>
        <w:t> 景，集中资源对</w:t>
      </w:r>
      <w:r>
        <w:rPr>
          <w:spacing w:val="-59"/>
        </w:rPr>
        <w:t> </w:t>
      </w:r>
      <w:r>
        <w:rPr>
          <w:rFonts w:ascii="宋体" w:hAnsi="宋体" w:cs="宋体" w:eastAsia="宋体" w:hint="default"/>
        </w:rPr>
        <w:t>Linux</w:t>
      </w:r>
      <w:r>
        <w:rPr/>
        <w:t>、</w:t>
      </w:r>
      <w:r>
        <w:rPr>
          <w:rFonts w:ascii="宋体" w:hAnsi="宋体" w:cs="宋体" w:eastAsia="宋体" w:hint="default"/>
        </w:rPr>
        <w:t>Android</w:t>
      </w:r>
      <w:r>
        <w:rPr>
          <w:rFonts w:ascii="宋体" w:hAnsi="宋体" w:cs="宋体" w:eastAsia="宋体" w:hint="default"/>
          <w:spacing w:val="-59"/>
        </w:rPr>
        <w:t> </w:t>
      </w:r>
      <w:r>
        <w:rPr/>
        <w:t>和</w:t>
      </w:r>
      <w:r>
        <w:rPr>
          <w:spacing w:val="-60"/>
        </w:rPr>
        <w:t> </w:t>
      </w:r>
      <w:r>
        <w:rPr>
          <w:rFonts w:ascii="宋体" w:hAnsi="宋体" w:cs="宋体" w:eastAsia="宋体" w:hint="default"/>
        </w:rPr>
        <w:t>RTOS</w:t>
      </w:r>
      <w:r>
        <w:rPr>
          <w:rFonts w:ascii="宋体" w:hAnsi="宋体" w:cs="宋体" w:eastAsia="宋体" w:hint="default"/>
          <w:spacing w:val="-59"/>
        </w:rPr>
        <w:t> </w:t>
      </w:r>
      <w:r>
        <w:rPr/>
        <w:t>等智能操作系统技术，智能视觉、智能语音等人工智能技术，人 机交互和安全等前沿技术进行持续开发投入，积累了丰富的研发经验和众多自有知识产权。</w:t>
      </w:r>
    </w:p>
    <w:p>
      <w:pPr>
        <w:spacing w:line="240" w:lineRule="auto" w:before="13"/>
        <w:rPr>
          <w:rFonts w:ascii="宋体" w:hAnsi="宋体" w:cs="宋体" w:eastAsia="宋体" w:hint="default"/>
          <w:sz w:val="13"/>
          <w:szCs w:val="13"/>
        </w:rPr>
      </w:pPr>
    </w:p>
    <w:p>
      <w:pPr>
        <w:pStyle w:val="BodyText"/>
        <w:spacing w:line="297" w:lineRule="auto"/>
        <w:ind w:left="154" w:right="1133" w:firstLine="420"/>
        <w:jc w:val="both"/>
      </w:pPr>
      <w:r>
        <w:rPr/>
        <w:t>公司坚持“技术</w:t>
      </w:r>
      <w:r>
        <w:rPr>
          <w:rFonts w:ascii="宋体" w:hAnsi="宋体" w:cs="宋体" w:eastAsia="宋体" w:hint="default"/>
        </w:rPr>
        <w:t>+</w:t>
      </w:r>
      <w:r>
        <w:rPr/>
        <w:t>生态”的平台发展战略：“技术”即在智能操作系统和人工智能相关技术领域持续 </w:t>
      </w:r>
      <w:r>
        <w:rPr>
          <w:spacing w:val="-1"/>
        </w:rPr>
        <w:t>研发投入并实现规模效应；“生态”即通过与产业链中领先的芯片、终端、运营商、软件与互联网以及元</w:t>
      </w:r>
      <w:r>
        <w:rPr>
          <w:spacing w:val="-85"/>
        </w:rPr>
        <w:t> </w:t>
      </w:r>
      <w:r>
        <w:rPr>
          <w:spacing w:val="-85"/>
        </w:rPr>
      </w:r>
      <w:r>
        <w:rPr/>
        <w:t>器件厂商开展紧密合作，垂直整合。坚持以客户为中心，推动智能操作系统技术发展。</w:t>
      </w:r>
    </w:p>
    <w:p>
      <w:pPr>
        <w:spacing w:line="240" w:lineRule="auto" w:before="8"/>
        <w:rPr>
          <w:rFonts w:ascii="宋体" w:hAnsi="宋体" w:cs="宋体" w:eastAsia="宋体" w:hint="default"/>
          <w:sz w:val="16"/>
          <w:szCs w:val="16"/>
        </w:rPr>
      </w:pPr>
    </w:p>
    <w:p>
      <w:pPr>
        <w:spacing w:line="4639" w:lineRule="exact"/>
        <w:ind w:left="154"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6169819" cy="2946273"/>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2" cstate="print"/>
                    <a:stretch>
                      <a:fillRect/>
                    </a:stretch>
                  </pic:blipFill>
                  <pic:spPr>
                    <a:xfrm>
                      <a:off x="0" y="0"/>
                      <a:ext cx="6169819" cy="2946273"/>
                    </a:xfrm>
                    <a:prstGeom prst="rect">
                      <a:avLst/>
                    </a:prstGeom>
                  </pic:spPr>
                </pic:pic>
              </a:graphicData>
            </a:graphic>
          </wp:inline>
        </w:drawing>
      </w:r>
      <w:r>
        <w:rPr>
          <w:rFonts w:ascii="宋体" w:hAnsi="宋体" w:cs="宋体" w:eastAsia="宋体" w:hint="default"/>
          <w:position w:val="-92"/>
          <w:sz w:val="20"/>
          <w:szCs w:val="20"/>
        </w:rPr>
      </w:r>
    </w:p>
    <w:p>
      <w:pPr>
        <w:pStyle w:val="BodyText"/>
        <w:spacing w:line="297" w:lineRule="auto" w:before="96"/>
        <w:ind w:left="154" w:right="1132" w:firstLine="420"/>
        <w:jc w:val="both"/>
      </w:pPr>
      <w:r>
        <w:rPr/>
        <w:t>报告期内公司实现营业收入</w:t>
      </w:r>
      <w:r>
        <w:rPr>
          <w:spacing w:val="-48"/>
        </w:rPr>
        <w:t> </w:t>
      </w:r>
      <w:r>
        <w:rPr>
          <w:rFonts w:ascii="宋体" w:hAnsi="宋体" w:cs="宋体" w:eastAsia="宋体" w:hint="default"/>
        </w:rPr>
        <w:t>146,458.37</w:t>
      </w:r>
      <w:r>
        <w:rPr>
          <w:rFonts w:ascii="宋体" w:hAnsi="宋体" w:cs="宋体" w:eastAsia="宋体" w:hint="default"/>
          <w:spacing w:val="-48"/>
        </w:rPr>
        <w:t> </w:t>
      </w:r>
      <w:r>
        <w:rPr>
          <w:spacing w:val="-4"/>
        </w:rPr>
        <w:t>万元，较上年同期增长</w:t>
      </w:r>
      <w:r>
        <w:rPr>
          <w:spacing w:val="-49"/>
        </w:rPr>
        <w:t> </w:t>
      </w:r>
      <w:r>
        <w:rPr>
          <w:rFonts w:ascii="宋体" w:hAnsi="宋体" w:cs="宋体" w:eastAsia="宋体" w:hint="default"/>
          <w:spacing w:val="-3"/>
        </w:rPr>
        <w:t>26%</w:t>
      </w:r>
      <w:r>
        <w:rPr>
          <w:spacing w:val="-3"/>
        </w:rPr>
        <w:t>，实现归属于上市公司股东的净利</w:t>
      </w:r>
      <w:r>
        <w:rPr/>
        <w:t> 润</w:t>
      </w:r>
      <w:r>
        <w:rPr>
          <w:spacing w:val="-54"/>
        </w:rPr>
        <w:t> </w:t>
      </w:r>
      <w:r>
        <w:rPr>
          <w:rFonts w:ascii="宋体" w:hAnsi="宋体" w:cs="宋体" w:eastAsia="宋体" w:hint="default"/>
        </w:rPr>
        <w:t>16,430.43</w:t>
      </w:r>
      <w:r>
        <w:rPr>
          <w:rFonts w:ascii="宋体" w:hAnsi="宋体" w:cs="宋体" w:eastAsia="宋体" w:hint="default"/>
          <w:spacing w:val="-53"/>
        </w:rPr>
        <w:t> </w:t>
      </w:r>
      <w:r>
        <w:rPr/>
        <w:t>万元，较上年同期增长</w:t>
      </w:r>
      <w:r>
        <w:rPr>
          <w:spacing w:val="-54"/>
        </w:rPr>
        <w:t> </w:t>
      </w:r>
      <w:r>
        <w:rPr>
          <w:rFonts w:ascii="宋体" w:hAnsi="宋体" w:cs="宋体" w:eastAsia="宋体" w:hint="default"/>
        </w:rPr>
        <w:t>110.53%</w:t>
      </w:r>
      <w:r>
        <w:rPr/>
        <w:t>。</w:t>
      </w:r>
    </w:p>
    <w:p>
      <w:pPr>
        <w:spacing w:line="240" w:lineRule="auto" w:before="0"/>
        <w:rPr>
          <w:rFonts w:ascii="宋体" w:hAnsi="宋体" w:cs="宋体" w:eastAsia="宋体" w:hint="default"/>
          <w:sz w:val="14"/>
          <w:szCs w:val="14"/>
        </w:rPr>
      </w:pPr>
    </w:p>
    <w:p>
      <w:pPr>
        <w:pStyle w:val="BodyText"/>
        <w:spacing w:line="240" w:lineRule="auto"/>
        <w:ind w:left="574" w:right="1116"/>
        <w:jc w:val="left"/>
      </w:pPr>
      <w:r>
        <w:rPr>
          <w:rFonts w:ascii="宋体" w:hAnsi="宋体" w:cs="宋体" w:eastAsia="宋体" w:hint="default"/>
        </w:rPr>
        <w:t>1.</w:t>
      </w:r>
      <w:r>
        <w:rPr/>
        <w:t>业务模式。</w:t>
      </w:r>
    </w:p>
    <w:p>
      <w:pPr>
        <w:spacing w:after="0" w:line="240" w:lineRule="auto"/>
        <w:jc w:val="left"/>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97" w:lineRule="auto" w:before="35"/>
        <w:ind w:left="654" w:right="1131" w:firstLine="420"/>
        <w:jc w:val="both"/>
      </w:pPr>
      <w:r>
        <w:rPr>
          <w:spacing w:val="-1"/>
        </w:rPr>
        <w:t>公司根据为客户提供的产品和服务类型的差异，主要分为软件开发、技术服务、软件许可和商品销售</w:t>
      </w:r>
      <w:r>
        <w:rPr/>
        <w:t> 四种业务模式。</w:t>
      </w:r>
    </w:p>
    <w:p>
      <w:pPr>
        <w:spacing w:line="240" w:lineRule="auto" w:before="12"/>
        <w:rPr>
          <w:rFonts w:ascii="宋体" w:hAnsi="宋体" w:cs="宋体" w:eastAsia="宋体" w:hint="default"/>
          <w:sz w:val="13"/>
          <w:szCs w:val="13"/>
        </w:rPr>
      </w:pPr>
    </w:p>
    <w:p>
      <w:pPr>
        <w:pStyle w:val="BodyText"/>
        <w:spacing w:line="297" w:lineRule="auto"/>
        <w:ind w:left="654" w:right="1141" w:firstLine="420"/>
        <w:jc w:val="both"/>
      </w:pPr>
      <w:r>
        <w:rPr/>
        <w:t>（</w:t>
      </w:r>
      <w:r>
        <w:rPr>
          <w:rFonts w:ascii="宋体" w:hAnsi="宋体" w:cs="宋体" w:eastAsia="宋体" w:hint="default"/>
        </w:rPr>
        <w:t>1</w:t>
      </w:r>
      <w:r>
        <w:rPr/>
        <w:t>）软件开发模式：根据客户的实际需求，进行专项软件设计与定制化开发，最终向客户交付开发 成果，收取开发费用的业务模式。</w:t>
      </w:r>
    </w:p>
    <w:p>
      <w:pPr>
        <w:spacing w:line="240" w:lineRule="auto" w:before="0"/>
        <w:rPr>
          <w:rFonts w:ascii="宋体" w:hAnsi="宋体" w:cs="宋体" w:eastAsia="宋体" w:hint="default"/>
          <w:sz w:val="14"/>
          <w:szCs w:val="14"/>
        </w:rPr>
      </w:pPr>
    </w:p>
    <w:p>
      <w:pPr>
        <w:pStyle w:val="BodyText"/>
        <w:spacing w:line="297" w:lineRule="auto"/>
        <w:ind w:left="654" w:right="1141" w:firstLine="420"/>
        <w:jc w:val="both"/>
      </w:pPr>
      <w:r>
        <w:rPr/>
        <w:t>（</w:t>
      </w:r>
      <w:r>
        <w:rPr>
          <w:rFonts w:ascii="宋体" w:hAnsi="宋体" w:cs="宋体" w:eastAsia="宋体" w:hint="default"/>
        </w:rPr>
        <w:t>2</w:t>
      </w:r>
      <w:r>
        <w:rPr/>
        <w:t>）技术服务模式：根据客户需求，提供相应的技术人员并开展技术支持、技术咨询、系统维护等 服务，收取服务费用的业务模式。</w:t>
      </w:r>
    </w:p>
    <w:p>
      <w:pPr>
        <w:spacing w:line="240" w:lineRule="auto" w:before="0"/>
        <w:rPr>
          <w:rFonts w:ascii="宋体" w:hAnsi="宋体" w:cs="宋体" w:eastAsia="宋体" w:hint="default"/>
          <w:sz w:val="14"/>
          <w:szCs w:val="14"/>
        </w:rPr>
      </w:pPr>
    </w:p>
    <w:p>
      <w:pPr>
        <w:pStyle w:val="BodyText"/>
        <w:spacing w:line="297" w:lineRule="auto"/>
        <w:ind w:left="654" w:right="1141" w:firstLine="420"/>
        <w:jc w:val="both"/>
      </w:pPr>
      <w:r>
        <w:rPr/>
        <w:t>（</w:t>
      </w:r>
      <w:r>
        <w:rPr>
          <w:rFonts w:ascii="宋体" w:hAnsi="宋体" w:cs="宋体" w:eastAsia="宋体" w:hint="default"/>
        </w:rPr>
        <w:t>3</w:t>
      </w:r>
      <w:r>
        <w:rPr/>
        <w:t>）软件许可模式：授权客户使用本公司自主拥有的软件产品等知识产权，按照授权期限或客户搭 载本公司软件的产品出货量收取相关授权费用的业务模式。</w:t>
      </w:r>
    </w:p>
    <w:p>
      <w:pPr>
        <w:spacing w:line="240" w:lineRule="auto" w:before="0"/>
        <w:rPr>
          <w:rFonts w:ascii="宋体" w:hAnsi="宋体" w:cs="宋体" w:eastAsia="宋体" w:hint="default"/>
          <w:sz w:val="14"/>
          <w:szCs w:val="14"/>
        </w:rPr>
      </w:pPr>
    </w:p>
    <w:p>
      <w:pPr>
        <w:pStyle w:val="BodyText"/>
        <w:spacing w:line="297" w:lineRule="auto"/>
        <w:ind w:left="654" w:right="1132" w:firstLine="420"/>
        <w:jc w:val="both"/>
      </w:pPr>
      <w:r>
        <w:rPr/>
        <w:t>（</w:t>
      </w:r>
      <w:r>
        <w:rPr>
          <w:rFonts w:ascii="宋体" w:hAnsi="宋体" w:cs="宋体" w:eastAsia="宋体" w:hint="default"/>
        </w:rPr>
        <w:t>4</w:t>
      </w:r>
      <w:r>
        <w:rPr/>
        <w:t>）商品销售模式：向产业链内各类厂商销售软硬件一体化产品，</w:t>
      </w:r>
      <w:r>
        <w:rPr>
          <w:rFonts w:ascii="宋体" w:hAnsi="宋体" w:cs="宋体" w:eastAsia="宋体" w:hint="default"/>
        </w:rPr>
        <w:t>PCBA</w:t>
      </w:r>
      <w:r>
        <w:rPr>
          <w:rFonts w:ascii="宋体" w:hAnsi="宋体" w:cs="宋体" w:eastAsia="宋体" w:hint="default"/>
          <w:spacing w:val="-24"/>
        </w:rPr>
        <w:t> </w:t>
      </w:r>
      <w:r>
        <w:rPr/>
        <w:t>和整机产品的设计服务、配 套软件产品的授权、软件定制工具的提供和软件开发服务等。</w:t>
      </w:r>
    </w:p>
    <w:p>
      <w:pPr>
        <w:spacing w:line="240" w:lineRule="auto" w:before="0"/>
        <w:rPr>
          <w:rFonts w:ascii="宋体" w:hAnsi="宋体" w:cs="宋体" w:eastAsia="宋体" w:hint="default"/>
          <w:sz w:val="14"/>
          <w:szCs w:val="14"/>
        </w:rPr>
      </w:pPr>
    </w:p>
    <w:p>
      <w:pPr>
        <w:pStyle w:val="BodyText"/>
        <w:spacing w:line="240" w:lineRule="auto"/>
        <w:ind w:left="1074" w:right="0"/>
        <w:jc w:val="left"/>
      </w:pPr>
      <w:r>
        <w:rPr>
          <w:rFonts w:ascii="宋体" w:hAnsi="宋体" w:cs="宋体" w:eastAsia="宋体" w:hint="default"/>
        </w:rPr>
        <w:t>2</w:t>
      </w:r>
      <w:r>
        <w:rPr/>
        <w:t>、业务领域。</w:t>
      </w:r>
    </w:p>
    <w:p>
      <w:pPr>
        <w:pStyle w:val="BodyText"/>
        <w:spacing w:line="500" w:lineRule="atLeast" w:before="9"/>
        <w:ind w:left="1074" w:right="0"/>
        <w:jc w:val="left"/>
      </w:pPr>
      <w:r>
        <w:rPr/>
        <w:t>（</w:t>
      </w:r>
      <w:r>
        <w:rPr>
          <w:rFonts w:ascii="宋体" w:hAnsi="宋体" w:cs="宋体" w:eastAsia="宋体" w:hint="default"/>
        </w:rPr>
        <w:t>1</w:t>
      </w:r>
      <w:r>
        <w:rPr/>
        <w:t>）智能系统软件业务 </w:t>
      </w:r>
      <w:r>
        <w:rPr>
          <w:spacing w:val="-1"/>
        </w:rPr>
        <w:t>公司围绕智能操作系统技术持续研发与创新，形成了从硬件驱动、操作系统内核、中间件到上层应用</w:t>
      </w:r>
    </w:p>
    <w:p>
      <w:pPr>
        <w:pStyle w:val="BodyText"/>
        <w:spacing w:line="297" w:lineRule="auto" w:before="66"/>
        <w:ind w:left="654" w:right="1109"/>
        <w:jc w:val="both"/>
      </w:pPr>
      <w:r>
        <w:rPr/>
        <w:t>的全面技术体系，积累了丰富的研发经验和众多自有知识产权。公司的核心技术涵盖</w:t>
      </w:r>
      <w:r>
        <w:rPr>
          <w:spacing w:val="-51"/>
        </w:rPr>
        <w:t> </w:t>
      </w:r>
      <w:r>
        <w:rPr>
          <w:rFonts w:ascii="宋体" w:hAnsi="宋体" w:cs="宋体" w:eastAsia="宋体" w:hint="default"/>
        </w:rPr>
        <w:t>4G/5G</w:t>
      </w:r>
      <w:r>
        <w:rPr>
          <w:rFonts w:ascii="宋体" w:hAnsi="宋体" w:cs="宋体" w:eastAsia="宋体" w:hint="default"/>
          <w:spacing w:val="-53"/>
        </w:rPr>
        <w:t> </w:t>
      </w:r>
      <w:r>
        <w:rPr/>
        <w:t>通信协议栈、 </w:t>
      </w:r>
      <w:r>
        <w:rPr>
          <w:spacing w:val="-1"/>
        </w:rPr>
        <w:t>深度学习、图形图像技术、系统优化、自动化测试和安全技术等多个方面。公司面向产业链中的芯片、终</w:t>
      </w:r>
      <w:r>
        <w:rPr>
          <w:spacing w:val="-83"/>
        </w:rPr>
        <w:t> </w:t>
      </w:r>
      <w:r>
        <w:rPr>
          <w:spacing w:val="-83"/>
        </w:rPr>
      </w:r>
      <w:r>
        <w:rPr>
          <w:spacing w:val="-1"/>
        </w:rPr>
        <w:t>端、运营商、软件与互联网厂商以及元器件厂商提供自主研发的知识产权授权及一站式解决方案。智能系</w:t>
      </w:r>
      <w:r>
        <w:rPr>
          <w:spacing w:val="-83"/>
        </w:rPr>
        <w:t> </w:t>
      </w:r>
      <w:r>
        <w:rPr>
          <w:spacing w:val="-83"/>
        </w:rPr>
      </w:r>
      <w:r>
        <w:rPr/>
        <w:t>统软件的业务模式包括软件开发、技术服务及软件许可。</w:t>
      </w:r>
    </w:p>
    <w:p>
      <w:pPr>
        <w:spacing w:line="240" w:lineRule="auto" w:before="7"/>
        <w:rPr>
          <w:rFonts w:ascii="宋体" w:hAnsi="宋体" w:cs="宋体" w:eastAsia="宋体" w:hint="default"/>
          <w:sz w:val="16"/>
          <w:szCs w:val="16"/>
        </w:rPr>
      </w:pPr>
    </w:p>
    <w:p>
      <w:pPr>
        <w:spacing w:line="4545" w:lineRule="exact"/>
        <w:ind w:left="114" w:right="0" w:firstLine="0"/>
        <w:rPr>
          <w:rFonts w:ascii="宋体" w:hAnsi="宋体" w:cs="宋体" w:eastAsia="宋体" w:hint="default"/>
          <w:sz w:val="20"/>
          <w:szCs w:val="20"/>
        </w:rPr>
      </w:pPr>
      <w:r>
        <w:rPr>
          <w:rFonts w:ascii="宋体" w:hAnsi="宋体" w:cs="宋体" w:eastAsia="宋体" w:hint="default"/>
          <w:position w:val="-90"/>
          <w:sz w:val="20"/>
          <w:szCs w:val="20"/>
        </w:rPr>
        <w:drawing>
          <wp:inline distT="0" distB="0" distL="0" distR="0">
            <wp:extent cx="6847603" cy="2886075"/>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3" cstate="print"/>
                    <a:stretch>
                      <a:fillRect/>
                    </a:stretch>
                  </pic:blipFill>
                  <pic:spPr>
                    <a:xfrm>
                      <a:off x="0" y="0"/>
                      <a:ext cx="6847603" cy="2886075"/>
                    </a:xfrm>
                    <a:prstGeom prst="rect">
                      <a:avLst/>
                    </a:prstGeom>
                  </pic:spPr>
                </pic:pic>
              </a:graphicData>
            </a:graphic>
          </wp:inline>
        </w:drawing>
      </w:r>
      <w:r>
        <w:rPr>
          <w:rFonts w:ascii="宋体" w:hAnsi="宋体" w:cs="宋体" w:eastAsia="宋体" w:hint="default"/>
          <w:position w:val="-90"/>
          <w:sz w:val="20"/>
          <w:szCs w:val="20"/>
        </w:rPr>
      </w:r>
    </w:p>
    <w:p>
      <w:pPr>
        <w:pStyle w:val="BodyText"/>
        <w:spacing w:line="240" w:lineRule="auto" w:before="134"/>
        <w:ind w:left="1074" w:right="0"/>
        <w:jc w:val="left"/>
      </w:pPr>
      <w:r>
        <w:rPr/>
        <w:t>（</w:t>
      </w:r>
      <w:r>
        <w:rPr>
          <w:rFonts w:ascii="宋体" w:hAnsi="宋体" w:cs="宋体" w:eastAsia="宋体" w:hint="default"/>
        </w:rPr>
        <w:t>2</w:t>
      </w:r>
      <w:r>
        <w:rPr/>
        <w:t>）智能物联网硬件业务</w:t>
      </w:r>
    </w:p>
    <w:p>
      <w:pPr>
        <w:spacing w:line="240" w:lineRule="auto" w:before="12"/>
        <w:rPr>
          <w:rFonts w:ascii="宋体" w:hAnsi="宋体" w:cs="宋体" w:eastAsia="宋体" w:hint="default"/>
          <w:sz w:val="17"/>
          <w:szCs w:val="17"/>
        </w:rPr>
      </w:pPr>
    </w:p>
    <w:p>
      <w:pPr>
        <w:pStyle w:val="BodyText"/>
        <w:spacing w:line="297" w:lineRule="auto"/>
        <w:ind w:left="654" w:right="1110" w:firstLine="420"/>
        <w:jc w:val="both"/>
      </w:pPr>
      <w:r>
        <w:rPr/>
        <w:t>公司面向智能物联网市场推出</w:t>
      </w:r>
      <w:r>
        <w:rPr>
          <w:spacing w:val="-53"/>
        </w:rPr>
        <w:t> </w:t>
      </w:r>
      <w:r>
        <w:rPr>
          <w:rFonts w:ascii="宋体" w:hAnsi="宋体" w:cs="宋体" w:eastAsia="宋体" w:hint="default"/>
        </w:rPr>
        <w:t>TurboX</w:t>
      </w:r>
      <w:r>
        <w:rPr>
          <w:rFonts w:ascii="宋体" w:hAnsi="宋体" w:cs="宋体" w:eastAsia="宋体" w:hint="default"/>
          <w:spacing w:val="-53"/>
        </w:rPr>
        <w:t> </w:t>
      </w:r>
      <w:r>
        <w:rPr/>
        <w:t>智能大脑平台产品以及</w:t>
      </w:r>
      <w:r>
        <w:rPr>
          <w:spacing w:val="-54"/>
        </w:rPr>
        <w:t> </w:t>
      </w:r>
      <w:r>
        <w:rPr>
          <w:rFonts w:ascii="宋体" w:hAnsi="宋体" w:cs="宋体" w:eastAsia="宋体" w:hint="default"/>
        </w:rPr>
        <w:t>TurboX</w:t>
      </w:r>
      <w:r>
        <w:rPr>
          <w:rFonts w:ascii="宋体" w:hAnsi="宋体" w:cs="宋体" w:eastAsia="宋体" w:hint="default"/>
          <w:spacing w:val="-1"/>
        </w:rPr>
        <w:t> </w:t>
      </w:r>
      <w:r>
        <w:rPr>
          <w:rFonts w:ascii="宋体" w:hAnsi="宋体" w:cs="宋体" w:eastAsia="宋体" w:hint="default"/>
        </w:rPr>
        <w:t>Cloud</w:t>
      </w:r>
      <w:r>
        <w:rPr>
          <w:rFonts w:ascii="宋体" w:hAnsi="宋体" w:cs="宋体" w:eastAsia="宋体" w:hint="default"/>
          <w:spacing w:val="-54"/>
        </w:rPr>
        <w:t> </w:t>
      </w:r>
      <w:r>
        <w:rPr/>
        <w:t>智能物联网云平台产品， </w:t>
      </w:r>
      <w:r>
        <w:rPr>
          <w:spacing w:val="-2"/>
        </w:rPr>
        <w:t>为客户提供物联网应用开发的标准化产品及一站式技术支持服务。其中，</w:t>
      </w:r>
      <w:r>
        <w:rPr>
          <w:rFonts w:ascii="宋体" w:hAnsi="宋体" w:cs="宋体" w:eastAsia="宋体" w:hint="default"/>
          <w:spacing w:val="-2"/>
        </w:rPr>
        <w:t>TurboX</w:t>
      </w:r>
      <w:r>
        <w:rPr>
          <w:rFonts w:ascii="宋体" w:hAnsi="宋体" w:cs="宋体" w:eastAsia="宋体" w:hint="default"/>
          <w:spacing w:val="-45"/>
        </w:rPr>
        <w:t> </w:t>
      </w:r>
      <w:r>
        <w:rPr>
          <w:spacing w:val="-1"/>
        </w:rPr>
        <w:t>智能大脑平台产品是包括</w:t>
      </w:r>
      <w:r>
        <w:rPr>
          <w:spacing w:val="-102"/>
        </w:rPr>
        <w:t> </w:t>
      </w:r>
      <w:r>
        <w:rPr>
          <w:spacing w:val="-102"/>
        </w:rPr>
      </w:r>
      <w:r>
        <w:rPr/>
        <w:t>了核心计算模块</w:t>
      </w:r>
      <w:r>
        <w:rPr>
          <w:spacing w:val="-53"/>
        </w:rPr>
        <w:t> </w:t>
      </w:r>
      <w:r>
        <w:rPr>
          <w:rFonts w:ascii="宋体" w:hAnsi="宋体" w:cs="宋体" w:eastAsia="宋体" w:hint="default"/>
        </w:rPr>
        <w:t>SoM</w:t>
      </w:r>
      <w:r>
        <w:rPr/>
        <w:t>、操作系统、算法以及</w:t>
      </w:r>
      <w:r>
        <w:rPr>
          <w:spacing w:val="-53"/>
        </w:rPr>
        <w:t> </w:t>
      </w:r>
      <w:r>
        <w:rPr>
          <w:rFonts w:ascii="宋体" w:hAnsi="宋体" w:cs="宋体" w:eastAsia="宋体" w:hint="default"/>
        </w:rPr>
        <w:t>SDK</w:t>
      </w:r>
      <w:r>
        <w:rPr>
          <w:rFonts w:ascii="宋体" w:hAnsi="宋体" w:cs="宋体" w:eastAsia="宋体" w:hint="default"/>
          <w:spacing w:val="-54"/>
        </w:rPr>
        <w:t> </w:t>
      </w:r>
      <w:r>
        <w:rPr/>
        <w:t>的一体化解决方案。</w:t>
      </w:r>
      <w:r>
        <w:rPr>
          <w:rFonts w:ascii="宋体" w:hAnsi="宋体" w:cs="宋体" w:eastAsia="宋体" w:hint="default"/>
        </w:rPr>
        <w:t>TurboX</w:t>
      </w:r>
      <w:r>
        <w:rPr>
          <w:rFonts w:ascii="宋体" w:hAnsi="宋体" w:cs="宋体" w:eastAsia="宋体" w:hint="default"/>
          <w:spacing w:val="-24"/>
        </w:rPr>
        <w:t> </w:t>
      </w:r>
      <w:r>
        <w:rPr>
          <w:rFonts w:ascii="宋体" w:hAnsi="宋体" w:cs="宋体" w:eastAsia="宋体" w:hint="default"/>
        </w:rPr>
        <w:t>Cloud</w:t>
      </w:r>
      <w:r>
        <w:rPr>
          <w:rFonts w:ascii="宋体" w:hAnsi="宋体" w:cs="宋体" w:eastAsia="宋体" w:hint="default"/>
          <w:spacing w:val="-53"/>
        </w:rPr>
        <w:t> </w:t>
      </w:r>
      <w:r>
        <w:rPr/>
        <w:t>智能物联网云平台主要 </w:t>
      </w:r>
      <w:r>
        <w:rPr>
          <w:spacing w:val="-2"/>
        </w:rPr>
        <w:t>由四个部分构成，分别是：设备管理平台、</w:t>
      </w:r>
      <w:r>
        <w:rPr>
          <w:rFonts w:ascii="宋体" w:hAnsi="宋体" w:cs="宋体" w:eastAsia="宋体" w:hint="default"/>
          <w:spacing w:val="-2"/>
        </w:rPr>
        <w:t>FOTA</w:t>
      </w:r>
      <w:r>
        <w:rPr>
          <w:rFonts w:ascii="宋体" w:hAnsi="宋体" w:cs="宋体" w:eastAsia="宋体" w:hint="default"/>
          <w:spacing w:val="-33"/>
        </w:rPr>
        <w:t> </w:t>
      </w:r>
      <w:r>
        <w:rPr>
          <w:spacing w:val="-2"/>
        </w:rPr>
        <w:t>平台、应用赋能平台和数据分析平台，该平台产品为客户</w:t>
      </w:r>
    </w:p>
    <w:p>
      <w:pPr>
        <w:spacing w:after="0" w:line="297" w:lineRule="auto"/>
        <w:jc w:val="both"/>
        <w:sectPr>
          <w:pgSz w:w="11910" w:h="16840"/>
          <w:pgMar w:header="801" w:footer="1007" w:top="1100" w:bottom="1200" w:left="480" w:right="0"/>
        </w:sectPr>
      </w:pPr>
    </w:p>
    <w:p>
      <w:pPr>
        <w:spacing w:line="240" w:lineRule="auto" w:before="1"/>
        <w:rPr>
          <w:rFonts w:ascii="宋体" w:hAnsi="宋体" w:cs="宋体" w:eastAsia="宋体" w:hint="default"/>
          <w:sz w:val="19"/>
          <w:szCs w:val="19"/>
        </w:rPr>
      </w:pPr>
    </w:p>
    <w:p>
      <w:pPr>
        <w:pStyle w:val="BodyText"/>
        <w:spacing w:line="297" w:lineRule="auto" w:before="35"/>
        <w:ind w:left="154" w:right="1116"/>
        <w:jc w:val="left"/>
      </w:pPr>
      <w:r>
        <w:rPr/>
        <w:pict>
          <v:shape style="position:absolute;margin-left:56.700001pt;margin-top:45.913654pt;width:481.4pt;height:250.8pt;mso-position-horizontal-relative:page;mso-position-vertical-relative:paragraph;z-index:-1024720" type="#_x0000_t75" stroked="false">
            <v:imagedata r:id="rId14" o:title=""/>
          </v:shape>
        </w:pict>
      </w:r>
      <w:r>
        <w:rPr>
          <w:spacing w:val="-1"/>
        </w:rPr>
        <w:t>提供完整的物联网端到端应用解决方案。智能物联网的业务模式包括软件开发、技术服务、软件许可及商</w:t>
      </w:r>
      <w:r>
        <w:rPr>
          <w:spacing w:val="-83"/>
        </w:rPr>
        <w:t> </w:t>
      </w:r>
      <w:r>
        <w:rPr>
          <w:spacing w:val="-83"/>
        </w:rPr>
      </w:r>
      <w:r>
        <w:rPr/>
        <w:t>品销售。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500" w:lineRule="atLeast" w:before="170"/>
        <w:ind w:left="574" w:right="0"/>
        <w:jc w:val="left"/>
      </w:pPr>
      <w:r>
        <w:rPr/>
        <w:t>（</w:t>
      </w:r>
      <w:r>
        <w:rPr>
          <w:rFonts w:ascii="宋体" w:hAnsi="宋体" w:cs="宋体" w:eastAsia="宋体" w:hint="default"/>
        </w:rPr>
        <w:t>3</w:t>
      </w:r>
      <w:r>
        <w:rPr/>
        <w:t>）智能网联汽车业务 </w:t>
      </w:r>
      <w:r>
        <w:rPr>
          <w:spacing w:val="-3"/>
        </w:rPr>
        <w:t>公司以车载信息娱乐系统为基础，并与高级辅助驾驶系统</w:t>
      </w:r>
      <w:r>
        <w:rPr>
          <w:rFonts w:ascii="宋体" w:hAnsi="宋体" w:cs="宋体" w:eastAsia="宋体" w:hint="default"/>
          <w:spacing w:val="-3"/>
        </w:rPr>
        <w:t>(ADAS)</w:t>
      </w:r>
      <w:r>
        <w:rPr>
          <w:spacing w:val="-3"/>
        </w:rPr>
        <w:t>、智能仪表盘、车载通信系统相融合，</w:t>
      </w:r>
    </w:p>
    <w:p>
      <w:pPr>
        <w:pStyle w:val="BodyText"/>
        <w:spacing w:line="297" w:lineRule="auto" w:before="66"/>
        <w:ind w:left="154" w:right="1116"/>
        <w:jc w:val="left"/>
      </w:pPr>
      <w:r>
        <w:rPr>
          <w:spacing w:val="-1"/>
        </w:rPr>
        <w:t>面向汽车厂商及一级供应商提供智能驾驶舱平台产品。智能网联汽车的业务模式包括软件开发、技术服务</w:t>
      </w:r>
      <w:r>
        <w:rPr>
          <w:spacing w:val="-80"/>
        </w:rPr>
        <w:t> </w:t>
      </w:r>
      <w:r>
        <w:rPr>
          <w:spacing w:val="-80"/>
        </w:rPr>
      </w:r>
      <w:r>
        <w:rPr/>
        <w:t>及软件许可。</w:t>
      </w:r>
    </w:p>
    <w:p>
      <w:pPr>
        <w:spacing w:line="240" w:lineRule="auto" w:before="8"/>
        <w:rPr>
          <w:rFonts w:ascii="宋体" w:hAnsi="宋体" w:cs="宋体" w:eastAsia="宋体" w:hint="default"/>
          <w:sz w:val="16"/>
          <w:szCs w:val="16"/>
        </w:rPr>
      </w:pPr>
    </w:p>
    <w:p>
      <w:pPr>
        <w:spacing w:line="5613" w:lineRule="exact"/>
        <w:ind w:left="154"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6063493" cy="3564445"/>
            <wp:effectExtent l="0" t="0" r="0" b="0"/>
            <wp:docPr id="7" name="image7.jpeg" descr=""/>
            <wp:cNvGraphicFramePr>
              <a:graphicFrameLocks noChangeAspect="1"/>
            </wp:cNvGraphicFramePr>
            <a:graphic>
              <a:graphicData uri="http://schemas.openxmlformats.org/drawingml/2006/picture">
                <pic:pic>
                  <pic:nvPicPr>
                    <pic:cNvPr id="8" name="image7.jpeg"/>
                    <pic:cNvPicPr/>
                  </pic:nvPicPr>
                  <pic:blipFill>
                    <a:blip r:embed="rId15" cstate="print"/>
                    <a:stretch>
                      <a:fillRect/>
                    </a:stretch>
                  </pic:blipFill>
                  <pic:spPr>
                    <a:xfrm>
                      <a:off x="0" y="0"/>
                      <a:ext cx="6063493" cy="3564445"/>
                    </a:xfrm>
                    <a:prstGeom prst="rect">
                      <a:avLst/>
                    </a:prstGeom>
                  </pic:spPr>
                </pic:pic>
              </a:graphicData>
            </a:graphic>
          </wp:inline>
        </w:drawing>
      </w:r>
      <w:r>
        <w:rPr>
          <w:rFonts w:ascii="宋体" w:hAnsi="宋体" w:cs="宋体" w:eastAsia="宋体" w:hint="default"/>
          <w:position w:val="-111"/>
          <w:sz w:val="20"/>
          <w:szCs w:val="20"/>
        </w:rPr>
      </w:r>
    </w:p>
    <w:p>
      <w:pPr>
        <w:pStyle w:val="BodyText"/>
        <w:spacing w:line="240" w:lineRule="auto" w:before="136"/>
        <w:ind w:left="574" w:right="1116"/>
        <w:jc w:val="left"/>
      </w:pPr>
      <w:r>
        <w:rPr/>
        <w:t>（二）报告期内公司所处行业情况说明</w:t>
      </w:r>
    </w:p>
    <w:p>
      <w:pPr>
        <w:spacing w:after="0" w:line="240" w:lineRule="auto"/>
        <w:jc w:val="left"/>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97" w:lineRule="auto" w:before="35"/>
        <w:ind w:left="214" w:right="1026" w:firstLine="420"/>
        <w:jc w:val="left"/>
      </w:pPr>
      <w:r>
        <w:rPr/>
        <w:t>在国家产业扶持政策的推动下，我国软件产业呈现持续快速发展态势。根据工信部网站公布的信息显 </w:t>
      </w:r>
      <w:r>
        <w:rPr>
          <w:spacing w:val="-4"/>
        </w:rPr>
        <w:t>示，</w:t>
      </w:r>
      <w:r>
        <w:rPr>
          <w:rFonts w:ascii="宋体" w:hAnsi="宋体" w:cs="宋体" w:eastAsia="宋体" w:hint="default"/>
          <w:spacing w:val="-4"/>
        </w:rPr>
        <w:t>2018</w:t>
      </w:r>
      <w:r>
        <w:rPr>
          <w:rFonts w:ascii="宋体" w:hAnsi="宋体" w:cs="宋体" w:eastAsia="宋体" w:hint="default"/>
          <w:spacing w:val="-70"/>
        </w:rPr>
        <w:t> </w:t>
      </w:r>
      <w:r>
        <w:rPr/>
        <w:t>年，我国软件和信息技术服务业运行态势良好，收入和效益保持较快增长，吸纳就业人数稳步增 </w:t>
      </w:r>
      <w:r>
        <w:rPr>
          <w:spacing w:val="-5"/>
        </w:rPr>
        <w:t>加；产业向高质量方向发展步伐加快，结构持续调整优化，新的增长点不断涌现，服务和支撑“两个强国”</w:t>
      </w:r>
      <w:r>
        <w:rPr>
          <w:spacing w:val="-102"/>
        </w:rPr>
        <w:t> </w:t>
      </w:r>
      <w:r>
        <w:rPr>
          <w:spacing w:val="-102"/>
        </w:rPr>
      </w:r>
      <w:r>
        <w:rPr/>
        <w:t>建设能力显著增强，正在成为数字经济发展、智慧社会演进的重要驱动力量。</w:t>
      </w:r>
      <w:r>
        <w:rPr>
          <w:rFonts w:ascii="宋体" w:hAnsi="宋体" w:cs="宋体" w:eastAsia="宋体" w:hint="default"/>
        </w:rPr>
        <w:t>2018</w:t>
      </w:r>
      <w:r>
        <w:rPr>
          <w:rFonts w:ascii="宋体" w:hAnsi="宋体" w:cs="宋体" w:eastAsia="宋体" w:hint="default"/>
          <w:spacing w:val="-78"/>
        </w:rPr>
        <w:t> </w:t>
      </w:r>
      <w:r>
        <w:rPr/>
        <w:t>年，全国软件和信息技 术服务业规模以上企业</w:t>
      </w:r>
      <w:r>
        <w:rPr>
          <w:spacing w:val="-47"/>
        </w:rPr>
        <w:t> </w:t>
      </w:r>
      <w:r>
        <w:rPr>
          <w:rFonts w:ascii="宋体" w:hAnsi="宋体" w:cs="宋体" w:eastAsia="宋体" w:hint="default"/>
        </w:rPr>
        <w:t>3.78</w:t>
      </w:r>
      <w:r>
        <w:rPr>
          <w:rFonts w:ascii="宋体" w:hAnsi="宋体" w:cs="宋体" w:eastAsia="宋体" w:hint="default"/>
          <w:spacing w:val="-48"/>
        </w:rPr>
        <w:t> </w:t>
      </w:r>
      <w:r>
        <w:rPr/>
        <w:t>万家，累计完成软件业务收入</w:t>
      </w:r>
      <w:r>
        <w:rPr>
          <w:spacing w:val="-47"/>
        </w:rPr>
        <w:t> </w:t>
      </w:r>
      <w:r>
        <w:rPr>
          <w:rFonts w:ascii="宋体" w:hAnsi="宋体" w:cs="宋体" w:eastAsia="宋体" w:hint="default"/>
        </w:rPr>
        <w:t>6.31</w:t>
      </w:r>
      <w:r>
        <w:rPr>
          <w:rFonts w:ascii="宋体" w:hAnsi="宋体" w:cs="宋体" w:eastAsia="宋体" w:hint="default"/>
          <w:spacing w:val="-48"/>
        </w:rPr>
        <w:t> </w:t>
      </w:r>
      <w:r>
        <w:rPr/>
        <w:t>亿元，同比增长</w:t>
      </w:r>
      <w:r>
        <w:rPr>
          <w:spacing w:val="-47"/>
        </w:rPr>
        <w:t> </w:t>
      </w:r>
      <w:r>
        <w:rPr>
          <w:rFonts w:ascii="宋体" w:hAnsi="宋体" w:cs="宋体" w:eastAsia="宋体" w:hint="default"/>
        </w:rPr>
        <w:t>14.2%</w:t>
      </w:r>
      <w:r>
        <w:rPr/>
        <w:t>。其中，全行业实 现嵌入式系统软件收入</w:t>
      </w:r>
      <w:r>
        <w:rPr>
          <w:spacing w:val="-33"/>
        </w:rPr>
        <w:t> </w:t>
      </w:r>
      <w:r>
        <w:rPr>
          <w:rFonts w:ascii="宋体" w:hAnsi="宋体" w:cs="宋体" w:eastAsia="宋体" w:hint="default"/>
        </w:rPr>
        <w:t>8952</w:t>
      </w:r>
      <w:r>
        <w:rPr>
          <w:rFonts w:ascii="宋体" w:hAnsi="宋体" w:cs="宋体" w:eastAsia="宋体" w:hint="default"/>
          <w:spacing w:val="-32"/>
        </w:rPr>
        <w:t> </w:t>
      </w:r>
      <w:r>
        <w:rPr/>
        <w:t>亿元，同比增长</w:t>
      </w:r>
      <w:r>
        <w:rPr>
          <w:spacing w:val="-33"/>
        </w:rPr>
        <w:t> </w:t>
      </w:r>
      <w:r>
        <w:rPr>
          <w:rFonts w:ascii="宋体" w:hAnsi="宋体" w:cs="宋体" w:eastAsia="宋体" w:hint="default"/>
        </w:rPr>
        <w:t>6.8%</w:t>
      </w:r>
      <w:r>
        <w:rPr/>
        <w:t>，占全行业收入比重为</w:t>
      </w:r>
      <w:r>
        <w:rPr>
          <w:spacing w:val="-33"/>
        </w:rPr>
        <w:t> </w:t>
      </w:r>
      <w:r>
        <w:rPr>
          <w:rFonts w:ascii="宋体" w:hAnsi="宋体" w:cs="宋体" w:eastAsia="宋体" w:hint="default"/>
        </w:rPr>
        <w:t>14.2%</w:t>
      </w:r>
      <w:r>
        <w:rPr/>
        <w:t>。嵌入式系统软件已成为 产品和装备数字化改造、各领域智能化增值的关键性带动技术。软件和信息技术服务业结构继续调整，产 业生态链不断完善，为制造强国和网络强国建设提供重要支撑和保障。根据工信部发布的《软件和信息技 术服务业发展规划（</w:t>
      </w:r>
      <w:r>
        <w:rPr>
          <w:rFonts w:ascii="宋体" w:hAnsi="宋体" w:cs="宋体" w:eastAsia="宋体" w:hint="default"/>
        </w:rPr>
        <w:t>2016-2020</w:t>
      </w:r>
      <w:r>
        <w:rPr>
          <w:rFonts w:ascii="宋体" w:hAnsi="宋体" w:cs="宋体" w:eastAsia="宋体" w:hint="default"/>
          <w:spacing w:val="-58"/>
        </w:rPr>
        <w:t> </w:t>
      </w:r>
      <w:r>
        <w:rPr>
          <w:spacing w:val="-14"/>
        </w:rPr>
        <w:t>年）》，到</w:t>
      </w:r>
      <w:r>
        <w:rPr>
          <w:spacing w:val="-59"/>
        </w:rPr>
        <w:t> </w:t>
      </w:r>
      <w:r>
        <w:rPr>
          <w:rFonts w:ascii="宋体" w:hAnsi="宋体" w:cs="宋体" w:eastAsia="宋体" w:hint="default"/>
        </w:rPr>
        <w:t>2020</w:t>
      </w:r>
      <w:r>
        <w:rPr>
          <w:rFonts w:ascii="宋体" w:hAnsi="宋体" w:cs="宋体" w:eastAsia="宋体" w:hint="default"/>
          <w:spacing w:val="-61"/>
        </w:rPr>
        <w:t> </w:t>
      </w:r>
      <w:r>
        <w:rPr/>
        <w:t>年，软件产业业务收入突破</w:t>
      </w:r>
      <w:r>
        <w:rPr>
          <w:spacing w:val="-60"/>
        </w:rPr>
        <w:t> </w:t>
      </w:r>
      <w:r>
        <w:rPr>
          <w:rFonts w:ascii="宋体" w:hAnsi="宋体" w:cs="宋体" w:eastAsia="宋体" w:hint="default"/>
        </w:rPr>
        <w:t>8</w:t>
      </w:r>
      <w:r>
        <w:rPr>
          <w:rFonts w:ascii="宋体" w:hAnsi="宋体" w:cs="宋体" w:eastAsia="宋体" w:hint="default"/>
          <w:spacing w:val="-59"/>
        </w:rPr>
        <w:t> </w:t>
      </w:r>
      <w:r>
        <w:rPr>
          <w:spacing w:val="-3"/>
        </w:rPr>
        <w:t>万亿元，年均增长</w:t>
      </w:r>
      <w:r>
        <w:rPr>
          <w:spacing w:val="-60"/>
        </w:rPr>
        <w:t> </w:t>
      </w:r>
      <w:r>
        <w:rPr>
          <w:rFonts w:ascii="宋体" w:hAnsi="宋体" w:cs="宋体" w:eastAsia="宋体" w:hint="default"/>
        </w:rPr>
        <w:t>13%</w:t>
      </w:r>
      <w:r>
        <w:rPr/>
        <w:t>以上。 软件行业未来有望继续保持高速增长的态势。</w:t>
      </w:r>
    </w:p>
    <w:p>
      <w:pPr>
        <w:spacing w:line="240" w:lineRule="auto" w:before="0"/>
        <w:rPr>
          <w:rFonts w:ascii="宋体" w:hAnsi="宋体" w:cs="宋体" w:eastAsia="宋体" w:hint="default"/>
          <w:sz w:val="14"/>
          <w:szCs w:val="14"/>
        </w:rPr>
      </w:pPr>
    </w:p>
    <w:p>
      <w:pPr>
        <w:pStyle w:val="BodyText"/>
        <w:spacing w:line="297" w:lineRule="auto"/>
        <w:ind w:left="214" w:right="1131" w:firstLine="420"/>
        <w:jc w:val="both"/>
      </w:pPr>
      <w:r>
        <w:rPr>
          <w:spacing w:val="-1"/>
        </w:rPr>
        <w:t>经过十多年的创新发展，公司成为以自主知识产权技术为核心的、全球领先的智能操作系统产品和技</w:t>
      </w:r>
      <w:r>
        <w:rPr/>
        <w:t> </w:t>
      </w:r>
      <w:r>
        <w:rPr>
          <w:spacing w:val="-1"/>
        </w:rPr>
        <w:t>术提供商。公司凭借技术优势和国际化的服务能力，与产业链内建立了优质且丰富的客户资源。随着公司</w:t>
      </w:r>
      <w:r>
        <w:rPr>
          <w:spacing w:val="-83"/>
        </w:rPr>
        <w:t> </w:t>
      </w:r>
      <w:r>
        <w:rPr>
          <w:spacing w:val="-83"/>
        </w:rPr>
      </w:r>
      <w:r>
        <w:rPr/>
        <w:t>业务的不断拓展，新技术的不断应用，新产品的不断推出，公司的行业领先地位将得到持续巩固。</w:t>
      </w:r>
    </w:p>
    <w:p>
      <w:pPr>
        <w:spacing w:line="240" w:lineRule="auto" w:before="11"/>
        <w:rPr>
          <w:rFonts w:ascii="宋体" w:hAnsi="宋体" w:cs="宋体" w:eastAsia="宋体" w:hint="default"/>
          <w:sz w:val="17"/>
          <w:szCs w:val="17"/>
        </w:rPr>
      </w:pPr>
    </w:p>
    <w:p>
      <w:pPr>
        <w:pStyle w:val="Heading2"/>
        <w:spacing w:line="240" w:lineRule="auto"/>
        <w:ind w:left="193" w:right="7392"/>
        <w:jc w:val="center"/>
      </w:pPr>
      <w:bookmarkStart w:name="二、主要资产重大变化情况" w:id="17"/>
      <w:bookmarkEnd w:id="17"/>
      <w:r>
        <w:rPr/>
      </w:r>
      <w:r>
        <w:rPr/>
        <w:t>二、主要资产重大变化情况</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主要资产重大变化情况" w:id="18"/>
      <w:bookmarkEnd w:id="18"/>
      <w:r>
        <w:rPr/>
      </w:r>
      <w:r>
        <w:rPr>
          <w:rFonts w:ascii="Times New Roman" w:hAnsi="Times New Roman" w:cs="Times New Roman" w:eastAsia="Times New Roman" w:hint="default"/>
        </w:rPr>
        <w:t>1</w:t>
      </w:r>
      <w:r>
        <w:rPr>
          <w:rFonts w:ascii="微软雅黑" w:hAnsi="微软雅黑" w:cs="微软雅黑" w:eastAsia="微软雅黑" w:hint="default"/>
        </w:rPr>
        <w:t>、主要资产重大变化情况</w:t>
      </w:r>
    </w:p>
    <w:p>
      <w:pPr>
        <w:spacing w:line="240" w:lineRule="auto" w:before="13"/>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142"/>
        <w:gridCol w:w="6714"/>
      </w:tblGrid>
      <w:tr>
        <w:trPr>
          <w:trHeight w:val="407" w:hRule="exact"/>
        </w:trPr>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77" w:hRule="exact"/>
        </w:trPr>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4,832.92</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万元，增长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24.18%</w:t>
            </w:r>
            <w:r>
              <w:rPr>
                <w:rFonts w:ascii="宋体" w:hAnsi="宋体" w:cs="宋体" w:eastAsia="宋体" w:hint="default"/>
                <w:sz w:val="18"/>
                <w:szCs w:val="18"/>
              </w:rPr>
              <w:t>，主要系报告期增加对外投资所</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致。根据投资性质主要在在可供出售金融资产科目列报。</w:t>
            </w:r>
          </w:p>
        </w:tc>
      </w:tr>
      <w:tr>
        <w:trPr>
          <w:trHeight w:val="944" w:hRule="exact"/>
        </w:trPr>
        <w:tc>
          <w:tcPr>
            <w:tcW w:w="3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2,419</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10.23%</w:t>
            </w:r>
            <w:r>
              <w:rPr>
                <w:rFonts w:ascii="宋体" w:hAnsi="宋体" w:cs="宋体" w:eastAsia="宋体" w:hint="default"/>
                <w:spacing w:val="-90"/>
                <w:sz w:val="18"/>
                <w:szCs w:val="18"/>
              </w:rPr>
              <w:t>，</w:t>
            </w:r>
            <w:r>
              <w:rPr>
                <w:rFonts w:ascii="宋体" w:hAnsi="宋体" w:cs="宋体" w:eastAsia="宋体" w:hint="default"/>
                <w:sz w:val="18"/>
                <w:szCs w:val="18"/>
              </w:rPr>
              <w:t>主要</w:t>
            </w:r>
            <w:r>
              <w:rPr>
                <w:rFonts w:ascii="宋体" w:hAnsi="宋体" w:cs="宋体" w:eastAsia="宋体" w:hint="default"/>
                <w:spacing w:val="-2"/>
                <w:sz w:val="18"/>
                <w:szCs w:val="18"/>
              </w:rPr>
              <w:t>系</w:t>
            </w:r>
            <w:r>
              <w:rPr>
                <w:rFonts w:ascii="宋体" w:hAnsi="宋体" w:cs="宋体" w:eastAsia="宋体" w:hint="default"/>
                <w:sz w:val="18"/>
                <w:szCs w:val="18"/>
              </w:rPr>
              <w:t>报告期收购</w:t>
            </w:r>
            <w:r>
              <w:rPr>
                <w:rFonts w:ascii="宋体" w:hAnsi="宋体" w:cs="宋体" w:eastAsia="宋体" w:hint="default"/>
                <w:spacing w:val="-59"/>
                <w:sz w:val="18"/>
                <w:szCs w:val="18"/>
              </w:rPr>
              <w:t> </w:t>
            </w:r>
            <w:r>
              <w:rPr>
                <w:rFonts w:ascii="Times New Roman" w:hAnsi="Times New Roman" w:cs="Times New Roman" w:eastAsia="Times New Roman" w:hint="default"/>
                <w:w w:val="99"/>
                <w:sz w:val="18"/>
                <w:szCs w:val="18"/>
              </w:rPr>
              <w:t>MM</w:t>
            </w:r>
            <w:r>
              <w:rPr>
                <w:rFonts w:ascii="Times New Roman" w:hAnsi="Times New Roman" w:cs="Times New Roman" w:eastAsia="Times New Roman" w:hint="default"/>
                <w:sz w:val="18"/>
                <w:szCs w:val="18"/>
              </w:rPr>
              <w:t> Soluti</w:t>
            </w:r>
            <w:r>
              <w:rPr>
                <w:rFonts w:ascii="Times New Roman" w:hAnsi="Times New Roman" w:cs="Times New Roman" w:eastAsia="Times New Roman" w:hint="default"/>
                <w:w w:val="99"/>
                <w:sz w:val="18"/>
                <w:szCs w:val="18"/>
              </w:rPr>
              <w:t>ons</w:t>
            </w:r>
            <w:r>
              <w:rPr>
                <w:rFonts w:ascii="Times New Roman" w:hAnsi="Times New Roman" w:cs="Times New Roman" w:eastAsia="Times New Roman" w:hint="default"/>
                <w:sz w:val="18"/>
                <w:szCs w:val="18"/>
              </w:rPr>
            </w:r>
          </w:p>
          <w:p>
            <w:pPr>
              <w:pStyle w:val="TableParagraph"/>
              <w:spacing w:line="225" w:lineRule="auto" w:before="4"/>
              <w:ind w:left="103" w:right="154"/>
              <w:jc w:val="both"/>
              <w:rPr>
                <w:rFonts w:ascii="宋体" w:hAnsi="宋体" w:cs="宋体" w:eastAsia="宋体" w:hint="default"/>
                <w:sz w:val="18"/>
                <w:szCs w:val="18"/>
              </w:rPr>
            </w:pPr>
            <w:r>
              <w:rPr>
                <w:rFonts w:ascii="Times New Roman" w:hAnsi="Times New Roman" w:cs="Times New Roman" w:eastAsia="Times New Roman" w:hint="default"/>
                <w:sz w:val="18"/>
                <w:szCs w:val="18"/>
              </w:rPr>
              <w:t>EAD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的无形资产评估增值所致，其中客户关系评估增值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万元列弗，专利技 术及软件产品评估增值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万元列弗，自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月起摊销</w:t>
            </w:r>
            <w:r>
              <w:rPr>
                <w:rFonts w:ascii="Times New Roman" w:hAnsi="Times New Roman" w:cs="Times New Roman" w:eastAsia="Times New Roman" w:hint="default"/>
                <w:sz w:val="18"/>
                <w:szCs w:val="18"/>
              </w:rPr>
              <w:t>,</w:t>
            </w:r>
            <w:r>
              <w:rPr>
                <w:rFonts w:ascii="宋体" w:hAnsi="宋体" w:cs="宋体" w:eastAsia="宋体" w:hint="default"/>
                <w:sz w:val="18"/>
                <w:szCs w:val="18"/>
              </w:rPr>
              <w:t>总计已摊销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213.24 </w:t>
            </w:r>
            <w:r>
              <w:rPr>
                <w:rFonts w:ascii="宋体" w:hAnsi="宋体" w:cs="宋体" w:eastAsia="宋体" w:hint="default"/>
                <w:sz w:val="18"/>
                <w:szCs w:val="18"/>
              </w:rPr>
              <w:t>万元列弗。</w:t>
            </w:r>
          </w:p>
        </w:tc>
      </w:tr>
      <w:tr>
        <w:trPr>
          <w:trHeight w:val="47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38,013.51</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万元，下降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29.82%</w:t>
            </w:r>
            <w:r>
              <w:rPr>
                <w:rFonts w:ascii="宋体" w:hAnsi="宋体" w:cs="宋体" w:eastAsia="宋体" w:hint="default"/>
                <w:sz w:val="18"/>
                <w:szCs w:val="18"/>
              </w:rPr>
              <w:t>，主要系报告期内收购了</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MMS</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及归还银行贷款所致。</w:t>
            </w:r>
          </w:p>
        </w:tc>
      </w:tr>
      <w:tr>
        <w:trPr>
          <w:trHeight w:val="40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8,426.27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20.65%</w:t>
            </w:r>
            <w:r>
              <w:rPr>
                <w:rFonts w:ascii="宋体" w:hAnsi="宋体" w:cs="宋体" w:eastAsia="宋体" w:hint="default"/>
                <w:sz w:val="18"/>
                <w:szCs w:val="18"/>
              </w:rPr>
              <w:t>，与收入同步增加。</w:t>
            </w:r>
          </w:p>
        </w:tc>
      </w:tr>
      <w:tr>
        <w:trPr>
          <w:trHeight w:val="478"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1,852.75</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万元，下降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43.98%</w:t>
            </w:r>
            <w:r>
              <w:rPr>
                <w:rFonts w:ascii="宋体" w:hAnsi="宋体" w:cs="宋体" w:eastAsia="宋体" w:hint="default"/>
                <w:sz w:val="18"/>
                <w:szCs w:val="18"/>
              </w:rPr>
              <w:t>，主要系报告期内期初已预付供</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应商货款的大额采购合同完结。</w:t>
            </w:r>
          </w:p>
        </w:tc>
      </w:tr>
      <w:tr>
        <w:trPr>
          <w:trHeight w:val="47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663.60</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万元，增长</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78.41%</w:t>
            </w:r>
            <w:r>
              <w:rPr>
                <w:rFonts w:ascii="宋体" w:hAnsi="宋体" w:cs="宋体" w:eastAsia="宋体" w:hint="default"/>
                <w:spacing w:val="-3"/>
                <w:sz w:val="18"/>
                <w:szCs w:val="18"/>
              </w:rPr>
              <w:t>，主要系报告期智能硬件业务规模</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增长，原材料和库存产品储备增加所致。</w:t>
            </w:r>
          </w:p>
        </w:tc>
      </w:tr>
      <w:tr>
        <w:trPr>
          <w:trHeight w:val="47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5,245.29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，主要系报告期子公司完成出</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售持有的 </w:t>
            </w:r>
            <w:r>
              <w:rPr>
                <w:rFonts w:ascii="Times New Roman" w:hAnsi="Times New Roman" w:cs="Times New Roman" w:eastAsia="Times New Roman" w:hint="default"/>
                <w:sz w:val="18"/>
                <w:szCs w:val="18"/>
              </w:rPr>
              <w:t>Point    Mobile    Co., </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的全部股权。</w:t>
            </w:r>
          </w:p>
        </w:tc>
      </w:tr>
      <w:tr>
        <w:trPr>
          <w:trHeight w:val="408"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68.48%</w:t>
            </w:r>
            <w:r>
              <w:rPr>
                <w:rFonts w:ascii="宋体" w:hAnsi="宋体" w:cs="宋体" w:eastAsia="宋体" w:hint="default"/>
                <w:sz w:val="18"/>
                <w:szCs w:val="18"/>
              </w:rPr>
              <w:t>，主要系报告期进项税增加所致。</w:t>
            </w:r>
          </w:p>
        </w:tc>
      </w:tr>
      <w:tr>
        <w:trPr>
          <w:trHeight w:val="47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4,312.58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，主要系报告期增加对外投资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所致。根据投资性质分别在可供出售金融资产和长期股权投资科目列报。</w:t>
            </w:r>
          </w:p>
        </w:tc>
      </w:tr>
      <w:tr>
        <w:trPr>
          <w:trHeight w:val="476"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18,057.63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75.42%</w:t>
            </w:r>
            <w:r>
              <w:rPr>
                <w:rFonts w:ascii="宋体" w:hAnsi="宋体" w:cs="宋体" w:eastAsia="宋体" w:hint="default"/>
                <w:sz w:val="18"/>
                <w:szCs w:val="18"/>
              </w:rPr>
              <w:t>，主要系报告期收购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MM</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Solutions EAD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所致。</w:t>
            </w:r>
          </w:p>
        </w:tc>
      </w:tr>
      <w:tr>
        <w:trPr>
          <w:trHeight w:val="478"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1,710.51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201.50%</w:t>
            </w:r>
            <w:r>
              <w:rPr>
                <w:rFonts w:ascii="宋体" w:hAnsi="宋体" w:cs="宋体" w:eastAsia="宋体" w:hint="default"/>
                <w:sz w:val="18"/>
                <w:szCs w:val="18"/>
              </w:rPr>
              <w:t>，主要系报告期新增房屋装修</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费用。</w:t>
            </w:r>
          </w:p>
        </w:tc>
      </w:tr>
      <w:tr>
        <w:trPr>
          <w:trHeight w:val="47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71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报告期末较上年末减少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857.53</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万元，减少</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39.76%</w:t>
            </w:r>
            <w:r>
              <w:rPr>
                <w:rFonts w:ascii="宋体" w:hAnsi="宋体" w:cs="宋体" w:eastAsia="宋体" w:hint="default"/>
                <w:spacing w:val="-3"/>
                <w:sz w:val="18"/>
                <w:szCs w:val="18"/>
              </w:rPr>
              <w:t>，主要系上年余额中包含预付股权</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转让款，本期已确认为长投。</w:t>
            </w:r>
          </w:p>
        </w:tc>
      </w:tr>
    </w:tbl>
    <w:p>
      <w:pPr>
        <w:spacing w:after="0" w:line="228" w:lineRule="exact"/>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6"/>
        <w:rPr>
          <w:rFonts w:ascii="微软雅黑" w:hAnsi="微软雅黑" w:cs="微软雅黑" w:eastAsia="微软雅黑" w:hint="default"/>
          <w:sz w:val="18"/>
          <w:szCs w:val="18"/>
        </w:rPr>
      </w:pPr>
    </w:p>
    <w:p>
      <w:pPr>
        <w:pStyle w:val="BodyText"/>
        <w:spacing w:line="324" w:lineRule="exact"/>
        <w:ind w:right="1016"/>
        <w:jc w:val="left"/>
        <w:rPr>
          <w:rFonts w:ascii="微软雅黑" w:hAnsi="微软雅黑" w:cs="微软雅黑" w:eastAsia="微软雅黑" w:hint="default"/>
        </w:rPr>
      </w:pPr>
      <w:bookmarkStart w:name="2、主要境外资产情况" w:id="19"/>
      <w:bookmarkEnd w:id="19"/>
      <w:r>
        <w:rPr/>
      </w:r>
      <w:r>
        <w:rPr>
          <w:rFonts w:ascii="Times New Roman" w:hAnsi="Times New Roman" w:cs="Times New Roman" w:eastAsia="Times New Roman" w:hint="default"/>
        </w:rPr>
        <w:t>2</w:t>
      </w:r>
      <w:r>
        <w:rPr>
          <w:rFonts w:ascii="微软雅黑" w:hAnsi="微软雅黑" w:cs="微软雅黑" w:eastAsia="微软雅黑" w:hint="default"/>
        </w:rPr>
        <w:t>、主要境外资产情况</w:t>
      </w:r>
    </w:p>
    <w:p>
      <w:pPr>
        <w:spacing w:line="240" w:lineRule="auto" w:before="12"/>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054"/>
        <w:gridCol w:w="1049"/>
        <w:gridCol w:w="1250"/>
        <w:gridCol w:w="1052"/>
        <w:gridCol w:w="1051"/>
        <w:gridCol w:w="1051"/>
        <w:gridCol w:w="1251"/>
        <w:gridCol w:w="1051"/>
        <w:gridCol w:w="1046"/>
      </w:tblGrid>
      <w:tr>
        <w:trPr>
          <w:trHeight w:val="944"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微软雅黑" w:hAnsi="微软雅黑" w:cs="微软雅黑" w:eastAsia="微软雅黑" w:hint="default"/>
                <w:sz w:val="11"/>
                <w:szCs w:val="11"/>
              </w:rPr>
            </w:pPr>
          </w:p>
          <w:p>
            <w:pPr>
              <w:pStyle w:val="TableParagraph"/>
              <w:spacing w:line="240" w:lineRule="auto"/>
              <w:ind w:left="252" w:right="160" w:hanging="90"/>
              <w:jc w:val="left"/>
              <w:rPr>
                <w:rFonts w:ascii="宋体" w:hAnsi="宋体" w:cs="宋体" w:eastAsia="宋体" w:hint="default"/>
                <w:sz w:val="18"/>
                <w:szCs w:val="18"/>
              </w:rPr>
            </w:pPr>
            <w:r>
              <w:rPr>
                <w:rFonts w:ascii="宋体" w:hAnsi="宋体" w:cs="宋体" w:eastAsia="宋体" w:hint="default"/>
                <w:sz w:val="18"/>
                <w:szCs w:val="18"/>
              </w:rPr>
              <w:t>资产的具 体内容</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160" w:right="158"/>
              <w:jc w:val="both"/>
              <w:rPr>
                <w:rFonts w:ascii="宋体" w:hAnsi="宋体" w:cs="宋体" w:eastAsia="宋体" w:hint="default"/>
                <w:sz w:val="18"/>
                <w:szCs w:val="18"/>
              </w:rPr>
            </w:pPr>
            <w:r>
              <w:rPr>
                <w:rFonts w:ascii="宋体" w:hAnsi="宋体" w:cs="宋体" w:eastAsia="宋体" w:hint="default"/>
                <w:sz w:val="18"/>
                <w:szCs w:val="18"/>
              </w:rPr>
              <w:t>保障资产 安全性的 控制措施</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收益状况</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境外资产</w:t>
            </w:r>
          </w:p>
          <w:p>
            <w:pPr>
              <w:pStyle w:val="TableParagraph"/>
              <w:spacing w:line="237" w:lineRule="auto"/>
              <w:ind w:left="160" w:right="158"/>
              <w:jc w:val="center"/>
              <w:rPr>
                <w:rFonts w:ascii="宋体" w:hAnsi="宋体" w:cs="宋体" w:eastAsia="宋体" w:hint="default"/>
                <w:sz w:val="18"/>
                <w:szCs w:val="18"/>
              </w:rPr>
            </w:pPr>
            <w:r>
              <w:rPr>
                <w:rFonts w:ascii="宋体" w:hAnsi="宋体" w:cs="宋体" w:eastAsia="宋体" w:hint="default"/>
                <w:sz w:val="18"/>
                <w:szCs w:val="18"/>
              </w:rPr>
              <w:t>占公司净 资产的比 重</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158" w:right="156"/>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68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before="10"/>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Rightware OY</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及其子 公司</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1"/>
                <w:szCs w:val="1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56,249,497.17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芬兰</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23,041,380.52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MM</w:t>
            </w:r>
          </w:p>
          <w:p>
            <w:pPr>
              <w:pStyle w:val="TableParagraph"/>
              <w:spacing w:line="240" w:lineRule="auto"/>
              <w:ind w:left="103" w:right="258"/>
              <w:jc w:val="left"/>
              <w:rPr>
                <w:rFonts w:ascii="Times New Roman" w:hAnsi="Times New Roman" w:cs="Times New Roman" w:eastAsia="Times New Roman" w:hint="default"/>
                <w:sz w:val="18"/>
                <w:szCs w:val="18"/>
              </w:rPr>
            </w:pPr>
            <w:r>
              <w:rPr>
                <w:rFonts w:ascii="Times New Roman"/>
                <w:sz w:val="18"/>
              </w:rPr>
              <w:t>Solutions</w:t>
            </w:r>
            <w:r>
              <w:rPr>
                <w:rFonts w:ascii="Times New Roman"/>
                <w:w w:val="99"/>
                <w:sz w:val="18"/>
              </w:rPr>
              <w:t> </w:t>
            </w:r>
            <w:r>
              <w:rPr>
                <w:rFonts w:ascii="Times New Roman"/>
                <w:sz w:val="18"/>
              </w:rPr>
              <w:t>EAD</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微软雅黑" w:hAnsi="微软雅黑" w:cs="微软雅黑" w:eastAsia="微软雅黑" w:hint="default"/>
                <w:sz w:val="9"/>
                <w:szCs w:val="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微软雅黑" w:hAnsi="微软雅黑" w:cs="微软雅黑" w:eastAsia="微软雅黑" w:hint="default"/>
                <w:sz w:val="11"/>
                <w:szCs w:val="1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91,253,535.36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微软雅黑" w:hAnsi="微软雅黑" w:cs="微软雅黑" w:eastAsia="微软雅黑" w:hint="default"/>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微软雅黑" w:hAnsi="微软雅黑" w:cs="微软雅黑" w:eastAsia="微软雅黑" w:hint="default"/>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051"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微软雅黑" w:hAnsi="微软雅黑" w:cs="微软雅黑" w:eastAsia="微软雅黑" w:hint="default"/>
                <w:sz w:val="11"/>
                <w:szCs w:val="1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35,163,583.13</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微软雅黑" w:hAnsi="微软雅黑" w:cs="微软雅黑" w:eastAsia="微软雅黑" w:hint="default"/>
                <w:sz w:val="11"/>
                <w:szCs w:val="1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6.11%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微软雅黑" w:hAnsi="微软雅黑" w:cs="微软雅黑" w:eastAsia="微软雅黑" w:hint="default"/>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微软雅黑" w:hAnsi="微软雅黑" w:cs="微软雅黑" w:eastAsia="微软雅黑" w:hint="default"/>
          <w:sz w:val="15"/>
          <w:szCs w:val="15"/>
        </w:rPr>
      </w:pPr>
    </w:p>
    <w:p>
      <w:pPr>
        <w:pStyle w:val="Heading2"/>
        <w:spacing w:line="397" w:lineRule="exact"/>
        <w:ind w:right="0"/>
        <w:jc w:val="both"/>
      </w:pPr>
      <w:bookmarkStart w:name="三、核心竞争力分析" w:id="20"/>
      <w:bookmarkEnd w:id="20"/>
      <w:r>
        <w:rPr/>
      </w:r>
      <w:r>
        <w:rPr/>
        <w:t>三、核心竞争力分析</w:t>
      </w:r>
    </w:p>
    <w:p>
      <w:pPr>
        <w:spacing w:line="240" w:lineRule="auto" w:before="12"/>
        <w:rPr>
          <w:rFonts w:ascii="微软雅黑" w:hAnsi="微软雅黑" w:cs="微软雅黑" w:eastAsia="微软雅黑" w:hint="default"/>
          <w:sz w:val="24"/>
          <w:szCs w:val="24"/>
        </w:rPr>
      </w:pPr>
    </w:p>
    <w:p>
      <w:pPr>
        <w:pStyle w:val="BodyText"/>
        <w:spacing w:line="297" w:lineRule="auto"/>
        <w:ind w:left="214" w:right="1010" w:firstLine="420"/>
        <w:jc w:val="left"/>
      </w:pPr>
      <w:r>
        <w:rPr/>
        <w:t>公司需遵守《深圳证券交易所行业信息披露指引第</w:t>
      </w:r>
      <w:r>
        <w:rPr>
          <w:spacing w:val="-64"/>
        </w:rPr>
        <w:t> </w:t>
      </w:r>
      <w:r>
        <w:rPr>
          <w:rFonts w:ascii="宋体" w:hAnsi="宋体" w:cs="宋体" w:eastAsia="宋体" w:hint="default"/>
        </w:rPr>
        <w:t>12</w:t>
      </w:r>
      <w:r>
        <w:rPr>
          <w:rFonts w:ascii="宋体" w:hAnsi="宋体" w:cs="宋体" w:eastAsia="宋体" w:hint="default"/>
          <w:spacing w:val="-64"/>
        </w:rPr>
        <w:t> </w:t>
      </w:r>
      <w:r>
        <w:rPr/>
        <w:t>号——上市公司从事软件与信息技术服务业务》 的披露要求</w:t>
      </w:r>
    </w:p>
    <w:p>
      <w:pPr>
        <w:pStyle w:val="BodyText"/>
        <w:spacing w:line="508" w:lineRule="exact" w:before="21"/>
        <w:ind w:right="1016"/>
        <w:jc w:val="left"/>
      </w:pPr>
      <w:r>
        <w:rPr>
          <w:rFonts w:ascii="宋体" w:hAnsi="宋体" w:cs="宋体" w:eastAsia="宋体" w:hint="default"/>
        </w:rPr>
        <w:t>1</w:t>
      </w:r>
      <w:r>
        <w:rPr/>
        <w:t>、技术和人才优势 </w:t>
      </w:r>
      <w:r>
        <w:rPr>
          <w:spacing w:val="-1"/>
        </w:rPr>
        <w:t>公司是领先的智能操作系统产品和技术提供商。公司的核心技术全面覆盖智能操作系统技术领域，是</w:t>
      </w:r>
    </w:p>
    <w:p>
      <w:pPr>
        <w:pStyle w:val="BodyText"/>
        <w:spacing w:line="269" w:lineRule="exact"/>
        <w:ind w:left="214" w:right="0"/>
        <w:jc w:val="both"/>
      </w:pPr>
      <w:r>
        <w:rPr/>
        <w:t>国内外少有的能够提供从硬件、软件、应用到云端的全面技术覆盖的操作系统技术公司。由 </w:t>
      </w:r>
      <w:r>
        <w:rPr>
          <w:rFonts w:ascii="宋体" w:hAnsi="宋体" w:cs="宋体" w:eastAsia="宋体" w:hint="default"/>
        </w:rPr>
        <w:t>3000</w:t>
      </w:r>
      <w:r>
        <w:rPr>
          <w:rFonts w:ascii="宋体" w:hAnsi="宋体" w:cs="宋体" w:eastAsia="宋体" w:hint="default"/>
          <w:spacing w:val="-22"/>
        </w:rPr>
        <w:t> </w:t>
      </w:r>
      <w:r>
        <w:rPr/>
        <w:t>余名研</w:t>
      </w:r>
    </w:p>
    <w:p>
      <w:pPr>
        <w:pStyle w:val="BodyText"/>
        <w:spacing w:line="240" w:lineRule="auto" w:before="66"/>
        <w:ind w:left="214" w:right="0"/>
        <w:jc w:val="both"/>
      </w:pPr>
      <w:r>
        <w:rPr/>
        <w:t>发工程师所组成的 </w:t>
      </w:r>
      <w:r>
        <w:rPr>
          <w:rFonts w:ascii="宋体" w:hAnsi="宋体" w:cs="宋体" w:eastAsia="宋体" w:hint="default"/>
        </w:rPr>
        <w:t>50</w:t>
      </w:r>
      <w:r>
        <w:rPr>
          <w:rFonts w:ascii="宋体" w:hAnsi="宋体" w:cs="宋体" w:eastAsia="宋体" w:hint="default"/>
          <w:spacing w:val="-22"/>
        </w:rPr>
        <w:t> </w:t>
      </w:r>
      <w:r>
        <w:rPr/>
        <w:t>多个专业领域技术团队，一直为客户提供高质量的全面一站式技术产品和服务。公</w:t>
      </w:r>
    </w:p>
    <w:p>
      <w:pPr>
        <w:pStyle w:val="BodyText"/>
        <w:spacing w:line="297" w:lineRule="auto" w:before="64"/>
        <w:ind w:left="214" w:right="1109"/>
        <w:jc w:val="both"/>
      </w:pPr>
      <w:r>
        <w:rPr/>
        <w:t>司亦是国内最大的独立操作系统技术公司，通过长达 </w:t>
      </w:r>
      <w:r>
        <w:rPr>
          <w:rFonts w:ascii="宋体" w:hAnsi="宋体" w:cs="宋体" w:eastAsia="宋体" w:hint="default"/>
        </w:rPr>
        <w:t>10</w:t>
      </w:r>
      <w:r>
        <w:rPr>
          <w:rFonts w:ascii="宋体" w:hAnsi="宋体" w:cs="宋体" w:eastAsia="宋体" w:hint="default"/>
          <w:spacing w:val="-22"/>
        </w:rPr>
        <w:t> </w:t>
      </w:r>
      <w:r>
        <w:rPr/>
        <w:t>年的研发投入及积累，在终端安全、嵌入式人工 </w:t>
      </w:r>
      <w:r>
        <w:rPr>
          <w:spacing w:val="-1"/>
        </w:rPr>
        <w:t>智能、智能驾驶舱、人机交互、智能模块等方面都拥有先进的核心技术和产品，并广泛应用在各类智能终</w:t>
      </w:r>
      <w:r>
        <w:rPr>
          <w:spacing w:val="-86"/>
        </w:rPr>
        <w:t> </w:t>
      </w:r>
      <w:r>
        <w:rPr>
          <w:spacing w:val="-86"/>
        </w:rPr>
      </w:r>
      <w:r>
        <w:rPr/>
        <w:t>端中。目前，公司拥有近</w:t>
      </w:r>
      <w:r>
        <w:rPr>
          <w:spacing w:val="-53"/>
        </w:rPr>
        <w:t> </w:t>
      </w:r>
      <w:r>
        <w:rPr>
          <w:rFonts w:ascii="宋体" w:hAnsi="宋体" w:cs="宋体" w:eastAsia="宋体" w:hint="default"/>
        </w:rPr>
        <w:t>1000</w:t>
      </w:r>
      <w:r>
        <w:rPr>
          <w:rFonts w:ascii="宋体" w:hAnsi="宋体" w:cs="宋体" w:eastAsia="宋体" w:hint="default"/>
          <w:spacing w:val="-54"/>
        </w:rPr>
        <w:t> </w:t>
      </w:r>
      <w:r>
        <w:rPr/>
        <w:t>项自主研发的技术专利及软件著作权，在全球范围内拥有约</w:t>
      </w:r>
      <w:r>
        <w:rPr>
          <w:spacing w:val="-53"/>
        </w:rPr>
        <w:t> </w:t>
      </w:r>
      <w:r>
        <w:rPr>
          <w:rFonts w:ascii="宋体" w:hAnsi="宋体" w:cs="宋体" w:eastAsia="宋体" w:hint="default"/>
        </w:rPr>
        <w:t>3500</w:t>
      </w:r>
      <w:r>
        <w:rPr>
          <w:rFonts w:ascii="宋体" w:hAnsi="宋体" w:cs="宋体" w:eastAsia="宋体" w:hint="default"/>
          <w:spacing w:val="-54"/>
        </w:rPr>
        <w:t> </w:t>
      </w:r>
      <w:r>
        <w:rPr/>
        <w:t>名员工， 其中研发人员占比接近</w:t>
      </w:r>
      <w:r>
        <w:rPr>
          <w:spacing w:val="-52"/>
        </w:rPr>
        <w:t> </w:t>
      </w:r>
      <w:r>
        <w:rPr>
          <w:rFonts w:ascii="宋体" w:hAnsi="宋体" w:cs="宋体" w:eastAsia="宋体" w:hint="default"/>
        </w:rPr>
        <w:t>90%</w:t>
      </w:r>
      <w:r>
        <w:rPr/>
        <w:t>。</w:t>
      </w:r>
    </w:p>
    <w:p>
      <w:pPr>
        <w:spacing w:line="240" w:lineRule="auto" w:before="0"/>
        <w:rPr>
          <w:rFonts w:ascii="宋体" w:hAnsi="宋体" w:cs="宋体" w:eastAsia="宋体" w:hint="default"/>
          <w:sz w:val="14"/>
          <w:szCs w:val="14"/>
        </w:rPr>
      </w:pPr>
    </w:p>
    <w:p>
      <w:pPr>
        <w:pStyle w:val="BodyText"/>
        <w:spacing w:line="240" w:lineRule="auto"/>
        <w:ind w:right="1016"/>
        <w:jc w:val="left"/>
      </w:pPr>
      <w:r>
        <w:rPr>
          <w:rFonts w:ascii="宋体" w:hAnsi="宋体" w:cs="宋体" w:eastAsia="宋体" w:hint="default"/>
        </w:rPr>
        <w:t>2</w:t>
      </w:r>
      <w:r>
        <w:rPr/>
        <w:t>、客户资源及产业链整合优势</w:t>
      </w:r>
    </w:p>
    <w:p>
      <w:pPr>
        <w:spacing w:line="240" w:lineRule="auto" w:before="12"/>
        <w:rPr>
          <w:rFonts w:ascii="宋体" w:hAnsi="宋体" w:cs="宋体" w:eastAsia="宋体" w:hint="default"/>
          <w:sz w:val="17"/>
          <w:szCs w:val="17"/>
        </w:rPr>
      </w:pPr>
    </w:p>
    <w:p>
      <w:pPr>
        <w:pStyle w:val="BodyText"/>
        <w:spacing w:line="297" w:lineRule="auto"/>
        <w:ind w:left="214" w:right="1023" w:firstLine="420"/>
        <w:jc w:val="left"/>
      </w:pPr>
      <w:r>
        <w:rPr/>
        <w:t>公司成立于</w:t>
      </w:r>
      <w:r>
        <w:rPr>
          <w:spacing w:val="-55"/>
        </w:rPr>
        <w:t> </w:t>
      </w:r>
      <w:r>
        <w:rPr>
          <w:rFonts w:ascii="宋体" w:hAnsi="宋体" w:cs="宋体" w:eastAsia="宋体" w:hint="default"/>
        </w:rPr>
        <w:t>2008</w:t>
      </w:r>
      <w:r>
        <w:rPr>
          <w:rFonts w:ascii="宋体" w:hAnsi="宋体" w:cs="宋体" w:eastAsia="宋体" w:hint="default"/>
          <w:spacing w:val="-56"/>
        </w:rPr>
        <w:t> </w:t>
      </w:r>
      <w:r>
        <w:rPr/>
        <w:t>年</w:t>
      </w:r>
      <w:r>
        <w:rPr>
          <w:spacing w:val="-57"/>
        </w:rPr>
        <w:t> </w:t>
      </w:r>
      <w:r>
        <w:rPr>
          <w:rFonts w:ascii="宋体" w:hAnsi="宋体" w:cs="宋体" w:eastAsia="宋体" w:hint="default"/>
        </w:rPr>
        <w:t>3</w:t>
      </w:r>
      <w:r>
        <w:rPr>
          <w:rFonts w:ascii="宋体" w:hAnsi="宋体" w:cs="宋体" w:eastAsia="宋体" w:hint="default"/>
          <w:spacing w:val="-55"/>
        </w:rPr>
        <w:t> </w:t>
      </w:r>
      <w:r>
        <w:rPr/>
        <w:t>月，在智能操作系统领域已深耕</w:t>
      </w:r>
      <w:r>
        <w:rPr>
          <w:spacing w:val="-55"/>
        </w:rPr>
        <w:t> </w:t>
      </w:r>
      <w:r>
        <w:rPr>
          <w:rFonts w:ascii="宋体" w:hAnsi="宋体" w:cs="宋体" w:eastAsia="宋体" w:hint="default"/>
        </w:rPr>
        <w:t>11</w:t>
      </w:r>
      <w:r>
        <w:rPr>
          <w:rFonts w:ascii="宋体" w:hAnsi="宋体" w:cs="宋体" w:eastAsia="宋体" w:hint="default"/>
          <w:spacing w:val="-55"/>
        </w:rPr>
        <w:t> </w:t>
      </w:r>
      <w:r>
        <w:rPr/>
        <w:t>年。公司在全球拥有超过</w:t>
      </w:r>
      <w:r>
        <w:rPr>
          <w:spacing w:val="-55"/>
        </w:rPr>
        <w:t> </w:t>
      </w:r>
      <w:r>
        <w:rPr>
          <w:rFonts w:ascii="宋体" w:hAnsi="宋体" w:cs="宋体" w:eastAsia="宋体" w:hint="default"/>
        </w:rPr>
        <w:t>500</w:t>
      </w:r>
      <w:r>
        <w:rPr>
          <w:rFonts w:ascii="宋体" w:hAnsi="宋体" w:cs="宋体" w:eastAsia="宋体" w:hint="default"/>
          <w:spacing w:val="-55"/>
        </w:rPr>
        <w:t> </w:t>
      </w:r>
      <w:r>
        <w:rPr/>
        <w:t>家客户，并覆 盖了超过</w:t>
      </w:r>
      <w:r>
        <w:rPr>
          <w:spacing w:val="-58"/>
        </w:rPr>
        <w:t> </w:t>
      </w:r>
      <w:r>
        <w:rPr>
          <w:rFonts w:ascii="宋体" w:hAnsi="宋体" w:cs="宋体" w:eastAsia="宋体" w:hint="default"/>
        </w:rPr>
        <w:t>1/4</w:t>
      </w:r>
      <w:r>
        <w:rPr>
          <w:rFonts w:ascii="宋体" w:hAnsi="宋体" w:cs="宋体" w:eastAsia="宋体" w:hint="default"/>
          <w:spacing w:val="-58"/>
        </w:rPr>
        <w:t> </w:t>
      </w:r>
      <w:r>
        <w:rPr/>
        <w:t>的产业链内世界五百强企业。受益于操作系统天然的垂直整合优势，公司与产业链内包括芯 片、终端、运营商、软件与互联网厂商以及运营商等建立了多渠道、多方位的合作关系。作为一家技术驱 动型企业，公司不仅坚持自我创新，也注重扶持创新。一方面与高通、</w:t>
      </w:r>
      <w:r>
        <w:rPr>
          <w:rFonts w:ascii="宋体" w:hAnsi="宋体" w:cs="宋体" w:eastAsia="宋体" w:hint="default"/>
        </w:rPr>
        <w:t>Intel</w:t>
      </w:r>
      <w:r>
        <w:rPr/>
        <w:t>、</w:t>
      </w:r>
      <w:r>
        <w:rPr>
          <w:rFonts w:ascii="宋体" w:hAnsi="宋体" w:cs="宋体" w:eastAsia="宋体" w:hint="default"/>
        </w:rPr>
        <w:t>TI</w:t>
      </w:r>
      <w:r>
        <w:rPr/>
        <w:t>、</w:t>
      </w:r>
      <w:r>
        <w:rPr>
          <w:rFonts w:ascii="宋体" w:hAnsi="宋体" w:cs="宋体" w:eastAsia="宋体" w:hint="default"/>
        </w:rPr>
        <w:t>SONY</w:t>
      </w:r>
      <w:r>
        <w:rPr/>
        <w:t>、</w:t>
      </w:r>
      <w:r>
        <w:rPr>
          <w:rFonts w:ascii="宋体" w:hAnsi="宋体" w:cs="宋体" w:eastAsia="宋体" w:hint="default"/>
        </w:rPr>
        <w:t>QNX</w:t>
      </w:r>
      <w:r>
        <w:rPr/>
        <w:t>、</w:t>
      </w:r>
      <w:r>
        <w:rPr>
          <w:rFonts w:ascii="宋体" w:hAnsi="宋体" w:cs="宋体" w:eastAsia="宋体" w:hint="default"/>
        </w:rPr>
        <w:t>NXP</w:t>
      </w:r>
      <w:r>
        <w:rPr>
          <w:rFonts w:ascii="宋体" w:hAnsi="宋体" w:cs="宋体" w:eastAsia="宋体" w:hint="default"/>
          <w:spacing w:val="-24"/>
        </w:rPr>
        <w:t> </w:t>
      </w:r>
      <w:r>
        <w:rPr/>
        <w:t>等分 别运营了多个联合实验室；同时与 </w:t>
      </w:r>
      <w:r>
        <w:rPr>
          <w:rFonts w:ascii="宋体" w:hAnsi="宋体" w:cs="宋体" w:eastAsia="宋体" w:hint="default"/>
        </w:rPr>
        <w:t>ARM</w:t>
      </w:r>
      <w:r>
        <w:rPr/>
        <w:t>、高通、</w:t>
      </w:r>
      <w:r>
        <w:rPr>
          <w:rFonts w:ascii="宋体" w:hAnsi="宋体" w:cs="宋体" w:eastAsia="宋体" w:hint="default"/>
        </w:rPr>
        <w:t>Intel</w:t>
      </w:r>
      <w:r>
        <w:rPr>
          <w:rFonts w:ascii="宋体" w:hAnsi="宋体" w:cs="宋体" w:eastAsia="宋体" w:hint="default"/>
          <w:spacing w:val="-24"/>
        </w:rPr>
        <w:t> </w:t>
      </w:r>
      <w:r>
        <w:rPr/>
        <w:t>分别成立合资公司：安创空间加速器、重庆创通联 </w:t>
      </w:r>
      <w:r>
        <w:rPr>
          <w:spacing w:val="-3"/>
        </w:rPr>
        <w:t>达、台湾聚引，为各类智能终端产业链内企业及创新创业者提供产业平台，推动智能终端产业的技术发展；</w:t>
      </w:r>
      <w:r>
        <w:rPr>
          <w:spacing w:val="-90"/>
        </w:rPr>
        <w:t> </w:t>
      </w:r>
      <w:r>
        <w:rPr>
          <w:spacing w:val="-90"/>
        </w:rPr>
      </w:r>
      <w:r>
        <w:rPr/>
        <w:t>并与重庆临空远翔股权投资基金、重庆天使投资引导基金、北极光创投共同成立产业投资基金，整合资源</w:t>
      </w:r>
      <w:r>
        <w:rPr/>
        <w:t> 助力创新。</w:t>
      </w:r>
    </w:p>
    <w:p>
      <w:pPr>
        <w:pStyle w:val="BodyText"/>
        <w:spacing w:line="508" w:lineRule="exact" w:before="21"/>
        <w:ind w:right="1016"/>
        <w:jc w:val="left"/>
      </w:pPr>
      <w:r>
        <w:rPr>
          <w:rFonts w:ascii="宋体" w:hAnsi="宋体" w:cs="宋体" w:eastAsia="宋体" w:hint="default"/>
        </w:rPr>
        <w:t>3</w:t>
      </w:r>
      <w:r>
        <w:rPr/>
        <w:t>、国际化专业团队 </w:t>
      </w:r>
      <w:r>
        <w:rPr>
          <w:spacing w:val="-1"/>
        </w:rPr>
        <w:t>公司拥有一支对操作系统技术具有深入理解的国际化专业团队。公司总部位于北京，分子公司及研发</w:t>
      </w:r>
    </w:p>
    <w:p>
      <w:pPr>
        <w:pStyle w:val="BodyText"/>
        <w:spacing w:line="297" w:lineRule="auto"/>
        <w:ind w:left="214" w:right="1110"/>
        <w:jc w:val="both"/>
      </w:pPr>
      <w:r>
        <w:rPr/>
        <w:t>中心分布于全球 </w:t>
      </w:r>
      <w:r>
        <w:rPr>
          <w:rFonts w:ascii="宋体" w:hAnsi="宋体" w:cs="宋体" w:eastAsia="宋体" w:hint="default"/>
        </w:rPr>
        <w:t>24</w:t>
      </w:r>
      <w:r>
        <w:rPr>
          <w:rFonts w:ascii="宋体" w:hAnsi="宋体" w:cs="宋体" w:eastAsia="宋体" w:hint="default"/>
          <w:spacing w:val="-22"/>
        </w:rPr>
        <w:t> </w:t>
      </w:r>
      <w:r>
        <w:rPr/>
        <w:t>个地区。包括深圳、上海、南京、成都、重庆、武汉、西安、沈阳、大连、台北、香 港、新加坡、美国硅谷、美国圣迭戈、美国底特律、加拿大多伦多、日本东京、日本名古屋、韩国首尔、 </w:t>
      </w:r>
      <w:r>
        <w:rPr>
          <w:spacing w:val="-1"/>
        </w:rPr>
        <w:t>芬兰赫尔辛基、保加利亚索菲亚、德国慕尼黑、马来西亚槟城、印度海得拉巴。为全球客户提供便捷、高</w:t>
      </w:r>
      <w:r>
        <w:rPr>
          <w:spacing w:val="-83"/>
        </w:rPr>
        <w:t> </w:t>
      </w:r>
      <w:r>
        <w:rPr>
          <w:spacing w:val="-83"/>
        </w:rPr>
      </w:r>
      <w:r>
        <w:rPr/>
        <w:t>效的技术服务和本地支持。</w:t>
      </w:r>
    </w:p>
    <w:p>
      <w:pPr>
        <w:spacing w:after="0" w:line="297" w:lineRule="auto"/>
        <w:jc w:val="both"/>
        <w:sectPr>
          <w:pgSz w:w="11910" w:h="16840"/>
          <w:pgMar w:header="801" w:footer="1007" w:top="1100" w:bottom="120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441" w:lineRule="exact"/>
        <w:ind w:left="2973" w:right="1116"/>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64"/>
        </w:rPr>
        <w:t> </w:t>
      </w:r>
      <w:r>
        <w:rPr/>
        <w:t>经营情况讨论与分析</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1"/>
        <w:rPr>
          <w:rFonts w:ascii="微软雅黑" w:hAnsi="微软雅黑" w:cs="微软雅黑" w:eastAsia="微软雅黑" w:hint="default"/>
          <w:b/>
          <w:bCs/>
          <w:sz w:val="29"/>
          <w:szCs w:val="29"/>
        </w:rPr>
      </w:pPr>
    </w:p>
    <w:p>
      <w:pPr>
        <w:pStyle w:val="Heading2"/>
        <w:spacing w:line="397" w:lineRule="exact"/>
        <w:ind w:left="154" w:right="0"/>
        <w:jc w:val="both"/>
      </w:pPr>
      <w:bookmarkStart w:name="一、概述" w:id="23"/>
      <w:bookmarkEnd w:id="23"/>
      <w:r>
        <w:rPr/>
      </w:r>
      <w:r>
        <w:rPr/>
        <w:t>一、概述</w:t>
      </w:r>
    </w:p>
    <w:p>
      <w:pPr>
        <w:spacing w:line="240" w:lineRule="auto" w:before="13"/>
        <w:rPr>
          <w:rFonts w:ascii="微软雅黑" w:hAnsi="微软雅黑" w:cs="微软雅黑" w:eastAsia="微软雅黑" w:hint="default"/>
          <w:sz w:val="24"/>
          <w:szCs w:val="24"/>
        </w:rPr>
      </w:pPr>
    </w:p>
    <w:p>
      <w:pPr>
        <w:pStyle w:val="BodyText"/>
        <w:spacing w:line="240" w:lineRule="auto"/>
        <w:ind w:left="574" w:right="0"/>
        <w:jc w:val="left"/>
      </w:pPr>
      <w:r>
        <w:rPr>
          <w:rFonts w:ascii="宋体" w:hAnsi="宋体" w:cs="宋体" w:eastAsia="宋体" w:hint="default"/>
        </w:rPr>
        <w:t>2018</w:t>
      </w:r>
      <w:r>
        <w:rPr>
          <w:rFonts w:ascii="宋体" w:hAnsi="宋体" w:cs="宋体" w:eastAsia="宋体" w:hint="default"/>
          <w:spacing w:val="-47"/>
        </w:rPr>
        <w:t> </w:t>
      </w:r>
      <w:r>
        <w:rPr>
          <w:spacing w:val="-2"/>
        </w:rPr>
        <w:t>年度，公司专注于主营业务发展，通过技术创新赋能产品，为客户创造更多价值。公司整体经营</w:t>
      </w:r>
    </w:p>
    <w:p>
      <w:pPr>
        <w:pStyle w:val="BodyText"/>
        <w:spacing w:line="297" w:lineRule="auto" w:before="64"/>
        <w:ind w:left="154" w:right="1130"/>
        <w:jc w:val="both"/>
      </w:pPr>
      <w:r>
        <w:rPr/>
        <w:t>情况持续向好，销售额稳定攀升，利润显著提高。报告期内公司实现营业收入 </w:t>
      </w:r>
      <w:r>
        <w:rPr>
          <w:rFonts w:ascii="宋体" w:hAnsi="宋体" w:cs="宋体" w:eastAsia="宋体" w:hint="default"/>
        </w:rPr>
        <w:t>146,458.37</w:t>
      </w:r>
      <w:r>
        <w:rPr>
          <w:rFonts w:ascii="宋体" w:hAnsi="宋体" w:cs="宋体" w:eastAsia="宋体" w:hint="default"/>
          <w:spacing w:val="-24"/>
        </w:rPr>
        <w:t> </w:t>
      </w:r>
      <w:r>
        <w:rPr/>
        <w:t>万元，较上年 同期增长</w:t>
      </w:r>
      <w:r>
        <w:rPr>
          <w:spacing w:val="-33"/>
        </w:rPr>
        <w:t> </w:t>
      </w:r>
      <w:r>
        <w:rPr>
          <w:rFonts w:ascii="宋体" w:hAnsi="宋体" w:cs="宋体" w:eastAsia="宋体" w:hint="default"/>
        </w:rPr>
        <w:t>26%</w:t>
      </w:r>
      <w:r>
        <w:rPr/>
        <w:t>，实现归属于上市公司股东的净利润</w:t>
      </w:r>
      <w:r>
        <w:rPr>
          <w:spacing w:val="-33"/>
        </w:rPr>
        <w:t> </w:t>
      </w:r>
      <w:r>
        <w:rPr>
          <w:rFonts w:ascii="宋体" w:hAnsi="宋体" w:cs="宋体" w:eastAsia="宋体" w:hint="default"/>
        </w:rPr>
        <w:t>16,430.43</w:t>
      </w:r>
      <w:r>
        <w:rPr>
          <w:rFonts w:ascii="宋体" w:hAnsi="宋体" w:cs="宋体" w:eastAsia="宋体" w:hint="default"/>
          <w:spacing w:val="-32"/>
        </w:rPr>
        <w:t> </w:t>
      </w:r>
      <w:r>
        <w:rPr/>
        <w:t>万元，较上年同期增长</w:t>
      </w:r>
      <w:r>
        <w:rPr>
          <w:spacing w:val="-33"/>
        </w:rPr>
        <w:t> </w:t>
      </w:r>
      <w:r>
        <w:rPr>
          <w:rFonts w:ascii="宋体" w:hAnsi="宋体" w:cs="宋体" w:eastAsia="宋体" w:hint="default"/>
        </w:rPr>
        <w:t>110.53%</w:t>
      </w:r>
      <w:r>
        <w:rPr/>
        <w:t>。主要经营 情况如下：</w:t>
      </w:r>
    </w:p>
    <w:p>
      <w:pPr>
        <w:pStyle w:val="BodyText"/>
        <w:spacing w:line="508" w:lineRule="exact" w:before="21"/>
        <w:ind w:left="574" w:right="1116"/>
        <w:jc w:val="left"/>
      </w:pPr>
      <w:r>
        <w:rPr/>
        <w:t>（一）以智能操作系统技术为核心，不断提高技术壁垒，加强客户粘性，提升盈利能力； </w:t>
      </w:r>
      <w:r>
        <w:rPr>
          <w:spacing w:val="-1"/>
        </w:rPr>
        <w:t>公司始终将智能操作系统技术作为核心竞争力，从创立至今对操作系统各层面技术进行研发。公司的</w:t>
      </w:r>
    </w:p>
    <w:p>
      <w:pPr>
        <w:pStyle w:val="BodyText"/>
        <w:spacing w:line="297" w:lineRule="auto"/>
        <w:ind w:left="154" w:right="1131"/>
        <w:jc w:val="both"/>
      </w:pPr>
      <w:r>
        <w:rPr/>
        <w:t>核心技术涵盖了操作系统优化、用户体验和功能、终端安全</w:t>
      </w:r>
      <w:r>
        <w:rPr>
          <w:rFonts w:ascii="宋体" w:hAnsi="宋体" w:cs="宋体" w:eastAsia="宋体" w:hint="default"/>
        </w:rPr>
        <w:t>/</w:t>
      </w:r>
      <w:r>
        <w:rPr/>
        <w:t>可管理性和软件工程等多个方面。这些核心</w:t>
      </w:r>
      <w:r>
        <w:rPr>
          <w:spacing w:val="-28"/>
        </w:rPr>
        <w:t> </w:t>
      </w:r>
      <w:r>
        <w:rPr>
          <w:spacing w:val="-28"/>
        </w:rPr>
      </w:r>
      <w:r>
        <w:rPr>
          <w:spacing w:val="-1"/>
        </w:rPr>
        <w:t>技术能够为终端产品带来更高的性能、为使用者带来更好的体验从而帮助客户实现低成本及差异化。经过</w:t>
      </w:r>
      <w:r>
        <w:rPr>
          <w:spacing w:val="-81"/>
        </w:rPr>
        <w:t> </w:t>
      </w:r>
      <w:r>
        <w:rPr>
          <w:spacing w:val="-81"/>
        </w:rPr>
      </w:r>
      <w:r>
        <w:rPr>
          <w:spacing w:val="-1"/>
        </w:rPr>
        <w:t>多年积累，公司学习曲线效应明显，已建立起围绕智能操作系统技术的进入壁垒。报告期内，公司业务毛</w:t>
      </w:r>
      <w:r>
        <w:rPr>
          <w:spacing w:val="-86"/>
        </w:rPr>
        <w:t> </w:t>
      </w:r>
      <w:r>
        <w:rPr>
          <w:spacing w:val="-86"/>
        </w:rPr>
      </w:r>
      <w:r>
        <w:rPr/>
        <w:t>利率</w:t>
      </w:r>
      <w:r>
        <w:rPr>
          <w:spacing w:val="-65"/>
        </w:rPr>
        <w:t> </w:t>
      </w:r>
      <w:r>
        <w:rPr>
          <w:rFonts w:ascii="宋体" w:hAnsi="宋体" w:cs="宋体" w:eastAsia="宋体" w:hint="default"/>
        </w:rPr>
        <w:t>41.71%</w:t>
      </w:r>
      <w:r>
        <w:rPr/>
        <w:t>，较上年增加</w:t>
      </w:r>
      <w:r>
        <w:rPr>
          <w:spacing w:val="-65"/>
        </w:rPr>
        <w:t> </w:t>
      </w:r>
      <w:r>
        <w:rPr>
          <w:rFonts w:ascii="宋体" w:hAnsi="宋体" w:cs="宋体" w:eastAsia="宋体" w:hint="default"/>
        </w:rPr>
        <w:t>5</w:t>
      </w:r>
      <w:r>
        <w:rPr>
          <w:rFonts w:ascii="宋体" w:hAnsi="宋体" w:cs="宋体" w:eastAsia="宋体" w:hint="default"/>
          <w:spacing w:val="-64"/>
        </w:rPr>
        <w:t> </w:t>
      </w:r>
      <w:r>
        <w:rPr/>
        <w:t>个百分点。其中，智能系统软件业务实现营业收入</w:t>
      </w:r>
      <w:r>
        <w:rPr>
          <w:spacing w:val="-64"/>
        </w:rPr>
        <w:t> </w:t>
      </w:r>
      <w:r>
        <w:rPr>
          <w:rFonts w:ascii="宋体" w:hAnsi="宋体" w:cs="宋体" w:eastAsia="宋体" w:hint="default"/>
        </w:rPr>
        <w:t>84,910.74</w:t>
      </w:r>
      <w:r>
        <w:rPr>
          <w:rFonts w:ascii="宋体" w:hAnsi="宋体" w:cs="宋体" w:eastAsia="宋体" w:hint="default"/>
          <w:spacing w:val="-64"/>
        </w:rPr>
        <w:t> </w:t>
      </w:r>
      <w:r>
        <w:rPr>
          <w:spacing w:val="-3"/>
        </w:rPr>
        <w:t>万元，较上年同</w:t>
      </w:r>
      <w:r>
        <w:rPr/>
        <w:t> 期增长</w:t>
      </w:r>
      <w:r>
        <w:rPr>
          <w:spacing w:val="-53"/>
        </w:rPr>
        <w:t> </w:t>
      </w:r>
      <w:r>
        <w:rPr>
          <w:rFonts w:ascii="宋体" w:hAnsi="宋体" w:cs="宋体" w:eastAsia="宋体" w:hint="default"/>
        </w:rPr>
        <w:t>13.9%</w:t>
      </w:r>
      <w:r>
        <w:rPr/>
        <w:t>。</w:t>
      </w:r>
    </w:p>
    <w:p>
      <w:pPr>
        <w:spacing w:line="240" w:lineRule="auto" w:before="1"/>
        <w:rPr>
          <w:rFonts w:ascii="宋体" w:hAnsi="宋体" w:cs="宋体" w:eastAsia="宋体" w:hint="default"/>
          <w:sz w:val="14"/>
          <w:szCs w:val="14"/>
        </w:rPr>
      </w:pPr>
    </w:p>
    <w:p>
      <w:pPr>
        <w:pStyle w:val="BodyText"/>
        <w:spacing w:line="297" w:lineRule="auto"/>
        <w:ind w:left="154" w:right="1116" w:firstLine="420"/>
        <w:jc w:val="left"/>
      </w:pPr>
      <w:r>
        <w:rPr/>
        <w:t>（二）与产业链内企业开展生态合作，扩大 </w:t>
      </w:r>
      <w:r>
        <w:rPr>
          <w:rFonts w:ascii="宋体" w:hAnsi="宋体" w:cs="宋体" w:eastAsia="宋体" w:hint="default"/>
        </w:rPr>
        <w:t>TurboX</w:t>
      </w:r>
      <w:r>
        <w:rPr>
          <w:rFonts w:ascii="宋体" w:hAnsi="宋体" w:cs="宋体" w:eastAsia="宋体" w:hint="default"/>
          <w:spacing w:val="-24"/>
        </w:rPr>
        <w:t> </w:t>
      </w:r>
      <w:r>
        <w:rPr/>
        <w:t>智能大脑平台产品的市场影响力，带动智能物联 网硬件产品的出货量，驱动盈利增长；</w:t>
      </w:r>
    </w:p>
    <w:p>
      <w:pPr>
        <w:spacing w:line="240" w:lineRule="auto" w:before="12"/>
        <w:rPr>
          <w:rFonts w:ascii="宋体" w:hAnsi="宋体" w:cs="宋体" w:eastAsia="宋体" w:hint="default"/>
          <w:sz w:val="13"/>
          <w:szCs w:val="13"/>
        </w:rPr>
      </w:pPr>
    </w:p>
    <w:p>
      <w:pPr>
        <w:pStyle w:val="BodyText"/>
        <w:spacing w:line="297" w:lineRule="auto"/>
        <w:ind w:left="154" w:right="1011" w:firstLine="420"/>
        <w:jc w:val="left"/>
      </w:pPr>
      <w:r>
        <w:rPr/>
        <w:t>公司于</w:t>
      </w:r>
      <w:r>
        <w:rPr>
          <w:spacing w:val="-33"/>
        </w:rPr>
        <w:t> </w:t>
      </w:r>
      <w:r>
        <w:rPr>
          <w:rFonts w:ascii="宋体" w:hAnsi="宋体" w:cs="宋体" w:eastAsia="宋体" w:hint="default"/>
        </w:rPr>
        <w:t>2016</w:t>
      </w:r>
      <w:r>
        <w:rPr>
          <w:rFonts w:ascii="宋体" w:hAnsi="宋体" w:cs="宋体" w:eastAsia="宋体" w:hint="default"/>
          <w:spacing w:val="-34"/>
        </w:rPr>
        <w:t> </w:t>
      </w:r>
      <w:r>
        <w:rPr/>
        <w:t>年推出“核心板</w:t>
      </w:r>
      <w:r>
        <w:rPr>
          <w:rFonts w:ascii="宋体" w:hAnsi="宋体" w:cs="宋体" w:eastAsia="宋体" w:hint="default"/>
        </w:rPr>
        <w:t>+</w:t>
      </w:r>
      <w:r>
        <w:rPr/>
        <w:t>操作系统</w:t>
      </w:r>
      <w:r>
        <w:rPr>
          <w:rFonts w:ascii="宋体" w:hAnsi="宋体" w:cs="宋体" w:eastAsia="宋体" w:hint="default"/>
        </w:rPr>
        <w:t>+</w:t>
      </w:r>
      <w:r>
        <w:rPr/>
        <w:t>核心算法”一体化的</w:t>
      </w:r>
      <w:r>
        <w:rPr>
          <w:spacing w:val="-33"/>
        </w:rPr>
        <w:t> </w:t>
      </w:r>
      <w:r>
        <w:rPr>
          <w:rFonts w:ascii="宋体" w:hAnsi="宋体" w:cs="宋体" w:eastAsia="宋体" w:hint="default"/>
        </w:rPr>
        <w:t>SoM</w:t>
      </w:r>
      <w:r>
        <w:rPr>
          <w:rFonts w:ascii="宋体" w:hAnsi="宋体" w:cs="宋体" w:eastAsia="宋体" w:hint="default"/>
          <w:spacing w:val="-1"/>
        </w:rPr>
        <w:t> </w:t>
      </w:r>
      <w:r>
        <w:rPr>
          <w:rFonts w:ascii="宋体" w:hAnsi="宋体" w:cs="宋体" w:eastAsia="宋体" w:hint="default"/>
        </w:rPr>
        <w:t>(System</w:t>
      </w:r>
      <w:r>
        <w:rPr>
          <w:rFonts w:ascii="宋体" w:hAnsi="宋体" w:cs="宋体" w:eastAsia="宋体" w:hint="default"/>
          <w:spacing w:val="-1"/>
        </w:rPr>
        <w:t> </w:t>
      </w:r>
      <w:r>
        <w:rPr>
          <w:rFonts w:ascii="宋体" w:hAnsi="宋体" w:cs="宋体" w:eastAsia="宋体" w:hint="default"/>
        </w:rPr>
        <w:t>on</w:t>
      </w:r>
      <w:r>
        <w:rPr>
          <w:rFonts w:ascii="宋体" w:hAnsi="宋体" w:cs="宋体" w:eastAsia="宋体" w:hint="default"/>
          <w:spacing w:val="-1"/>
        </w:rPr>
        <w:t> </w:t>
      </w:r>
      <w:r>
        <w:rPr>
          <w:rFonts w:ascii="宋体" w:hAnsi="宋体" w:cs="宋体" w:eastAsia="宋体" w:hint="default"/>
        </w:rPr>
        <w:t>Module)</w:t>
      </w:r>
      <w:r>
        <w:rPr/>
        <w:t>产品。</w:t>
      </w:r>
      <w:r>
        <w:rPr>
          <w:rFonts w:ascii="宋体" w:hAnsi="宋体" w:cs="宋体" w:eastAsia="宋体" w:hint="default"/>
        </w:rPr>
        <w:t>SoM</w:t>
      </w:r>
      <w:r>
        <w:rPr>
          <w:rFonts w:ascii="宋体" w:hAnsi="宋体" w:cs="宋体" w:eastAsia="宋体" w:hint="default"/>
          <w:spacing w:val="-33"/>
        </w:rPr>
        <w:t> </w:t>
      </w:r>
      <w:r>
        <w:rPr/>
        <w:t>作 为物联网领域智能硬件产品的“大脑”，终端厂商采购</w:t>
      </w:r>
      <w:r>
        <w:rPr>
          <w:spacing w:val="-58"/>
        </w:rPr>
        <w:t> </w:t>
      </w:r>
      <w:r>
        <w:rPr>
          <w:rFonts w:ascii="宋体" w:hAnsi="宋体" w:cs="宋体" w:eastAsia="宋体" w:hint="default"/>
        </w:rPr>
        <w:t>SoM</w:t>
      </w:r>
      <w:r>
        <w:rPr>
          <w:rFonts w:ascii="宋体" w:hAnsi="宋体" w:cs="宋体" w:eastAsia="宋体" w:hint="default"/>
          <w:spacing w:val="-58"/>
        </w:rPr>
        <w:t> </w:t>
      </w:r>
      <w:r>
        <w:rPr/>
        <w:t>核心板并进行产品化开发，可以降低产品开发 门槛及成本，缩短产品上市时间，最终实现具有竞争力的物联网终端产品。在行业级物联网市场中，公司 </w:t>
      </w:r>
      <w:r>
        <w:rPr>
          <w:spacing w:val="-4"/>
        </w:rPr>
        <w:t>根据应用场景及客户需求，以 </w:t>
      </w:r>
      <w:r>
        <w:rPr>
          <w:rFonts w:ascii="宋体" w:hAnsi="宋体" w:cs="宋体" w:eastAsia="宋体" w:hint="default"/>
        </w:rPr>
        <w:t>SoM</w:t>
      </w:r>
      <w:r>
        <w:rPr>
          <w:rFonts w:ascii="宋体" w:hAnsi="宋体" w:cs="宋体" w:eastAsia="宋体" w:hint="default"/>
          <w:spacing w:val="-82"/>
        </w:rPr>
        <w:t> </w:t>
      </w:r>
      <w:r>
        <w:rPr>
          <w:spacing w:val="-3"/>
        </w:rPr>
        <w:t>为硬件平台，为行业客户提供定制化操作系统，并匹配智能算法及应用，</w:t>
      </w:r>
      <w:r>
        <w:rPr/>
        <w:t> 提供从嵌入式端到云端的一站式解决方案。报告期内，公司物联网业务实现营业收入</w:t>
      </w:r>
      <w:r>
        <w:rPr>
          <w:spacing w:val="-58"/>
        </w:rPr>
        <w:t> </w:t>
      </w:r>
      <w:r>
        <w:rPr>
          <w:rFonts w:ascii="宋体" w:hAnsi="宋体" w:cs="宋体" w:eastAsia="宋体" w:hint="default"/>
        </w:rPr>
        <w:t>33,618.85</w:t>
      </w:r>
      <w:r>
        <w:rPr>
          <w:rFonts w:ascii="宋体" w:hAnsi="宋体" w:cs="宋体" w:eastAsia="宋体" w:hint="default"/>
          <w:spacing w:val="-58"/>
        </w:rPr>
        <w:t> </w:t>
      </w:r>
      <w:r>
        <w:rPr/>
        <w:t>万元，较 上年同期增长约</w:t>
      </w:r>
      <w:r>
        <w:rPr>
          <w:spacing w:val="-54"/>
        </w:rPr>
        <w:t> </w:t>
      </w:r>
      <w:r>
        <w:rPr>
          <w:rFonts w:ascii="宋体" w:hAnsi="宋体" w:cs="宋体" w:eastAsia="宋体" w:hint="default"/>
        </w:rPr>
        <w:t>28%</w:t>
      </w:r>
      <w:r>
        <w:rPr/>
        <w:t>；毛利率水平接近</w:t>
      </w:r>
      <w:r>
        <w:rPr>
          <w:spacing w:val="-55"/>
        </w:rPr>
        <w:t> </w:t>
      </w:r>
      <w:r>
        <w:rPr>
          <w:rFonts w:ascii="宋体" w:hAnsi="宋体" w:cs="宋体" w:eastAsia="宋体" w:hint="default"/>
        </w:rPr>
        <w:t>20%</w:t>
      </w:r>
      <w:r>
        <w:rPr/>
        <w:t>，较上年同期增加约</w:t>
      </w:r>
      <w:r>
        <w:rPr>
          <w:spacing w:val="-55"/>
        </w:rPr>
        <w:t> </w:t>
      </w:r>
      <w:r>
        <w:rPr>
          <w:rFonts w:ascii="宋体" w:hAnsi="宋体" w:cs="宋体" w:eastAsia="宋体" w:hint="default"/>
        </w:rPr>
        <w:t>10</w:t>
      </w:r>
      <w:r>
        <w:rPr>
          <w:rFonts w:ascii="宋体" w:hAnsi="宋体" w:cs="宋体" w:eastAsia="宋体" w:hint="default"/>
          <w:spacing w:val="-54"/>
        </w:rPr>
        <w:t> </w:t>
      </w:r>
      <w:r>
        <w:rPr/>
        <w:t>个百分点。</w:t>
      </w:r>
    </w:p>
    <w:p>
      <w:pPr>
        <w:pStyle w:val="BodyText"/>
        <w:spacing w:line="508" w:lineRule="exact" w:before="22"/>
        <w:ind w:left="574" w:right="1017"/>
        <w:jc w:val="left"/>
      </w:pPr>
      <w:r>
        <w:rPr>
          <w:spacing w:val="-3"/>
        </w:rPr>
        <w:t>（三）通过平台产品取得竞争优势，实现智能网联汽车业务的多种收费模式，完成商业模式转型升级；</w:t>
      </w:r>
      <w:r>
        <w:rPr>
          <w:spacing w:val="-96"/>
        </w:rPr>
        <w:t> </w:t>
      </w:r>
      <w:r>
        <w:rPr>
          <w:spacing w:val="-96"/>
        </w:rPr>
      </w:r>
      <w:r>
        <w:rPr/>
        <w:t>公司自 </w:t>
      </w:r>
      <w:r>
        <w:rPr>
          <w:rFonts w:ascii="宋体" w:hAnsi="宋体" w:cs="宋体" w:eastAsia="宋体" w:hint="default"/>
        </w:rPr>
        <w:t>2013</w:t>
      </w:r>
      <w:r>
        <w:rPr>
          <w:rFonts w:ascii="宋体" w:hAnsi="宋体" w:cs="宋体" w:eastAsia="宋体" w:hint="default"/>
          <w:spacing w:val="-22"/>
        </w:rPr>
        <w:t> </w:t>
      </w:r>
      <w:r>
        <w:rPr/>
        <w:t>年开始布局智能网联汽车业务，专注于打造基于公司智能操作系统技术的智能网联汽车</w:t>
      </w:r>
    </w:p>
    <w:p>
      <w:pPr>
        <w:pStyle w:val="BodyText"/>
        <w:spacing w:line="297" w:lineRule="auto"/>
        <w:ind w:left="154" w:right="1042"/>
        <w:jc w:val="left"/>
      </w:pPr>
      <w:r>
        <w:rPr/>
        <w:t>平台产品，赋能全球汽车产业的数字化变革。在成功推出以车载信息娱乐系统为核心的第一代智能网联汽 车产品后，公司的产品技术得到了业界的广泛认可，积累了优质且丰富的客户资源。目前公司面向智能网 联汽车客户推出智能驾驶舱产品，该产品融合了公司智能操作系统技术 、</w:t>
      </w:r>
      <w:r>
        <w:rPr>
          <w:rFonts w:ascii="宋体" w:hAnsi="宋体" w:cs="宋体" w:eastAsia="宋体" w:hint="default"/>
        </w:rPr>
        <w:t>Righware Kanzi</w:t>
      </w:r>
      <w:r>
        <w:rPr/>
        <w:t>®</w:t>
      </w:r>
      <w:r>
        <w:rPr>
          <w:rFonts w:ascii="宋体" w:hAnsi="宋体" w:cs="宋体" w:eastAsia="宋体" w:hint="default"/>
        </w:rPr>
        <w:t>3D</w:t>
      </w:r>
      <w:r>
        <w:rPr>
          <w:rFonts w:ascii="宋体" w:hAnsi="宋体" w:cs="宋体" w:eastAsia="宋体" w:hint="default"/>
          <w:spacing w:val="-55"/>
        </w:rPr>
        <w:t> </w:t>
      </w:r>
      <w:r>
        <w:rPr/>
        <w:t>开发技术、 智能视觉人工智能技术。公司智能驾驶舱产品的</w:t>
      </w:r>
      <w:r>
        <w:rPr>
          <w:spacing w:val="-47"/>
        </w:rPr>
        <w:t> </w:t>
      </w:r>
      <w:r>
        <w:rPr>
          <w:rFonts w:ascii="宋体" w:hAnsi="宋体" w:cs="宋体" w:eastAsia="宋体" w:hint="default"/>
        </w:rPr>
        <w:t>HMI</w:t>
      </w:r>
      <w:r>
        <w:rPr>
          <w:rFonts w:ascii="宋体" w:hAnsi="宋体" w:cs="宋体" w:eastAsia="宋体" w:hint="default"/>
          <w:spacing w:val="-47"/>
        </w:rPr>
        <w:t> </w:t>
      </w:r>
      <w:r>
        <w:rPr/>
        <w:t>系统由</w:t>
      </w:r>
      <w:r>
        <w:rPr>
          <w:spacing w:val="-48"/>
        </w:rPr>
        <w:t> </w:t>
      </w:r>
      <w:r>
        <w:rPr>
          <w:rFonts w:ascii="宋体" w:hAnsi="宋体" w:cs="宋体" w:eastAsia="宋体" w:hint="default"/>
        </w:rPr>
        <w:t>Rightware</w:t>
      </w:r>
      <w:r>
        <w:rPr>
          <w:rFonts w:ascii="宋体" w:hAnsi="宋体" w:cs="宋体" w:eastAsia="宋体" w:hint="default"/>
          <w:spacing w:val="-48"/>
        </w:rPr>
        <w:t> </w:t>
      </w:r>
      <w:r>
        <w:rPr/>
        <w:t>的</w:t>
      </w:r>
      <w:r>
        <w:rPr>
          <w:spacing w:val="-48"/>
        </w:rPr>
        <w:t> </w:t>
      </w:r>
      <w:r>
        <w:rPr>
          <w:rFonts w:ascii="宋体" w:hAnsi="宋体" w:cs="宋体" w:eastAsia="宋体" w:hint="default"/>
        </w:rPr>
        <w:t>Kanzi</w:t>
      </w:r>
      <w:r>
        <w:rPr/>
        <w:t>®</w:t>
      </w:r>
      <w:r>
        <w:rPr>
          <w:spacing w:val="-1"/>
        </w:rPr>
        <w:t> </w:t>
      </w:r>
      <w:r>
        <w:rPr/>
        <w:t>系列产品构成，核心优 势在于，实现功能丰富的人机交互界面；实现全数字仪表盘、</w:t>
      </w:r>
      <w:r>
        <w:rPr>
          <w:rFonts w:ascii="宋体" w:hAnsi="宋体" w:cs="宋体" w:eastAsia="宋体" w:hint="default"/>
        </w:rPr>
        <w:t>IVI</w:t>
      </w:r>
      <w:r>
        <w:rPr/>
        <w:t>、手机互联的多屏联动；实现将数字液</w:t>
      </w:r>
      <w:r>
        <w:rPr>
          <w:spacing w:val="-29"/>
        </w:rPr>
        <w:t> </w:t>
      </w:r>
      <w:r>
        <w:rPr>
          <w:spacing w:val="-29"/>
        </w:rPr>
      </w:r>
      <w:r>
        <w:rPr/>
        <w:t>晶仪表、</w:t>
      </w:r>
      <w:r>
        <w:rPr>
          <w:rFonts w:ascii="宋体" w:hAnsi="宋体" w:cs="宋体" w:eastAsia="宋体" w:hint="default"/>
        </w:rPr>
        <w:t>IVI</w:t>
      </w:r>
      <w:r>
        <w:rPr>
          <w:rFonts w:ascii="宋体" w:hAnsi="宋体" w:cs="宋体" w:eastAsia="宋体" w:hint="default"/>
          <w:spacing w:val="-83"/>
        </w:rPr>
        <w:t> </w:t>
      </w:r>
      <w:r>
        <w:rPr/>
        <w:t>信息娱乐系统、信息化高级驾驶员辅助系统等多个操作系统合并到单一芯片系统（</w:t>
      </w:r>
      <w:r>
        <w:rPr>
          <w:rFonts w:ascii="宋体" w:hAnsi="宋体" w:cs="宋体" w:eastAsia="宋体" w:hint="default"/>
        </w:rPr>
        <w:t>SoC</w:t>
      </w:r>
      <w:r>
        <w:rPr/>
        <w:t>），并 通过公司的智能视觉人工智能技术实现了人脸识别用户身份、根据用户驾驶习惯个性化定制信息娱乐系统 界面、自动调节座椅与后视镜给用户带来舒适个性的驾驶体验。公司智能驾驶舱产品能够全面提升智能网 </w:t>
      </w:r>
      <w:r>
        <w:rPr>
          <w:spacing w:val="8"/>
        </w:rPr>
        <w:t>联汽车的品质和用户体验，同时大大缩短上市时间。报告期内，公司智能网联汽车业务实现营业收入</w:t>
      </w:r>
      <w:r>
        <w:rPr/>
      </w:r>
    </w:p>
    <w:p>
      <w:pPr>
        <w:spacing w:after="0" w:line="297" w:lineRule="auto"/>
        <w:jc w:val="left"/>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40" w:lineRule="auto" w:before="35"/>
        <w:ind w:left="154" w:right="0"/>
        <w:jc w:val="both"/>
      </w:pPr>
      <w:r>
        <w:rPr>
          <w:rFonts w:ascii="宋体" w:hAnsi="宋体" w:cs="宋体" w:eastAsia="宋体" w:hint="default"/>
        </w:rPr>
        <w:t>27,928.78</w:t>
      </w:r>
      <w:r>
        <w:rPr>
          <w:rFonts w:ascii="宋体" w:hAnsi="宋体" w:cs="宋体" w:eastAsia="宋体" w:hint="default"/>
          <w:spacing w:val="-33"/>
        </w:rPr>
        <w:t> </w:t>
      </w:r>
      <w:r>
        <w:rPr/>
        <w:t>万元，较上年同期增长约</w:t>
      </w:r>
      <w:r>
        <w:rPr>
          <w:spacing w:val="-33"/>
        </w:rPr>
        <w:t> </w:t>
      </w:r>
      <w:r>
        <w:rPr>
          <w:rFonts w:ascii="宋体" w:hAnsi="宋体" w:cs="宋体" w:eastAsia="宋体" w:hint="default"/>
        </w:rPr>
        <w:t>84%</w:t>
      </w:r>
      <w:r>
        <w:rPr/>
        <w:t>。其中软件开发、技术服务收入</w:t>
      </w:r>
      <w:r>
        <w:rPr>
          <w:spacing w:val="-33"/>
        </w:rPr>
        <w:t> </w:t>
      </w:r>
      <w:r>
        <w:rPr>
          <w:rFonts w:ascii="宋体" w:hAnsi="宋体" w:cs="宋体" w:eastAsia="宋体" w:hint="default"/>
        </w:rPr>
        <w:t>21,163.12</w:t>
      </w:r>
      <w:r>
        <w:rPr>
          <w:rFonts w:ascii="宋体" w:hAnsi="宋体" w:cs="宋体" w:eastAsia="宋体" w:hint="default"/>
          <w:spacing w:val="-33"/>
        </w:rPr>
        <w:t> </w:t>
      </w:r>
      <w:r>
        <w:rPr/>
        <w:t>万元，软件许可收入</w:t>
      </w:r>
    </w:p>
    <w:p>
      <w:pPr>
        <w:pStyle w:val="BodyText"/>
        <w:spacing w:line="240" w:lineRule="auto" w:before="66"/>
        <w:ind w:left="154" w:right="0"/>
        <w:jc w:val="both"/>
      </w:pPr>
      <w:r>
        <w:rPr>
          <w:rFonts w:ascii="宋体" w:hAnsi="宋体" w:cs="宋体" w:eastAsia="宋体" w:hint="default"/>
        </w:rPr>
        <w:t>6,765.66</w:t>
      </w:r>
      <w:r>
        <w:rPr>
          <w:rFonts w:ascii="宋体" w:hAnsi="宋体" w:cs="宋体" w:eastAsia="宋体" w:hint="default"/>
          <w:spacing w:val="-53"/>
        </w:rPr>
        <w:t> </w:t>
      </w:r>
      <w:r>
        <w:rPr/>
        <w:t>万元。</w:t>
      </w:r>
    </w:p>
    <w:p>
      <w:pPr>
        <w:spacing w:line="240" w:lineRule="auto" w:before="10"/>
        <w:rPr>
          <w:rFonts w:ascii="宋体" w:hAnsi="宋体" w:cs="宋体" w:eastAsia="宋体" w:hint="default"/>
          <w:sz w:val="17"/>
          <w:szCs w:val="17"/>
        </w:rPr>
      </w:pPr>
    </w:p>
    <w:p>
      <w:pPr>
        <w:pStyle w:val="BodyText"/>
        <w:spacing w:line="297" w:lineRule="auto"/>
        <w:ind w:left="154" w:right="1138" w:firstLine="420"/>
        <w:jc w:val="both"/>
      </w:pPr>
      <w:r>
        <w:rPr/>
        <w:t>（四）围绕“人工智能</w:t>
      </w:r>
      <w:r>
        <w:rPr>
          <w:rFonts w:ascii="宋体" w:hAnsi="宋体" w:cs="宋体" w:eastAsia="宋体" w:hint="default"/>
        </w:rPr>
        <w:t>+</w:t>
      </w:r>
      <w:r>
        <w:rPr/>
        <w:t>物联网”战略进行产品技术研发投入，实现智能视觉人工智能技术的全球领 先性；</w:t>
      </w:r>
    </w:p>
    <w:p>
      <w:pPr>
        <w:spacing w:line="240" w:lineRule="auto" w:before="0"/>
        <w:rPr>
          <w:rFonts w:ascii="宋体" w:hAnsi="宋体" w:cs="宋体" w:eastAsia="宋体" w:hint="default"/>
          <w:sz w:val="14"/>
          <w:szCs w:val="14"/>
        </w:rPr>
      </w:pPr>
    </w:p>
    <w:p>
      <w:pPr>
        <w:pStyle w:val="BodyText"/>
        <w:spacing w:line="297" w:lineRule="auto"/>
        <w:ind w:left="154" w:right="1130" w:firstLine="420"/>
        <w:jc w:val="both"/>
      </w:pPr>
      <w:r>
        <w:rPr>
          <w:spacing w:val="-1"/>
        </w:rPr>
        <w:t>在人工智能技术领域，公司一直集中资源专注于智能视觉、机器视觉领域的研发和技术创新。相较于</w:t>
      </w:r>
      <w:r>
        <w:rPr/>
        <w:t> </w:t>
      </w:r>
      <w:r>
        <w:rPr>
          <w:spacing w:val="-1"/>
        </w:rPr>
        <w:t>单一技术能力公司，公司拥有从平台层、算法层到产品层的完整的智能视觉人工智能解决方案。公司向客</w:t>
      </w:r>
      <w:r>
        <w:rPr>
          <w:spacing w:val="-83"/>
        </w:rPr>
        <w:t> </w:t>
      </w:r>
      <w:r>
        <w:rPr>
          <w:spacing w:val="-83"/>
        </w:rPr>
      </w:r>
      <w:r>
        <w:rPr/>
        <w:t>户提供从</w:t>
      </w:r>
      <w:r>
        <w:rPr>
          <w:spacing w:val="-68"/>
        </w:rPr>
        <w:t> </w:t>
      </w:r>
      <w:r>
        <w:rPr>
          <w:rFonts w:ascii="宋体" w:hAnsi="宋体" w:cs="宋体" w:eastAsia="宋体" w:hint="default"/>
        </w:rPr>
        <w:t>Camera</w:t>
      </w:r>
      <w:r>
        <w:rPr>
          <w:rFonts w:ascii="宋体" w:hAnsi="宋体" w:cs="宋体" w:eastAsia="宋体" w:hint="default"/>
          <w:spacing w:val="-69"/>
        </w:rPr>
        <w:t> </w:t>
      </w:r>
      <w:r>
        <w:rPr/>
        <w:t>开发套件和</w:t>
      </w:r>
      <w:r>
        <w:rPr>
          <w:spacing w:val="-69"/>
        </w:rPr>
        <w:t> </w:t>
      </w:r>
      <w:r>
        <w:rPr>
          <w:rFonts w:ascii="宋体" w:hAnsi="宋体" w:cs="宋体" w:eastAsia="宋体" w:hint="default"/>
        </w:rPr>
        <w:t>SoM</w:t>
      </w:r>
      <w:r>
        <w:rPr/>
        <w:t>、</w:t>
      </w:r>
      <w:r>
        <w:rPr>
          <w:rFonts w:ascii="宋体" w:hAnsi="宋体" w:cs="宋体" w:eastAsia="宋体" w:hint="default"/>
        </w:rPr>
        <w:t>Camera</w:t>
      </w:r>
      <w:r>
        <w:rPr>
          <w:rFonts w:ascii="宋体" w:hAnsi="宋体" w:cs="宋体" w:eastAsia="宋体" w:hint="default"/>
          <w:spacing w:val="-68"/>
        </w:rPr>
        <w:t> </w:t>
      </w:r>
      <w:r>
        <w:rPr/>
        <w:t>堆栈和定制化、驱动开发、</w:t>
      </w:r>
      <w:r>
        <w:rPr>
          <w:rFonts w:ascii="宋体" w:hAnsi="宋体" w:cs="宋体" w:eastAsia="宋体" w:hint="default"/>
        </w:rPr>
        <w:t>Framework</w:t>
      </w:r>
      <w:r>
        <w:rPr/>
        <w:t>、</w:t>
      </w:r>
      <w:r>
        <w:rPr>
          <w:rFonts w:ascii="宋体" w:hAnsi="宋体" w:cs="宋体" w:eastAsia="宋体" w:hint="default"/>
        </w:rPr>
        <w:t>AI</w:t>
      </w:r>
      <w:r>
        <w:rPr>
          <w:rFonts w:ascii="宋体" w:hAnsi="宋体" w:cs="宋体" w:eastAsia="宋体" w:hint="default"/>
          <w:spacing w:val="-68"/>
        </w:rPr>
        <w:t> </w:t>
      </w:r>
      <w:r>
        <w:rPr/>
        <w:t>算法、图形图像系统 优化到应用程序开发的一站式</w:t>
      </w:r>
      <w:r>
        <w:rPr>
          <w:spacing w:val="-59"/>
        </w:rPr>
        <w:t> </w:t>
      </w:r>
      <w:r>
        <w:rPr>
          <w:rFonts w:ascii="宋体" w:hAnsi="宋体" w:cs="宋体" w:eastAsia="宋体" w:hint="default"/>
        </w:rPr>
        <w:t>Camera</w:t>
      </w:r>
      <w:r>
        <w:rPr>
          <w:rFonts w:ascii="宋体" w:hAnsi="宋体" w:cs="宋体" w:eastAsia="宋体" w:hint="default"/>
          <w:spacing w:val="-60"/>
        </w:rPr>
        <w:t> </w:t>
      </w:r>
      <w:r>
        <w:rPr/>
        <w:t>解决方案和</w:t>
      </w:r>
      <w:r>
        <w:rPr>
          <w:spacing w:val="-59"/>
        </w:rPr>
        <w:t> </w:t>
      </w:r>
      <w:r>
        <w:rPr>
          <w:rFonts w:ascii="宋体" w:hAnsi="宋体" w:cs="宋体" w:eastAsia="宋体" w:hint="default"/>
        </w:rPr>
        <w:t>AI</w:t>
      </w:r>
      <w:r>
        <w:rPr>
          <w:rFonts w:ascii="宋体" w:hAnsi="宋体" w:cs="宋体" w:eastAsia="宋体" w:hint="default"/>
          <w:spacing w:val="-59"/>
        </w:rPr>
        <w:t> </w:t>
      </w:r>
      <w:r>
        <w:rPr/>
        <w:t>开发套件。同时，公司自主研发了众多设备端人工智 </w:t>
      </w:r>
      <w:r>
        <w:rPr>
          <w:spacing w:val="-1"/>
        </w:rPr>
        <w:t>能算法并实现商业化，包括场景识别、人脸识别、姿态分析、物体识别、缺陷识别分给、行为分析等。这</w:t>
      </w:r>
      <w:r>
        <w:rPr>
          <w:spacing w:val="-85"/>
        </w:rPr>
        <w:t> </w:t>
      </w:r>
      <w:r>
        <w:rPr>
          <w:spacing w:val="-85"/>
        </w:rPr>
      </w:r>
      <w:r>
        <w:rPr/>
        <w:t>些</w:t>
      </w:r>
      <w:r>
        <w:rPr>
          <w:spacing w:val="-59"/>
        </w:rPr>
        <w:t> </w:t>
      </w:r>
      <w:r>
        <w:rPr>
          <w:rFonts w:ascii="宋体" w:hAnsi="宋体" w:cs="宋体" w:eastAsia="宋体" w:hint="default"/>
        </w:rPr>
        <w:t>AI</w:t>
      </w:r>
      <w:r>
        <w:rPr>
          <w:rFonts w:ascii="宋体" w:hAnsi="宋体" w:cs="宋体" w:eastAsia="宋体" w:hint="default"/>
          <w:spacing w:val="-58"/>
        </w:rPr>
        <w:t> </w:t>
      </w:r>
      <w:r>
        <w:rPr/>
        <w:t>算法完美支持高通、</w:t>
      </w:r>
      <w:r>
        <w:rPr>
          <w:rFonts w:ascii="宋体" w:hAnsi="宋体" w:cs="宋体" w:eastAsia="宋体" w:hint="default"/>
        </w:rPr>
        <w:t>ARM</w:t>
      </w:r>
      <w:r>
        <w:rPr/>
        <w:t>、华为等主流</w:t>
      </w:r>
      <w:r>
        <w:rPr>
          <w:spacing w:val="-58"/>
        </w:rPr>
        <w:t> </w:t>
      </w:r>
      <w:r>
        <w:rPr>
          <w:rFonts w:ascii="宋体" w:hAnsi="宋体" w:cs="宋体" w:eastAsia="宋体" w:hint="default"/>
        </w:rPr>
        <w:t>AI</w:t>
      </w:r>
      <w:r>
        <w:rPr>
          <w:rFonts w:ascii="宋体" w:hAnsi="宋体" w:cs="宋体" w:eastAsia="宋体" w:hint="default"/>
          <w:spacing w:val="-58"/>
        </w:rPr>
        <w:t> </w:t>
      </w:r>
      <w:r>
        <w:rPr/>
        <w:t>引擎，可以在</w:t>
      </w:r>
      <w:r>
        <w:rPr>
          <w:spacing w:val="-59"/>
        </w:rPr>
        <w:t> </w:t>
      </w:r>
      <w:r>
        <w:rPr>
          <w:rFonts w:ascii="宋体" w:hAnsi="宋体" w:cs="宋体" w:eastAsia="宋体" w:hint="default"/>
        </w:rPr>
        <w:t>CPU</w:t>
      </w:r>
      <w:r>
        <w:rPr/>
        <w:t>、</w:t>
      </w:r>
      <w:r>
        <w:rPr>
          <w:rFonts w:ascii="宋体" w:hAnsi="宋体" w:cs="宋体" w:eastAsia="宋体" w:hint="default"/>
        </w:rPr>
        <w:t>GPU</w:t>
      </w:r>
      <w:r>
        <w:rPr/>
        <w:t>、</w:t>
      </w:r>
      <w:r>
        <w:rPr>
          <w:rFonts w:ascii="宋体" w:hAnsi="宋体" w:cs="宋体" w:eastAsia="宋体" w:hint="default"/>
        </w:rPr>
        <w:t>DSP</w:t>
      </w:r>
      <w:r>
        <w:rPr/>
        <w:t>、</w:t>
      </w:r>
      <w:r>
        <w:rPr>
          <w:rFonts w:ascii="宋体" w:hAnsi="宋体" w:cs="宋体" w:eastAsia="宋体" w:hint="default"/>
        </w:rPr>
        <w:t>NPU</w:t>
      </w:r>
      <w:r>
        <w:rPr>
          <w:rFonts w:ascii="宋体" w:hAnsi="宋体" w:cs="宋体" w:eastAsia="宋体" w:hint="default"/>
          <w:spacing w:val="-58"/>
        </w:rPr>
        <w:t> </w:t>
      </w:r>
      <w:r>
        <w:rPr/>
        <w:t>等多种处理器上流畅运 </w:t>
      </w:r>
      <w:r>
        <w:rPr>
          <w:spacing w:val="-1"/>
        </w:rPr>
        <w:t>行。公司智能视觉人工智能技术深度赋能智能系统、智能物联网、智能网联汽车业务，产生了强大的协同</w:t>
      </w:r>
      <w:r>
        <w:rPr>
          <w:spacing w:val="-86"/>
        </w:rPr>
        <w:t> </w:t>
      </w:r>
      <w:r>
        <w:rPr>
          <w:spacing w:val="-86"/>
        </w:rPr>
      </w:r>
      <w:r>
        <w:rPr/>
        <w:t>作用，报告期内，智能视觉相关营业收入</w:t>
      </w:r>
      <w:r>
        <w:rPr>
          <w:spacing w:val="-53"/>
        </w:rPr>
        <w:t> </w:t>
      </w:r>
      <w:r>
        <w:rPr>
          <w:rFonts w:ascii="宋体" w:hAnsi="宋体" w:cs="宋体" w:eastAsia="宋体" w:hint="default"/>
        </w:rPr>
        <w:t>11,500</w:t>
      </w:r>
      <w:r>
        <w:rPr>
          <w:rFonts w:ascii="宋体" w:hAnsi="宋体" w:cs="宋体" w:eastAsia="宋体" w:hint="default"/>
          <w:spacing w:val="-54"/>
        </w:rPr>
        <w:t> </w:t>
      </w:r>
      <w:r>
        <w:rPr/>
        <w:t>万元，毛利率水平接近</w:t>
      </w:r>
      <w:r>
        <w:rPr>
          <w:spacing w:val="-54"/>
        </w:rPr>
        <w:t> </w:t>
      </w:r>
      <w:r>
        <w:rPr>
          <w:rFonts w:ascii="宋体" w:hAnsi="宋体" w:cs="宋体" w:eastAsia="宋体" w:hint="default"/>
        </w:rPr>
        <w:t>50%</w:t>
      </w:r>
      <w:r>
        <w:rPr/>
        <w:t>。</w:t>
      </w:r>
    </w:p>
    <w:p>
      <w:pPr>
        <w:spacing w:line="240" w:lineRule="auto" w:before="8"/>
        <w:rPr>
          <w:rFonts w:ascii="宋体" w:hAnsi="宋体" w:cs="宋体" w:eastAsia="宋体" w:hint="default"/>
          <w:sz w:val="16"/>
          <w:szCs w:val="16"/>
        </w:rPr>
      </w:pPr>
    </w:p>
    <w:p>
      <w:pPr>
        <w:spacing w:line="3822" w:lineRule="exact"/>
        <w:ind w:left="867"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5212621" cy="2426970"/>
            <wp:effectExtent l="0" t="0" r="0" b="0"/>
            <wp:docPr id="9" name="image8.jpeg" descr=""/>
            <wp:cNvGraphicFramePr>
              <a:graphicFrameLocks noChangeAspect="1"/>
            </wp:cNvGraphicFramePr>
            <a:graphic>
              <a:graphicData uri="http://schemas.openxmlformats.org/drawingml/2006/picture">
                <pic:pic>
                  <pic:nvPicPr>
                    <pic:cNvPr id="10" name="image8.jpeg"/>
                    <pic:cNvPicPr/>
                  </pic:nvPicPr>
                  <pic:blipFill>
                    <a:blip r:embed="rId16" cstate="print"/>
                    <a:stretch>
                      <a:fillRect/>
                    </a:stretch>
                  </pic:blipFill>
                  <pic:spPr>
                    <a:xfrm>
                      <a:off x="0" y="0"/>
                      <a:ext cx="5212621" cy="2426970"/>
                    </a:xfrm>
                    <a:prstGeom prst="rect">
                      <a:avLst/>
                    </a:prstGeom>
                  </pic:spPr>
                </pic:pic>
              </a:graphicData>
            </a:graphic>
          </wp:inline>
        </w:drawing>
      </w:r>
      <w:r>
        <w:rPr>
          <w:rFonts w:ascii="宋体" w:hAnsi="宋体" w:cs="宋体" w:eastAsia="宋体" w:hint="default"/>
          <w:position w:val="-75"/>
          <w:sz w:val="20"/>
          <w:szCs w:val="20"/>
        </w:rPr>
      </w:r>
    </w:p>
    <w:p>
      <w:pPr>
        <w:pStyle w:val="BodyText"/>
        <w:spacing w:line="240" w:lineRule="auto" w:before="134"/>
        <w:ind w:left="574" w:right="1116"/>
        <w:jc w:val="left"/>
      </w:pPr>
      <w:r>
        <w:rPr/>
        <w:t>（五）持续拓展优质客户，建立全球销售网络，扩大市场占有率；</w:t>
      </w:r>
    </w:p>
    <w:p>
      <w:pPr>
        <w:spacing w:line="240" w:lineRule="auto" w:before="12"/>
        <w:rPr>
          <w:rFonts w:ascii="宋体" w:hAnsi="宋体" w:cs="宋体" w:eastAsia="宋体" w:hint="default"/>
          <w:sz w:val="17"/>
          <w:szCs w:val="17"/>
        </w:rPr>
      </w:pPr>
    </w:p>
    <w:p>
      <w:pPr>
        <w:pStyle w:val="BodyText"/>
        <w:spacing w:line="297" w:lineRule="auto"/>
        <w:ind w:left="154" w:right="1130" w:firstLine="420"/>
        <w:jc w:val="both"/>
      </w:pPr>
      <w:r>
        <w:rPr/>
        <w:t>公司在全球拥有超过</w:t>
      </w:r>
      <w:r>
        <w:rPr>
          <w:spacing w:val="-59"/>
        </w:rPr>
        <w:t> </w:t>
      </w:r>
      <w:r>
        <w:rPr>
          <w:rFonts w:ascii="宋体" w:hAnsi="宋体" w:cs="宋体" w:eastAsia="宋体" w:hint="default"/>
        </w:rPr>
        <w:t>500</w:t>
      </w:r>
      <w:r>
        <w:rPr>
          <w:rFonts w:ascii="宋体" w:hAnsi="宋体" w:cs="宋体" w:eastAsia="宋体" w:hint="default"/>
          <w:spacing w:val="-59"/>
        </w:rPr>
        <w:t> </w:t>
      </w:r>
      <w:r>
        <w:rPr/>
        <w:t>家客户，并覆盖了超过</w:t>
      </w:r>
      <w:r>
        <w:rPr>
          <w:spacing w:val="-59"/>
        </w:rPr>
        <w:t> </w:t>
      </w:r>
      <w:r>
        <w:rPr>
          <w:rFonts w:ascii="宋体" w:hAnsi="宋体" w:cs="宋体" w:eastAsia="宋体" w:hint="default"/>
        </w:rPr>
        <w:t>1/4</w:t>
      </w:r>
      <w:r>
        <w:rPr>
          <w:rFonts w:ascii="宋体" w:hAnsi="宋体" w:cs="宋体" w:eastAsia="宋体" w:hint="default"/>
          <w:spacing w:val="-59"/>
        </w:rPr>
        <w:t> </w:t>
      </w:r>
      <w:r>
        <w:rPr/>
        <w:t>的产业链内世界五百强企业。公司在全球拥有超 过</w:t>
      </w:r>
      <w:r>
        <w:rPr>
          <w:spacing w:val="-48"/>
        </w:rPr>
        <w:t> </w:t>
      </w:r>
      <w:r>
        <w:rPr>
          <w:rFonts w:ascii="宋体" w:hAnsi="宋体" w:cs="宋体" w:eastAsia="宋体" w:hint="default"/>
        </w:rPr>
        <w:t>100</w:t>
      </w:r>
      <w:r>
        <w:rPr>
          <w:rFonts w:ascii="宋体" w:hAnsi="宋体" w:cs="宋体" w:eastAsia="宋体" w:hint="default"/>
          <w:spacing w:val="-47"/>
        </w:rPr>
        <w:t> </w:t>
      </w:r>
      <w:r>
        <w:rPr>
          <w:spacing w:val="-9"/>
        </w:rPr>
        <w:t>家智能网联汽车客户，覆盖了欧洲、美国、中国、日本和韩国。在</w:t>
      </w:r>
      <w:r>
        <w:rPr>
          <w:spacing w:val="-47"/>
        </w:rPr>
        <w:t> </w:t>
      </w:r>
      <w:r>
        <w:rPr>
          <w:rFonts w:ascii="宋体" w:hAnsi="宋体" w:cs="宋体" w:eastAsia="宋体" w:hint="default"/>
        </w:rPr>
        <w:t>2018</w:t>
      </w:r>
      <w:r>
        <w:rPr>
          <w:rFonts w:ascii="宋体" w:hAnsi="宋体" w:cs="宋体" w:eastAsia="宋体" w:hint="default"/>
          <w:spacing w:val="-47"/>
        </w:rPr>
        <w:t> </w:t>
      </w:r>
      <w:r>
        <w:rPr>
          <w:spacing w:val="-5"/>
        </w:rPr>
        <w:t>年亚洲消费电子展（</w:t>
      </w:r>
      <w:r>
        <w:rPr>
          <w:rFonts w:ascii="宋体" w:hAnsi="宋体" w:cs="宋体" w:eastAsia="宋体" w:hint="default"/>
          <w:spacing w:val="-5"/>
        </w:rPr>
        <w:t>CES</w:t>
      </w:r>
      <w:r>
        <w:rPr>
          <w:rFonts w:ascii="宋体" w:hAnsi="宋体" w:cs="宋体" w:eastAsia="宋体" w:hint="default"/>
          <w:spacing w:val="-48"/>
        </w:rPr>
        <w:t> </w:t>
      </w:r>
      <w:r>
        <w:rPr>
          <w:rFonts w:ascii="宋体" w:hAnsi="宋体" w:cs="宋体" w:eastAsia="宋体" w:hint="default"/>
        </w:rPr>
        <w:t>Asia</w:t>
      </w:r>
      <w:r>
        <w:rPr>
          <w:rFonts w:ascii="宋体" w:hAnsi="宋体" w:cs="宋体" w:eastAsia="宋体" w:hint="default"/>
        </w:rPr>
        <w:t> 2018</w:t>
      </w:r>
      <w:r>
        <w:rPr/>
        <w:t>）上，公司的智能驾驶舱产品获得“汽车技术类”创新奖。市场调研机构 </w:t>
      </w:r>
      <w:r>
        <w:rPr>
          <w:rFonts w:ascii="宋体" w:hAnsi="宋体" w:cs="宋体" w:eastAsia="宋体" w:hint="default"/>
        </w:rPr>
        <w:t>Focus2Move</w:t>
      </w:r>
      <w:r>
        <w:rPr>
          <w:rFonts w:ascii="宋体" w:hAnsi="宋体" w:cs="宋体" w:eastAsia="宋体" w:hint="default"/>
          <w:spacing w:val="-25"/>
        </w:rPr>
        <w:t> </w:t>
      </w:r>
      <w:r>
        <w:rPr/>
        <w:t>对全球汽车厂 商</w:t>
      </w:r>
      <w:r>
        <w:rPr>
          <w:spacing w:val="-62"/>
        </w:rPr>
        <w:t> </w:t>
      </w:r>
      <w:r>
        <w:rPr>
          <w:rFonts w:ascii="宋体" w:hAnsi="宋体" w:cs="宋体" w:eastAsia="宋体" w:hint="default"/>
        </w:rPr>
        <w:t>2018</w:t>
      </w:r>
      <w:r>
        <w:rPr>
          <w:rFonts w:ascii="宋体" w:hAnsi="宋体" w:cs="宋体" w:eastAsia="宋体" w:hint="default"/>
          <w:spacing w:val="-61"/>
        </w:rPr>
        <w:t> </w:t>
      </w:r>
      <w:r>
        <w:rPr>
          <w:spacing w:val="-8"/>
        </w:rPr>
        <w:t>年度的轻型车销量进行排名，前</w:t>
      </w:r>
      <w:r>
        <w:rPr>
          <w:spacing w:val="-62"/>
        </w:rPr>
        <w:t> </w:t>
      </w:r>
      <w:r>
        <w:rPr>
          <w:rFonts w:ascii="宋体" w:hAnsi="宋体" w:cs="宋体" w:eastAsia="宋体" w:hint="default"/>
        </w:rPr>
        <w:t>25</w:t>
      </w:r>
      <w:r>
        <w:rPr>
          <w:rFonts w:ascii="宋体" w:hAnsi="宋体" w:cs="宋体" w:eastAsia="宋体" w:hint="default"/>
          <w:spacing w:val="-61"/>
        </w:rPr>
        <w:t> </w:t>
      </w:r>
      <w:r>
        <w:rPr>
          <w:spacing w:val="-1"/>
        </w:rPr>
        <w:t>位的车企中已有</w:t>
      </w:r>
      <w:r>
        <w:rPr>
          <w:spacing w:val="-62"/>
        </w:rPr>
        <w:t> </w:t>
      </w:r>
      <w:r>
        <w:rPr>
          <w:rFonts w:ascii="宋体" w:hAnsi="宋体" w:cs="宋体" w:eastAsia="宋体" w:hint="default"/>
        </w:rPr>
        <w:t>15</w:t>
      </w:r>
      <w:r>
        <w:rPr>
          <w:rFonts w:ascii="宋体" w:hAnsi="宋体" w:cs="宋体" w:eastAsia="宋体" w:hint="default"/>
          <w:spacing w:val="-63"/>
        </w:rPr>
        <w:t> </w:t>
      </w:r>
      <w:r>
        <w:rPr/>
        <w:t>家采用了公司智能驾驶舱平台产品及</w:t>
      </w:r>
      <w:r>
        <w:rPr>
          <w:spacing w:val="-62"/>
        </w:rPr>
        <w:t> </w:t>
      </w:r>
      <w:r>
        <w:rPr>
          <w:rFonts w:ascii="宋体" w:hAnsi="宋体" w:cs="宋体" w:eastAsia="宋体" w:hint="default"/>
        </w:rPr>
        <w:t>Kanzi</w:t>
      </w:r>
      <w:r>
        <w:rPr/>
        <w:t>® 生态产品。</w:t>
      </w:r>
    </w:p>
    <w:p>
      <w:pPr>
        <w:spacing w:line="240" w:lineRule="auto" w:before="12"/>
        <w:rPr>
          <w:rFonts w:ascii="宋体" w:hAnsi="宋体" w:cs="宋体" w:eastAsia="宋体" w:hint="default"/>
          <w:sz w:val="13"/>
          <w:szCs w:val="13"/>
        </w:rPr>
      </w:pPr>
    </w:p>
    <w:p>
      <w:pPr>
        <w:pStyle w:val="BodyText"/>
        <w:spacing w:line="240" w:lineRule="auto"/>
        <w:ind w:left="574" w:right="1116"/>
        <w:jc w:val="left"/>
      </w:pPr>
      <w:r>
        <w:rPr/>
        <w:t>（六）持续研发投入，促进技术创新和产业链协同融合创新</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t>作为全球领先的平台技术公司，成立 </w:t>
      </w:r>
      <w:r>
        <w:rPr>
          <w:rFonts w:ascii="宋体" w:hAnsi="宋体" w:cs="宋体" w:eastAsia="宋体" w:hint="default"/>
        </w:rPr>
        <w:t>11</w:t>
      </w:r>
      <w:r>
        <w:rPr>
          <w:rFonts w:ascii="宋体" w:hAnsi="宋体" w:cs="宋体" w:eastAsia="宋体" w:hint="default"/>
          <w:spacing w:val="-22"/>
        </w:rPr>
        <w:t> </w:t>
      </w:r>
      <w:r>
        <w:rPr/>
        <w:t>年以来，公司以智能操作系统技术为核心持续研发投入。最</w:t>
      </w:r>
    </w:p>
    <w:p>
      <w:pPr>
        <w:pStyle w:val="BodyText"/>
        <w:spacing w:line="297" w:lineRule="auto" w:before="66"/>
        <w:ind w:left="154" w:right="1131"/>
        <w:jc w:val="both"/>
      </w:pPr>
      <w:r>
        <w:rPr/>
        <w:t>近三年公司研发费用分别为</w:t>
      </w:r>
      <w:r>
        <w:rPr>
          <w:spacing w:val="-47"/>
        </w:rPr>
        <w:t> </w:t>
      </w:r>
      <w:r>
        <w:rPr>
          <w:rFonts w:ascii="宋体" w:hAnsi="宋体" w:cs="宋体" w:eastAsia="宋体" w:hint="default"/>
        </w:rPr>
        <w:t>27,969.78</w:t>
      </w:r>
      <w:r>
        <w:rPr>
          <w:rFonts w:ascii="宋体" w:hAnsi="宋体" w:cs="宋体" w:eastAsia="宋体" w:hint="default"/>
          <w:spacing w:val="-47"/>
        </w:rPr>
        <w:t> </w:t>
      </w:r>
      <w:r>
        <w:rPr/>
        <w:t>万元、</w:t>
      </w:r>
      <w:r>
        <w:rPr>
          <w:rFonts w:ascii="宋体" w:hAnsi="宋体" w:cs="宋体" w:eastAsia="宋体" w:hint="default"/>
        </w:rPr>
        <w:t>14,439.44</w:t>
      </w:r>
      <w:r>
        <w:rPr>
          <w:rFonts w:ascii="宋体" w:hAnsi="宋体" w:cs="宋体" w:eastAsia="宋体" w:hint="default"/>
          <w:spacing w:val="-47"/>
        </w:rPr>
        <w:t> </w:t>
      </w:r>
      <w:r>
        <w:rPr/>
        <w:t>万元和</w:t>
      </w:r>
      <w:r>
        <w:rPr>
          <w:spacing w:val="-48"/>
        </w:rPr>
        <w:t> </w:t>
      </w:r>
      <w:r>
        <w:rPr>
          <w:rFonts w:ascii="宋体" w:hAnsi="宋体" w:cs="宋体" w:eastAsia="宋体" w:hint="default"/>
        </w:rPr>
        <w:t>14,665.99</w:t>
      </w:r>
      <w:r>
        <w:rPr>
          <w:rFonts w:ascii="宋体" w:hAnsi="宋体" w:cs="宋体" w:eastAsia="宋体" w:hint="default"/>
          <w:spacing w:val="-47"/>
        </w:rPr>
        <w:t> </w:t>
      </w:r>
      <w:r>
        <w:rPr/>
        <w:t>万元，占同期营业收入的比重 分别达到</w:t>
      </w:r>
      <w:r>
        <w:rPr>
          <w:spacing w:val="-65"/>
        </w:rPr>
        <w:t> </w:t>
      </w:r>
      <w:r>
        <w:rPr>
          <w:rFonts w:ascii="宋体" w:hAnsi="宋体" w:cs="宋体" w:eastAsia="宋体" w:hint="default"/>
        </w:rPr>
        <w:t>19.10%</w:t>
      </w:r>
      <w:r>
        <w:rPr/>
        <w:t>、</w:t>
      </w:r>
      <w:r>
        <w:rPr>
          <w:rFonts w:ascii="宋体" w:hAnsi="宋体" w:cs="宋体" w:eastAsia="宋体" w:hint="default"/>
        </w:rPr>
        <w:t>12.42%</w:t>
      </w:r>
      <w:r>
        <w:rPr/>
        <w:t>和</w:t>
      </w:r>
      <w:r>
        <w:rPr>
          <w:spacing w:val="-66"/>
        </w:rPr>
        <w:t> </w:t>
      </w:r>
      <w:r>
        <w:rPr>
          <w:rFonts w:ascii="宋体" w:hAnsi="宋体" w:cs="宋体" w:eastAsia="宋体" w:hint="default"/>
        </w:rPr>
        <w:t>17.3%</w:t>
      </w:r>
      <w:r>
        <w:rPr/>
        <w:t>。凭借敏锐的产业洞察力，公司在人工智能、边缘计算、</w:t>
      </w:r>
      <w:r>
        <w:rPr>
          <w:rFonts w:ascii="宋体" w:hAnsi="宋体" w:cs="宋体" w:eastAsia="宋体" w:hint="default"/>
        </w:rPr>
        <w:t>5G</w:t>
      </w:r>
      <w:r>
        <w:rPr/>
        <w:t>、物联网等 </w:t>
      </w:r>
      <w:r>
        <w:rPr>
          <w:spacing w:val="-1"/>
        </w:rPr>
        <w:t>方面进行了前瞻性研发部署。近年来国家大力扶持科技型企业的技术创新，报告期内，公司取得研发补贴</w:t>
      </w:r>
      <w:r>
        <w:rPr>
          <w:spacing w:val="-83"/>
        </w:rPr>
        <w:t> </w:t>
      </w:r>
      <w:r>
        <w:rPr>
          <w:spacing w:val="-83"/>
        </w:rPr>
      </w:r>
      <w:r>
        <w:rPr/>
        <w:t>约</w:t>
      </w:r>
      <w:r>
        <w:rPr>
          <w:spacing w:val="-54"/>
        </w:rPr>
        <w:t> </w:t>
      </w:r>
      <w:r>
        <w:rPr>
          <w:rFonts w:ascii="宋体" w:hAnsi="宋体" w:cs="宋体" w:eastAsia="宋体" w:hint="default"/>
        </w:rPr>
        <w:t>2770</w:t>
      </w:r>
      <w:r>
        <w:rPr>
          <w:rFonts w:ascii="宋体" w:hAnsi="宋体" w:cs="宋体" w:eastAsia="宋体" w:hint="default"/>
          <w:spacing w:val="-53"/>
        </w:rPr>
        <w:t> </w:t>
      </w:r>
      <w:r>
        <w:rPr/>
        <w:t>万元。</w:t>
      </w:r>
    </w:p>
    <w:p>
      <w:pPr>
        <w:spacing w:line="240" w:lineRule="auto" w:before="12"/>
        <w:rPr>
          <w:rFonts w:ascii="宋体" w:hAnsi="宋体" w:cs="宋体" w:eastAsia="宋体" w:hint="default"/>
          <w:sz w:val="13"/>
          <w:szCs w:val="13"/>
        </w:rPr>
      </w:pPr>
    </w:p>
    <w:p>
      <w:pPr>
        <w:pStyle w:val="BodyText"/>
        <w:spacing w:line="297" w:lineRule="auto"/>
        <w:ind w:left="154" w:right="1130" w:firstLine="420"/>
        <w:jc w:val="both"/>
        <w:rPr>
          <w:rFonts w:ascii="宋体" w:hAnsi="宋体" w:cs="宋体" w:eastAsia="宋体" w:hint="default"/>
        </w:rPr>
      </w:pPr>
      <w:r>
        <w:rPr>
          <w:spacing w:val="-1"/>
        </w:rPr>
        <w:t>公司在重庆成立了中科创达（重庆）汽车科技有限公司（后简称“汽车科技公司”）及重庆协同创新</w:t>
      </w:r>
      <w:r>
        <w:rPr/>
        <w:t> </w:t>
      </w:r>
      <w:r>
        <w:rPr>
          <w:spacing w:val="-7"/>
        </w:rPr>
        <w:t>智能汽车研究院有限公司（后简称“汽车研究院”），并分别与高通成立“智能座舱联合实验室”，与</w:t>
      </w:r>
      <w:r>
        <w:rPr>
          <w:spacing w:val="-24"/>
        </w:rPr>
        <w:t> </w:t>
      </w:r>
      <w:r>
        <w:rPr>
          <w:rFonts w:ascii="宋体" w:hAnsi="宋体" w:cs="宋体" w:eastAsia="宋体" w:hint="default"/>
        </w:rPr>
        <w:t>SONY</w:t>
      </w:r>
    </w:p>
    <w:p>
      <w:pPr>
        <w:spacing w:after="0" w:line="297" w:lineRule="auto"/>
        <w:jc w:val="both"/>
        <w:rPr>
          <w:rFonts w:ascii="宋体" w:hAnsi="宋体" w:cs="宋体" w:eastAsia="宋体" w:hint="default"/>
        </w:rPr>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97" w:lineRule="auto" w:before="35"/>
        <w:ind w:left="254" w:right="1129"/>
        <w:jc w:val="both"/>
      </w:pPr>
      <w:r>
        <w:rPr/>
        <w:t>成立“车用视觉传感器联合实验室”</w:t>
      </w:r>
      <w:r>
        <w:rPr>
          <w:rFonts w:ascii="宋体" w:hAnsi="宋体" w:cs="宋体" w:eastAsia="宋体" w:hint="default"/>
        </w:rPr>
        <w:t>,</w:t>
      </w:r>
      <w:r>
        <w:rPr/>
        <w:t>与</w:t>
      </w:r>
      <w:r>
        <w:rPr>
          <w:spacing w:val="-60"/>
        </w:rPr>
        <w:t> </w:t>
      </w:r>
      <w:r>
        <w:rPr>
          <w:rFonts w:ascii="宋体" w:hAnsi="宋体" w:cs="宋体" w:eastAsia="宋体" w:hint="default"/>
        </w:rPr>
        <w:t>TI</w:t>
      </w:r>
      <w:r>
        <w:rPr>
          <w:rFonts w:ascii="宋体" w:hAnsi="宋体" w:cs="宋体" w:eastAsia="宋体" w:hint="default"/>
          <w:spacing w:val="-59"/>
        </w:rPr>
        <w:t> </w:t>
      </w:r>
      <w:r>
        <w:rPr/>
        <w:t>成立“应用处理器与雷达技术联合实验室”</w:t>
      </w:r>
      <w:r>
        <w:rPr>
          <w:rFonts w:ascii="宋体" w:hAnsi="宋体" w:cs="宋体" w:eastAsia="宋体" w:hint="default"/>
        </w:rPr>
        <w:t>, </w:t>
      </w:r>
      <w:r>
        <w:rPr/>
        <w:t>与</w:t>
      </w:r>
      <w:r>
        <w:rPr>
          <w:spacing w:val="-60"/>
        </w:rPr>
        <w:t> </w:t>
      </w:r>
      <w:r>
        <w:rPr>
          <w:rFonts w:ascii="宋体" w:hAnsi="宋体" w:cs="宋体" w:eastAsia="宋体" w:hint="default"/>
        </w:rPr>
        <w:t>QNX</w:t>
      </w:r>
      <w:r>
        <w:rPr>
          <w:rFonts w:ascii="宋体" w:hAnsi="宋体" w:cs="宋体" w:eastAsia="宋体" w:hint="default"/>
          <w:spacing w:val="-59"/>
        </w:rPr>
        <w:t> </w:t>
      </w:r>
      <w:r>
        <w:rPr/>
        <w:t>成立“操 作系统联合实验室”，与</w:t>
      </w:r>
      <w:r>
        <w:rPr>
          <w:spacing w:val="-60"/>
        </w:rPr>
        <w:t> </w:t>
      </w:r>
      <w:r>
        <w:rPr>
          <w:rFonts w:ascii="宋体" w:hAnsi="宋体" w:cs="宋体" w:eastAsia="宋体" w:hint="default"/>
        </w:rPr>
        <w:t>NXP</w:t>
      </w:r>
      <w:r>
        <w:rPr>
          <w:rFonts w:ascii="宋体" w:hAnsi="宋体" w:cs="宋体" w:eastAsia="宋体" w:hint="default"/>
          <w:spacing w:val="-59"/>
        </w:rPr>
        <w:t> </w:t>
      </w:r>
      <w:r>
        <w:rPr/>
        <w:t>成立“应用处理器与智能仪表联合实验室”，与</w:t>
      </w:r>
      <w:r>
        <w:rPr>
          <w:spacing w:val="-59"/>
        </w:rPr>
        <w:t> </w:t>
      </w:r>
      <w:r>
        <w:rPr>
          <w:rFonts w:ascii="宋体" w:hAnsi="宋体" w:cs="宋体" w:eastAsia="宋体" w:hint="default"/>
        </w:rPr>
        <w:t>Rightware</w:t>
      </w:r>
      <w:r>
        <w:rPr>
          <w:rFonts w:ascii="宋体" w:hAnsi="宋体" w:cs="宋体" w:eastAsia="宋体" w:hint="default"/>
          <w:spacing w:val="-59"/>
        </w:rPr>
        <w:t> </w:t>
      </w:r>
      <w:r>
        <w:rPr/>
        <w:t>成立“人机交互 </w:t>
      </w:r>
      <w:r>
        <w:rPr>
          <w:spacing w:val="3"/>
        </w:rPr>
        <w:t>联合实验室”，与清智科技成立“自动驾驶联合实验室”，与黑芝麻科技成立“自动驾驶感知联合实验</w:t>
      </w:r>
      <w:r>
        <w:rPr>
          <w:spacing w:val="-75"/>
        </w:rPr>
        <w:t> </w:t>
      </w:r>
      <w:r>
        <w:rPr>
          <w:spacing w:val="-75"/>
        </w:rPr>
      </w:r>
      <w:r>
        <w:rPr/>
        <w:t>室”，与重庆邮电大学和 </w:t>
      </w:r>
      <w:r>
        <w:rPr>
          <w:rFonts w:ascii="宋体" w:hAnsi="宋体" w:cs="宋体" w:eastAsia="宋体" w:hint="default"/>
        </w:rPr>
        <w:t>SAVARI</w:t>
      </w:r>
      <w:r>
        <w:rPr>
          <w:rFonts w:ascii="宋体" w:hAnsi="宋体" w:cs="宋体" w:eastAsia="宋体" w:hint="default"/>
          <w:spacing w:val="-23"/>
        </w:rPr>
        <w:t> </w:t>
      </w:r>
      <w:r>
        <w:rPr/>
        <w:t>成立“车联网与智慧交通联合实验室”。联合实验室内配备全球顶级的 </w:t>
      </w:r>
      <w:r>
        <w:rPr>
          <w:spacing w:val="-1"/>
        </w:rPr>
        <w:t>实验设备，围绕智能网联汽车核心技术开展各类研发活动。报告期内，汽车科技公司及汽车研究院研发投</w:t>
      </w:r>
      <w:r>
        <w:rPr>
          <w:spacing w:val="-83"/>
        </w:rPr>
        <w:t> </w:t>
      </w:r>
      <w:r>
        <w:rPr>
          <w:spacing w:val="-83"/>
        </w:rPr>
      </w:r>
      <w:r>
        <w:rPr/>
        <w:t>入约</w:t>
      </w:r>
      <w:r>
        <w:rPr>
          <w:spacing w:val="-54"/>
        </w:rPr>
        <w:t> </w:t>
      </w:r>
      <w:r>
        <w:rPr>
          <w:rFonts w:ascii="宋体" w:hAnsi="宋体" w:cs="宋体" w:eastAsia="宋体" w:hint="default"/>
        </w:rPr>
        <w:t>2100</w:t>
      </w:r>
      <w:r>
        <w:rPr>
          <w:rFonts w:ascii="宋体" w:hAnsi="宋体" w:cs="宋体" w:eastAsia="宋体" w:hint="default"/>
          <w:spacing w:val="-53"/>
        </w:rPr>
        <w:t> </w:t>
      </w:r>
      <w:r>
        <w:rPr/>
        <w:t>万元，取得实验室补贴</w:t>
      </w:r>
      <w:r>
        <w:rPr>
          <w:spacing w:val="-54"/>
        </w:rPr>
        <w:t> </w:t>
      </w:r>
      <w:r>
        <w:rPr>
          <w:rFonts w:ascii="宋体" w:hAnsi="宋体" w:cs="宋体" w:eastAsia="宋体" w:hint="default"/>
        </w:rPr>
        <w:t>2000</w:t>
      </w:r>
      <w:r>
        <w:rPr>
          <w:rFonts w:ascii="宋体" w:hAnsi="宋体" w:cs="宋体" w:eastAsia="宋体" w:hint="default"/>
          <w:spacing w:val="-54"/>
        </w:rPr>
        <w:t> </w:t>
      </w:r>
      <w:r>
        <w:rPr/>
        <w:t>万元。</w:t>
      </w:r>
    </w:p>
    <w:p>
      <w:pPr>
        <w:spacing w:line="240" w:lineRule="auto" w:before="11"/>
        <w:rPr>
          <w:rFonts w:ascii="宋体" w:hAnsi="宋体" w:cs="宋体" w:eastAsia="宋体" w:hint="default"/>
          <w:sz w:val="17"/>
          <w:szCs w:val="17"/>
        </w:rPr>
      </w:pPr>
    </w:p>
    <w:p>
      <w:pPr>
        <w:pStyle w:val="Heading2"/>
        <w:spacing w:line="240" w:lineRule="auto"/>
        <w:ind w:left="254" w:right="0"/>
        <w:jc w:val="both"/>
      </w:pPr>
      <w:bookmarkStart w:name="二、主营业务分析" w:id="24"/>
      <w:bookmarkEnd w:id="24"/>
      <w:r>
        <w:rPr/>
      </w:r>
      <w:r>
        <w:rPr/>
        <w:t>二、主营业务分析</w:t>
      </w:r>
    </w:p>
    <w:p>
      <w:pPr>
        <w:spacing w:line="240" w:lineRule="auto" w:before="10"/>
        <w:rPr>
          <w:rFonts w:ascii="微软雅黑" w:hAnsi="微软雅黑" w:cs="微软雅黑" w:eastAsia="微软雅黑" w:hint="default"/>
          <w:sz w:val="21"/>
          <w:szCs w:val="21"/>
        </w:rPr>
      </w:pPr>
    </w:p>
    <w:p>
      <w:pPr>
        <w:pStyle w:val="BodyText"/>
        <w:spacing w:line="456" w:lineRule="auto"/>
        <w:ind w:left="674" w:right="4872"/>
        <w:jc w:val="left"/>
        <w:rPr>
          <w:rFonts w:ascii="微软雅黑" w:hAnsi="微软雅黑" w:cs="微软雅黑" w:eastAsia="微软雅黑" w:hint="default"/>
        </w:rPr>
      </w:pPr>
      <w:bookmarkStart w:name="1、概述" w:id="25"/>
      <w:bookmarkEnd w:id="25"/>
      <w:r>
        <w:rPr/>
      </w:r>
      <w:r>
        <w:rPr>
          <w:rFonts w:ascii="Times New Roman" w:hAnsi="Times New Roman" w:cs="Times New Roman" w:eastAsia="Times New Roman" w:hint="default"/>
        </w:rPr>
        <w:t>1</w:t>
      </w:r>
      <w:r>
        <w:rPr>
          <w:rFonts w:ascii="微软雅黑" w:hAnsi="微软雅黑" w:cs="微软雅黑" w:eastAsia="微软雅黑" w:hint="default"/>
        </w:rPr>
        <w:t>、概述 </w:t>
      </w:r>
      <w:r>
        <w:rPr/>
        <w:t>参见“经营情况讨论与分析”中的“一、概述”相关内容。 </w:t>
      </w:r>
      <w:bookmarkStart w:name="2、收入与成本" w:id="26"/>
      <w:bookmarkEnd w:id="26"/>
      <w:r>
        <w:rPr/>
      </w:r>
      <w:r>
        <w:rPr>
          <w:rFonts w:ascii="Times New Roman" w:hAnsi="Times New Roman" w:cs="Times New Roman" w:eastAsia="Times New Roman" w:hint="default"/>
        </w:rPr>
        <w:t>2</w:t>
      </w:r>
      <w:r>
        <w:rPr>
          <w:rFonts w:ascii="微软雅黑" w:hAnsi="微软雅黑" w:cs="微软雅黑" w:eastAsia="微软雅黑" w:hint="default"/>
        </w:rPr>
        <w:t>、收入与成本</w:t>
      </w:r>
    </w:p>
    <w:p>
      <w:pPr>
        <w:pStyle w:val="Heading3"/>
        <w:spacing w:line="240" w:lineRule="auto" w:before="104"/>
        <w:ind w:left="676" w:right="4872"/>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16"/>
          <w:szCs w:val="16"/>
        </w:rPr>
      </w:pPr>
    </w:p>
    <w:p>
      <w:pPr>
        <w:pStyle w:val="BodyText"/>
        <w:spacing w:line="297" w:lineRule="auto"/>
        <w:ind w:left="254" w:right="1114" w:firstLine="420"/>
        <w:jc w:val="left"/>
      </w:pPr>
      <w:r>
        <w:rPr/>
        <w:t>公司需遵守《深圳证券交易所行业信息披露指引第 </w:t>
      </w:r>
      <w:r>
        <w:rPr>
          <w:rFonts w:ascii="宋体" w:hAnsi="宋体" w:cs="宋体" w:eastAsia="宋体" w:hint="default"/>
        </w:rPr>
        <w:t>12</w:t>
      </w:r>
      <w:r>
        <w:rPr>
          <w:rFonts w:ascii="宋体" w:hAnsi="宋体" w:cs="宋体" w:eastAsia="宋体" w:hint="default"/>
          <w:spacing w:val="-22"/>
        </w:rPr>
        <w:t> </w:t>
      </w:r>
      <w:r>
        <w:rPr/>
        <w:t>号——上市公司从软件与信息技术服务业务》 的披露要求</w:t>
      </w:r>
    </w:p>
    <w:p>
      <w:pPr>
        <w:spacing w:line="240" w:lineRule="auto" w:before="5"/>
        <w:rPr>
          <w:rFonts w:ascii="宋体" w:hAnsi="宋体" w:cs="宋体" w:eastAsia="宋体" w:hint="default"/>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670"/>
        <w:gridCol w:w="1154"/>
        <w:gridCol w:w="1156"/>
        <w:gridCol w:w="1155"/>
        <w:gridCol w:w="1156"/>
        <w:gridCol w:w="1154"/>
        <w:gridCol w:w="1150"/>
        <w:gridCol w:w="1156"/>
        <w:gridCol w:w="1156"/>
      </w:tblGrid>
      <w:tr>
        <w:trPr>
          <w:trHeight w:val="366" w:hRule="exact"/>
        </w:trPr>
        <w:tc>
          <w:tcPr>
            <w:tcW w:w="670" w:type="dxa"/>
            <w:tcBorders>
              <w:top w:val="single" w:sz="4" w:space="0" w:color="000000"/>
              <w:left w:val="single" w:sz="4" w:space="0" w:color="000000"/>
              <w:bottom w:val="nil" w:sz="6" w:space="0" w:color="auto"/>
              <w:right w:val="single" w:sz="4" w:space="0" w:color="000000"/>
            </w:tcBorders>
            <w:shd w:val="clear" w:color="auto" w:fill="D2D2D2"/>
          </w:tcPr>
          <w:p>
            <w:pPr/>
          </w:p>
        </w:tc>
        <w:tc>
          <w:tcPr>
            <w:tcW w:w="46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年度</w:t>
            </w:r>
          </w:p>
        </w:tc>
        <w:tc>
          <w:tcPr>
            <w:tcW w:w="46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年度</w:t>
            </w:r>
            <w:r>
              <w:rPr>
                <w:rFonts w:ascii="宋体" w:hAnsi="宋体" w:cs="宋体" w:eastAsia="宋体" w:hint="default"/>
                <w:sz w:val="18"/>
                <w:szCs w:val="18"/>
              </w:rPr>
            </w:r>
          </w:p>
        </w:tc>
      </w:tr>
      <w:tr>
        <w:trPr>
          <w:trHeight w:val="448" w:hRule="exact"/>
        </w:trPr>
        <w:tc>
          <w:tcPr>
            <w:tcW w:w="6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6" w:right="0"/>
              <w:jc w:val="left"/>
              <w:rPr>
                <w:rFonts w:ascii="宋体" w:hAnsi="宋体" w:cs="宋体" w:eastAsia="宋体" w:hint="default"/>
                <w:sz w:val="18"/>
                <w:szCs w:val="18"/>
              </w:rPr>
            </w:pPr>
            <w:r>
              <w:rPr>
                <w:rFonts w:ascii="宋体" w:hAnsi="宋体" w:cs="宋体" w:eastAsia="宋体" w:hint="default"/>
                <w:spacing w:val="-12"/>
                <w:sz w:val="18"/>
                <w:szCs w:val="18"/>
              </w:rPr>
              <w:t>第一季度</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pacing w:val="-12"/>
                <w:sz w:val="18"/>
                <w:szCs w:val="18"/>
              </w:rPr>
              <w:t>第二季度</w:t>
            </w:r>
            <w:r>
              <w:rPr>
                <w:rFonts w:ascii="宋体" w:hAnsi="宋体" w:cs="宋体" w:eastAsia="宋体" w:hint="default"/>
                <w:sz w:val="18"/>
                <w:szCs w:val="18"/>
              </w:rPr>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pacing w:val="-12"/>
                <w:sz w:val="18"/>
                <w:szCs w:val="18"/>
              </w:rPr>
              <w:t>第三季度</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7" w:right="0"/>
              <w:jc w:val="left"/>
              <w:rPr>
                <w:rFonts w:ascii="宋体" w:hAnsi="宋体" w:cs="宋体" w:eastAsia="宋体" w:hint="default"/>
                <w:sz w:val="18"/>
                <w:szCs w:val="18"/>
              </w:rPr>
            </w:pPr>
            <w:r>
              <w:rPr>
                <w:rFonts w:ascii="宋体" w:hAnsi="宋体" w:cs="宋体" w:eastAsia="宋体" w:hint="default"/>
                <w:spacing w:val="-12"/>
                <w:sz w:val="18"/>
                <w:szCs w:val="18"/>
              </w:rPr>
              <w:t>第四季度</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6" w:right="0"/>
              <w:jc w:val="left"/>
              <w:rPr>
                <w:rFonts w:ascii="宋体" w:hAnsi="宋体" w:cs="宋体" w:eastAsia="宋体" w:hint="default"/>
                <w:sz w:val="18"/>
                <w:szCs w:val="18"/>
              </w:rPr>
            </w:pPr>
            <w:r>
              <w:rPr>
                <w:rFonts w:ascii="宋体" w:hAnsi="宋体" w:cs="宋体" w:eastAsia="宋体" w:hint="default"/>
                <w:spacing w:val="-12"/>
                <w:sz w:val="18"/>
                <w:szCs w:val="18"/>
              </w:rPr>
              <w:t>第一季度</w:t>
            </w:r>
            <w:r>
              <w:rPr>
                <w:rFonts w:ascii="宋体" w:hAnsi="宋体" w:cs="宋体" w:eastAsia="宋体" w:hint="default"/>
                <w:sz w:val="18"/>
                <w:szCs w:val="18"/>
              </w:rPr>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3" w:right="0"/>
              <w:jc w:val="left"/>
              <w:rPr>
                <w:rFonts w:ascii="宋体" w:hAnsi="宋体" w:cs="宋体" w:eastAsia="宋体" w:hint="default"/>
                <w:sz w:val="18"/>
                <w:szCs w:val="18"/>
              </w:rPr>
            </w:pPr>
            <w:r>
              <w:rPr>
                <w:rFonts w:ascii="宋体" w:hAnsi="宋体" w:cs="宋体" w:eastAsia="宋体" w:hint="default"/>
                <w:spacing w:val="-12"/>
                <w:sz w:val="18"/>
                <w:szCs w:val="18"/>
              </w:rPr>
              <w:t>第二季度</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pacing w:val="-12"/>
                <w:sz w:val="18"/>
                <w:szCs w:val="18"/>
              </w:rPr>
              <w:t>第三季度</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7" w:right="0"/>
              <w:jc w:val="left"/>
              <w:rPr>
                <w:rFonts w:ascii="宋体" w:hAnsi="宋体" w:cs="宋体" w:eastAsia="宋体" w:hint="default"/>
                <w:sz w:val="18"/>
                <w:szCs w:val="18"/>
              </w:rPr>
            </w:pPr>
            <w:r>
              <w:rPr>
                <w:rFonts w:ascii="宋体" w:hAnsi="宋体" w:cs="宋体" w:eastAsia="宋体" w:hint="default"/>
                <w:spacing w:val="-12"/>
                <w:sz w:val="18"/>
                <w:szCs w:val="18"/>
              </w:rPr>
              <w:t>第四季度</w:t>
            </w:r>
            <w:r>
              <w:rPr>
                <w:rFonts w:ascii="宋体" w:hAnsi="宋体" w:cs="宋体" w:eastAsia="宋体" w:hint="default"/>
                <w:sz w:val="18"/>
                <w:szCs w:val="18"/>
              </w:rPr>
            </w:r>
          </w:p>
        </w:tc>
      </w:tr>
      <w:tr>
        <w:trPr>
          <w:trHeight w:val="476" w:hRule="exact"/>
        </w:trPr>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营业</w:t>
            </w:r>
            <w:r>
              <w:rPr>
                <w:rFonts w:ascii="宋体" w:hAnsi="宋体" w:cs="宋体" w:eastAsia="宋体" w:hint="default"/>
                <w:sz w:val="18"/>
                <w:szCs w:val="18"/>
              </w:rPr>
            </w:r>
          </w:p>
          <w:p>
            <w:pPr>
              <w:pStyle w:val="TableParagraph"/>
              <w:spacing w:line="23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收入</w:t>
            </w:r>
            <w:r>
              <w:rPr>
                <w:rFonts w:ascii="宋体" w:hAnsi="宋体" w:cs="宋体" w:eastAsia="宋体"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1"/>
              <w:jc w:val="right"/>
              <w:rPr>
                <w:rFonts w:ascii="Times New Roman" w:hAnsi="Times New Roman" w:cs="Times New Roman" w:eastAsia="Times New Roman" w:hint="default"/>
                <w:sz w:val="18"/>
                <w:szCs w:val="18"/>
              </w:rPr>
            </w:pPr>
            <w:r>
              <w:rPr>
                <w:rFonts w:ascii="Times New Roman"/>
                <w:spacing w:val="-6"/>
                <w:sz w:val="18"/>
              </w:rPr>
              <w:t>281,055,583.71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 w:right="0"/>
              <w:jc w:val="center"/>
              <w:rPr>
                <w:rFonts w:ascii="Times New Roman" w:hAnsi="Times New Roman" w:cs="Times New Roman" w:eastAsia="Times New Roman" w:hint="default"/>
                <w:sz w:val="18"/>
                <w:szCs w:val="18"/>
              </w:rPr>
            </w:pPr>
            <w:r>
              <w:rPr>
                <w:rFonts w:ascii="Times New Roman"/>
                <w:spacing w:val="-6"/>
                <w:sz w:val="18"/>
              </w:rPr>
              <w:t>297,076,958.16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 w:right="0"/>
              <w:jc w:val="center"/>
              <w:rPr>
                <w:rFonts w:ascii="Times New Roman" w:hAnsi="Times New Roman" w:cs="Times New Roman" w:eastAsia="Times New Roman" w:hint="default"/>
                <w:sz w:val="18"/>
                <w:szCs w:val="18"/>
              </w:rPr>
            </w:pPr>
            <w:r>
              <w:rPr>
                <w:rFonts w:ascii="Times New Roman"/>
                <w:spacing w:val="-6"/>
                <w:sz w:val="18"/>
              </w:rPr>
              <w:t>321,178,584.72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1"/>
              <w:jc w:val="right"/>
              <w:rPr>
                <w:rFonts w:ascii="Times New Roman" w:hAnsi="Times New Roman" w:cs="Times New Roman" w:eastAsia="Times New Roman" w:hint="default"/>
                <w:sz w:val="18"/>
                <w:szCs w:val="18"/>
              </w:rPr>
            </w:pPr>
            <w:r>
              <w:rPr>
                <w:rFonts w:ascii="Times New Roman"/>
                <w:spacing w:val="-6"/>
                <w:sz w:val="18"/>
              </w:rPr>
              <w:t>565,272,618.87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1"/>
              <w:jc w:val="right"/>
              <w:rPr>
                <w:rFonts w:ascii="Times New Roman" w:hAnsi="Times New Roman" w:cs="Times New Roman" w:eastAsia="Times New Roman" w:hint="default"/>
                <w:sz w:val="18"/>
                <w:szCs w:val="18"/>
              </w:rPr>
            </w:pPr>
            <w:r>
              <w:rPr>
                <w:rFonts w:ascii="Times New Roman"/>
                <w:spacing w:val="-6"/>
                <w:sz w:val="18"/>
              </w:rPr>
              <w:t>222,406,138.99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2"/>
              <w:jc w:val="right"/>
              <w:rPr>
                <w:rFonts w:ascii="Times New Roman" w:hAnsi="Times New Roman" w:cs="Times New Roman" w:eastAsia="Times New Roman" w:hint="default"/>
                <w:sz w:val="18"/>
                <w:szCs w:val="18"/>
              </w:rPr>
            </w:pPr>
            <w:r>
              <w:rPr>
                <w:rFonts w:ascii="Times New Roman"/>
                <w:spacing w:val="-7"/>
                <w:sz w:val="18"/>
              </w:rPr>
              <w:t>245,291,110.38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 w:right="0"/>
              <w:jc w:val="center"/>
              <w:rPr>
                <w:rFonts w:ascii="Times New Roman" w:hAnsi="Times New Roman" w:cs="Times New Roman" w:eastAsia="Times New Roman" w:hint="default"/>
                <w:sz w:val="18"/>
                <w:szCs w:val="18"/>
              </w:rPr>
            </w:pPr>
            <w:r>
              <w:rPr>
                <w:rFonts w:ascii="Times New Roman"/>
                <w:spacing w:val="-6"/>
                <w:sz w:val="18"/>
              </w:rPr>
              <w:t>232,524,539.64</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1"/>
              <w:jc w:val="right"/>
              <w:rPr>
                <w:rFonts w:ascii="Times New Roman" w:hAnsi="Times New Roman" w:cs="Times New Roman" w:eastAsia="Times New Roman" w:hint="default"/>
                <w:sz w:val="18"/>
                <w:szCs w:val="18"/>
              </w:rPr>
            </w:pPr>
            <w:r>
              <w:rPr>
                <w:rFonts w:ascii="Times New Roman"/>
                <w:spacing w:val="-6"/>
                <w:sz w:val="18"/>
              </w:rPr>
              <w:t>462,105,451.87</w:t>
            </w:r>
          </w:p>
        </w:tc>
      </w:tr>
      <w:tr>
        <w:trPr>
          <w:trHeight w:val="1177" w:hRule="exact"/>
        </w:trPr>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2" w:right="0"/>
              <w:jc w:val="both"/>
              <w:rPr>
                <w:rFonts w:ascii="宋体" w:hAnsi="宋体" w:cs="宋体" w:eastAsia="宋体" w:hint="default"/>
                <w:sz w:val="18"/>
                <w:szCs w:val="18"/>
              </w:rPr>
            </w:pPr>
            <w:r>
              <w:rPr>
                <w:rFonts w:ascii="宋体" w:hAnsi="宋体" w:cs="宋体" w:eastAsia="宋体" w:hint="default"/>
                <w:spacing w:val="-12"/>
                <w:sz w:val="18"/>
                <w:szCs w:val="18"/>
              </w:rPr>
              <w:t>归属于</w:t>
            </w:r>
            <w:r>
              <w:rPr>
                <w:rFonts w:ascii="宋体" w:hAnsi="宋体" w:cs="宋体" w:eastAsia="宋体" w:hint="default"/>
                <w:sz w:val="18"/>
                <w:szCs w:val="18"/>
              </w:rPr>
            </w:r>
          </w:p>
          <w:p>
            <w:pPr>
              <w:pStyle w:val="TableParagraph"/>
              <w:spacing w:line="237" w:lineRule="auto" w:before="1"/>
              <w:ind w:left="52" w:right="101"/>
              <w:jc w:val="both"/>
              <w:rPr>
                <w:rFonts w:ascii="宋体" w:hAnsi="宋体" w:cs="宋体" w:eastAsia="宋体" w:hint="default"/>
                <w:sz w:val="18"/>
                <w:szCs w:val="18"/>
              </w:rPr>
            </w:pPr>
            <w:r>
              <w:rPr>
                <w:rFonts w:ascii="宋体" w:hAnsi="宋体" w:cs="宋体" w:eastAsia="宋体" w:hint="default"/>
                <w:spacing w:val="-12"/>
                <w:sz w:val="18"/>
                <w:szCs w:val="18"/>
              </w:rPr>
              <w:t>上市公 司股东 的净利 </w:t>
            </w:r>
            <w:r>
              <w:rPr>
                <w:rFonts w:ascii="宋体" w:hAnsi="宋体" w:cs="宋体" w:eastAsia="宋体" w:hint="default"/>
                <w:sz w:val="18"/>
                <w:szCs w:val="18"/>
              </w:rPr>
              <w:t>润</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37,967,566.90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pacing w:val="-6"/>
                <w:sz w:val="18"/>
              </w:rPr>
              <w:t>23,094,752.66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pacing w:val="-6"/>
                <w:sz w:val="18"/>
              </w:rPr>
              <w:t>41,953,160.67</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61,288,800.57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26,490,996.37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6"/>
                <w:sz w:val="18"/>
              </w:rPr>
              <w:t>31,312,780.73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pacing w:val="-6"/>
                <w:sz w:val="18"/>
              </w:rPr>
              <w:t>15,381,239.73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4,859,284.40</w:t>
            </w:r>
          </w:p>
        </w:tc>
      </w:tr>
    </w:tbl>
    <w:p>
      <w:pPr>
        <w:spacing w:line="240" w:lineRule="auto" w:before="6"/>
        <w:rPr>
          <w:rFonts w:ascii="宋体" w:hAnsi="宋体" w:cs="宋体" w:eastAsia="宋体" w:hint="default"/>
          <w:sz w:val="7"/>
          <w:szCs w:val="7"/>
        </w:rPr>
      </w:pPr>
    </w:p>
    <w:p>
      <w:pPr>
        <w:pStyle w:val="BodyText"/>
        <w:spacing w:line="240" w:lineRule="auto" w:before="35"/>
        <w:ind w:left="674" w:right="4872"/>
        <w:jc w:val="left"/>
      </w:pPr>
      <w:r>
        <w:rPr/>
        <w:t>说明经营季节性（或周期性）发生的原因及波动风险</w:t>
      </w:r>
    </w:p>
    <w:p>
      <w:pPr>
        <w:spacing w:line="240" w:lineRule="auto" w:before="12"/>
        <w:rPr>
          <w:rFonts w:ascii="宋体" w:hAnsi="宋体" w:cs="宋体" w:eastAsia="宋体" w:hint="default"/>
          <w:sz w:val="17"/>
          <w:szCs w:val="17"/>
        </w:rPr>
      </w:pPr>
    </w:p>
    <w:p>
      <w:pPr>
        <w:pStyle w:val="BodyText"/>
        <w:spacing w:line="444" w:lineRule="auto"/>
        <w:ind w:left="674" w:right="1727"/>
        <w:jc w:val="left"/>
      </w:pPr>
      <w:r>
        <w:rPr/>
        <w:t>公司自</w:t>
      </w:r>
      <w:r>
        <w:rPr>
          <w:spacing w:val="-53"/>
        </w:rPr>
        <w:t> </w:t>
      </w:r>
      <w:r>
        <w:rPr>
          <w:rFonts w:ascii="宋体" w:hAnsi="宋体" w:cs="宋体" w:eastAsia="宋体" w:hint="default"/>
        </w:rPr>
        <w:t>2018</w:t>
      </w:r>
      <w:r>
        <w:rPr>
          <w:rFonts w:ascii="宋体" w:hAnsi="宋体" w:cs="宋体" w:eastAsia="宋体" w:hint="default"/>
          <w:spacing w:val="-55"/>
        </w:rPr>
        <w:t> </w:t>
      </w:r>
      <w:r>
        <w:rPr/>
        <w:t>年下半年开始智能汽车业务增速较快，并于</w:t>
      </w:r>
      <w:r>
        <w:rPr>
          <w:spacing w:val="-53"/>
        </w:rPr>
        <w:t> </w:t>
      </w:r>
      <w:r>
        <w:rPr>
          <w:rFonts w:ascii="宋体" w:hAnsi="宋体" w:cs="宋体" w:eastAsia="宋体" w:hint="default"/>
        </w:rPr>
        <w:t>2018</w:t>
      </w:r>
      <w:r>
        <w:rPr>
          <w:rFonts w:ascii="宋体" w:hAnsi="宋体" w:cs="宋体" w:eastAsia="宋体" w:hint="default"/>
          <w:spacing w:val="-54"/>
        </w:rPr>
        <w:t> </w:t>
      </w:r>
      <w:r>
        <w:rPr/>
        <w:t>年第四季度收到多笔政府补助。 营业收入整体情况</w:t>
      </w:r>
    </w:p>
    <w:p>
      <w:pPr>
        <w:spacing w:before="5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1644"/>
        <w:gridCol w:w="1642"/>
        <w:gridCol w:w="1643"/>
        <w:gridCol w:w="1642"/>
        <w:gridCol w:w="1642"/>
        <w:gridCol w:w="1643"/>
      </w:tblGrid>
      <w:tr>
        <w:trPr>
          <w:trHeight w:val="367" w:hRule="exact"/>
        </w:trPr>
        <w:tc>
          <w:tcPr>
            <w:tcW w:w="1644" w:type="dxa"/>
            <w:tcBorders>
              <w:top w:val="single" w:sz="4" w:space="0" w:color="000000"/>
              <w:left w:val="single" w:sz="4" w:space="0" w:color="000000"/>
              <w:bottom w:val="nil" w:sz="6" w:space="0" w:color="auto"/>
              <w:right w:val="single" w:sz="4" w:space="0" w:color="000000"/>
            </w:tcBorders>
            <w:shd w:val="clear" w:color="auto" w:fill="D2D2D2"/>
          </w:tcPr>
          <w:p>
            <w:pPr/>
          </w:p>
        </w:tc>
        <w:tc>
          <w:tcPr>
            <w:tcW w:w="3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47" w:hRule="exact"/>
        </w:trPr>
        <w:tc>
          <w:tcPr>
            <w:tcW w:w="16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85"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8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43" w:type="dxa"/>
            <w:vMerge/>
            <w:tcBorders>
              <w:left w:val="single" w:sz="4" w:space="0" w:color="000000"/>
              <w:bottom w:val="single" w:sz="4" w:space="0" w:color="000000"/>
              <w:right w:val="single" w:sz="4" w:space="0" w:color="000000"/>
            </w:tcBorders>
            <w:shd w:val="clear" w:color="auto" w:fill="D2D2D2"/>
          </w:tcPr>
          <w:p>
            <w:pPr/>
          </w:p>
        </w:tc>
      </w:tr>
      <w:tr>
        <w:trPr>
          <w:trHeight w:val="413"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1,464,583,745.46</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1,162,327,240.88</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26.00%</w:t>
            </w:r>
          </w:p>
        </w:tc>
      </w:tr>
      <w:tr>
        <w:trPr>
          <w:trHeight w:val="402" w:hRule="exact"/>
        </w:trPr>
        <w:tc>
          <w:tcPr>
            <w:tcW w:w="98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软件和信息服务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1,464,583,745.46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1,162,327,240.88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26.00%</w:t>
            </w:r>
          </w:p>
        </w:tc>
      </w:tr>
      <w:tr>
        <w:trPr>
          <w:trHeight w:val="407" w:hRule="exact"/>
        </w:trPr>
        <w:tc>
          <w:tcPr>
            <w:tcW w:w="98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801" w:footer="1007" w:top="1100" w:bottom="1200" w:left="88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644"/>
        <w:gridCol w:w="1642"/>
        <w:gridCol w:w="1643"/>
        <w:gridCol w:w="1642"/>
        <w:gridCol w:w="1642"/>
        <w:gridCol w:w="1643"/>
      </w:tblGrid>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652,441,481.41</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44.55%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447,205,009.33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38.47%</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45.89%</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357,361,952.14</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24.40%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337,027,359.53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6.03%</w:t>
            </w:r>
          </w:p>
        </w:tc>
      </w:tr>
      <w:tr>
        <w:trPr>
          <w:trHeight w:val="40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软件许可</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153,554,806.69</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10.48%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138,243,445.26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11.89%</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11.08%</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商品销售及其他</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301,225,505.22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20.57%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239,851,426.76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20.64%</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25.59%</w:t>
            </w:r>
          </w:p>
        </w:tc>
      </w:tr>
      <w:tr>
        <w:trPr>
          <w:trHeight w:val="407" w:hRule="exact"/>
        </w:trPr>
        <w:tc>
          <w:tcPr>
            <w:tcW w:w="98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794,753,724.83</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54.26%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736,966,358.21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63.40%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7.84%</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欧美</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328,398,081.75</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22.42%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198,772,782.30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65.21%</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280,130,177.66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19.13%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174,378,902.50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60.64%</w:t>
            </w:r>
          </w:p>
        </w:tc>
      </w:tr>
      <w:tr>
        <w:trPr>
          <w:trHeight w:val="40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61,301,761.22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52,209,197.87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4.49%</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17.42%</w:t>
            </w:r>
          </w:p>
        </w:tc>
      </w:tr>
    </w:tbl>
    <w:p>
      <w:pPr>
        <w:spacing w:line="240" w:lineRule="auto" w:before="6"/>
        <w:rPr>
          <w:rFonts w:ascii="宋体" w:hAnsi="宋体" w:cs="宋体" w:eastAsia="宋体" w:hint="default"/>
          <w:sz w:val="7"/>
          <w:szCs w:val="7"/>
        </w:rPr>
      </w:pPr>
    </w:p>
    <w:p>
      <w:pPr>
        <w:spacing w:line="420" w:lineRule="auto" w:before="35"/>
        <w:ind w:left="634" w:right="4064" w:firstLine="2"/>
        <w:jc w:val="left"/>
        <w:rPr>
          <w:rFonts w:ascii="宋体" w:hAnsi="宋体" w:cs="宋体" w:eastAsia="宋体" w:hint="default"/>
          <w:sz w:val="21"/>
          <w:szCs w:val="21"/>
        </w:rPr>
      </w:pPr>
      <w:bookmarkStart w:name="（2）占公司营业收入或营业利润10%以上的行业、产品或地区情况"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公司是否需要遵守特殊行业的披露要求</w:t>
      </w:r>
    </w:p>
    <w:p>
      <w:pPr>
        <w:pStyle w:val="BodyText"/>
        <w:spacing w:line="297" w:lineRule="auto" w:before="75"/>
        <w:ind w:left="214" w:right="1011" w:firstLine="420"/>
        <w:jc w:val="left"/>
      </w:pPr>
      <w:r>
        <w:rPr/>
        <w:t>公司需遵守《深圳证券交易所行业信息披露指引第</w:t>
      </w:r>
      <w:r>
        <w:rPr>
          <w:spacing w:val="-65"/>
        </w:rPr>
        <w:t> </w:t>
      </w:r>
      <w:r>
        <w:rPr>
          <w:rFonts w:ascii="宋体" w:hAnsi="宋体" w:cs="宋体" w:eastAsia="宋体" w:hint="default"/>
        </w:rPr>
        <w:t>12</w:t>
      </w:r>
      <w:r>
        <w:rPr>
          <w:rFonts w:ascii="宋体" w:hAnsi="宋体" w:cs="宋体" w:eastAsia="宋体" w:hint="default"/>
          <w:spacing w:val="-64"/>
        </w:rPr>
        <w:t> </w:t>
      </w:r>
      <w:r>
        <w:rPr/>
        <w:t>号——上市公司从事软件与信息技术服务业务》 的披露要求</w:t>
      </w:r>
    </w:p>
    <w:p>
      <w:pPr>
        <w:spacing w:line="240" w:lineRule="auto" w:before="5"/>
        <w:rPr>
          <w:rFonts w:ascii="宋体" w:hAnsi="宋体" w:cs="宋体" w:eastAsia="宋体" w:hint="default"/>
          <w:sz w:val="14"/>
          <w:szCs w:val="14"/>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396"/>
        <w:gridCol w:w="1476"/>
        <w:gridCol w:w="1392"/>
        <w:gridCol w:w="1397"/>
        <w:gridCol w:w="1396"/>
        <w:gridCol w:w="1396"/>
        <w:gridCol w:w="1403"/>
      </w:tblGrid>
      <w:tr>
        <w:trPr>
          <w:trHeight w:val="478"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42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42" w:right="0" w:hanging="90"/>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35" w:lineRule="exact"/>
              <w:ind w:left="242" w:right="0"/>
              <w:jc w:val="left"/>
              <w:rPr>
                <w:rFonts w:ascii="宋体" w:hAnsi="宋体" w:cs="宋体" w:eastAsia="宋体" w:hint="default"/>
                <w:sz w:val="18"/>
                <w:szCs w:val="18"/>
              </w:rPr>
            </w:pPr>
            <w:r>
              <w:rPr>
                <w:rFonts w:ascii="宋体" w:hAnsi="宋体" w:cs="宋体" w:eastAsia="宋体" w:hint="default"/>
                <w:sz w:val="18"/>
                <w:szCs w:val="18"/>
              </w:rPr>
              <w:t>年同期增减</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42" w:right="0" w:hanging="90"/>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35" w:lineRule="exact"/>
              <w:ind w:left="242" w:right="0"/>
              <w:jc w:val="left"/>
              <w:rPr>
                <w:rFonts w:ascii="宋体" w:hAnsi="宋体" w:cs="宋体" w:eastAsia="宋体" w:hint="default"/>
                <w:sz w:val="18"/>
                <w:szCs w:val="18"/>
              </w:rPr>
            </w:pPr>
            <w:r>
              <w:rPr>
                <w:rFonts w:ascii="宋体" w:hAnsi="宋体" w:cs="宋体" w:eastAsia="宋体" w:hint="default"/>
                <w:sz w:val="18"/>
                <w:szCs w:val="18"/>
              </w:rPr>
              <w:t>年同期增减</w:t>
            </w:r>
          </w:p>
        </w:tc>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毛利率比上年</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同期增减</w:t>
            </w:r>
          </w:p>
        </w:tc>
      </w:tr>
      <w:tr>
        <w:trPr>
          <w:trHeight w:val="407" w:hRule="exact"/>
        </w:trPr>
        <w:tc>
          <w:tcPr>
            <w:tcW w:w="9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77"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软件和信息服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3"/>
              <w:jc w:val="right"/>
              <w:rPr>
                <w:rFonts w:ascii="Times New Roman" w:hAnsi="Times New Roman" w:cs="Times New Roman" w:eastAsia="Times New Roman" w:hint="default"/>
                <w:sz w:val="18"/>
                <w:szCs w:val="18"/>
              </w:rPr>
            </w:pPr>
            <w:r>
              <w:rPr>
                <w:rFonts w:ascii="Times New Roman"/>
                <w:spacing w:val="-1"/>
                <w:sz w:val="18"/>
              </w:rPr>
              <w:t>1,464,583,745.46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853,732,204.27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41.71%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26.00%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15.45%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5.33%</w:t>
            </w:r>
          </w:p>
        </w:tc>
      </w:tr>
      <w:tr>
        <w:trPr>
          <w:trHeight w:val="407" w:hRule="exact"/>
        </w:trPr>
        <w:tc>
          <w:tcPr>
            <w:tcW w:w="9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7"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652,441,481.41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375,903,245.95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42.39%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45.89%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43.89%</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0.80%</w:t>
            </w:r>
          </w:p>
        </w:tc>
      </w:tr>
      <w:tr>
        <w:trPr>
          <w:trHeight w:val="408"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357,361,952.14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198,912,298.60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44.34%</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6.03%</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0.30%</w:t>
            </w:r>
          </w:p>
        </w:tc>
      </w:tr>
      <w:tr>
        <w:trPr>
          <w:trHeight w:val="407"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软件许可</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153,554,806.69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26,486,330.70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82.75%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2"/>
                <w:sz w:val="18"/>
              </w:rPr>
              <w:t>11.08%</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-62.71%</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34.13%</w:t>
            </w:r>
          </w:p>
        </w:tc>
      </w:tr>
      <w:tr>
        <w:trPr>
          <w:trHeight w:val="476"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商品销售及其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301,225,505.22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252,430,329.02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16.20%</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25.59%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15.47%</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7.35%</w:t>
            </w:r>
          </w:p>
        </w:tc>
      </w:tr>
      <w:tr>
        <w:trPr>
          <w:trHeight w:val="407" w:hRule="exact"/>
        </w:trPr>
        <w:tc>
          <w:tcPr>
            <w:tcW w:w="98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8"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794,753,724.83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497,096,931.55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37.45%</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7.84%</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5.61%</w:t>
            </w:r>
          </w:p>
        </w:tc>
      </w:tr>
      <w:tr>
        <w:trPr>
          <w:trHeight w:val="407"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欧美</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328,398,081.75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180,331,924.18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45.09%</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65.21%</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54.16%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3.94%</w:t>
            </w:r>
          </w:p>
        </w:tc>
      </w:tr>
      <w:tr>
        <w:trPr>
          <w:trHeight w:val="407"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280,130,177.66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136,369,554.90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51.32%</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60.64%</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49.23%</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3.72%</w:t>
            </w:r>
          </w:p>
        </w:tc>
      </w:tr>
    </w:tbl>
    <w:p>
      <w:pPr>
        <w:spacing w:line="240" w:lineRule="auto" w:before="6"/>
        <w:rPr>
          <w:rFonts w:ascii="宋体" w:hAnsi="宋体" w:cs="宋体" w:eastAsia="宋体" w:hint="default"/>
          <w:sz w:val="7"/>
          <w:szCs w:val="7"/>
        </w:rPr>
      </w:pPr>
    </w:p>
    <w:p>
      <w:pPr>
        <w:pStyle w:val="BodyText"/>
        <w:spacing w:line="280" w:lineRule="auto" w:before="35"/>
        <w:ind w:left="214" w:right="1114" w:firstLine="420"/>
        <w:jc w:val="left"/>
      </w:pPr>
      <w:r>
        <w:rPr/>
        <w:t>公司主营业务数据统计口径在报告期发生调整的情况下，公司最近</w:t>
      </w:r>
      <w:r>
        <w:rPr>
          <w:spacing w:val="-6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年按报告期末口径调整后的主营 业务数据</w:t>
      </w:r>
    </w:p>
    <w:p>
      <w:pPr>
        <w:spacing w:line="240" w:lineRule="auto" w:before="2"/>
        <w:rPr>
          <w:rFonts w:ascii="宋体" w:hAnsi="宋体" w:cs="宋体" w:eastAsia="宋体" w:hint="default"/>
          <w:sz w:val="15"/>
          <w:szCs w:val="15"/>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16"/>
          <w:szCs w:val="16"/>
        </w:rPr>
      </w:pPr>
    </w:p>
    <w:p>
      <w:pPr>
        <w:pStyle w:val="Heading3"/>
        <w:spacing w:line="240" w:lineRule="auto"/>
        <w:ind w:right="1016"/>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right="10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16"/>
          <w:szCs w:val="16"/>
        </w:rPr>
      </w:pPr>
    </w:p>
    <w:p>
      <w:pPr>
        <w:pStyle w:val="Heading3"/>
        <w:spacing w:line="240" w:lineRule="auto"/>
        <w:ind w:right="1016"/>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after="0" w:line="240" w:lineRule="auto"/>
        <w:jc w:val="left"/>
        <w:sectPr>
          <w:pgSz w:w="11910" w:h="16840"/>
          <w:pgMar w:header="801" w:footer="1007" w:top="1100" w:bottom="1200" w:left="920" w:right="0"/>
        </w:sectPr>
      </w:pPr>
    </w:p>
    <w:p>
      <w:pPr>
        <w:spacing w:line="240" w:lineRule="auto" w:before="1"/>
        <w:rPr>
          <w:rFonts w:ascii="宋体" w:hAnsi="宋体" w:cs="宋体" w:eastAsia="宋体" w:hint="default"/>
          <w:b/>
          <w:bCs/>
          <w:sz w:val="19"/>
          <w:szCs w:val="19"/>
        </w:rPr>
      </w:pPr>
    </w:p>
    <w:p>
      <w:pPr>
        <w:pStyle w:val="BodyText"/>
        <w:spacing w:line="240" w:lineRule="auto" w:before="35"/>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6"/>
          <w:szCs w:val="16"/>
        </w:rPr>
      </w:pPr>
    </w:p>
    <w:p>
      <w:pPr>
        <w:pStyle w:val="Heading3"/>
        <w:spacing w:line="240" w:lineRule="auto"/>
        <w:ind w:right="1016"/>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16"/>
          <w:szCs w:val="16"/>
        </w:rPr>
      </w:pPr>
    </w:p>
    <w:p>
      <w:pPr>
        <w:pStyle w:val="BodyText"/>
        <w:spacing w:line="280" w:lineRule="auto"/>
        <w:ind w:left="214" w:right="1010" w:firstLine="420"/>
        <w:jc w:val="left"/>
      </w:pPr>
      <w:r>
        <w:rPr/>
        <w:t>公司需遵守《深圳证券交易所行业信息披露指引第</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上市公司从事软件与信息技术服务业务》 的披露要求</w:t>
      </w:r>
    </w:p>
    <w:p>
      <w:pPr>
        <w:spacing w:line="240" w:lineRule="auto" w:before="2"/>
        <w:rPr>
          <w:rFonts w:ascii="宋体" w:hAnsi="宋体" w:cs="宋体" w:eastAsia="宋体" w:hint="default"/>
          <w:sz w:val="15"/>
          <w:szCs w:val="15"/>
        </w:rPr>
      </w:pPr>
    </w:p>
    <w:p>
      <w:pPr>
        <w:pStyle w:val="BodyText"/>
        <w:spacing w:line="240" w:lineRule="auto"/>
        <w:ind w:right="1016"/>
        <w:jc w:val="left"/>
      </w:pPr>
      <w:r>
        <w:rPr/>
        <w:t>主营业务成本构成</w:t>
      </w:r>
    </w:p>
    <w:p>
      <w:pPr>
        <w:spacing w:line="240" w:lineRule="auto" w:before="2"/>
        <w:rPr>
          <w:rFonts w:ascii="宋体" w:hAnsi="宋体" w:cs="宋体" w:eastAsia="宋体" w:hint="default"/>
          <w:sz w:val="18"/>
          <w:szCs w:val="18"/>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644"/>
        <w:gridCol w:w="1642"/>
        <w:gridCol w:w="1643"/>
        <w:gridCol w:w="1642"/>
        <w:gridCol w:w="1642"/>
        <w:gridCol w:w="1643"/>
      </w:tblGrid>
      <w:tr>
        <w:trPr>
          <w:trHeight w:val="407" w:hRule="exact"/>
        </w:trPr>
        <w:tc>
          <w:tcPr>
            <w:tcW w:w="16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7"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1644" w:type="dxa"/>
            <w:vMerge/>
            <w:tcBorders>
              <w:left w:val="single" w:sz="4" w:space="0" w:color="000000"/>
              <w:bottom w:val="single" w:sz="4" w:space="0" w:color="000000"/>
              <w:right w:val="single" w:sz="4" w:space="0" w:color="000000"/>
            </w:tcBorders>
            <w:shd w:val="clear" w:color="auto" w:fill="D2D2D2"/>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5"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6"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643"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450,683,395.71</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52.79%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380,310,572.21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51.43%</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18.50%</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硬件产品和材料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225,299,855.03</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26.39%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221,798,462.32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29.99%</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1.58%</w:t>
            </w:r>
          </w:p>
        </w:tc>
      </w:tr>
      <w:tr>
        <w:trPr>
          <w:trHeight w:val="476"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房屋及设备租赁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21,767,152.88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2.55%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23,091,028.73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3.12%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-5.73%</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服务采购成本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117,803,211.37</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13.80%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84,747,448.59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11.46%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39.01%</w:t>
            </w:r>
          </w:p>
        </w:tc>
      </w:tr>
      <w:tr>
        <w:trPr>
          <w:trHeight w:val="40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38,178,589.28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29,559,556.88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29.16%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1016"/>
        <w:jc w:val="left"/>
      </w:pPr>
      <w:r>
        <w:rPr/>
        <w:t>行业分类</w:t>
      </w:r>
    </w:p>
    <w:p>
      <w:pPr>
        <w:spacing w:line="240" w:lineRule="auto" w:before="12"/>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548"/>
        <w:gridCol w:w="1872"/>
        <w:gridCol w:w="1342"/>
        <w:gridCol w:w="1415"/>
        <w:gridCol w:w="1341"/>
        <w:gridCol w:w="1415"/>
        <w:gridCol w:w="923"/>
      </w:tblGrid>
      <w:tr>
        <w:trPr>
          <w:trHeight w:val="407" w:hRule="exact"/>
        </w:trPr>
        <w:tc>
          <w:tcPr>
            <w:tcW w:w="15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275" w:right="275"/>
              <w:jc w:val="left"/>
              <w:rPr>
                <w:rFonts w:ascii="宋体" w:hAnsi="宋体" w:cs="宋体" w:eastAsia="宋体" w:hint="default"/>
                <w:sz w:val="18"/>
                <w:szCs w:val="18"/>
              </w:rPr>
            </w:pPr>
            <w:r>
              <w:rPr>
                <w:rFonts w:ascii="宋体" w:hAnsi="宋体" w:cs="宋体" w:eastAsia="宋体" w:hint="default"/>
                <w:sz w:val="18"/>
                <w:szCs w:val="18"/>
              </w:rPr>
              <w:t>同比 增减</w:t>
            </w:r>
          </w:p>
        </w:tc>
      </w:tr>
      <w:tr>
        <w:trPr>
          <w:trHeight w:val="476" w:hRule="exact"/>
        </w:trPr>
        <w:tc>
          <w:tcPr>
            <w:tcW w:w="1548" w:type="dxa"/>
            <w:vMerge/>
            <w:tcBorders>
              <w:left w:val="single" w:sz="4" w:space="0" w:color="000000"/>
              <w:bottom w:val="single" w:sz="4" w:space="0" w:color="000000"/>
              <w:right w:val="single" w:sz="4" w:space="0" w:color="000000"/>
            </w:tcBorders>
            <w:shd w:val="clear" w:color="auto" w:fill="D2D2D2"/>
          </w:tcPr>
          <w:p>
            <w:pPr/>
          </w:p>
        </w:tc>
        <w:tc>
          <w:tcPr>
            <w:tcW w:w="1872"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占营业成本</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比重</w:t>
            </w:r>
          </w:p>
        </w:tc>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占营业成本</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比重</w:t>
            </w:r>
          </w:p>
        </w:tc>
        <w:tc>
          <w:tcPr>
            <w:tcW w:w="923"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软件和信息服务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450,683,395.71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52.79%</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380,310,572.21</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51.43%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18.50%</w:t>
            </w:r>
          </w:p>
        </w:tc>
      </w:tr>
      <w:tr>
        <w:trPr>
          <w:trHeight w:val="47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软件和信息服务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硬件产品和材料采购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Times New Roman" w:hAnsi="Times New Roman" w:cs="Times New Roman" w:eastAsia="Times New Roman" w:hint="default"/>
                <w:sz w:val="18"/>
                <w:szCs w:val="18"/>
              </w:rPr>
            </w:pPr>
            <w:r>
              <w:rPr>
                <w:rFonts w:ascii="Times New Roman"/>
                <w:sz w:val="18"/>
              </w:rPr>
              <w:t>225,299,855.03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26.39%</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221,798,462.32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29.99%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1.58%</w:t>
            </w:r>
          </w:p>
        </w:tc>
      </w:tr>
      <w:tr>
        <w:trPr>
          <w:trHeight w:val="40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软件和信息服务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房屋及设备租赁成本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1" w:right="0"/>
              <w:jc w:val="center"/>
              <w:rPr>
                <w:rFonts w:ascii="Times New Roman" w:hAnsi="Times New Roman" w:cs="Times New Roman" w:eastAsia="Times New Roman" w:hint="default"/>
                <w:sz w:val="18"/>
                <w:szCs w:val="18"/>
              </w:rPr>
            </w:pPr>
            <w:r>
              <w:rPr>
                <w:rFonts w:ascii="Times New Roman"/>
                <w:sz w:val="18"/>
              </w:rPr>
              <w:t>21,767,152.88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2.55%</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23,091,028.73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3.12%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-5.73%</w:t>
            </w:r>
          </w:p>
        </w:tc>
      </w:tr>
      <w:tr>
        <w:trPr>
          <w:trHeight w:val="40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软件和信息服务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服务采购成本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117,803,211.37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13.80%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84,747,448.59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11.46%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39.01%</w:t>
            </w:r>
          </w:p>
        </w:tc>
      </w:tr>
      <w:tr>
        <w:trPr>
          <w:trHeight w:val="408"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软件和信息服务</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38,178,589.28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4.47%</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29,559,556.88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29.16%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3"/>
        <w:spacing w:line="240" w:lineRule="auto" w:before="35"/>
        <w:ind w:right="1016"/>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right="10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9"/>
        <w:rPr>
          <w:rFonts w:ascii="宋体" w:hAnsi="宋体" w:cs="宋体" w:eastAsia="宋体" w:hint="default"/>
          <w:sz w:val="16"/>
          <w:szCs w:val="16"/>
        </w:rPr>
      </w:pPr>
    </w:p>
    <w:p>
      <w:pPr>
        <w:pStyle w:val="BodyText"/>
        <w:spacing w:line="240" w:lineRule="auto"/>
        <w:ind w:right="1016"/>
        <w:jc w:val="left"/>
      </w:pPr>
      <w:r>
        <w:rPr/>
        <w:t>详见本报告</w:t>
      </w:r>
      <w:r>
        <w:rPr>
          <w:rFonts w:ascii="Times New Roman" w:hAnsi="Times New Roman" w:cs="Times New Roman" w:eastAsia="Times New Roman" w:hint="default"/>
        </w:rPr>
        <w:t>“</w:t>
      </w:r>
      <w:r>
        <w:rPr/>
        <w:t>第十一节财务报告</w:t>
      </w:r>
      <w:r>
        <w:rPr>
          <w:spacing w:val="-21"/>
        </w:rPr>
        <w:t> </w:t>
      </w:r>
      <w:r>
        <w:rPr/>
        <w:t>八、合并范围的变更</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6"/>
          <w:szCs w:val="16"/>
        </w:rPr>
      </w:pPr>
    </w:p>
    <w:p>
      <w:pPr>
        <w:pStyle w:val="Heading3"/>
        <w:spacing w:line="240" w:lineRule="auto"/>
        <w:ind w:right="1016"/>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6"/>
          <w:szCs w:val="16"/>
        </w:rPr>
      </w:pPr>
    </w:p>
    <w:p>
      <w:pPr>
        <w:pStyle w:val="Heading3"/>
        <w:spacing w:line="240" w:lineRule="auto"/>
        <w:ind w:right="1016"/>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after="0" w:line="240" w:lineRule="auto"/>
        <w:jc w:val="left"/>
        <w:sectPr>
          <w:pgSz w:w="11910" w:h="16840"/>
          <w:pgMar w:header="801" w:footer="1007" w:top="1100" w:bottom="1200" w:left="920" w:right="0"/>
        </w:sectPr>
      </w:pPr>
    </w:p>
    <w:p>
      <w:pPr>
        <w:spacing w:line="240" w:lineRule="auto" w:before="1"/>
        <w:rPr>
          <w:rFonts w:ascii="宋体" w:hAnsi="宋体" w:cs="宋体" w:eastAsia="宋体" w:hint="default"/>
          <w:b/>
          <w:bCs/>
          <w:sz w:val="19"/>
          <w:szCs w:val="19"/>
        </w:rPr>
      </w:pPr>
    </w:p>
    <w:p>
      <w:pPr>
        <w:pStyle w:val="BodyText"/>
        <w:spacing w:line="240" w:lineRule="auto" w:before="35"/>
        <w:ind w:right="1016"/>
        <w:jc w:val="left"/>
      </w:pPr>
      <w:r>
        <w:rPr/>
        <w:t>公司主要销售客户情况</w:t>
      </w:r>
    </w:p>
    <w:p>
      <w:pPr>
        <w:spacing w:line="240" w:lineRule="auto" w:before="8"/>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4384"/>
        <w:gridCol w:w="5471"/>
      </w:tblGrid>
      <w:tr>
        <w:trPr>
          <w:trHeight w:val="407" w:hRule="exact"/>
        </w:trPr>
        <w:tc>
          <w:tcPr>
            <w:tcW w:w="4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496,824,334.67</w:t>
            </w:r>
          </w:p>
        </w:tc>
      </w:tr>
      <w:tr>
        <w:trPr>
          <w:trHeight w:val="407" w:hRule="exact"/>
        </w:trPr>
        <w:tc>
          <w:tcPr>
            <w:tcW w:w="4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33.92%</w:t>
            </w:r>
          </w:p>
        </w:tc>
      </w:tr>
      <w:tr>
        <w:trPr>
          <w:trHeight w:val="478" w:hRule="exact"/>
        </w:trPr>
        <w:tc>
          <w:tcPr>
            <w:tcW w:w="4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例</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826"/>
        <w:gridCol w:w="3401"/>
        <w:gridCol w:w="2390"/>
        <w:gridCol w:w="3238"/>
      </w:tblGrid>
      <w:tr>
        <w:trPr>
          <w:trHeight w:val="407"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4"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7"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188,814,446.73</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12.89%</w:t>
            </w:r>
          </w:p>
        </w:tc>
      </w:tr>
      <w:tr>
        <w:trPr>
          <w:trHeight w:val="407"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103,646,239.98</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7.08%</w:t>
            </w:r>
          </w:p>
        </w:tc>
      </w:tr>
      <w:tr>
        <w:trPr>
          <w:trHeight w:val="407"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85,830,980.08</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5.86%</w:t>
            </w:r>
          </w:p>
        </w:tc>
      </w:tr>
      <w:tr>
        <w:trPr>
          <w:trHeight w:val="407"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67,700,104.77</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4.62%</w:t>
            </w:r>
          </w:p>
        </w:tc>
      </w:tr>
      <w:tr>
        <w:trPr>
          <w:trHeight w:val="407"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50,832,563.11</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3.47%</w:t>
            </w:r>
          </w:p>
        </w:tc>
      </w:tr>
      <w:tr>
        <w:trPr>
          <w:trHeight w:val="408"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496,824,334.67</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33.92%</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主要客户其他情况说明</w:t>
      </w:r>
    </w:p>
    <w:p>
      <w:pPr>
        <w:spacing w:line="240" w:lineRule="auto" w:before="12"/>
        <w:rPr>
          <w:rFonts w:ascii="宋体" w:hAnsi="宋体" w:cs="宋体" w:eastAsia="宋体" w:hint="default"/>
          <w:sz w:val="17"/>
          <w:szCs w:val="17"/>
        </w:rPr>
      </w:pPr>
    </w:p>
    <w:p>
      <w:pPr>
        <w:pStyle w:val="BodyText"/>
        <w:spacing w:line="420" w:lineRule="auto"/>
        <w:ind w:right="84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公司主要供应商情况</w:t>
      </w:r>
    </w:p>
    <w:p>
      <w:pPr>
        <w:spacing w:line="240" w:lineRule="auto" w:before="7"/>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4384"/>
        <w:gridCol w:w="5471"/>
      </w:tblGrid>
      <w:tr>
        <w:trPr>
          <w:trHeight w:val="407" w:hRule="exact"/>
        </w:trPr>
        <w:tc>
          <w:tcPr>
            <w:tcW w:w="4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282,398,789.90</w:t>
            </w:r>
          </w:p>
        </w:tc>
      </w:tr>
      <w:tr>
        <w:trPr>
          <w:trHeight w:val="407" w:hRule="exact"/>
        </w:trPr>
        <w:tc>
          <w:tcPr>
            <w:tcW w:w="4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61.98%</w:t>
            </w:r>
          </w:p>
        </w:tc>
      </w:tr>
      <w:tr>
        <w:trPr>
          <w:trHeight w:val="477" w:hRule="exact"/>
        </w:trPr>
        <w:tc>
          <w:tcPr>
            <w:tcW w:w="4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公司前</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5"/>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964"/>
        <w:gridCol w:w="3263"/>
        <w:gridCol w:w="2390"/>
        <w:gridCol w:w="3238"/>
      </w:tblGrid>
      <w:tr>
        <w:trPr>
          <w:trHeight w:val="407"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4"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7"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1</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151,133,921.66</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33.17%</w:t>
            </w:r>
          </w:p>
        </w:tc>
      </w:tr>
      <w:tr>
        <w:trPr>
          <w:trHeight w:val="407"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65,399,420.59</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14.35%</w:t>
            </w:r>
          </w:p>
        </w:tc>
      </w:tr>
      <w:tr>
        <w:trPr>
          <w:trHeight w:val="407"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34,565,248.61</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7.59%</w:t>
            </w:r>
          </w:p>
        </w:tc>
      </w:tr>
      <w:tr>
        <w:trPr>
          <w:trHeight w:val="408"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16,564,722.38</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w:t>
            </w:r>
          </w:p>
        </w:tc>
      </w:tr>
      <w:tr>
        <w:trPr>
          <w:trHeight w:val="407"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5</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14,735,476.66</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3.23%</w:t>
            </w:r>
          </w:p>
        </w:tc>
      </w:tr>
      <w:tr>
        <w:trPr>
          <w:trHeight w:val="407" w:hRule="exact"/>
        </w:trPr>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3"/>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282,398,789.90</w:t>
            </w:r>
          </w:p>
        </w:tc>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61.98%</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主要供应商其他情况说明</w:t>
      </w:r>
    </w:p>
    <w:p>
      <w:pPr>
        <w:spacing w:line="240" w:lineRule="auto" w:before="12"/>
        <w:rPr>
          <w:rFonts w:ascii="宋体" w:hAnsi="宋体" w:cs="宋体" w:eastAsia="宋体" w:hint="default"/>
          <w:sz w:val="17"/>
          <w:szCs w:val="17"/>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01" w:footer="1007" w:top="1100" w:bottom="1200" w:left="920" w:right="0"/>
        </w:sectPr>
      </w:pPr>
    </w:p>
    <w:p>
      <w:pPr>
        <w:spacing w:line="240" w:lineRule="auto" w:before="2"/>
        <w:rPr>
          <w:rFonts w:ascii="宋体" w:hAnsi="宋体" w:cs="宋体" w:eastAsia="宋体" w:hint="default"/>
          <w:sz w:val="19"/>
          <w:szCs w:val="19"/>
        </w:rPr>
      </w:pPr>
    </w:p>
    <w:p>
      <w:pPr>
        <w:pStyle w:val="BodyText"/>
        <w:spacing w:line="240" w:lineRule="auto" w:before="35"/>
        <w:ind w:right="1016"/>
        <w:jc w:val="left"/>
      </w:pPr>
      <w:bookmarkStart w:name="3、费用" w:id="35"/>
      <w:bookmarkEnd w:id="35"/>
      <w:r>
        <w:rPr/>
      </w:r>
      <w:r>
        <w:rPr>
          <w:rFonts w:ascii="宋体" w:hAnsi="宋体" w:cs="宋体" w:eastAsia="宋体" w:hint="default"/>
        </w:rPr>
        <w:t>3</w:t>
      </w:r>
      <w:r>
        <w:rPr/>
        <w:t>、费用</w:t>
      </w:r>
    </w:p>
    <w:p>
      <w:pPr>
        <w:spacing w:line="240" w:lineRule="auto" w:before="3"/>
        <w:rPr>
          <w:rFonts w:ascii="宋体" w:hAnsi="宋体" w:cs="宋体" w:eastAsia="宋体" w:hint="default"/>
          <w:sz w:val="16"/>
          <w:szCs w:val="1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72"/>
        <w:gridCol w:w="1686"/>
        <w:gridCol w:w="1686"/>
        <w:gridCol w:w="1506"/>
        <w:gridCol w:w="3005"/>
      </w:tblGrid>
      <w:tr>
        <w:trPr>
          <w:trHeight w:val="407"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8"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95,505,398.78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46,453,300.96</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105.59%</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因拓展市场需要增加了人工费用及</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其他支出</w:t>
            </w:r>
          </w:p>
        </w:tc>
      </w:tr>
      <w:tr>
        <w:trPr>
          <w:trHeight w:val="407"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187,273,044.16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147,539,045.72</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26.93%</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主要因人工成本增加</w:t>
            </w:r>
          </w:p>
        </w:tc>
      </w:tr>
      <w:tr>
        <w:trPr>
          <w:trHeight w:val="407"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-3,463,537.66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31,946,116.94</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w w:val="95"/>
                <w:sz w:val="18"/>
              </w:rPr>
              <w:t>-110.84%</w:t>
            </w:r>
            <w:r>
              <w:rPr>
                <w:rFonts w:ascii="Times New Roman"/>
                <w:spacing w:val="-1"/>
                <w:sz w:val="18"/>
              </w:rPr>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因汇率波动导致</w:t>
            </w:r>
          </w:p>
        </w:tc>
      </w:tr>
      <w:tr>
        <w:trPr>
          <w:trHeight w:val="407"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234,507,891.48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135,453,232.01</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17"/>
              <w:jc w:val="right"/>
              <w:rPr>
                <w:rFonts w:ascii="Times New Roman" w:hAnsi="Times New Roman" w:cs="Times New Roman" w:eastAsia="Times New Roman" w:hint="default"/>
                <w:sz w:val="18"/>
                <w:szCs w:val="18"/>
              </w:rPr>
            </w:pPr>
            <w:r>
              <w:rPr>
                <w:rFonts w:ascii="Times New Roman"/>
                <w:spacing w:val="-1"/>
                <w:sz w:val="18"/>
              </w:rPr>
              <w:t>73.13%</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主要因人工成本增加</w:t>
            </w:r>
          </w:p>
        </w:tc>
      </w:tr>
    </w:tbl>
    <w:p>
      <w:pPr>
        <w:pStyle w:val="BodyText"/>
        <w:spacing w:line="240" w:lineRule="auto" w:before="86"/>
        <w:ind w:right="1016"/>
        <w:jc w:val="left"/>
      </w:pPr>
      <w:bookmarkStart w:name="4、研发投入" w:id="36"/>
      <w:bookmarkEnd w:id="36"/>
      <w:r>
        <w:rPr/>
      </w:r>
      <w:r>
        <w:rPr>
          <w:rFonts w:ascii="宋体" w:hAnsi="宋体" w:cs="宋体" w:eastAsia="宋体" w:hint="default"/>
        </w:rPr>
        <w:t>4</w:t>
      </w:r>
      <w:r>
        <w:rPr/>
        <w:t>、研发投入</w:t>
      </w:r>
    </w:p>
    <w:p>
      <w:pPr>
        <w:spacing w:line="240" w:lineRule="auto" w:before="0"/>
        <w:rPr>
          <w:rFonts w:ascii="宋体" w:hAnsi="宋体" w:cs="宋体" w:eastAsia="宋体" w:hint="default"/>
          <w:sz w:val="23"/>
          <w:szCs w:val="23"/>
        </w:rPr>
      </w:pPr>
    </w:p>
    <w:p>
      <w:pPr>
        <w:pStyle w:val="BodyText"/>
        <w:spacing w:line="297" w:lineRule="auto"/>
        <w:ind w:left="214" w:right="1016" w:firstLine="420"/>
        <w:jc w:val="left"/>
      </w:pPr>
      <w:r>
        <w:rPr>
          <w:spacing w:val="8"/>
        </w:rPr>
        <w:t>作为技术型公司，为了保持企业的长期核心竞争力，需有较大的研发投入，报告期公司研发投入</w:t>
      </w:r>
      <w:r>
        <w:rPr/>
        <w:t> </w:t>
      </w:r>
      <w:r>
        <w:rPr>
          <w:rFonts w:ascii="宋体" w:hAnsi="宋体" w:cs="宋体" w:eastAsia="宋体" w:hint="default"/>
        </w:rPr>
        <w:t>279,697,782.82</w:t>
      </w:r>
      <w:r>
        <w:rPr>
          <w:rFonts w:ascii="宋体" w:hAnsi="宋体" w:cs="宋体" w:eastAsia="宋体" w:hint="default"/>
          <w:spacing w:val="-53"/>
        </w:rPr>
        <w:t> </w:t>
      </w:r>
      <w:r>
        <w:rPr/>
        <w:t>元，占营业收入的比例达到</w:t>
      </w:r>
      <w:r>
        <w:rPr>
          <w:spacing w:val="-53"/>
        </w:rPr>
        <w:t> </w:t>
      </w:r>
      <w:r>
        <w:rPr>
          <w:rFonts w:ascii="宋体" w:hAnsi="宋体" w:cs="宋体" w:eastAsia="宋体" w:hint="default"/>
        </w:rPr>
        <w:t>19.10%</w:t>
      </w:r>
      <w:r>
        <w:rPr/>
        <w:t>。</w:t>
      </w:r>
    </w:p>
    <w:p>
      <w:pPr>
        <w:spacing w:line="240" w:lineRule="auto" w:before="0"/>
        <w:rPr>
          <w:rFonts w:ascii="宋体" w:hAnsi="宋体" w:cs="宋体" w:eastAsia="宋体" w:hint="default"/>
          <w:sz w:val="14"/>
          <w:szCs w:val="14"/>
        </w:rPr>
      </w:pPr>
    </w:p>
    <w:p>
      <w:pPr>
        <w:pStyle w:val="BodyText"/>
        <w:spacing w:line="240" w:lineRule="auto"/>
        <w:ind w:right="1016"/>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0"/>
        </w:rPr>
        <w:t> </w:t>
      </w:r>
      <w:r>
        <w:rPr/>
        <w:t>年公司新增专利申请</w:t>
      </w:r>
      <w:r>
        <w:rPr>
          <w:spacing w:val="-52"/>
        </w:rPr>
        <w:t> </w:t>
      </w:r>
      <w:r>
        <w:rPr>
          <w:rFonts w:ascii="宋体" w:hAnsi="宋体" w:cs="宋体" w:eastAsia="宋体" w:hint="default"/>
        </w:rPr>
        <w:t>33</w:t>
      </w:r>
      <w:r>
        <w:rPr>
          <w:rFonts w:ascii="宋体" w:hAnsi="宋体" w:cs="宋体" w:eastAsia="宋体" w:hint="default"/>
          <w:spacing w:val="-51"/>
        </w:rPr>
        <w:t> </w:t>
      </w:r>
      <w:r>
        <w:rPr>
          <w:spacing w:val="-4"/>
        </w:rPr>
        <w:t>件，其中发明专利</w:t>
      </w:r>
      <w:r>
        <w:rPr>
          <w:spacing w:val="-51"/>
        </w:rPr>
        <w:t> </w:t>
      </w:r>
      <w:r>
        <w:rPr>
          <w:rFonts w:ascii="宋体" w:hAnsi="宋体" w:cs="宋体" w:eastAsia="宋体" w:hint="default"/>
        </w:rPr>
        <w:t>31</w:t>
      </w:r>
      <w:r>
        <w:rPr>
          <w:rFonts w:ascii="宋体" w:hAnsi="宋体" w:cs="宋体" w:eastAsia="宋体" w:hint="default"/>
          <w:spacing w:val="-51"/>
        </w:rPr>
        <w:t> </w:t>
      </w:r>
      <w:r>
        <w:rPr>
          <w:spacing w:val="-5"/>
        </w:rPr>
        <w:t>件；</w:t>
      </w:r>
      <w:r>
        <w:rPr>
          <w:rFonts w:ascii="宋体" w:hAnsi="宋体" w:cs="宋体" w:eastAsia="宋体" w:hint="default"/>
          <w:spacing w:val="-5"/>
        </w:rPr>
        <w:t>2018</w:t>
      </w:r>
      <w:r>
        <w:rPr>
          <w:rFonts w:ascii="宋体" w:hAnsi="宋体" w:cs="宋体" w:eastAsia="宋体" w:hint="default"/>
          <w:spacing w:val="-53"/>
        </w:rPr>
        <w:t> </w:t>
      </w:r>
      <w:r>
        <w:rPr/>
        <w:t>年新增授权专利</w:t>
      </w:r>
      <w:r>
        <w:rPr>
          <w:spacing w:val="-51"/>
        </w:rPr>
        <w:t> </w:t>
      </w:r>
      <w:r>
        <w:rPr>
          <w:rFonts w:ascii="宋体" w:hAnsi="宋体" w:cs="宋体" w:eastAsia="宋体" w:hint="default"/>
        </w:rPr>
        <w:t>46</w:t>
      </w:r>
      <w:r>
        <w:rPr>
          <w:rFonts w:ascii="宋体" w:hAnsi="宋体" w:cs="宋体" w:eastAsia="宋体" w:hint="default"/>
          <w:spacing w:val="-51"/>
        </w:rPr>
        <w:t> </w:t>
      </w:r>
      <w:r>
        <w:rPr>
          <w:spacing w:val="-4"/>
        </w:rPr>
        <w:t>件，其中发明专利</w:t>
      </w:r>
      <w:r>
        <w:rPr>
          <w:spacing w:val="-52"/>
        </w:rPr>
        <w:t> </w:t>
      </w:r>
      <w:r>
        <w:rPr>
          <w:rFonts w:ascii="宋体" w:hAnsi="宋体" w:cs="宋体" w:eastAsia="宋体" w:hint="default"/>
        </w:rPr>
        <w:t>35</w:t>
      </w:r>
    </w:p>
    <w:p>
      <w:pPr>
        <w:pStyle w:val="BodyText"/>
        <w:spacing w:line="240" w:lineRule="auto" w:before="66"/>
        <w:ind w:left="214" w:right="1016"/>
        <w:jc w:val="left"/>
      </w:pPr>
      <w:r>
        <w:rPr/>
        <w:t>件；</w:t>
      </w:r>
      <w:r>
        <w:rPr>
          <w:rFonts w:ascii="宋体" w:hAnsi="宋体" w:cs="宋体" w:eastAsia="宋体" w:hint="default"/>
        </w:rPr>
        <w:t>2018</w:t>
      </w:r>
      <w:r>
        <w:rPr>
          <w:rFonts w:ascii="宋体" w:hAnsi="宋体" w:cs="宋体" w:eastAsia="宋体" w:hint="default"/>
          <w:spacing w:val="-56"/>
        </w:rPr>
        <w:t> </w:t>
      </w:r>
      <w:r>
        <w:rPr/>
        <w:t>年新增商标申请</w:t>
      </w:r>
      <w:r>
        <w:rPr>
          <w:spacing w:val="-57"/>
        </w:rPr>
        <w:t> </w:t>
      </w:r>
      <w:r>
        <w:rPr>
          <w:rFonts w:ascii="宋体" w:hAnsi="宋体" w:cs="宋体" w:eastAsia="宋体" w:hint="default"/>
        </w:rPr>
        <w:t>71</w:t>
      </w:r>
      <w:r>
        <w:rPr>
          <w:rFonts w:ascii="宋体" w:hAnsi="宋体" w:cs="宋体" w:eastAsia="宋体" w:hint="default"/>
          <w:spacing w:val="-56"/>
        </w:rPr>
        <w:t> </w:t>
      </w:r>
      <w:r>
        <w:rPr/>
        <w:t>件，授权商标</w:t>
      </w:r>
      <w:r>
        <w:rPr>
          <w:spacing w:val="-56"/>
        </w:rPr>
        <w:t> </w:t>
      </w:r>
      <w:r>
        <w:rPr>
          <w:rFonts w:ascii="宋体" w:hAnsi="宋体" w:cs="宋体" w:eastAsia="宋体" w:hint="default"/>
        </w:rPr>
        <w:t>9</w:t>
      </w:r>
      <w:r>
        <w:rPr>
          <w:rFonts w:ascii="宋体" w:hAnsi="宋体" w:cs="宋体" w:eastAsia="宋体" w:hint="default"/>
          <w:spacing w:val="-56"/>
        </w:rPr>
        <w:t> </w:t>
      </w:r>
      <w:r>
        <w:rPr/>
        <w:t>件；</w:t>
      </w:r>
      <w:r>
        <w:rPr>
          <w:rFonts w:ascii="宋体" w:hAnsi="宋体" w:cs="宋体" w:eastAsia="宋体" w:hint="default"/>
        </w:rPr>
        <w:t>2018</w:t>
      </w:r>
      <w:r>
        <w:rPr>
          <w:rFonts w:ascii="宋体" w:hAnsi="宋体" w:cs="宋体" w:eastAsia="宋体" w:hint="default"/>
          <w:spacing w:val="-57"/>
        </w:rPr>
        <w:t> </w:t>
      </w:r>
      <w:r>
        <w:rPr/>
        <w:t>年新增计算机软件著作权</w:t>
      </w:r>
      <w:r>
        <w:rPr>
          <w:spacing w:val="-56"/>
        </w:rPr>
        <w:t> </w:t>
      </w:r>
      <w:r>
        <w:rPr>
          <w:rFonts w:ascii="宋体" w:hAnsi="宋体" w:cs="宋体" w:eastAsia="宋体" w:hint="default"/>
        </w:rPr>
        <w:t>128</w:t>
      </w:r>
      <w:r>
        <w:rPr>
          <w:rFonts w:ascii="宋体" w:hAnsi="宋体" w:cs="宋体" w:eastAsia="宋体" w:hint="default"/>
          <w:spacing w:val="-56"/>
        </w:rPr>
        <w:t> </w:t>
      </w:r>
      <w:r>
        <w:rPr/>
        <w:t>件。截至报告期末公</w:t>
      </w:r>
    </w:p>
    <w:p>
      <w:pPr>
        <w:pStyle w:val="BodyText"/>
        <w:spacing w:line="240" w:lineRule="auto" w:before="66"/>
        <w:ind w:left="214" w:right="1016"/>
        <w:jc w:val="left"/>
      </w:pPr>
      <w:r>
        <w:rPr/>
        <w:t>司共拥有专利申请</w:t>
      </w:r>
      <w:r>
        <w:rPr>
          <w:spacing w:val="-44"/>
        </w:rPr>
        <w:t> </w:t>
      </w:r>
      <w:r>
        <w:rPr>
          <w:rFonts w:ascii="宋体" w:hAnsi="宋体" w:cs="宋体" w:eastAsia="宋体" w:hint="default"/>
        </w:rPr>
        <w:t>267</w:t>
      </w:r>
      <w:r>
        <w:rPr>
          <w:rFonts w:ascii="宋体" w:hAnsi="宋体" w:cs="宋体" w:eastAsia="宋体" w:hint="default"/>
          <w:spacing w:val="-45"/>
        </w:rPr>
        <w:t> </w:t>
      </w:r>
      <w:r>
        <w:rPr/>
        <w:t>件，其中发明专利</w:t>
      </w:r>
      <w:r>
        <w:rPr>
          <w:spacing w:val="-44"/>
        </w:rPr>
        <w:t> </w:t>
      </w:r>
      <w:r>
        <w:rPr>
          <w:rFonts w:ascii="宋体" w:hAnsi="宋体" w:cs="宋体" w:eastAsia="宋体" w:hint="default"/>
        </w:rPr>
        <w:t>261</w:t>
      </w:r>
      <w:r>
        <w:rPr>
          <w:rFonts w:ascii="宋体" w:hAnsi="宋体" w:cs="宋体" w:eastAsia="宋体" w:hint="default"/>
          <w:spacing w:val="-45"/>
        </w:rPr>
        <w:t> </w:t>
      </w:r>
      <w:r>
        <w:rPr/>
        <w:t>件；授权专利</w:t>
      </w:r>
      <w:r>
        <w:rPr>
          <w:spacing w:val="-44"/>
        </w:rPr>
        <w:t> </w:t>
      </w:r>
      <w:r>
        <w:rPr>
          <w:rFonts w:ascii="宋体" w:hAnsi="宋体" w:cs="宋体" w:eastAsia="宋体" w:hint="default"/>
        </w:rPr>
        <w:t>109</w:t>
      </w:r>
      <w:r>
        <w:rPr>
          <w:rFonts w:ascii="宋体" w:hAnsi="宋体" w:cs="宋体" w:eastAsia="宋体" w:hint="default"/>
          <w:spacing w:val="-43"/>
        </w:rPr>
        <w:t> </w:t>
      </w:r>
      <w:r>
        <w:rPr/>
        <w:t>件，其中授权发明专利</w:t>
      </w:r>
      <w:r>
        <w:rPr>
          <w:spacing w:val="-44"/>
        </w:rPr>
        <w:t> </w:t>
      </w:r>
      <w:r>
        <w:rPr>
          <w:rFonts w:ascii="宋体" w:hAnsi="宋体" w:cs="宋体" w:eastAsia="宋体" w:hint="default"/>
        </w:rPr>
        <w:t>78</w:t>
      </w:r>
      <w:r>
        <w:rPr>
          <w:rFonts w:ascii="宋体" w:hAnsi="宋体" w:cs="宋体" w:eastAsia="宋体" w:hint="default"/>
          <w:spacing w:val="-43"/>
        </w:rPr>
        <w:t> </w:t>
      </w:r>
      <w:r>
        <w:rPr/>
        <w:t>件；拥有商标</w:t>
      </w:r>
    </w:p>
    <w:p>
      <w:pPr>
        <w:pStyle w:val="BodyText"/>
        <w:spacing w:line="444" w:lineRule="auto" w:before="64"/>
        <w:ind w:right="4064" w:hanging="420"/>
        <w:jc w:val="left"/>
      </w:pPr>
      <w:r>
        <w:rPr/>
        <w:t>申请</w:t>
      </w:r>
      <w:r>
        <w:rPr>
          <w:rFonts w:ascii="宋体" w:hAnsi="宋体" w:cs="宋体" w:eastAsia="宋体" w:hint="default"/>
        </w:rPr>
        <w:t>101</w:t>
      </w:r>
      <w:r>
        <w:rPr>
          <w:rFonts w:ascii="宋体" w:hAnsi="宋体" w:cs="宋体" w:eastAsia="宋体" w:hint="default"/>
          <w:spacing w:val="-53"/>
        </w:rPr>
        <w:t> </w:t>
      </w:r>
      <w:r>
        <w:rPr/>
        <w:t>件，授权商标；拥有计算机软件著作权</w:t>
      </w:r>
      <w:r>
        <w:rPr>
          <w:spacing w:val="-53"/>
        </w:rPr>
        <w:t> </w:t>
      </w:r>
      <w:r>
        <w:rPr>
          <w:rFonts w:ascii="宋体" w:hAnsi="宋体" w:cs="宋体" w:eastAsia="宋体" w:hint="default"/>
        </w:rPr>
        <w:t>509</w:t>
      </w:r>
      <w:r>
        <w:rPr>
          <w:rFonts w:ascii="宋体" w:hAnsi="宋体" w:cs="宋体" w:eastAsia="宋体" w:hint="default"/>
          <w:spacing w:val="-53"/>
        </w:rPr>
        <w:t> </w:t>
      </w:r>
      <w:r>
        <w:rPr/>
        <w:t>件。 近三年公司研发投入金额及占营业收入的比例</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464"/>
        <w:gridCol w:w="2465"/>
      </w:tblGrid>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3,017</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2,435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2,633</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88.76%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89.59%</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92.22%</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279,697,782.82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144,394,367.46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146,659,949.46</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19.10%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17.30%</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45,189,891.34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14,298,897.46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10,051,809.24</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16.16%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9.90%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6.85%</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润的比重</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27.08%</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18.78%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8.36%</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研发投入总额占营业收入的比重较上年发生显著变化的原因</w:t>
      </w:r>
    </w:p>
    <w:p>
      <w:pPr>
        <w:spacing w:line="240" w:lineRule="auto" w:before="10"/>
        <w:rPr>
          <w:rFonts w:ascii="宋体" w:hAnsi="宋体" w:cs="宋体" w:eastAsia="宋体" w:hint="default"/>
          <w:sz w:val="17"/>
          <w:szCs w:val="17"/>
        </w:rPr>
      </w:pPr>
    </w:p>
    <w:p>
      <w:pPr>
        <w:pStyle w:val="BodyText"/>
        <w:spacing w:line="420"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研发投入资本化率大幅变动的原因及其合理性说明</w:t>
      </w:r>
    </w:p>
    <w:p>
      <w:pPr>
        <w:pStyle w:val="BodyText"/>
        <w:spacing w:line="297" w:lineRule="auto" w:before="76"/>
        <w:ind w:left="214" w:right="1016" w:firstLine="420"/>
        <w:jc w:val="left"/>
      </w:pPr>
      <w:r>
        <w:rPr>
          <w:spacing w:val="-1"/>
        </w:rPr>
        <w:t>公司报告期内加大了智能汽车业务相关项目的研发投入，公司智能汽车项目目前处于初期阶段，随着</w:t>
      </w:r>
      <w:r>
        <w:rPr/>
        <w:t> 研发投入的增加，资本化率会有较大幅度提升。</w:t>
      </w:r>
    </w:p>
    <w:p>
      <w:pPr>
        <w:spacing w:line="240" w:lineRule="auto" w:before="13"/>
        <w:rPr>
          <w:rFonts w:ascii="宋体" w:hAnsi="宋体" w:cs="宋体" w:eastAsia="宋体" w:hint="default"/>
          <w:sz w:val="13"/>
          <w:szCs w:val="13"/>
        </w:rPr>
      </w:pPr>
    </w:p>
    <w:p>
      <w:pPr>
        <w:pStyle w:val="BodyText"/>
        <w:spacing w:line="297" w:lineRule="auto"/>
        <w:ind w:left="214" w:right="1010" w:firstLine="420"/>
        <w:jc w:val="left"/>
      </w:pPr>
      <w:r>
        <w:rPr/>
        <w:t>公司需遵守《深圳证券交易所行业信息披露指引第</w:t>
      </w:r>
      <w:r>
        <w:rPr>
          <w:spacing w:val="-64"/>
        </w:rPr>
        <w:t> </w:t>
      </w:r>
      <w:r>
        <w:rPr>
          <w:rFonts w:ascii="宋体" w:hAnsi="宋体" w:cs="宋体" w:eastAsia="宋体" w:hint="default"/>
        </w:rPr>
        <w:t>12</w:t>
      </w:r>
      <w:r>
        <w:rPr>
          <w:rFonts w:ascii="宋体" w:hAnsi="宋体" w:cs="宋体" w:eastAsia="宋体" w:hint="default"/>
          <w:spacing w:val="-64"/>
        </w:rPr>
        <w:t> </w:t>
      </w:r>
      <w:r>
        <w:rPr/>
        <w:t>号——上市公司从事软件与信息技术服务业务》 的披露要求</w:t>
      </w:r>
    </w:p>
    <w:p>
      <w:pPr>
        <w:spacing w:after="0" w:line="297" w:lineRule="auto"/>
        <w:jc w:val="left"/>
        <w:sectPr>
          <w:pgSz w:w="11910" w:h="16840"/>
          <w:pgMar w:header="801" w:footer="1007" w:top="1100" w:bottom="1200" w:left="920" w:right="0"/>
        </w:sectPr>
      </w:pPr>
    </w:p>
    <w:p>
      <w:pPr>
        <w:spacing w:line="240" w:lineRule="auto" w:before="10"/>
        <w:rPr>
          <w:rFonts w:ascii="宋体" w:hAnsi="宋体" w:cs="宋体" w:eastAsia="宋体" w:hint="default"/>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242"/>
        <w:gridCol w:w="1560"/>
        <w:gridCol w:w="4588"/>
        <w:gridCol w:w="2465"/>
      </w:tblGrid>
      <w:tr>
        <w:trPr>
          <w:trHeight w:val="407"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78"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64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3" w:right="227"/>
              <w:jc w:val="both"/>
              <w:rPr>
                <w:rFonts w:ascii="宋体" w:hAnsi="宋体" w:cs="宋体" w:eastAsia="宋体" w:hint="default"/>
                <w:sz w:val="18"/>
                <w:szCs w:val="18"/>
              </w:rPr>
            </w:pPr>
            <w:r>
              <w:rPr>
                <w:rFonts w:ascii="宋体" w:hAnsi="宋体" w:cs="宋体" w:eastAsia="宋体" w:hint="default"/>
                <w:sz w:val="18"/>
                <w:szCs w:val="18"/>
              </w:rPr>
              <w:t>安全办公配 套移动终端 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3,733,018.73</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本项目为移动智能终端安全办公技术研发、智能终端办</w:t>
            </w:r>
          </w:p>
          <w:p>
            <w:pPr>
              <w:pStyle w:val="TableParagraph"/>
              <w:spacing w:line="235" w:lineRule="auto" w:before="3"/>
              <w:ind w:left="103" w:right="101"/>
              <w:jc w:val="both"/>
              <w:rPr>
                <w:rFonts w:ascii="宋体" w:hAnsi="宋体" w:cs="宋体" w:eastAsia="宋体" w:hint="default"/>
                <w:sz w:val="18"/>
                <w:szCs w:val="18"/>
              </w:rPr>
            </w:pPr>
            <w:r>
              <w:rPr>
                <w:rFonts w:ascii="宋体" w:hAnsi="宋体" w:cs="宋体" w:eastAsia="宋体" w:hint="default"/>
                <w:sz w:val="18"/>
                <w:szCs w:val="18"/>
              </w:rPr>
              <w:t>公行为管控功能开发工作，实现基于国密算法的移动终 </w:t>
            </w:r>
            <w:r>
              <w:rPr>
                <w:rFonts w:ascii="宋体" w:hAnsi="宋体" w:cs="宋体" w:eastAsia="宋体" w:hint="default"/>
                <w:spacing w:val="-4"/>
                <w:sz w:val="18"/>
                <w:szCs w:val="18"/>
              </w:rPr>
              <w:t>端硬件加密技术、基于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USB/</w:t>
            </w:r>
            <w:r>
              <w:rPr>
                <w:rFonts w:ascii="宋体" w:hAnsi="宋体" w:cs="宋体" w:eastAsia="宋体" w:hint="default"/>
                <w:sz w:val="18"/>
                <w:szCs w:val="18"/>
              </w:rPr>
              <w:t>音频口外扩设备的移动终端 可信认证技术、基于虚拟化技术的移动终端双域隔离技 术，开发终端接入管理、设备管理、内容管理等功能， 达到智能终端硬件安全、系统防篡改、数据防泄露、办 公终端集中管理和统一配置的目标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07"/>
              <w:ind w:left="103" w:right="10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年底，整体研发进 展在</w:t>
            </w:r>
            <w:r>
              <w:rPr>
                <w:rFonts w:ascii="宋体" w:hAnsi="宋体" w:cs="宋体" w:eastAsia="宋体" w:hint="default"/>
                <w:spacing w:val="1"/>
                <w:sz w:val="18"/>
                <w:szCs w:val="18"/>
              </w:rPr>
              <w:t> </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左右，详细如下：硬</w:t>
            </w:r>
            <w:r>
              <w:rPr>
                <w:rFonts w:ascii="宋体" w:hAnsi="宋体" w:cs="宋体" w:eastAsia="宋体" w:hint="default"/>
                <w:sz w:val="18"/>
                <w:szCs w:val="18"/>
              </w:rPr>
              <w:t> 件终端选型和硬件终端开发 环境准备完成；设备管理终 端技术调研和方案设计完成</w:t>
            </w:r>
          </w:p>
          <w:p>
            <w:pPr>
              <w:pStyle w:val="TableParagraph"/>
              <w:spacing w:line="240" w:lineRule="auto" w:before="25"/>
              <w:ind w:left="103" w:right="0"/>
              <w:jc w:val="left"/>
              <w:rPr>
                <w:rFonts w:ascii="Times New Roman" w:hAnsi="Times New Roman" w:cs="Times New Roman" w:eastAsia="Times New Roman" w:hint="default"/>
                <w:sz w:val="18"/>
                <w:szCs w:val="18"/>
              </w:rPr>
            </w:pPr>
            <w:r>
              <w:rPr>
                <w:rFonts w:ascii="Times New Roman"/>
                <w:sz w:val="18"/>
              </w:rPr>
              <w:t>30%</w:t>
            </w:r>
          </w:p>
        </w:tc>
      </w:tr>
      <w:tr>
        <w:trPr>
          <w:trHeight w:val="117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0" w:lineRule="auto"/>
              <w:ind w:left="103" w:right="10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平台 的车载信息 娱乐系统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5,027,809.20</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方案形态为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Display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3"/>
                <w:sz w:val="18"/>
                <w:szCs w:val="18"/>
              </w:rPr>
              <w:t>Audio</w:t>
            </w:r>
            <w:r>
              <w:rPr>
                <w:rFonts w:ascii="宋体" w:hAnsi="宋体" w:cs="宋体" w:eastAsia="宋体" w:hint="default"/>
                <w:spacing w:val="-3"/>
                <w:sz w:val="18"/>
                <w:szCs w:val="18"/>
              </w:rPr>
              <w:t>，硬件平台基于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Accordo</w:t>
            </w:r>
          </w:p>
          <w:p>
            <w:pPr>
              <w:pStyle w:val="TableParagraph"/>
              <w:spacing w:line="225" w:lineRule="auto" w:before="5"/>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，软件为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Linux</w:t>
            </w:r>
            <w:r>
              <w:rPr>
                <w:rFonts w:ascii="宋体" w:hAnsi="宋体" w:cs="宋体" w:eastAsia="宋体" w:hint="default"/>
                <w:sz w:val="18"/>
                <w:szCs w:val="18"/>
              </w:rPr>
              <w:t>，具备收音机、</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Audio</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播放、</w:t>
            </w:r>
            <w:r>
              <w:rPr>
                <w:rFonts w:ascii="Times New Roman" w:hAnsi="Times New Roman" w:cs="Times New Roman" w:eastAsia="Times New Roman" w:hint="default"/>
                <w:spacing w:val="-3"/>
                <w:sz w:val="18"/>
                <w:szCs w:val="18"/>
              </w:rPr>
              <w:t>BT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电 话、</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Audio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等基础功能，支持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CarPlay/CarLife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手机互 联，具备基础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功能，倒车后视功能，内置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 </w:t>
            </w:r>
            <w:r>
              <w:rPr>
                <w:rFonts w:ascii="Times New Roman" w:hAnsi="Times New Roman" w:cs="Times New Roman" w:eastAsia="Times New Roman" w:hint="default"/>
                <w:sz w:val="18"/>
                <w:szCs w:val="18"/>
              </w:rPr>
              <w:t>AudioDSP</w:t>
            </w:r>
            <w:r>
              <w:rPr>
                <w:rFonts w:ascii="宋体" w:hAnsi="宋体" w:cs="宋体" w:eastAsia="宋体" w:hint="default"/>
                <w:sz w:val="18"/>
                <w:szCs w:val="18"/>
              </w:rPr>
              <w:t>，实现低成本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Display</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Audio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30" w:lineRule="auto"/>
              <w:ind w:left="103" w:right="10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年底，已基本完成 系统平台产品的功能开发工 作</w:t>
            </w:r>
          </w:p>
        </w:tc>
      </w:tr>
      <w:tr>
        <w:trPr>
          <w:trHeight w:val="234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 w:right="227"/>
              <w:jc w:val="left"/>
              <w:rPr>
                <w:rFonts w:ascii="宋体" w:hAnsi="宋体" w:cs="宋体" w:eastAsia="宋体" w:hint="default"/>
                <w:sz w:val="18"/>
                <w:szCs w:val="18"/>
              </w:rPr>
            </w:pPr>
            <w:r>
              <w:rPr>
                <w:rFonts w:ascii="宋体" w:hAnsi="宋体" w:cs="宋体" w:eastAsia="宋体" w:hint="default"/>
                <w:sz w:val="18"/>
                <w:szCs w:val="18"/>
              </w:rPr>
              <w:t>自动化测试 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1,051,017.52</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主要通过模拟人为操作与丰富的断言方案，完成车机黑</w:t>
            </w:r>
          </w:p>
          <w:p>
            <w:pPr>
              <w:pStyle w:val="TableParagraph"/>
              <w:spacing w:line="228" w:lineRule="auto" w:before="9"/>
              <w:ind w:left="103" w:right="11"/>
              <w:jc w:val="left"/>
              <w:rPr>
                <w:rFonts w:ascii="宋体" w:hAnsi="宋体" w:cs="宋体" w:eastAsia="宋体" w:hint="default"/>
                <w:sz w:val="18"/>
                <w:szCs w:val="18"/>
              </w:rPr>
            </w:pPr>
            <w:r>
              <w:rPr>
                <w:rFonts w:ascii="宋体" w:hAnsi="宋体" w:cs="宋体" w:eastAsia="宋体" w:hint="default"/>
                <w:sz w:val="18"/>
                <w:szCs w:val="18"/>
              </w:rPr>
              <w:t>盒测试，降低人为误报、节约成本、缩短工期；支持 </w:t>
            </w:r>
            <w:r>
              <w:rPr>
                <w:rFonts w:ascii="Times New Roman" w:hAnsi="Times New Roman" w:cs="Times New Roman" w:eastAsia="Times New Roman" w:hint="default"/>
                <w:sz w:val="18"/>
                <w:szCs w:val="18"/>
              </w:rPr>
              <w:t>Android </w:t>
            </w:r>
            <w:r>
              <w:rPr>
                <w:rFonts w:ascii="宋体" w:hAnsi="宋体" w:cs="宋体" w:eastAsia="宋体" w:hint="default"/>
                <w:spacing w:val="-3"/>
                <w:sz w:val="18"/>
                <w:szCs w:val="18"/>
              </w:rPr>
              <w:t>车机系统，支持多车机、多设备同时连接测试支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持脚本全</w:t>
            </w:r>
            <w:r>
              <w:rPr>
                <w:rFonts w:ascii="宋体" w:hAnsi="宋体" w:cs="宋体" w:eastAsia="宋体" w:hint="default"/>
                <w:spacing w:val="-48"/>
                <w:sz w:val="18"/>
                <w:szCs w:val="18"/>
              </w:rPr>
              <w:t> </w:t>
            </w:r>
            <w:r>
              <w:rPr>
                <w:rFonts w:ascii="Times New Roman" w:hAnsi="Times New Roman" w:cs="Times New Roman" w:eastAsia="Times New Roman" w:hint="default"/>
                <w:spacing w:val="-1"/>
                <w:w w:val="99"/>
                <w:sz w:val="18"/>
                <w:szCs w:val="18"/>
              </w:rPr>
              <w:t>Python</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5"/>
                <w:sz w:val="18"/>
                <w:szCs w:val="18"/>
              </w:rPr>
              <w:t>可视化编辑、以及录制生成与脚本回放；</w:t>
            </w:r>
            <w:r>
              <w:rPr>
                <w:rFonts w:ascii="宋体" w:hAnsi="宋体" w:cs="宋体" w:eastAsia="宋体" w:hint="default"/>
                <w:sz w:val="18"/>
                <w:szCs w:val="18"/>
              </w:rPr>
              <w:t> 支持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总线数据模拟、电源管理模拟、</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插拔等 硬件模拟操作；支持文本、图像、语音、</w:t>
            </w:r>
            <w:r>
              <w:rPr>
                <w:rFonts w:ascii="Times New Roman" w:hAnsi="Times New Roman" w:cs="Times New Roman" w:eastAsia="Times New Roman" w:hint="default"/>
                <w:sz w:val="18"/>
                <w:szCs w:val="18"/>
              </w:rPr>
              <w:t>LOG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等多种断 言方案；支持自动运行后记录问题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Log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等信息的标准格 </w:t>
            </w:r>
            <w:r>
              <w:rPr>
                <w:rFonts w:ascii="宋体" w:hAnsi="宋体" w:cs="宋体" w:eastAsia="宋体" w:hint="default"/>
                <w:spacing w:val="-3"/>
                <w:sz w:val="18"/>
                <w:szCs w:val="18"/>
              </w:rPr>
              <w:t>式，支持用户系统的自动上传、导入支持</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VR</w:t>
            </w:r>
            <w:r>
              <w:rPr>
                <w:rFonts w:ascii="宋体" w:hAnsi="宋体" w:cs="宋体" w:eastAsia="宋体" w:hint="default"/>
                <w:spacing w:val="-4"/>
                <w:sz w:val="18"/>
                <w:szCs w:val="18"/>
              </w:rPr>
              <w:t>、文言等自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动化测试方案；支持多种系统性能的监控、支持可定制 化的测试报告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2" w:lineRule="auto"/>
              <w:ind w:left="103" w:right="1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年底，完成工具产 品的设计及主要功能研发功 能。主要功能涵盖脚本编辑、 脚本录制、脚本管理及回放， 测试报告管理，电源管理模 拟、</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插拔等硬件模拟操 作</w:t>
            </w:r>
          </w:p>
        </w:tc>
      </w:tr>
      <w:tr>
        <w:trPr>
          <w:trHeight w:val="117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基于瑞萨</w:t>
            </w:r>
          </w:p>
          <w:p>
            <w:pPr>
              <w:pStyle w:val="TableParagraph"/>
              <w:spacing w:line="232" w:lineRule="auto" w:before="5"/>
              <w:ind w:left="103"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Rcar-H3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芯片 平台的智能 驾驶舱解决 方案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2,622,834.23</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基于瑞萨 </w:t>
            </w:r>
            <w:r>
              <w:rPr>
                <w:rFonts w:ascii="Times New Roman" w:hAnsi="Times New Roman" w:cs="Times New Roman" w:eastAsia="Times New Roman" w:hint="default"/>
                <w:sz w:val="18"/>
                <w:szCs w:val="18"/>
              </w:rPr>
              <w:t>Rcar-H3 </w:t>
            </w:r>
            <w:r>
              <w:rPr>
                <w:rFonts w:ascii="宋体" w:hAnsi="宋体" w:cs="宋体" w:eastAsia="宋体" w:hint="default"/>
                <w:sz w:val="18"/>
                <w:szCs w:val="18"/>
              </w:rPr>
              <w:t>芯片平台，</w:t>
            </w:r>
            <w:r>
              <w:rPr>
                <w:rFonts w:ascii="Times New Roman" w:hAnsi="Times New Roman" w:cs="Times New Roman" w:eastAsia="Times New Roman" w:hint="default"/>
                <w:sz w:val="18"/>
                <w:szCs w:val="18"/>
              </w:rPr>
              <w:t>QNX Hyperviser</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方案做车</w:t>
            </w:r>
          </w:p>
          <w:p>
            <w:pPr>
              <w:pStyle w:val="TableParagraph"/>
              <w:spacing w:line="225" w:lineRule="auto" w:before="4"/>
              <w:ind w:left="103" w:right="11"/>
              <w:jc w:val="left"/>
              <w:rPr>
                <w:rFonts w:ascii="宋体" w:hAnsi="宋体" w:cs="宋体" w:eastAsia="宋体" w:hint="default"/>
                <w:sz w:val="18"/>
                <w:szCs w:val="18"/>
              </w:rPr>
            </w:pPr>
            <w:r>
              <w:rPr>
                <w:rFonts w:ascii="宋体" w:hAnsi="宋体" w:cs="宋体" w:eastAsia="宋体" w:hint="default"/>
                <w:sz w:val="18"/>
                <w:szCs w:val="18"/>
              </w:rPr>
              <w:t>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E-cockpit</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平台开发；支持并实现</w:t>
            </w:r>
            <w:r>
              <w:rPr>
                <w:rFonts w:ascii="宋体" w:hAnsi="宋体" w:cs="宋体" w:eastAsia="宋体" w:hint="default"/>
                <w:spacing w:val="-42"/>
                <w:sz w:val="18"/>
                <w:szCs w:val="18"/>
              </w:rPr>
              <w:t> </w:t>
            </w:r>
            <w:r>
              <w:rPr>
                <w:rFonts w:ascii="Times New Roman" w:hAnsi="Times New Roman" w:cs="Times New Roman" w:eastAsia="Times New Roman" w:hint="default"/>
                <w:spacing w:val="-14"/>
                <w:w w:val="99"/>
                <w:sz w:val="18"/>
                <w:szCs w:val="18"/>
              </w:rPr>
              <w:t>IVI</w:t>
            </w:r>
            <w:r>
              <w:rPr>
                <w:rFonts w:ascii="宋体" w:hAnsi="宋体" w:cs="宋体" w:eastAsia="宋体" w:hint="default"/>
                <w:spacing w:val="-14"/>
                <w:w w:val="99"/>
                <w:sz w:val="18"/>
                <w:szCs w:val="18"/>
              </w:rPr>
              <w:t>，液晶仪表，</w:t>
            </w:r>
            <w:r>
              <w:rPr>
                <w:rFonts w:ascii="Times New Roman" w:hAnsi="Times New Roman" w:cs="Times New Roman" w:eastAsia="Times New Roman" w:hint="default"/>
                <w:spacing w:val="-14"/>
                <w:w w:val="99"/>
                <w:sz w:val="18"/>
                <w:szCs w:val="18"/>
              </w:rPr>
              <w:t>HUD</w:t>
            </w:r>
            <w:r>
              <w:rPr>
                <w:rFonts w:ascii="宋体" w:hAnsi="宋体" w:cs="宋体" w:eastAsia="宋体" w:hint="default"/>
                <w:spacing w:val="-14"/>
                <w:w w:val="99"/>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6"/>
                <w:sz w:val="18"/>
                <w:szCs w:val="18"/>
              </w:rPr>
              <w:t>HAVC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等四块屏幕上的主要功能，以这个平台为基础， 进行开发，包括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IVI</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HMI</w:t>
            </w:r>
            <w:r>
              <w:rPr>
                <w:rFonts w:ascii="宋体" w:hAnsi="宋体" w:cs="宋体" w:eastAsia="宋体" w:hint="default"/>
                <w:sz w:val="18"/>
                <w:szCs w:val="18"/>
              </w:rPr>
              <w:t>、</w:t>
            </w:r>
            <w:r>
              <w:rPr>
                <w:rFonts w:ascii="Times New Roman" w:hAnsi="Times New Roman" w:cs="Times New Roman" w:eastAsia="Times New Roman" w:hint="default"/>
                <w:sz w:val="18"/>
                <w:szCs w:val="18"/>
              </w:rPr>
              <w:t>Hypervisor</w:t>
            </w:r>
            <w:r>
              <w:rPr>
                <w:rFonts w:ascii="宋体" w:hAnsi="宋体" w:cs="宋体" w:eastAsia="宋体" w:hint="default"/>
                <w:sz w:val="18"/>
                <w:szCs w:val="18"/>
              </w:rPr>
              <w:t>、</w:t>
            </w:r>
            <w:r>
              <w:rPr>
                <w:rFonts w:ascii="Times New Roman" w:hAnsi="Times New Roman" w:cs="Times New Roman" w:eastAsia="Times New Roman" w:hint="default"/>
                <w:sz w:val="18"/>
                <w:szCs w:val="18"/>
              </w:rPr>
              <w:t>ClusterHMI</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等功</w:t>
            </w:r>
            <w:r>
              <w:rPr>
                <w:rFonts w:ascii="宋体" w:hAnsi="宋体" w:cs="宋体" w:eastAsia="宋体" w:hint="default"/>
                <w:w w:val="99"/>
                <w:sz w:val="18"/>
                <w:szCs w:val="18"/>
              </w:rPr>
              <w:t> </w:t>
            </w:r>
            <w:r>
              <w:rPr>
                <w:rFonts w:ascii="宋体" w:hAnsi="宋体" w:cs="宋体" w:eastAsia="宋体" w:hint="default"/>
                <w:sz w:val="18"/>
                <w:szCs w:val="18"/>
              </w:rPr>
              <w:t>能开发</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年底，已经在</w:t>
            </w:r>
          </w:p>
          <w:p>
            <w:pPr>
              <w:pStyle w:val="TableParagraph"/>
              <w:spacing w:line="225" w:lineRule="auto" w:before="4"/>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Rcar-H3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上完成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E-cockpit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 台的搭建，实现了</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IVI</w:t>
            </w:r>
            <w:r>
              <w:rPr>
                <w:rFonts w:ascii="宋体" w:hAnsi="宋体" w:cs="宋体" w:eastAsia="宋体" w:hint="default"/>
                <w:spacing w:val="-3"/>
                <w:sz w:val="18"/>
                <w:szCs w:val="18"/>
              </w:rPr>
              <w:t>，液晶</w:t>
            </w:r>
            <w:r>
              <w:rPr>
                <w:rFonts w:ascii="宋体" w:hAnsi="宋体" w:cs="宋体" w:eastAsia="宋体" w:hint="default"/>
                <w:sz w:val="18"/>
                <w:szCs w:val="18"/>
              </w:rPr>
              <w:t> </w:t>
            </w:r>
            <w:r>
              <w:rPr>
                <w:rFonts w:ascii="宋体" w:hAnsi="宋体" w:cs="宋体" w:eastAsia="宋体" w:hint="default"/>
                <w:spacing w:val="-3"/>
                <w:sz w:val="18"/>
                <w:szCs w:val="18"/>
              </w:rPr>
              <w:t>仪表，</w:t>
            </w:r>
            <w:r>
              <w:rPr>
                <w:rFonts w:ascii="Times New Roman" w:hAnsi="Times New Roman" w:cs="Times New Roman" w:eastAsia="Times New Roman" w:hint="default"/>
                <w:spacing w:val="-3"/>
                <w:sz w:val="18"/>
                <w:szCs w:val="18"/>
              </w:rPr>
              <w:t>HUD</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HAVC </w:t>
            </w:r>
            <w:r>
              <w:rPr>
                <w:rFonts w:ascii="宋体" w:hAnsi="宋体" w:cs="宋体" w:eastAsia="宋体" w:hint="default"/>
                <w:sz w:val="18"/>
                <w:szCs w:val="18"/>
              </w:rPr>
              <w:t>等四块</w:t>
            </w:r>
            <w:r>
              <w:rPr>
                <w:rFonts w:ascii="宋体" w:hAnsi="宋体" w:cs="宋体" w:eastAsia="宋体" w:hint="default"/>
                <w:spacing w:val="-82"/>
                <w:sz w:val="18"/>
                <w:szCs w:val="18"/>
              </w:rPr>
              <w:t> </w:t>
            </w:r>
            <w:r>
              <w:rPr>
                <w:rFonts w:ascii="宋体" w:hAnsi="宋体" w:cs="宋体" w:eastAsia="宋体" w:hint="default"/>
                <w:sz w:val="18"/>
                <w:szCs w:val="18"/>
              </w:rPr>
              <w:t>屏幕上的主要功能的开发</w:t>
            </w:r>
          </w:p>
        </w:tc>
      </w:tr>
      <w:tr>
        <w:trPr>
          <w:trHeight w:val="710"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267"/>
              <w:jc w:val="left"/>
              <w:rPr>
                <w:rFonts w:ascii="Times New Roman" w:hAnsi="Times New Roman" w:cs="Times New Roman" w:eastAsia="Times New Roman" w:hint="default"/>
                <w:sz w:val="18"/>
                <w:szCs w:val="18"/>
              </w:rPr>
            </w:pPr>
            <w:r>
              <w:rPr>
                <w:rFonts w:ascii="Times New Roman"/>
                <w:sz w:val="18"/>
              </w:rPr>
              <w:t>Kanzi</w:t>
            </w:r>
            <w:r>
              <w:rPr>
                <w:rFonts w:ascii="Times New Roman"/>
                <w:spacing w:val="-1"/>
                <w:sz w:val="18"/>
              </w:rPr>
              <w:t> </w:t>
            </w:r>
            <w:r>
              <w:rPr>
                <w:rFonts w:ascii="Times New Roman"/>
                <w:sz w:val="18"/>
              </w:rPr>
              <w:t>4.0</w:t>
            </w:r>
            <w:r>
              <w:rPr>
                <w:rFonts w:ascii="Times New Roman"/>
                <w:w w:val="99"/>
                <w:sz w:val="18"/>
              </w:rPr>
              <w:t> </w:t>
            </w:r>
            <w:r>
              <w:rPr>
                <w:rFonts w:ascii="Times New Roman"/>
                <w:sz w:val="18"/>
              </w:rPr>
              <w:t>Automotive</w:t>
            </w:r>
            <w:r>
              <w:rPr>
                <w:rFonts w:ascii="Times New Roman"/>
                <w:w w:val="99"/>
                <w:sz w:val="18"/>
              </w:rPr>
              <w:t> </w:t>
            </w:r>
            <w:r>
              <w:rPr>
                <w:rFonts w:ascii="Times New Roman"/>
                <w:sz w:val="18"/>
              </w:rPr>
              <w:t>Suite</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15,394,095.96</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Kanzi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studio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版本开发项目，增加了关于智能驾驶</w:t>
            </w:r>
          </w:p>
          <w:p>
            <w:pPr>
              <w:pStyle w:val="TableParagraph"/>
              <w:spacing w:line="234" w:lineRule="exact" w:before="15"/>
              <w:ind w:left="103" w:right="83"/>
              <w:jc w:val="left"/>
              <w:rPr>
                <w:rFonts w:ascii="宋体" w:hAnsi="宋体" w:cs="宋体" w:eastAsia="宋体" w:hint="default"/>
                <w:sz w:val="18"/>
                <w:szCs w:val="18"/>
              </w:rPr>
            </w:pPr>
            <w:r>
              <w:rPr>
                <w:rFonts w:ascii="宋体" w:hAnsi="宋体" w:cs="宋体" w:eastAsia="宋体" w:hint="default"/>
                <w:sz w:val="18"/>
                <w:szCs w:val="18"/>
              </w:rPr>
              <w:t>舱的开发功能，修正了 </w:t>
            </w:r>
            <w:r>
              <w:rPr>
                <w:rFonts w:ascii="Times New Roman" w:hAnsi="Times New Roman" w:cs="Times New Roman" w:eastAsia="Times New Roman" w:hint="default"/>
                <w:sz w:val="18"/>
                <w:szCs w:val="18"/>
              </w:rPr>
              <w:t>Kanzi3.0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发布以来的所有错误。 并增加了最新的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控件</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年底，项目进展约</w:t>
            </w:r>
          </w:p>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sz w:val="18"/>
              </w:rPr>
              <w:t>30%</w:t>
            </w:r>
          </w:p>
        </w:tc>
      </w:tr>
      <w:tr>
        <w:trPr>
          <w:trHeight w:val="187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3" w:right="227"/>
              <w:jc w:val="left"/>
              <w:rPr>
                <w:rFonts w:ascii="宋体" w:hAnsi="宋体" w:cs="宋体" w:eastAsia="宋体" w:hint="default"/>
                <w:sz w:val="18"/>
                <w:szCs w:val="18"/>
              </w:rPr>
            </w:pPr>
            <w:r>
              <w:rPr>
                <w:rFonts w:ascii="宋体" w:hAnsi="宋体" w:cs="宋体" w:eastAsia="宋体" w:hint="default"/>
                <w:sz w:val="18"/>
                <w:szCs w:val="18"/>
              </w:rPr>
              <w:t>物联网云服 务平台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1,822,610.31</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IoT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Cloud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是指面向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IoT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领域的云服务平台产品，产品定</w:t>
            </w:r>
          </w:p>
          <w:p>
            <w:pPr>
              <w:pStyle w:val="TableParagraph"/>
              <w:spacing w:line="230" w:lineRule="auto"/>
              <w:ind w:left="103" w:right="100"/>
              <w:jc w:val="both"/>
              <w:rPr>
                <w:rFonts w:ascii="宋体" w:hAnsi="宋体" w:cs="宋体" w:eastAsia="宋体" w:hint="default"/>
                <w:sz w:val="18"/>
                <w:szCs w:val="18"/>
              </w:rPr>
            </w:pPr>
            <w:r>
              <w:rPr>
                <w:rFonts w:ascii="宋体" w:hAnsi="宋体" w:cs="宋体" w:eastAsia="宋体" w:hint="default"/>
                <w:sz w:val="18"/>
                <w:szCs w:val="18"/>
              </w:rPr>
              <w:t>位在</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PAAS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层面，提供设备连接管理、设备管理、应用 赋能等云服务，基于平台可以完成设备的接入与管理， 设备数据的存储与分析，并基于应用赋能快速构建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IoT </w:t>
            </w:r>
            <w:r>
              <w:rPr>
                <w:rFonts w:ascii="宋体" w:hAnsi="宋体" w:cs="宋体" w:eastAsia="宋体" w:hint="default"/>
                <w:sz w:val="18"/>
                <w:szCs w:val="18"/>
              </w:rPr>
              <w:t>的相关应用。</w:t>
            </w:r>
            <w:r>
              <w:rPr>
                <w:rFonts w:ascii="Times New Roman" w:hAnsi="Times New Roman" w:cs="Times New Roman" w:eastAsia="Times New Roman" w:hint="default"/>
                <w:sz w:val="18"/>
                <w:szCs w:val="18"/>
              </w:rPr>
              <w:t>IoT Cloud</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使互联设备可以轻松安全地与应 用程序及其他设备交互。可支持数十亿台设备和数万亿 条消息，并且可以对这些消息进行处理并将其安全可靠 地路由至其他云平台管理的终端节点和其他设备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32" w:lineRule="auto"/>
              <w:ind w:left="103" w:right="10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年底，已完成设备 </w:t>
            </w:r>
            <w:r>
              <w:rPr>
                <w:rFonts w:ascii="宋体" w:hAnsi="宋体" w:cs="宋体" w:eastAsia="宋体" w:hint="default"/>
                <w:spacing w:val="-3"/>
                <w:sz w:val="18"/>
                <w:szCs w:val="18"/>
              </w:rPr>
              <w:t>管理，</w:t>
            </w:r>
            <w:r>
              <w:rPr>
                <w:rFonts w:ascii="Times New Roman" w:hAnsi="Times New Roman" w:cs="Times New Roman" w:eastAsia="Times New Roman" w:hint="default"/>
                <w:spacing w:val="-3"/>
                <w:sz w:val="18"/>
                <w:szCs w:val="18"/>
              </w:rPr>
              <w:t>OTA </w:t>
            </w:r>
            <w:r>
              <w:rPr>
                <w:rFonts w:ascii="宋体" w:hAnsi="宋体" w:cs="宋体" w:eastAsia="宋体" w:hint="default"/>
                <w:sz w:val="18"/>
                <w:szCs w:val="18"/>
              </w:rPr>
              <w:t>升级以及大数据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分析三个子系统的开发工 作，主要功能开发工作已经 完成</w:t>
            </w:r>
          </w:p>
        </w:tc>
      </w:tr>
      <w:tr>
        <w:trPr>
          <w:trHeight w:val="710"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自然交互智</w:t>
            </w:r>
          </w:p>
          <w:p>
            <w:pPr>
              <w:pStyle w:val="TableParagraph"/>
              <w:spacing w:line="232" w:lineRule="exact" w:before="24"/>
              <w:ind w:left="103" w:right="227"/>
              <w:jc w:val="left"/>
              <w:rPr>
                <w:rFonts w:ascii="宋体" w:hAnsi="宋体" w:cs="宋体" w:eastAsia="宋体" w:hint="default"/>
                <w:sz w:val="18"/>
                <w:szCs w:val="18"/>
              </w:rPr>
            </w:pPr>
            <w:r>
              <w:rPr>
                <w:rFonts w:ascii="宋体" w:hAnsi="宋体" w:cs="宋体" w:eastAsia="宋体" w:hint="default"/>
                <w:sz w:val="18"/>
                <w:szCs w:val="18"/>
              </w:rPr>
              <w:t>能驾驶操作 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1,106,989.30</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本项目是基于已经量产的产品（</w:t>
            </w:r>
            <w:r>
              <w:rPr>
                <w:rFonts w:ascii="Times New Roman" w:hAnsi="Times New Roman" w:cs="Times New Roman" w:eastAsia="Times New Roman" w:hint="default"/>
                <w:sz w:val="18"/>
                <w:szCs w:val="18"/>
              </w:rPr>
              <w:t>A32)</w:t>
            </w:r>
            <w:r>
              <w:rPr>
                <w:rFonts w:ascii="宋体" w:hAnsi="宋体" w:cs="宋体" w:eastAsia="宋体" w:hint="default"/>
                <w:sz w:val="18"/>
                <w:szCs w:val="18"/>
              </w:rPr>
              <w:t>基础上进行开发，</w:t>
            </w:r>
          </w:p>
          <w:p>
            <w:pPr>
              <w:pStyle w:val="TableParagraph"/>
              <w:spacing w:line="232" w:lineRule="exact" w:before="17"/>
              <w:ind w:left="103" w:right="243"/>
              <w:jc w:val="left"/>
              <w:rPr>
                <w:rFonts w:ascii="宋体" w:hAnsi="宋体" w:cs="宋体" w:eastAsia="宋体" w:hint="default"/>
                <w:sz w:val="18"/>
                <w:szCs w:val="18"/>
              </w:rPr>
            </w:pPr>
            <w:r>
              <w:rPr>
                <w:rFonts w:ascii="宋体" w:hAnsi="宋体" w:cs="宋体" w:eastAsia="宋体" w:hint="default"/>
                <w:sz w:val="18"/>
                <w:szCs w:val="18"/>
              </w:rPr>
              <w:t>主要包括：集成腾讯相关应用；蓝牙芯片适配；</w:t>
            </w:r>
            <w:r>
              <w:rPr>
                <w:rFonts w:ascii="Times New Roman" w:hAnsi="Times New Roman" w:cs="Times New Roman" w:eastAsia="Times New Roman" w:hint="default"/>
                <w:sz w:val="18"/>
                <w:szCs w:val="18"/>
              </w:rPr>
              <w:t>Audio </w:t>
            </w:r>
            <w:r>
              <w:rPr>
                <w:rFonts w:ascii="宋体" w:hAnsi="宋体" w:cs="宋体" w:eastAsia="宋体" w:hint="default"/>
                <w:sz w:val="18"/>
                <w:szCs w:val="18"/>
              </w:rPr>
              <w:t>导航通路适配；</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寸界面开发和适配</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年底，平台开发大</w:t>
            </w:r>
          </w:p>
          <w:p>
            <w:pPr>
              <w:pStyle w:val="TableParagraph"/>
              <w:spacing w:line="232" w:lineRule="exact" w:before="17"/>
              <w:ind w:left="103" w:right="191"/>
              <w:jc w:val="left"/>
              <w:rPr>
                <w:rFonts w:ascii="宋体" w:hAnsi="宋体" w:cs="宋体" w:eastAsia="宋体" w:hint="default"/>
                <w:sz w:val="18"/>
                <w:szCs w:val="18"/>
              </w:rPr>
            </w:pPr>
            <w:r>
              <w:rPr>
                <w:rFonts w:ascii="宋体" w:hAnsi="宋体" w:cs="宋体" w:eastAsia="宋体" w:hint="default"/>
                <w:sz w:val="18"/>
                <w:szCs w:val="18"/>
              </w:rPr>
              <w:t>部分工作已经完成，正在进 行性能调优</w:t>
            </w:r>
          </w:p>
        </w:tc>
      </w:tr>
      <w:tr>
        <w:trPr>
          <w:trHeight w:val="943"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227"/>
              <w:jc w:val="both"/>
              <w:rPr>
                <w:rFonts w:ascii="宋体" w:hAnsi="宋体" w:cs="宋体" w:eastAsia="宋体" w:hint="default"/>
                <w:sz w:val="18"/>
                <w:szCs w:val="18"/>
              </w:rPr>
            </w:pPr>
            <w:r>
              <w:rPr>
                <w:rFonts w:ascii="宋体" w:hAnsi="宋体" w:cs="宋体" w:eastAsia="宋体" w:hint="default"/>
                <w:sz w:val="18"/>
                <w:szCs w:val="18"/>
              </w:rPr>
              <w:t>人脸识别软 件开发工具 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1,269,506.36</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98"/>
              <w:ind w:left="103" w:right="100"/>
              <w:jc w:val="both"/>
              <w:rPr>
                <w:rFonts w:ascii="宋体" w:hAnsi="宋体" w:cs="宋体" w:eastAsia="宋体" w:hint="default"/>
                <w:sz w:val="18"/>
                <w:szCs w:val="18"/>
              </w:rPr>
            </w:pPr>
            <w:r>
              <w:rPr>
                <w:rFonts w:ascii="宋体" w:hAnsi="宋体" w:cs="宋体" w:eastAsia="宋体" w:hint="default"/>
                <w:sz w:val="18"/>
                <w:szCs w:val="18"/>
              </w:rPr>
              <w:t>支持多路</w:t>
            </w:r>
            <w:r>
              <w:rPr>
                <w:rFonts w:ascii="宋体" w:hAnsi="宋体" w:cs="宋体" w:eastAsia="宋体" w:hint="default"/>
                <w:spacing w:val="-45"/>
                <w:sz w:val="18"/>
                <w:szCs w:val="18"/>
              </w:rPr>
              <w:t> </w:t>
            </w:r>
            <w:r>
              <w:rPr>
                <w:rFonts w:ascii="Times New Roman" w:hAnsi="Times New Roman" w:cs="Times New Roman" w:eastAsia="Times New Roman" w:hint="default"/>
                <w:w w:val="99"/>
                <w:sz w:val="18"/>
                <w:szCs w:val="18"/>
              </w:rPr>
              <w:t>IP</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z w:val="18"/>
                <w:szCs w:val="18"/>
              </w:rPr>
              <w:t>Camera</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视频数据输入，在端设备上做实时视</w:t>
            </w:r>
            <w:r>
              <w:rPr>
                <w:rFonts w:ascii="宋体" w:hAnsi="宋体" w:cs="宋体" w:eastAsia="宋体" w:hint="default"/>
                <w:sz w:val="18"/>
                <w:szCs w:val="18"/>
              </w:rPr>
              <w:t> </w:t>
            </w:r>
            <w:r>
              <w:rPr>
                <w:rFonts w:ascii="宋体" w:hAnsi="宋体" w:cs="宋体" w:eastAsia="宋体" w:hint="default"/>
                <w:spacing w:val="-3"/>
                <w:sz w:val="18"/>
                <w:szCs w:val="18"/>
              </w:rPr>
              <w:t>频分析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人脸检测，人流统计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，并将视频分析结果结构化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输出</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年底，已完成多路</w:t>
            </w:r>
          </w:p>
          <w:p>
            <w:pPr>
              <w:pStyle w:val="TableParagraph"/>
              <w:spacing w:line="225" w:lineRule="auto" w:before="5"/>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Camera</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视频流输入解码</w:t>
            </w:r>
            <w:r>
              <w:rPr>
                <w:rFonts w:ascii="Times New Roman" w:hAnsi="Times New Roman" w:cs="Times New Roman" w:eastAsia="Times New Roman" w:hint="default"/>
                <w:sz w:val="18"/>
                <w:szCs w:val="18"/>
              </w:rPr>
              <w:t>,</w:t>
            </w:r>
            <w:r>
              <w:rPr>
                <w:rFonts w:ascii="宋体" w:hAnsi="宋体" w:cs="宋体" w:eastAsia="宋体" w:hint="default"/>
                <w:sz w:val="18"/>
                <w:szCs w:val="18"/>
              </w:rPr>
              <w:t>视频</w:t>
            </w:r>
            <w:r>
              <w:rPr>
                <w:rFonts w:ascii="宋体" w:hAnsi="宋体" w:cs="宋体" w:eastAsia="宋体" w:hint="default"/>
                <w:w w:val="99"/>
                <w:sz w:val="18"/>
                <w:szCs w:val="18"/>
              </w:rPr>
              <w:t> </w:t>
            </w:r>
            <w:r>
              <w:rPr>
                <w:rFonts w:ascii="宋体" w:hAnsi="宋体" w:cs="宋体" w:eastAsia="宋体" w:hint="default"/>
                <w:sz w:val="18"/>
                <w:szCs w:val="18"/>
              </w:rPr>
              <w:t>分析</w:t>
            </w:r>
            <w:r>
              <w:rPr>
                <w:rFonts w:ascii="Times New Roman" w:hAnsi="Times New Roman" w:cs="Times New Roman" w:eastAsia="Times New Roman" w:hint="default"/>
                <w:sz w:val="18"/>
                <w:szCs w:val="18"/>
              </w:rPr>
              <w:t>,</w:t>
            </w:r>
            <w:r>
              <w:rPr>
                <w:rFonts w:ascii="宋体" w:hAnsi="宋体" w:cs="宋体" w:eastAsia="宋体" w:hint="default"/>
                <w:sz w:val="18"/>
                <w:szCs w:val="18"/>
              </w:rPr>
              <w:t>并完成分析结果结构化</w:t>
            </w:r>
            <w:r>
              <w:rPr>
                <w:rFonts w:ascii="宋体" w:hAnsi="宋体" w:cs="宋体" w:eastAsia="宋体" w:hint="default"/>
                <w:w w:val="99"/>
                <w:sz w:val="18"/>
                <w:szCs w:val="18"/>
              </w:rPr>
              <w:t> </w:t>
            </w:r>
            <w:r>
              <w:rPr>
                <w:rFonts w:ascii="宋体" w:hAnsi="宋体" w:cs="宋体" w:eastAsia="宋体" w:hint="default"/>
                <w:sz w:val="18"/>
                <w:szCs w:val="18"/>
              </w:rPr>
              <w:t>输出</w:t>
            </w:r>
          </w:p>
        </w:tc>
      </w:tr>
      <w:tr>
        <w:trPr>
          <w:trHeight w:val="141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3"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暗光增强 算法</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62,127.22</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暗光增强算法视觉算法研发，主要包括：相关图像</w:t>
            </w:r>
            <w:r>
              <w:rPr>
                <w:rFonts w:ascii="Times New Roman" w:hAnsi="Times New Roman" w:cs="Times New Roman" w:eastAsia="Times New Roman" w:hint="default"/>
                <w:sz w:val="18"/>
                <w:szCs w:val="18"/>
              </w:rPr>
              <w:t>/</w:t>
            </w:r>
          </w:p>
          <w:p>
            <w:pPr>
              <w:pStyle w:val="TableParagraph"/>
              <w:spacing w:line="237" w:lineRule="auto"/>
              <w:ind w:left="103" w:right="153"/>
              <w:jc w:val="both"/>
              <w:rPr>
                <w:rFonts w:ascii="宋体" w:hAnsi="宋体" w:cs="宋体" w:eastAsia="宋体" w:hint="default"/>
                <w:sz w:val="18"/>
                <w:szCs w:val="18"/>
              </w:rPr>
            </w:pPr>
            <w:r>
              <w:rPr>
                <w:rFonts w:ascii="宋体" w:hAnsi="宋体" w:cs="宋体" w:eastAsia="宋体" w:hint="default"/>
                <w:sz w:val="18"/>
                <w:szCs w:val="18"/>
              </w:rPr>
              <w:t>视频数据的挖掘、收集、标注、整理；通过人工智能的 方法，使暗光图片得到提亮，达到夜景如白昼的效果； 比传统暗光增强算法得到的效果更好，细节更清晰，噪 点更少；设备相关的算法部署与性能优化，以及跨设备 高性能异构计算的扩展研发</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25" w:lineRule="auto"/>
              <w:ind w:left="103" w:right="10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年底，已经完成暗 光增强算法的实现</w:t>
            </w:r>
            <w:r>
              <w:rPr>
                <w:rFonts w:ascii="Times New Roman" w:hAnsi="Times New Roman" w:cs="Times New Roman" w:eastAsia="Times New Roman" w:hint="default"/>
                <w:sz w:val="18"/>
                <w:szCs w:val="18"/>
              </w:rPr>
              <w:t>, </w:t>
            </w:r>
            <w:r>
              <w:rPr>
                <w:rFonts w:ascii="宋体" w:hAnsi="宋体" w:cs="宋体" w:eastAsia="宋体" w:hint="default"/>
                <w:sz w:val="18"/>
                <w:szCs w:val="18"/>
              </w:rPr>
              <w:t>还需要 提升处理速度</w:t>
            </w:r>
          </w:p>
        </w:tc>
      </w:tr>
      <w:tr>
        <w:trPr>
          <w:trHeight w:val="117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227"/>
              <w:jc w:val="left"/>
              <w:rPr>
                <w:rFonts w:ascii="宋体" w:hAnsi="宋体" w:cs="宋体" w:eastAsia="宋体" w:hint="default"/>
                <w:sz w:val="18"/>
                <w:szCs w:val="18"/>
              </w:rPr>
            </w:pPr>
            <w:r>
              <w:rPr>
                <w:rFonts w:ascii="宋体" w:hAnsi="宋体" w:cs="宋体" w:eastAsia="宋体" w:hint="default"/>
                <w:sz w:val="18"/>
                <w:szCs w:val="18"/>
              </w:rPr>
              <w:t>高清数字内 容保护系统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194,441.26</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ThunderSoft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智能移动设备的高带宽数字内容保护协议系</w:t>
            </w:r>
          </w:p>
          <w:p>
            <w:pPr>
              <w:pStyle w:val="TableParagraph"/>
              <w:spacing w:line="228" w:lineRule="auto" w:before="3"/>
              <w:ind w:left="103" w:right="101"/>
              <w:jc w:val="both"/>
              <w:rPr>
                <w:rFonts w:ascii="宋体" w:hAnsi="宋体" w:cs="宋体" w:eastAsia="宋体" w:hint="default"/>
                <w:sz w:val="18"/>
                <w:szCs w:val="18"/>
              </w:rPr>
            </w:pPr>
            <w:r>
              <w:rPr>
                <w:rFonts w:ascii="宋体" w:hAnsi="宋体" w:cs="宋体" w:eastAsia="宋体" w:hint="default"/>
                <w:sz w:val="18"/>
                <w:szCs w:val="18"/>
              </w:rPr>
              <w:t>统是一套基于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Linux/Android</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操作系统开发的保护数字内 </w:t>
            </w:r>
            <w:r>
              <w:rPr>
                <w:rFonts w:ascii="宋体" w:hAnsi="宋体" w:cs="宋体" w:eastAsia="宋体" w:hint="default"/>
                <w:spacing w:val="-4"/>
                <w:sz w:val="18"/>
                <w:szCs w:val="18"/>
              </w:rPr>
              <w:t>容的软件。其主要功能是在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HDMI/Miracast/DP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接口之间 传输数字视频信号的保护协议，从而防止非法拷贝。原 理是：单个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HDCP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发送器加密从显示控制器发送过来的</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98"/>
              <w:ind w:left="103" w:right="10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年底，已完成 </w:t>
            </w:r>
            <w:r>
              <w:rPr>
                <w:rFonts w:ascii="Times New Roman" w:hAnsi="Times New Roman" w:cs="Times New Roman" w:eastAsia="Times New Roman" w:hint="default"/>
                <w:spacing w:val="-1"/>
                <w:w w:val="99"/>
                <w:sz w:val="18"/>
                <w:szCs w:val="18"/>
              </w:rPr>
              <w:t>HDMI</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8"/>
                <w:sz w:val="18"/>
                <w:szCs w:val="18"/>
              </w:rPr>
              <w:t>接口保护功能，正在开</w:t>
            </w:r>
            <w:r>
              <w:rPr>
                <w:rFonts w:ascii="宋体" w:hAnsi="宋体" w:cs="宋体" w:eastAsia="宋体" w:hint="default"/>
                <w:sz w:val="18"/>
                <w:szCs w:val="18"/>
              </w:rPr>
              <w:t> 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Miracast/DP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接口的保护功 能</w:t>
            </w:r>
          </w:p>
        </w:tc>
      </w:tr>
    </w:tbl>
    <w:p>
      <w:pPr>
        <w:spacing w:after="0" w:line="225"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42"/>
        <w:gridCol w:w="1560"/>
        <w:gridCol w:w="4588"/>
        <w:gridCol w:w="2465"/>
      </w:tblGrid>
      <w:tr>
        <w:trPr>
          <w:trHeight w:val="407"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78"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0"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原始数字视频信号，并通过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HDMI/Miracast/DP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接口进行</w:t>
            </w:r>
          </w:p>
          <w:p>
            <w:pPr>
              <w:pStyle w:val="TableParagraph"/>
              <w:spacing w:line="234" w:lineRule="exact" w:before="15"/>
              <w:ind w:left="103" w:right="11"/>
              <w:jc w:val="left"/>
              <w:rPr>
                <w:rFonts w:ascii="宋体" w:hAnsi="宋体" w:cs="宋体" w:eastAsia="宋体" w:hint="default"/>
                <w:sz w:val="18"/>
                <w:szCs w:val="18"/>
              </w:rPr>
            </w:pPr>
            <w:r>
              <w:rPr>
                <w:rFonts w:ascii="宋体" w:hAnsi="宋体" w:cs="宋体" w:eastAsia="宋体" w:hint="default"/>
                <w:sz w:val="18"/>
                <w:szCs w:val="18"/>
              </w:rPr>
              <w:t>传输，单个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HDCP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接收器接收经过加密的视频信号，并 </w:t>
            </w:r>
            <w:r>
              <w:rPr>
                <w:rFonts w:ascii="宋体" w:hAnsi="宋体" w:cs="宋体" w:eastAsia="宋体" w:hint="default"/>
                <w:spacing w:val="-2"/>
                <w:sz w:val="18"/>
                <w:szCs w:val="18"/>
              </w:rPr>
              <w:t>恢复成原始数字视频信号，提供给数字显示器进行显示。</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187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15"/>
              <w:ind w:left="103" w:right="227"/>
              <w:jc w:val="both"/>
              <w:rPr>
                <w:rFonts w:ascii="宋体" w:hAnsi="宋体" w:cs="宋体" w:eastAsia="宋体" w:hint="default"/>
                <w:sz w:val="18"/>
                <w:szCs w:val="18"/>
              </w:rPr>
            </w:pPr>
            <w:r>
              <w:rPr>
                <w:rFonts w:ascii="宋体" w:hAnsi="宋体" w:cs="宋体" w:eastAsia="宋体" w:hint="default"/>
                <w:sz w:val="18"/>
                <w:szCs w:val="18"/>
              </w:rPr>
              <w:t>基于安卓操 作系统的信 息娱乐系统 基础软件平 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2,818,578.20</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4" w:lineRule="auto"/>
              <w:ind w:left="103" w:right="194"/>
              <w:jc w:val="left"/>
              <w:rPr>
                <w:rFonts w:ascii="Times New Roman" w:hAnsi="Times New Roman" w:cs="Times New Roman" w:eastAsia="Times New Roman" w:hint="default"/>
                <w:sz w:val="18"/>
                <w:szCs w:val="18"/>
              </w:rPr>
            </w:pPr>
            <w:r>
              <w:rPr>
                <w:rFonts w:ascii="宋体" w:hAnsi="宋体" w:cs="宋体" w:eastAsia="宋体" w:hint="default"/>
                <w:sz w:val="18"/>
                <w:szCs w:val="18"/>
              </w:rPr>
              <w:t>可重用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IVI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基础软件包的集合，包含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Reference GUI,Camera, GUI</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Framework,Bluetooth/Wi-Fi,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Multimedia, System</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Infrastructure</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年底，按计划已经</w:t>
            </w:r>
          </w:p>
          <w:p>
            <w:pPr>
              <w:pStyle w:val="TableParagraph"/>
              <w:spacing w:line="228" w:lineRule="auto" w:before="3"/>
              <w:ind w:left="103" w:right="12"/>
              <w:jc w:val="left"/>
              <w:rPr>
                <w:rFonts w:ascii="宋体" w:hAnsi="宋体" w:cs="宋体" w:eastAsia="宋体" w:hint="default"/>
                <w:sz w:val="18"/>
                <w:szCs w:val="18"/>
              </w:rPr>
            </w:pPr>
            <w:r>
              <w:rPr>
                <w:rFonts w:ascii="宋体" w:hAnsi="宋体" w:cs="宋体" w:eastAsia="宋体" w:hint="default"/>
                <w:sz w:val="18"/>
                <w:szCs w:val="18"/>
              </w:rPr>
              <w:t>完成了系统分区，系统存储， 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LOG</w:t>
            </w:r>
            <w:r>
              <w:rPr>
                <w:rFonts w:ascii="宋体" w:hAnsi="宋体" w:cs="宋体" w:eastAsia="宋体" w:hint="default"/>
                <w:sz w:val="18"/>
                <w:szCs w:val="18"/>
              </w:rPr>
              <w:t>，多媒体，音源管 </w:t>
            </w:r>
            <w:r>
              <w:rPr>
                <w:rFonts w:ascii="宋体" w:hAnsi="宋体" w:cs="宋体" w:eastAsia="宋体" w:hint="default"/>
                <w:spacing w:val="-5"/>
                <w:sz w:val="18"/>
                <w:szCs w:val="18"/>
              </w:rPr>
              <w:t>理，媒体扫描，</w:t>
            </w:r>
            <w:r>
              <w:rPr>
                <w:rFonts w:ascii="Times New Roman" w:hAnsi="Times New Roman" w:cs="Times New Roman" w:eastAsia="Times New Roman" w:hint="default"/>
                <w:spacing w:val="-5"/>
                <w:sz w:val="18"/>
                <w:szCs w:val="18"/>
              </w:rPr>
              <w:t>BT/WiFi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协议 栈，</w:t>
            </w:r>
            <w:r>
              <w:rPr>
                <w:rFonts w:ascii="Times New Roman" w:hAnsi="Times New Roman" w:cs="Times New Roman" w:eastAsia="Times New Roman" w:hint="default"/>
                <w:sz w:val="18"/>
                <w:szCs w:val="18"/>
              </w:rPr>
              <w:t>Reference GUI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等工作形</w:t>
            </w:r>
            <w:r>
              <w:rPr>
                <w:rFonts w:ascii="宋体" w:hAnsi="宋体" w:cs="宋体" w:eastAsia="宋体" w:hint="default"/>
                <w:w w:val="99"/>
                <w:sz w:val="18"/>
                <w:szCs w:val="18"/>
              </w:rPr>
              <w:t> </w:t>
            </w:r>
            <w:r>
              <w:rPr>
                <w:rFonts w:ascii="宋体" w:hAnsi="宋体" w:cs="宋体" w:eastAsia="宋体" w:hint="default"/>
                <w:sz w:val="18"/>
                <w:szCs w:val="18"/>
              </w:rPr>
              <w:t>成平台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PF0.1 </w:t>
            </w:r>
            <w:r>
              <w:rPr>
                <w:rFonts w:ascii="宋体" w:hAnsi="宋体" w:cs="宋体" w:eastAsia="宋体" w:hint="default"/>
                <w:spacing w:val="-10"/>
                <w:sz w:val="18"/>
                <w:szCs w:val="18"/>
              </w:rPr>
              <w:t>版本。可以通过</w:t>
            </w:r>
            <w:r>
              <w:rPr>
                <w:rFonts w:ascii="宋体" w:hAnsi="宋体" w:cs="宋体" w:eastAsia="宋体" w:hint="default"/>
                <w:sz w:val="18"/>
                <w:szCs w:val="18"/>
              </w:rPr>
              <w:t> </w:t>
            </w:r>
            <w:r>
              <w:rPr>
                <w:rFonts w:ascii="Times New Roman" w:hAnsi="Times New Roman" w:cs="Times New Roman" w:eastAsia="Times New Roman" w:hint="default"/>
                <w:sz w:val="18"/>
                <w:szCs w:val="18"/>
              </w:rPr>
              <w:t>Reference APP</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给客户展示功 能</w:t>
            </w:r>
          </w:p>
        </w:tc>
      </w:tr>
      <w:tr>
        <w:trPr>
          <w:trHeight w:val="1044"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Night</w:t>
            </w:r>
          </w:p>
          <w:p>
            <w:pPr>
              <w:pStyle w:val="TableParagraph"/>
              <w:spacing w:line="240" w:lineRule="auto"/>
              <w:ind w:left="103" w:right="156"/>
              <w:jc w:val="left"/>
              <w:rPr>
                <w:rFonts w:ascii="Times New Roman" w:hAnsi="Times New Roman" w:cs="Times New Roman" w:eastAsia="Times New Roman" w:hint="default"/>
                <w:sz w:val="18"/>
                <w:szCs w:val="18"/>
              </w:rPr>
            </w:pPr>
            <w:r>
              <w:rPr>
                <w:rFonts w:ascii="Times New Roman"/>
                <w:sz w:val="18"/>
              </w:rPr>
              <w:t>eye-Sharpnes</w:t>
            </w:r>
            <w:r>
              <w:rPr>
                <w:rFonts w:ascii="Times New Roman"/>
                <w:w w:val="99"/>
                <w:sz w:val="18"/>
              </w:rPr>
              <w:t> </w:t>
            </w:r>
            <w:r>
              <w:rPr>
                <w:rFonts w:ascii="Times New Roman"/>
                <w:sz w:val="18"/>
              </w:rPr>
              <w:t>s</w:t>
            </w:r>
            <w:r>
              <w:rPr>
                <w:rFonts w:ascii="Times New Roman"/>
                <w:w w:val="99"/>
                <w:sz w:val="18"/>
              </w:rPr>
              <w:t> </w:t>
            </w:r>
            <w:r>
              <w:rPr>
                <w:rFonts w:ascii="Times New Roman"/>
                <w:sz w:val="18"/>
              </w:rPr>
              <w:t>Improvement</w:t>
            </w:r>
            <w:r>
              <w:rPr>
                <w:rFonts w:ascii="Times New Roman"/>
                <w:w w:val="99"/>
                <w:sz w:val="18"/>
              </w:rPr>
              <w:t> </w:t>
            </w:r>
            <w:r>
              <w:rPr>
                <w:rFonts w:ascii="Times New Roman"/>
                <w:sz w:val="18"/>
              </w:rPr>
              <w:t>Algorithm</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13,817.34</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夜视锐度改善算法</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2" w:lineRule="exact"/>
              <w:ind w:left="103" w:right="10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年底项目已基本完 成</w:t>
            </w:r>
          </w:p>
        </w:tc>
      </w:tr>
      <w:tr>
        <w:trPr>
          <w:trHeight w:val="839"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447"/>
              <w:jc w:val="left"/>
              <w:rPr>
                <w:rFonts w:ascii="Times New Roman" w:hAnsi="Times New Roman" w:cs="Times New Roman" w:eastAsia="Times New Roman" w:hint="default"/>
                <w:sz w:val="18"/>
                <w:szCs w:val="18"/>
              </w:rPr>
            </w:pPr>
            <w:r>
              <w:rPr>
                <w:rFonts w:ascii="Times New Roman"/>
                <w:sz w:val="18"/>
              </w:rPr>
              <w:t>Surround</w:t>
            </w:r>
            <w:r>
              <w:rPr>
                <w:rFonts w:ascii="Times New Roman"/>
                <w:w w:val="99"/>
                <w:sz w:val="18"/>
              </w:rPr>
              <w:t> </w:t>
            </w:r>
            <w:r>
              <w:rPr>
                <w:rFonts w:ascii="Times New Roman"/>
                <w:sz w:val="18"/>
              </w:rPr>
              <w:t>view-360</w:t>
            </w:r>
            <w:r>
              <w:rPr>
                <w:rFonts w:ascii="Times New Roman"/>
                <w:w w:val="99"/>
                <w:sz w:val="18"/>
              </w:rPr>
              <w:t> </w:t>
            </w:r>
            <w:r>
              <w:rPr>
                <w:rFonts w:ascii="Times New Roman"/>
                <w:sz w:val="18"/>
              </w:rPr>
              <w:t>Degree</w:t>
            </w:r>
            <w:r>
              <w:rPr>
                <w:rFonts w:ascii="Times New Roman"/>
                <w:w w:val="99"/>
                <w:sz w:val="18"/>
              </w:rPr>
              <w:t> </w:t>
            </w:r>
            <w:r>
              <w:rPr>
                <w:rFonts w:ascii="Times New Roman"/>
                <w:sz w:val="18"/>
              </w:rPr>
              <w:t>Camera</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94,220.29</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度全景摄像技术，可广泛应用于智能汽车业务领域</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34" w:lineRule="exact"/>
              <w:ind w:left="103" w:right="10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年底项目已基本完 成</w:t>
            </w:r>
          </w:p>
        </w:tc>
      </w:tr>
      <w:tr>
        <w:trPr>
          <w:trHeight w:val="83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17"/>
              <w:jc w:val="left"/>
              <w:rPr>
                <w:rFonts w:ascii="Times New Roman" w:hAnsi="Times New Roman" w:cs="Times New Roman" w:eastAsia="Times New Roman" w:hint="default"/>
                <w:sz w:val="18"/>
                <w:szCs w:val="18"/>
              </w:rPr>
            </w:pPr>
            <w:r>
              <w:rPr>
                <w:rFonts w:ascii="Times New Roman"/>
                <w:sz w:val="18"/>
              </w:rPr>
              <w:t>Hawk Eye</w:t>
            </w:r>
            <w:r>
              <w:rPr>
                <w:rFonts w:ascii="Times New Roman"/>
                <w:spacing w:val="-2"/>
                <w:sz w:val="18"/>
              </w:rPr>
              <w:t> </w:t>
            </w:r>
            <w:r>
              <w:rPr>
                <w:rFonts w:ascii="Times New Roman"/>
                <w:sz w:val="18"/>
              </w:rPr>
              <w:t>for</w:t>
            </w:r>
            <w:r>
              <w:rPr>
                <w:rFonts w:ascii="Times New Roman"/>
                <w:sz w:val="18"/>
              </w:rPr>
              <w:t> Automotive Image Processing</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990,590.77</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车内视觉处理技术</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34" w:lineRule="exact"/>
              <w:ind w:left="103" w:right="10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年底已完成大部分 工作，正在进行性能调优</w:t>
            </w:r>
          </w:p>
        </w:tc>
      </w:tr>
      <w:tr>
        <w:trPr>
          <w:trHeight w:val="476"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42"/>
              <w:jc w:val="right"/>
              <w:rPr>
                <w:rFonts w:ascii="Times New Roman" w:hAnsi="Times New Roman" w:cs="Times New Roman" w:eastAsia="Times New Roman" w:hint="default"/>
                <w:sz w:val="18"/>
                <w:szCs w:val="18"/>
              </w:rPr>
            </w:pPr>
            <w:r>
              <w:rPr>
                <w:rFonts w:ascii="Times New Roman"/>
                <w:sz w:val="18"/>
              </w:rPr>
              <w:t>Magic</w:t>
            </w:r>
            <w:r>
              <w:rPr>
                <w:rFonts w:ascii="Times New Roman"/>
                <w:spacing w:val="-1"/>
                <w:sz w:val="18"/>
              </w:rPr>
              <w:t> </w:t>
            </w:r>
            <w:r>
              <w:rPr>
                <w:rFonts w:ascii="Times New Roman"/>
                <w:sz w:val="18"/>
              </w:rPr>
              <w:t>HDR</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245,142.87</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高动态范围图像技术</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年底已完成大部分</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工作，正在进行性能调优</w:t>
            </w:r>
          </w:p>
        </w:tc>
      </w:tr>
      <w:tr>
        <w:trPr>
          <w:trHeight w:val="2579"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30" w:lineRule="auto"/>
              <w:ind w:left="103" w:right="142"/>
              <w:jc w:val="left"/>
              <w:rPr>
                <w:rFonts w:ascii="宋体" w:hAnsi="宋体" w:cs="宋体" w:eastAsia="宋体" w:hint="default"/>
                <w:sz w:val="18"/>
                <w:szCs w:val="18"/>
              </w:rPr>
            </w:pPr>
            <w:r>
              <w:rPr>
                <w:rFonts w:ascii="宋体" w:hAnsi="宋体" w:cs="宋体" w:eastAsia="宋体" w:hint="default"/>
                <w:sz w:val="18"/>
                <w:szCs w:val="18"/>
              </w:rPr>
              <w:t>下一代全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智能互联驾 驶舱平台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1,218,319.41</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智能驾驶舱产品定义包含上述四个主要部分，分几个阶</w:t>
            </w:r>
          </w:p>
          <w:p>
            <w:pPr>
              <w:pStyle w:val="TableParagraph"/>
              <w:spacing w:line="235" w:lineRule="auto" w:before="3"/>
              <w:ind w:left="103" w:right="102"/>
              <w:jc w:val="both"/>
              <w:rPr>
                <w:rFonts w:ascii="宋体" w:hAnsi="宋体" w:cs="宋体" w:eastAsia="宋体" w:hint="default"/>
                <w:sz w:val="18"/>
                <w:szCs w:val="18"/>
              </w:rPr>
            </w:pPr>
            <w:r>
              <w:rPr>
                <w:rFonts w:ascii="宋体" w:hAnsi="宋体" w:cs="宋体" w:eastAsia="宋体" w:hint="default"/>
                <w:sz w:val="18"/>
                <w:szCs w:val="18"/>
              </w:rPr>
              <w:t>段逐步实现，包括中控、液晶仪表、后座娱乐（或副驾 </w:t>
            </w:r>
            <w:r>
              <w:rPr>
                <w:rFonts w:ascii="宋体" w:hAnsi="宋体" w:cs="宋体" w:eastAsia="宋体" w:hint="default"/>
                <w:spacing w:val="-6"/>
                <w:sz w:val="18"/>
                <w:szCs w:val="18"/>
              </w:rPr>
              <w:t>娱乐）、抬头显示等几个主要部分组成，构成智能驾驶舱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的人机交互界面均采用大尺寸液晶屏来显示，其中以中 控的变化最为丰富，主流中控一般采用支持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1080p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分辨 率的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13.3 </w:t>
            </w:r>
            <w:r>
              <w:rPr>
                <w:rFonts w:ascii="宋体" w:hAnsi="宋体" w:cs="宋体" w:eastAsia="宋体" w:hint="default"/>
                <w:sz w:val="18"/>
                <w:szCs w:val="18"/>
              </w:rPr>
              <w:t>寸或者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15.6 </w:t>
            </w:r>
            <w:r>
              <w:rPr>
                <w:rFonts w:ascii="宋体" w:hAnsi="宋体" w:cs="宋体" w:eastAsia="宋体" w:hint="default"/>
                <w:spacing w:val="-3"/>
                <w:sz w:val="18"/>
                <w:szCs w:val="18"/>
              </w:rPr>
              <w:t>寸的液晶显示器，也有采用与液晶</w:t>
            </w:r>
          </w:p>
          <w:p>
            <w:pPr>
              <w:pStyle w:val="TableParagraph"/>
              <w:spacing w:line="230" w:lineRule="auto"/>
              <w:ind w:left="103" w:right="63"/>
              <w:jc w:val="left"/>
              <w:rPr>
                <w:rFonts w:ascii="宋体" w:hAnsi="宋体" w:cs="宋体" w:eastAsia="宋体" w:hint="default"/>
                <w:sz w:val="18"/>
                <w:szCs w:val="18"/>
              </w:rPr>
            </w:pPr>
            <w:r>
              <w:rPr>
                <w:rFonts w:ascii="宋体" w:hAnsi="宋体" w:cs="宋体" w:eastAsia="宋体" w:hint="default"/>
                <w:sz w:val="18"/>
                <w:szCs w:val="18"/>
              </w:rPr>
              <w:t>仪表同样尺寸的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寸液晶显示器的配置。后座娱乐一 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寸以上支持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1080p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的液晶显示器用于影音娱乐。 抬头显示是近年逐步开始普及的一项技术创新产品，它 采用投影的方式，将一些必要的交互信息投影在挡风玻 璃底部的区域，是液晶仪表数据的一个有效补充</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年底，已完成智能</w:t>
            </w:r>
          </w:p>
          <w:p>
            <w:pPr>
              <w:pStyle w:val="TableParagraph"/>
              <w:spacing w:line="232" w:lineRule="auto"/>
              <w:ind w:left="103" w:right="102"/>
              <w:jc w:val="left"/>
              <w:rPr>
                <w:rFonts w:ascii="宋体" w:hAnsi="宋体" w:cs="宋体" w:eastAsia="宋体" w:hint="default"/>
                <w:sz w:val="18"/>
                <w:szCs w:val="18"/>
              </w:rPr>
            </w:pPr>
            <w:r>
              <w:rPr>
                <w:rFonts w:ascii="宋体" w:hAnsi="宋体" w:cs="宋体" w:eastAsia="宋体" w:hint="default"/>
                <w:sz w:val="18"/>
                <w:szCs w:val="18"/>
              </w:rPr>
              <w:t>驾驶舱的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迭代版本。该版</w:t>
            </w:r>
            <w:r>
              <w:rPr>
                <w:rFonts w:ascii="宋体" w:hAnsi="宋体" w:cs="宋体" w:eastAsia="宋体" w:hint="default"/>
                <w:sz w:val="18"/>
                <w:szCs w:val="18"/>
              </w:rPr>
              <w:t> 本已经具备了仪表、中控、 副驾娱乐、抬头显示和空调 座椅控制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个功能模块并全 部以屏幕式的人机交互体验 呈现（基于</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Kanzi</w:t>
            </w:r>
            <w:r>
              <w:rPr>
                <w:rFonts w:ascii="宋体" w:hAnsi="宋体" w:cs="宋体" w:eastAsia="宋体" w:hint="default"/>
                <w:spacing w:val="-9"/>
                <w:sz w:val="18"/>
                <w:szCs w:val="18"/>
              </w:rPr>
              <w:t>），此外，</w:t>
            </w:r>
            <w:r>
              <w:rPr>
                <w:rFonts w:ascii="宋体" w:hAnsi="宋体" w:cs="宋体" w:eastAsia="宋体" w:hint="default"/>
                <w:sz w:val="18"/>
                <w:szCs w:val="18"/>
              </w:rPr>
              <w:t> 该版本还集成了手势控制、 人脸识别等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w:t>
            </w:r>
          </w:p>
        </w:tc>
      </w:tr>
      <w:tr>
        <w:trPr>
          <w:trHeight w:val="2578"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25" w:lineRule="auto"/>
              <w:ind w:left="103" w:right="101"/>
              <w:jc w:val="both"/>
              <w:rPr>
                <w:rFonts w:ascii="宋体" w:hAnsi="宋体" w:cs="宋体" w:eastAsia="宋体" w:hint="default"/>
                <w:sz w:val="18"/>
                <w:szCs w:val="18"/>
              </w:rPr>
            </w:pPr>
            <w:r>
              <w:rPr>
                <w:rFonts w:ascii="宋体" w:hAnsi="宋体" w:cs="宋体" w:eastAsia="宋体" w:hint="default"/>
                <w:sz w:val="18"/>
                <w:szCs w:val="18"/>
              </w:rPr>
              <w:t>基于高通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845 </w:t>
            </w:r>
            <w:r>
              <w:rPr>
                <w:rFonts w:ascii="宋体" w:hAnsi="宋体" w:cs="宋体" w:eastAsia="宋体" w:hint="default"/>
                <w:sz w:val="18"/>
                <w:szCs w:val="18"/>
              </w:rPr>
              <w:t>芯片的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 发平台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00"/>
              <w:jc w:val="right"/>
              <w:rPr>
                <w:rFonts w:ascii="Times New Roman" w:hAnsi="Times New Roman" w:cs="Times New Roman" w:eastAsia="Times New Roman" w:hint="default"/>
                <w:sz w:val="18"/>
                <w:szCs w:val="18"/>
              </w:rPr>
            </w:pPr>
            <w:r>
              <w:rPr>
                <w:rFonts w:ascii="Times New Roman"/>
                <w:spacing w:val="-1"/>
                <w:sz w:val="18"/>
              </w:rPr>
              <w:t>2,303,395.47</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骁龙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845</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AI kit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作为一个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DIY </w:t>
            </w:r>
            <w:r>
              <w:rPr>
                <w:rFonts w:ascii="宋体" w:hAnsi="宋体" w:cs="宋体" w:eastAsia="宋体" w:hint="default"/>
                <w:sz w:val="18"/>
                <w:szCs w:val="18"/>
              </w:rPr>
              <w:t>智能视觉开发工具，主要</w:t>
            </w:r>
          </w:p>
          <w:p>
            <w:pPr>
              <w:pStyle w:val="TableParagraph"/>
              <w:spacing w:line="228" w:lineRule="auto" w:before="2"/>
              <w:ind w:left="103" w:right="29"/>
              <w:jc w:val="left"/>
              <w:rPr>
                <w:rFonts w:ascii="宋体" w:hAnsi="宋体" w:cs="宋体" w:eastAsia="宋体" w:hint="default"/>
                <w:sz w:val="18"/>
                <w:szCs w:val="18"/>
              </w:rPr>
            </w:pPr>
            <w:r>
              <w:rPr>
                <w:rFonts w:ascii="宋体" w:hAnsi="宋体" w:cs="宋体" w:eastAsia="宋体" w:hint="default"/>
                <w:sz w:val="18"/>
                <w:szCs w:val="18"/>
              </w:rPr>
              <w:t>为视觉计算，人工智能开发者提供一个性能强大，容易 使用的嵌入式开发平台，提供强大的神经网络处理能力 </w:t>
            </w:r>
            <w:r>
              <w:rPr>
                <w:rFonts w:ascii="宋体" w:hAnsi="宋体" w:cs="宋体" w:eastAsia="宋体" w:hint="default"/>
                <w:spacing w:val="-3"/>
                <w:sz w:val="18"/>
                <w:szCs w:val="18"/>
              </w:rPr>
              <w:t>和丰富的接口，包括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USB3.0</w:t>
            </w:r>
            <w:r>
              <w:rPr>
                <w:rFonts w:ascii="宋体" w:hAnsi="宋体" w:cs="宋体" w:eastAsia="宋体" w:hint="default"/>
                <w:spacing w:val="-3"/>
                <w:sz w:val="18"/>
                <w:szCs w:val="18"/>
              </w:rPr>
              <w:t>，一个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type 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Times New Roman" w:hAnsi="Times New Roman" w:cs="Times New Roman" w:eastAsia="Times New Roman" w:hint="default"/>
                <w:sz w:val="18"/>
                <w:szCs w:val="18"/>
              </w:rPr>
              <w:t>Micro HDMI </w:t>
            </w:r>
            <w:r>
              <w:rPr>
                <w:rFonts w:ascii="宋体" w:hAnsi="宋体" w:cs="宋体" w:eastAsia="宋体" w:hint="default"/>
                <w:spacing w:val="-3"/>
                <w:sz w:val="18"/>
                <w:szCs w:val="18"/>
              </w:rPr>
              <w:t>输出，</w:t>
            </w:r>
            <w:r>
              <w:rPr>
                <w:rFonts w:ascii="Times New Roman" w:hAnsi="Times New Roman" w:cs="Times New Roman" w:eastAsia="Times New Roman" w:hint="default"/>
                <w:spacing w:val="-3"/>
                <w:sz w:val="18"/>
                <w:szCs w:val="18"/>
              </w:rPr>
              <w:t>1 </w:t>
            </w:r>
            <w:r>
              <w:rPr>
                <w:rFonts w:ascii="宋体" w:hAnsi="宋体" w:cs="宋体" w:eastAsia="宋体" w:hint="default"/>
                <w:sz w:val="18"/>
                <w:szCs w:val="18"/>
              </w:rPr>
              <w:t>个千兆以太网，耳机，</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卡，以及</w:t>
            </w:r>
            <w:r>
              <w:rPr>
                <w:rFonts w:ascii="宋体" w:hAnsi="宋体" w:cs="宋体" w:eastAsia="宋体" w:hint="default"/>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调试接口。用户可以通过轻松接入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USB</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6"/>
                <w:sz w:val="18"/>
                <w:szCs w:val="18"/>
              </w:rPr>
              <w:t>camera</w:t>
            </w:r>
            <w:r>
              <w:rPr>
                <w:rFonts w:ascii="宋体" w:hAnsi="宋体" w:cs="宋体" w:eastAsia="宋体" w:hint="default"/>
                <w:spacing w:val="-6"/>
                <w:sz w:val="18"/>
                <w:szCs w:val="18"/>
              </w:rPr>
              <w:t>，进</w:t>
            </w:r>
            <w:r>
              <w:rPr>
                <w:rFonts w:ascii="宋体" w:hAnsi="宋体" w:cs="宋体" w:eastAsia="宋体" w:hint="default"/>
                <w:spacing w:val="-22"/>
                <w:sz w:val="18"/>
                <w:szCs w:val="18"/>
              </w:rPr>
              <w:t> </w:t>
            </w:r>
            <w:r>
              <w:rPr>
                <w:rFonts w:ascii="宋体" w:hAnsi="宋体" w:cs="宋体" w:eastAsia="宋体" w:hint="default"/>
                <w:sz w:val="18"/>
                <w:szCs w:val="18"/>
              </w:rPr>
              <w:t>行视觉处理开发，并通过 </w:t>
            </w:r>
            <w:r>
              <w:rPr>
                <w:rFonts w:ascii="Times New Roman" w:hAnsi="Times New Roman" w:cs="Times New Roman" w:eastAsia="Times New Roman" w:hint="default"/>
                <w:sz w:val="18"/>
                <w:szCs w:val="18"/>
              </w:rPr>
              <w:t>Micro HDMI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输出进行监控。 </w:t>
            </w:r>
            <w:r>
              <w:rPr>
                <w:rFonts w:ascii="Times New Roman" w:hAnsi="Times New Roman" w:cs="Times New Roman" w:eastAsia="Times New Roman" w:hint="default"/>
                <w:sz w:val="18"/>
                <w:szCs w:val="18"/>
              </w:rPr>
              <w:t>845 AI kit </w:t>
            </w:r>
            <w:r>
              <w:rPr>
                <w:rFonts w:ascii="宋体" w:hAnsi="宋体" w:cs="宋体" w:eastAsia="宋体" w:hint="default"/>
                <w:sz w:val="18"/>
                <w:szCs w:val="18"/>
              </w:rPr>
              <w:t>预装 </w:t>
            </w:r>
            <w:r>
              <w:rPr>
                <w:rFonts w:ascii="Times New Roman" w:hAnsi="Times New Roman" w:cs="Times New Roman" w:eastAsia="Times New Roman" w:hint="default"/>
                <w:sz w:val="18"/>
                <w:szCs w:val="18"/>
              </w:rPr>
              <w:t>SNPE </w:t>
            </w:r>
            <w:r>
              <w:rPr>
                <w:rFonts w:ascii="宋体" w:hAnsi="宋体" w:cs="宋体" w:eastAsia="宋体" w:hint="default"/>
                <w:sz w:val="18"/>
                <w:szCs w:val="18"/>
              </w:rPr>
              <w:t>和 </w:t>
            </w:r>
            <w:r>
              <w:rPr>
                <w:rFonts w:ascii="Times New Roman" w:hAnsi="Times New Roman" w:cs="Times New Roman" w:eastAsia="Times New Roman" w:hint="default"/>
                <w:sz w:val="18"/>
                <w:szCs w:val="18"/>
              </w:rPr>
              <w:t>Android NN</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加速引擎，支持 </w:t>
            </w:r>
            <w:r>
              <w:rPr>
                <w:rFonts w:ascii="Times New Roman" w:hAnsi="Times New Roman" w:cs="Times New Roman" w:eastAsia="Times New Roman" w:hint="default"/>
                <w:sz w:val="18"/>
                <w:szCs w:val="18"/>
              </w:rPr>
              <w:t>Caffe,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Caffe2,</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TensorFlow</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TensorFlow</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lite</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等多种模型， 并提供 </w:t>
            </w:r>
            <w:r>
              <w:rPr>
                <w:rFonts w:ascii="Times New Roman" w:hAnsi="Times New Roman" w:cs="Times New Roman" w:eastAsia="Times New Roman" w:hint="default"/>
                <w:spacing w:val="-3"/>
                <w:sz w:val="18"/>
                <w:szCs w:val="18"/>
              </w:rPr>
              <w:t>Tool </w:t>
            </w:r>
            <w:r>
              <w:rPr>
                <w:rFonts w:ascii="Times New Roman" w:hAnsi="Times New Roman" w:cs="Times New Roman" w:eastAsia="Times New Roman" w:hint="default"/>
                <w:sz w:val="18"/>
                <w:szCs w:val="18"/>
              </w:rPr>
              <w:t>Chain, Demo,</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t>Documentation</w:t>
            </w:r>
            <w:r>
              <w:rPr>
                <w:rFonts w:ascii="宋体" w:hAnsi="宋体" w:cs="宋体" w:eastAsia="宋体" w:hint="default"/>
                <w:spacing w:val="-3"/>
                <w:sz w:val="18"/>
                <w:szCs w:val="18"/>
              </w:rPr>
              <w:t>，方便开发者进</w:t>
            </w:r>
            <w:r>
              <w:rPr>
                <w:rFonts w:ascii="宋体" w:hAnsi="宋体" w:cs="宋体" w:eastAsia="宋体" w:hint="default"/>
                <w:sz w:val="18"/>
                <w:szCs w:val="18"/>
              </w:rPr>
              <w:t> 行各类算法开发</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28" w:lineRule="auto"/>
              <w:ind w:left="103" w:right="10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年底，</w:t>
            </w:r>
            <w:r>
              <w:rPr>
                <w:rFonts w:ascii="Times New Roman" w:hAnsi="Times New Roman" w:cs="Times New Roman" w:eastAsia="Times New Roman" w:hint="default"/>
                <w:spacing w:val="-12"/>
                <w:sz w:val="18"/>
                <w:szCs w:val="18"/>
              </w:rPr>
              <w:t>AI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开发平台 项目，已经完成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EVT&amp;DVT </w:t>
            </w:r>
            <w:r>
              <w:rPr>
                <w:rFonts w:ascii="宋体" w:hAnsi="宋体" w:cs="宋体" w:eastAsia="宋体" w:hint="default"/>
                <w:sz w:val="18"/>
                <w:szCs w:val="18"/>
              </w:rPr>
              <w:t>生产，准备进入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PVT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批量生 产；并已经由重点客户做用 户验证和场景</w:t>
            </w:r>
          </w:p>
        </w:tc>
      </w:tr>
      <w:tr>
        <w:trPr>
          <w:trHeight w:val="1877"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1"/>
              <w:ind w:left="103" w:right="227"/>
              <w:jc w:val="both"/>
              <w:rPr>
                <w:rFonts w:ascii="宋体" w:hAnsi="宋体" w:cs="宋体" w:eastAsia="宋体" w:hint="default"/>
                <w:sz w:val="18"/>
                <w:szCs w:val="18"/>
              </w:rPr>
            </w:pPr>
            <w:r>
              <w:rPr>
                <w:rFonts w:ascii="宋体" w:hAnsi="宋体" w:cs="宋体" w:eastAsia="宋体" w:hint="default"/>
                <w:sz w:val="18"/>
                <w:szCs w:val="18"/>
              </w:rPr>
              <w:t>车载混合仪 表一体化平 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2,155,040.71</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auto" w:before="139"/>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面向中低端仪表市场的软硬一体化平台，简化混合仪表 开发流程和投入，方便传统仪表厂商快速进入混合仪表 </w:t>
            </w:r>
            <w:r>
              <w:rPr>
                <w:rFonts w:ascii="宋体" w:hAnsi="宋体" w:cs="宋体" w:eastAsia="宋体" w:hint="default"/>
                <w:spacing w:val="-2"/>
                <w:sz w:val="18"/>
                <w:szCs w:val="18"/>
              </w:rPr>
              <w:t>市场主要包含：硬件：</w:t>
            </w:r>
            <w:r>
              <w:rPr>
                <w:rFonts w:ascii="Times New Roman" w:hAnsi="Times New Roman" w:cs="Times New Roman" w:eastAsia="Times New Roman" w:hint="default"/>
                <w:spacing w:val="-2"/>
                <w:sz w:val="18"/>
                <w:szCs w:val="18"/>
              </w:rPr>
              <w:t>RH850D1</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芯片、</w:t>
            </w:r>
            <w:r>
              <w:rPr>
                <w:rFonts w:ascii="Times New Roman" w:hAnsi="Times New Roman" w:cs="Times New Roman" w:eastAsia="Times New Roman" w:hint="default"/>
                <w:spacing w:val="-2"/>
                <w:sz w:val="18"/>
                <w:szCs w:val="18"/>
              </w:rPr>
              <w:t>Firmware</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Kanzi</w:t>
            </w:r>
            <w:r>
              <w:rPr>
                <w:rFonts w:ascii="Times New Roman" w:hAnsi="Times New Roman" w:cs="Times New Roman" w:eastAsia="Times New Roman" w:hint="default"/>
                <w:sz w:val="18"/>
                <w:szCs w:val="18"/>
              </w:rPr>
              <w:t> Lite engine, Renesas RGL, GHS C/C++ library, cluster</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23"/>
                <w:sz w:val="18"/>
                <w:szCs w:val="18"/>
              </w:rPr>
            </w:r>
            <w:r>
              <w:rPr>
                <w:rFonts w:ascii="Times New Roman" w:hAnsi="Times New Roman" w:cs="Times New Roman" w:eastAsia="Times New Roman" w:hint="default"/>
                <w:sz w:val="18"/>
                <w:szCs w:val="18"/>
              </w:rPr>
              <w:t>basic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business logic, security</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bootloader</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年底，已完成基于</w:t>
            </w:r>
          </w:p>
          <w:p>
            <w:pPr>
              <w:pStyle w:val="TableParagraph"/>
              <w:spacing w:line="230"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瑞萨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RH850_D1x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版 本。产品达到基于低成本 </w:t>
            </w:r>
            <w:r>
              <w:rPr>
                <w:rFonts w:ascii="Times New Roman" w:hAnsi="Times New Roman" w:cs="Times New Roman" w:eastAsia="Times New Roman" w:hint="default"/>
                <w:sz w:val="18"/>
                <w:szCs w:val="18"/>
              </w:rPr>
              <w:t>MCU</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实现高品质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Kanzi UI</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 </w:t>
            </w:r>
            <w:r>
              <w:rPr>
                <w:rFonts w:ascii="宋体" w:hAnsi="宋体" w:cs="宋体" w:eastAsia="宋体" w:hint="default"/>
                <w:spacing w:val="-4"/>
                <w:sz w:val="18"/>
                <w:szCs w:val="18"/>
              </w:rPr>
              <w:t>准量产级别。</w:t>
            </w:r>
            <w:r>
              <w:rPr>
                <w:rFonts w:ascii="Times New Roman" w:hAnsi="Times New Roman" w:cs="Times New Roman" w:eastAsia="Times New Roman" w:hint="default"/>
                <w:spacing w:val="-4"/>
                <w:sz w:val="18"/>
                <w:szCs w:val="18"/>
              </w:rPr>
              <w:t>Kanzi </w:t>
            </w:r>
            <w:r>
              <w:rPr>
                <w:rFonts w:ascii="Times New Roman" w:hAnsi="Times New Roman" w:cs="Times New Roman" w:eastAsia="Times New Roman" w:hint="default"/>
                <w:sz w:val="18"/>
                <w:szCs w:val="18"/>
              </w:rPr>
              <w:t>Hybrid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完 成了从产品定义到产品设计 研发到样机制作产品发布的 完整流程</w:t>
            </w:r>
          </w:p>
        </w:tc>
      </w:tr>
      <w:tr>
        <w:trPr>
          <w:trHeight w:val="71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27"/>
              <w:jc w:val="left"/>
              <w:rPr>
                <w:rFonts w:ascii="宋体" w:hAnsi="宋体" w:cs="宋体" w:eastAsia="宋体" w:hint="default"/>
                <w:sz w:val="18"/>
                <w:szCs w:val="18"/>
              </w:rPr>
            </w:pPr>
            <w:r>
              <w:rPr>
                <w:rFonts w:ascii="宋体" w:hAnsi="宋体" w:cs="宋体" w:eastAsia="宋体" w:hint="default"/>
                <w:sz w:val="18"/>
                <w:szCs w:val="18"/>
              </w:rPr>
              <w:t>智能通行系 统解决方案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189,868.34</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人脸产品研发项目，研发人脸通行系统产品方案，包含</w:t>
            </w:r>
          </w:p>
          <w:p>
            <w:pPr>
              <w:pStyle w:val="TableParagraph"/>
              <w:spacing w:line="240" w:lineRule="auto"/>
              <w:ind w:left="103" w:right="153"/>
              <w:jc w:val="left"/>
              <w:rPr>
                <w:rFonts w:ascii="宋体" w:hAnsi="宋体" w:cs="宋体" w:eastAsia="宋体" w:hint="default"/>
                <w:sz w:val="18"/>
                <w:szCs w:val="18"/>
              </w:rPr>
            </w:pPr>
            <w:r>
              <w:rPr>
                <w:rFonts w:ascii="宋体" w:hAnsi="宋体" w:cs="宋体" w:eastAsia="宋体" w:hint="default"/>
                <w:sz w:val="18"/>
                <w:szCs w:val="18"/>
              </w:rPr>
              <w:t>摄像头、壁挂机、闸机伴侣、边缘服务器、云服务器所 需的人脸采集、识别、后台管理的相关软件，并针对不</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年底，项目整体研</w:t>
            </w:r>
          </w:p>
          <w:p>
            <w:pPr>
              <w:pStyle w:val="TableParagraph"/>
              <w:spacing w:line="234" w:lineRule="exact" w:before="15"/>
              <w:ind w:left="103" w:right="175"/>
              <w:jc w:val="left"/>
              <w:rPr>
                <w:rFonts w:ascii="宋体" w:hAnsi="宋体" w:cs="宋体" w:eastAsia="宋体" w:hint="default"/>
                <w:sz w:val="18"/>
                <w:szCs w:val="18"/>
              </w:rPr>
            </w:pPr>
            <w:r>
              <w:rPr>
                <w:rFonts w:ascii="宋体" w:hAnsi="宋体" w:cs="宋体" w:eastAsia="宋体" w:hint="default"/>
                <w:sz w:val="18"/>
                <w:szCs w:val="18"/>
              </w:rPr>
              <w:t>发进展在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左右，最小可 运行环境已经构建完成</w:t>
            </w:r>
          </w:p>
        </w:tc>
      </w:tr>
    </w:tbl>
    <w:p>
      <w:pPr>
        <w:spacing w:after="0" w:line="234" w:lineRule="exact"/>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42"/>
        <w:gridCol w:w="1560"/>
        <w:gridCol w:w="4588"/>
        <w:gridCol w:w="2465"/>
      </w:tblGrid>
      <w:tr>
        <w:trPr>
          <w:trHeight w:val="407" w:hRule="exact"/>
        </w:trPr>
        <w:tc>
          <w:tcPr>
            <w:tcW w:w="1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78"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7" w:hRule="exact"/>
        </w:trPr>
        <w:tc>
          <w:tcPr>
            <w:tcW w:w="12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同业务场景做相应的算法和应用的定制化</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2,876,467.84</w:t>
            </w:r>
          </w:p>
        </w:tc>
        <w:tc>
          <w:tcPr>
            <w:tcW w:w="4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集团统一业务办公平台研发项目。主要建设范围：门户</w:t>
            </w:r>
          </w:p>
          <w:p>
            <w:pPr>
              <w:pStyle w:val="TableParagraph"/>
              <w:spacing w:line="237" w:lineRule="auto"/>
              <w:ind w:left="103" w:right="153"/>
              <w:jc w:val="both"/>
              <w:rPr>
                <w:rFonts w:ascii="宋体" w:hAnsi="宋体" w:cs="宋体" w:eastAsia="宋体" w:hint="default"/>
                <w:sz w:val="18"/>
                <w:szCs w:val="18"/>
              </w:rPr>
            </w:pPr>
            <w:r>
              <w:rPr>
                <w:rFonts w:ascii="宋体" w:hAnsi="宋体" w:cs="宋体" w:eastAsia="宋体" w:hint="default"/>
                <w:sz w:val="18"/>
                <w:szCs w:val="18"/>
              </w:rPr>
              <w:t>引擎平台、流程引擎平台、业务建模平台、文档引擎平 台等平台建设。并针对集团业务需求，用于集团内部各 类审批流程、集团门户建设、业务（如：项目、合同、 资产、人事等）管理、文档管理、基于业务数据各类报 表分析</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年底，项目整体研</w:t>
            </w:r>
          </w:p>
          <w:p>
            <w:pPr>
              <w:pStyle w:val="TableParagraph"/>
              <w:spacing w:line="24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发进展完成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p>
      <w:pPr>
        <w:pStyle w:val="BodyText"/>
        <w:spacing w:line="420" w:lineRule="auto" w:before="35"/>
        <w:ind w:right="3321"/>
        <w:jc w:val="left"/>
      </w:pPr>
      <w:r>
        <w:rPr/>
        <w:t>详见本报告</w:t>
      </w:r>
      <w:r>
        <w:rPr>
          <w:rFonts w:ascii="Times New Roman" w:hAnsi="Times New Roman" w:cs="Times New Roman" w:eastAsia="Times New Roman" w:hint="default"/>
        </w:rPr>
        <w:t>“</w:t>
      </w:r>
      <w:r>
        <w:rPr/>
        <w:t>第十一节财务报告、五、</w:t>
      </w:r>
      <w:r>
        <w:rPr>
          <w:rFonts w:ascii="Times New Roman" w:hAnsi="Times New Roman" w:cs="Times New Roman" w:eastAsia="Times New Roman" w:hint="default"/>
        </w:rPr>
        <w:t>21</w:t>
      </w:r>
      <w:r>
        <w:rPr/>
        <w:t>、（</w:t>
      </w:r>
      <w:r>
        <w:rPr>
          <w:rFonts w:ascii="Times New Roman" w:hAnsi="Times New Roman" w:cs="Times New Roman" w:eastAsia="Times New Roman" w:hint="default"/>
        </w:rPr>
        <w:t>2</w:t>
      </w:r>
      <w:r>
        <w:rPr/>
        <w:t>）内部研究开发支出会计政策</w:t>
      </w:r>
      <w:r>
        <w:rPr>
          <w:rFonts w:ascii="Times New Roman" w:hAnsi="Times New Roman" w:cs="Times New Roman" w:eastAsia="Times New Roman" w:hint="default"/>
        </w:rPr>
        <w:t>”</w:t>
      </w:r>
      <w:r>
        <w:rPr>
          <w:rFonts w:ascii="Times New Roman" w:hAnsi="Times New Roman" w:cs="Times New Roman" w:eastAsia="Times New Roman" w:hint="default"/>
          <w:w w:val="100"/>
        </w:rPr>
        <w:t> </w:t>
      </w:r>
      <w:bookmarkStart w:name="5、现金流" w:id="37"/>
      <w:bookmarkEnd w:id="37"/>
      <w:r>
        <w:rPr>
          <w:rFonts w:ascii="Times New Roman" w:hAnsi="Times New Roman" w:cs="Times New Roman" w:eastAsia="Times New Roman" w:hint="default"/>
          <w:w w:val="100"/>
        </w:rPr>
      </w:r>
      <w:r>
        <w:rPr>
          <w:rFonts w:ascii="宋体" w:hAnsi="宋体" w:cs="宋体" w:eastAsia="宋体" w:hint="default"/>
        </w:rPr>
        <w:t>5</w:t>
      </w:r>
      <w:r>
        <w:rPr/>
        <w:t>、现金流</w:t>
      </w:r>
    </w:p>
    <w:p>
      <w:pPr>
        <w:spacing w:before="10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464"/>
        <w:gridCol w:w="2465"/>
      </w:tblGrid>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1,576,617,958.62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1,235,423,229.66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27.62%</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1,323,290,705.78</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1,046,762,136.46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26.42%</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253,327,252.84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188,661,093.20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34.28%</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96,253,648.85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20,694,114.91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365.13%</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340,404,609.75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442,158,581.21</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-23.01%</w:t>
            </w:r>
          </w:p>
        </w:tc>
      </w:tr>
      <w:tr>
        <w:trPr>
          <w:trHeight w:val="47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-244,150,960.90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-421,464,466.30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-42.07%</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729,788,082.48</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761,919,150.00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-4.22%</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855,225,805.89</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768,567,183.35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11.28%</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-125,437,723.41</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-6,648,033.35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1,786.84%</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-101,222,355.31</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-247,220,914.60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-59.06%</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相关数据同比发生重大变动的主要影响因素说明</w:t>
      </w:r>
    </w:p>
    <w:p>
      <w:pPr>
        <w:spacing w:line="240" w:lineRule="auto" w:before="12"/>
        <w:rPr>
          <w:rFonts w:ascii="宋体" w:hAnsi="宋体" w:cs="宋体" w:eastAsia="宋体" w:hint="default"/>
          <w:sz w:val="17"/>
          <w:szCs w:val="17"/>
        </w:rPr>
      </w:pPr>
    </w:p>
    <w:p>
      <w:pPr>
        <w:pStyle w:val="BodyText"/>
        <w:spacing w:line="297" w:lineRule="auto"/>
        <w:ind w:left="214" w:right="1117" w:firstLine="420"/>
        <w:jc w:val="left"/>
      </w:pPr>
      <w:r>
        <w:rPr/>
        <w:t>（</w:t>
      </w:r>
      <w:r>
        <w:rPr>
          <w:rFonts w:ascii="宋体" w:hAnsi="宋体" w:cs="宋体" w:eastAsia="宋体" w:hint="default"/>
        </w:rPr>
        <w:t>1</w:t>
      </w:r>
      <w:r>
        <w:rPr/>
        <w:t>）报告期投经营活动产生的现金流量净额较上年同期增长</w:t>
      </w:r>
      <w:r>
        <w:rPr>
          <w:spacing w:val="-25"/>
        </w:rPr>
        <w:t> </w:t>
      </w:r>
      <w:r>
        <w:rPr>
          <w:rFonts w:ascii="宋体" w:hAnsi="宋体" w:cs="宋体" w:eastAsia="宋体" w:hint="default"/>
        </w:rPr>
        <w:t>34.28%</w:t>
      </w:r>
      <w:r>
        <w:rPr/>
        <w:t>，主要原因系报告期内收到的与 日常经营相关的政府补助增加所致。</w:t>
      </w:r>
    </w:p>
    <w:p>
      <w:pPr>
        <w:spacing w:line="240" w:lineRule="auto" w:before="12"/>
        <w:rPr>
          <w:rFonts w:ascii="宋体" w:hAnsi="宋体" w:cs="宋体" w:eastAsia="宋体" w:hint="default"/>
          <w:sz w:val="13"/>
          <w:szCs w:val="13"/>
        </w:rPr>
      </w:pPr>
    </w:p>
    <w:p>
      <w:pPr>
        <w:pStyle w:val="BodyText"/>
        <w:spacing w:line="297" w:lineRule="auto"/>
        <w:ind w:left="214" w:right="1124" w:firstLine="420"/>
        <w:jc w:val="left"/>
      </w:pPr>
      <w:r>
        <w:rPr/>
        <w:t>（</w:t>
      </w:r>
      <w:r>
        <w:rPr>
          <w:rFonts w:ascii="宋体" w:hAnsi="宋体" w:cs="宋体" w:eastAsia="宋体" w:hint="default"/>
        </w:rPr>
        <w:t>2</w:t>
      </w:r>
      <w:r>
        <w:rPr/>
        <w:t>）报告期投资活动现金流入小计较上年同期增长 </w:t>
      </w:r>
      <w:r>
        <w:rPr>
          <w:rFonts w:ascii="宋体" w:hAnsi="宋体" w:cs="宋体" w:eastAsia="宋体" w:hint="default"/>
        </w:rPr>
        <w:t>365.13%</w:t>
      </w:r>
      <w:r>
        <w:rPr/>
        <w:t>，主要原因系报告期内出售持有</w:t>
      </w:r>
      <w:r>
        <w:rPr>
          <w:spacing w:val="73"/>
        </w:rPr>
        <w:t> </w:t>
      </w:r>
      <w:r>
        <w:rPr>
          <w:rFonts w:ascii="宋体" w:hAnsi="宋体" w:cs="宋体" w:eastAsia="宋体" w:hint="default"/>
        </w:rPr>
        <w:t>Point Mobile Co.,</w:t>
      </w:r>
      <w:r>
        <w:rPr>
          <w:rFonts w:ascii="宋体" w:hAnsi="宋体" w:cs="宋体" w:eastAsia="宋体" w:hint="default"/>
          <w:spacing w:val="-2"/>
        </w:rPr>
        <w:t> </w:t>
      </w:r>
      <w:r>
        <w:rPr>
          <w:rFonts w:ascii="宋体" w:hAnsi="宋体" w:cs="宋体" w:eastAsia="宋体" w:hint="default"/>
        </w:rPr>
        <w:t>Ltd.</w:t>
      </w:r>
      <w:r>
        <w:rPr/>
        <w:t>及重庆创华科技有限公司的股份收回投资款所致。</w:t>
      </w:r>
    </w:p>
    <w:p>
      <w:pPr>
        <w:spacing w:line="240" w:lineRule="auto" w:before="0"/>
        <w:rPr>
          <w:rFonts w:ascii="宋体" w:hAnsi="宋体" w:cs="宋体" w:eastAsia="宋体" w:hint="default"/>
          <w:sz w:val="14"/>
          <w:szCs w:val="14"/>
        </w:rPr>
      </w:pPr>
    </w:p>
    <w:p>
      <w:pPr>
        <w:pStyle w:val="BodyText"/>
        <w:spacing w:line="297" w:lineRule="auto"/>
        <w:ind w:left="214" w:right="1016" w:firstLine="420"/>
        <w:jc w:val="left"/>
      </w:pPr>
      <w:r>
        <w:rPr>
          <w:spacing w:val="6"/>
        </w:rPr>
        <w:t>（</w:t>
      </w:r>
      <w:r>
        <w:rPr>
          <w:rFonts w:ascii="宋体" w:hAnsi="宋体" w:cs="宋体" w:eastAsia="宋体" w:hint="default"/>
          <w:spacing w:val="6"/>
        </w:rPr>
        <w:t>3</w:t>
      </w:r>
      <w:r>
        <w:rPr>
          <w:spacing w:val="6"/>
        </w:rPr>
        <w:t>）报告期投资活动现金流出小计较上年同期减少 </w:t>
      </w:r>
      <w:r>
        <w:rPr>
          <w:rFonts w:ascii="宋体" w:hAnsi="宋体" w:cs="宋体" w:eastAsia="宋体" w:hint="default"/>
          <w:spacing w:val="4"/>
        </w:rPr>
        <w:t>23.01%</w:t>
      </w:r>
      <w:r>
        <w:rPr>
          <w:spacing w:val="4"/>
        </w:rPr>
        <w:t>，主要原因系报告期内收购子公司</w:t>
      </w:r>
      <w:r>
        <w:rPr>
          <w:spacing w:val="33"/>
        </w:rPr>
        <w:t> </w:t>
      </w:r>
      <w:r>
        <w:rPr>
          <w:rFonts w:ascii="宋体" w:hAnsi="宋体" w:cs="宋体" w:eastAsia="宋体" w:hint="default"/>
        </w:rPr>
        <w:t>MM Solutions</w:t>
      </w:r>
      <w:r>
        <w:rPr>
          <w:rFonts w:ascii="宋体" w:hAnsi="宋体" w:cs="宋体" w:eastAsia="宋体" w:hint="default"/>
          <w:spacing w:val="-54"/>
        </w:rPr>
        <w:t> </w:t>
      </w:r>
      <w:r>
        <w:rPr/>
        <w:t>公司与上期收购子公司</w:t>
      </w:r>
      <w:r>
        <w:rPr>
          <w:spacing w:val="-55"/>
        </w:rPr>
        <w:t> </w:t>
      </w:r>
      <w:r>
        <w:rPr>
          <w:rFonts w:ascii="宋体" w:hAnsi="宋体" w:cs="宋体" w:eastAsia="宋体" w:hint="default"/>
        </w:rPr>
        <w:t>Rightware</w:t>
      </w:r>
      <w:r>
        <w:rPr>
          <w:rFonts w:ascii="宋体" w:hAnsi="宋体" w:cs="宋体" w:eastAsia="宋体" w:hint="default"/>
          <w:spacing w:val="-54"/>
        </w:rPr>
        <w:t> </w:t>
      </w:r>
      <w:r>
        <w:rPr/>
        <w:t>公司所致。</w:t>
      </w:r>
    </w:p>
    <w:p>
      <w:pPr>
        <w:spacing w:line="240" w:lineRule="auto" w:before="0"/>
        <w:rPr>
          <w:rFonts w:ascii="宋体" w:hAnsi="宋体" w:cs="宋体" w:eastAsia="宋体" w:hint="default"/>
          <w:sz w:val="14"/>
          <w:szCs w:val="14"/>
        </w:rPr>
      </w:pPr>
    </w:p>
    <w:p>
      <w:pPr>
        <w:pStyle w:val="BodyText"/>
        <w:spacing w:line="240" w:lineRule="auto"/>
        <w:ind w:right="1016"/>
        <w:jc w:val="left"/>
      </w:pPr>
      <w:r>
        <w:rPr/>
        <w:t>（</w:t>
      </w:r>
      <w:r>
        <w:rPr>
          <w:rFonts w:ascii="宋体" w:hAnsi="宋体" w:cs="宋体" w:eastAsia="宋体" w:hint="default"/>
        </w:rPr>
        <w:t>3</w:t>
      </w:r>
      <w:r>
        <w:rPr/>
        <w:t>）报告期筹资活动现金流出小计较上年同期增长</w:t>
      </w:r>
      <w:r>
        <w:rPr>
          <w:spacing w:val="-54"/>
        </w:rPr>
        <w:t> </w:t>
      </w:r>
      <w:r>
        <w:rPr>
          <w:rFonts w:ascii="宋体" w:hAnsi="宋体" w:cs="宋体" w:eastAsia="宋体" w:hint="default"/>
        </w:rPr>
        <w:t>11.28%</w:t>
      </w:r>
      <w:r>
        <w:rPr/>
        <w:t>，主要原因系偿还银行贷款增加所致。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444" w:lineRule="auto"/>
        <w:ind w:right="1016"/>
        <w:jc w:val="left"/>
      </w:pPr>
      <w:r>
        <w:rPr/>
        <w:t>报告期内公司经营活动产生的现金净流量与本年度净利润存在重大差异的原因说明 </w:t>
      </w:r>
      <w:r>
        <w:rPr>
          <w:spacing w:val="-1"/>
        </w:rPr>
        <w:t>报告期内公司经营活动产生的现金流量与本年度净利润存在差异，主要系无形资产摊销及计提的股权</w:t>
      </w:r>
    </w:p>
    <w:p>
      <w:pPr>
        <w:spacing w:after="0" w:line="444" w:lineRule="auto"/>
        <w:jc w:val="left"/>
        <w:sectPr>
          <w:pgSz w:w="11910" w:h="16840"/>
          <w:pgMar w:header="801" w:footer="1007" w:top="1100" w:bottom="1200" w:left="920" w:right="0"/>
        </w:sectPr>
      </w:pPr>
    </w:p>
    <w:p>
      <w:pPr>
        <w:spacing w:line="240" w:lineRule="auto" w:before="1"/>
        <w:rPr>
          <w:rFonts w:ascii="宋体" w:hAnsi="宋体" w:cs="宋体" w:eastAsia="宋体" w:hint="default"/>
          <w:sz w:val="19"/>
          <w:szCs w:val="19"/>
        </w:rPr>
      </w:pPr>
    </w:p>
    <w:p>
      <w:pPr>
        <w:pStyle w:val="BodyText"/>
        <w:spacing w:line="240" w:lineRule="auto" w:before="35"/>
        <w:ind w:left="214" w:right="1016"/>
        <w:jc w:val="left"/>
      </w:pPr>
      <w:r>
        <w:rPr/>
        <w:t>激励费用导致。</w:t>
      </w:r>
    </w:p>
    <w:p>
      <w:pPr>
        <w:spacing w:line="240" w:lineRule="auto" w:before="9"/>
        <w:rPr>
          <w:rFonts w:ascii="宋体" w:hAnsi="宋体" w:cs="宋体" w:eastAsia="宋体" w:hint="default"/>
          <w:sz w:val="21"/>
          <w:szCs w:val="21"/>
        </w:rPr>
      </w:pPr>
    </w:p>
    <w:p>
      <w:pPr>
        <w:pStyle w:val="Heading2"/>
        <w:spacing w:line="240" w:lineRule="auto"/>
        <w:ind w:right="1016"/>
        <w:jc w:val="left"/>
      </w:pPr>
      <w:bookmarkStart w:name="三、非主营业务情况" w:id="38"/>
      <w:bookmarkEnd w:id="38"/>
      <w:r>
        <w:rPr/>
      </w:r>
      <w:r>
        <w:rPr/>
        <w:t>三、非主营业务情况</w:t>
      </w:r>
    </w:p>
    <w:p>
      <w:pPr>
        <w:spacing w:line="240" w:lineRule="auto" w:before="11"/>
        <w:rPr>
          <w:rFonts w:ascii="微软雅黑" w:hAnsi="微软雅黑" w:cs="微软雅黑" w:eastAsia="微软雅黑" w:hint="default"/>
          <w:sz w:val="19"/>
          <w:szCs w:val="19"/>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569"/>
        <w:gridCol w:w="1973"/>
        <w:gridCol w:w="1672"/>
        <w:gridCol w:w="2231"/>
        <w:gridCol w:w="2411"/>
      </w:tblGrid>
      <w:tr>
        <w:trPr>
          <w:trHeight w:val="407"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177"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2,843,935.11</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1.68%</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其中联营合营企业投资收</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46"/>
                <w:sz w:val="18"/>
                <w:szCs w:val="18"/>
              </w:rPr>
              <w:t> </w:t>
            </w:r>
            <w:r>
              <w:rPr>
                <w:rFonts w:ascii="宋体" w:hAnsi="宋体" w:cs="宋体" w:eastAsia="宋体" w:hint="default"/>
                <w:sz w:val="18"/>
                <w:szCs w:val="18"/>
              </w:rPr>
              <w:t>4,405,873.85</w:t>
            </w:r>
            <w:r>
              <w:rPr>
                <w:rFonts w:ascii="宋体" w:hAnsi="宋体" w:cs="宋体" w:eastAsia="宋体" w:hint="default"/>
                <w:spacing w:val="-46"/>
                <w:sz w:val="18"/>
                <w:szCs w:val="18"/>
              </w:rPr>
              <w:t> </w:t>
            </w:r>
            <w:r>
              <w:rPr>
                <w:rFonts w:ascii="宋体" w:hAnsi="宋体" w:cs="宋体" w:eastAsia="宋体" w:hint="default"/>
                <w:spacing w:val="-14"/>
                <w:sz w:val="18"/>
                <w:szCs w:val="18"/>
              </w:rPr>
              <w:t>元，远期</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外汇合约损失 </w:t>
            </w:r>
            <w:r>
              <w:rPr>
                <w:rFonts w:ascii="宋体" w:hAnsi="宋体" w:cs="宋体" w:eastAsia="宋体" w:hint="default"/>
                <w:sz w:val="18"/>
                <w:szCs w:val="18"/>
              </w:rPr>
              <w:t>2,276,166.74</w:t>
            </w:r>
            <w:r>
              <w:rPr>
                <w:rFonts w:ascii="宋体" w:hAnsi="宋体" w:cs="宋体" w:eastAsia="宋体" w:hint="default"/>
                <w:spacing w:val="-56"/>
                <w:sz w:val="18"/>
                <w:szCs w:val="18"/>
              </w:rPr>
              <w:t> </w:t>
            </w:r>
            <w:r>
              <w:rPr>
                <w:rFonts w:ascii="宋体" w:hAnsi="宋体" w:cs="宋体" w:eastAsia="宋体" w:hint="default"/>
                <w:sz w:val="18"/>
                <w:szCs w:val="18"/>
              </w:rPr>
              <w:t>元，出售股</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权收益</w:t>
            </w:r>
            <w:r>
              <w:rPr>
                <w:rFonts w:ascii="宋体" w:hAnsi="宋体" w:cs="宋体" w:eastAsia="宋体" w:hint="default"/>
                <w:spacing w:val="-46"/>
                <w:sz w:val="18"/>
                <w:szCs w:val="18"/>
              </w:rPr>
              <w:t> </w:t>
            </w:r>
            <w:r>
              <w:rPr>
                <w:rFonts w:ascii="宋体" w:hAnsi="宋体" w:cs="宋体" w:eastAsia="宋体" w:hint="default"/>
                <w:sz w:val="18"/>
                <w:szCs w:val="18"/>
              </w:rPr>
              <w:t>714,228.00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3" w:right="137"/>
              <w:jc w:val="left"/>
              <w:rPr>
                <w:rFonts w:ascii="宋体" w:hAnsi="宋体" w:cs="宋体" w:eastAsia="宋体" w:hint="default"/>
                <w:sz w:val="18"/>
                <w:szCs w:val="18"/>
              </w:rPr>
            </w:pPr>
            <w:r>
              <w:rPr>
                <w:rFonts w:ascii="宋体" w:hAnsi="宋体" w:cs="宋体" w:eastAsia="宋体" w:hint="default"/>
                <w:sz w:val="18"/>
                <w:szCs w:val="18"/>
              </w:rPr>
              <w:t>联营合营企业投资收益具有 持续性</w:t>
            </w:r>
          </w:p>
        </w:tc>
      </w:tr>
      <w:tr>
        <w:trPr>
          <w:trHeight w:val="943"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195"/>
              <w:jc w:val="left"/>
              <w:rPr>
                <w:rFonts w:ascii="宋体" w:hAnsi="宋体" w:cs="宋体" w:eastAsia="宋体" w:hint="default"/>
                <w:sz w:val="18"/>
                <w:szCs w:val="18"/>
              </w:rPr>
            </w:pPr>
            <w:r>
              <w:rPr>
                <w:rFonts w:ascii="宋体" w:hAnsi="宋体" w:cs="宋体" w:eastAsia="宋体" w:hint="default"/>
                <w:sz w:val="18"/>
                <w:szCs w:val="18"/>
              </w:rPr>
              <w:t>公允价值变动损 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-2,348,682.42</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z w:val="18"/>
              </w:rPr>
              <w:t>-1.39%</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其中并购形成或有对价评</w:t>
            </w:r>
          </w:p>
          <w:p>
            <w:pPr>
              <w:pStyle w:val="TableParagraph"/>
              <w:spacing w:line="237" w:lineRule="auto" w:before="1"/>
              <w:ind w:left="103" w:right="102"/>
              <w:jc w:val="both"/>
              <w:rPr>
                <w:rFonts w:ascii="宋体" w:hAnsi="宋体" w:cs="宋体" w:eastAsia="宋体" w:hint="default"/>
                <w:sz w:val="18"/>
                <w:szCs w:val="18"/>
              </w:rPr>
            </w:pPr>
            <w:r>
              <w:rPr>
                <w:rFonts w:ascii="宋体" w:hAnsi="宋体" w:cs="宋体" w:eastAsia="宋体" w:hint="default"/>
                <w:sz w:val="18"/>
                <w:szCs w:val="18"/>
              </w:rPr>
              <w:t>估损失</w:t>
            </w:r>
            <w:r>
              <w:rPr>
                <w:rFonts w:ascii="宋体" w:hAnsi="宋体" w:cs="宋体" w:eastAsia="宋体" w:hint="default"/>
                <w:spacing w:val="-46"/>
                <w:sz w:val="18"/>
                <w:szCs w:val="18"/>
              </w:rPr>
              <w:t> </w:t>
            </w:r>
            <w:r>
              <w:rPr>
                <w:rFonts w:ascii="宋体" w:hAnsi="宋体" w:cs="宋体" w:eastAsia="宋体" w:hint="default"/>
                <w:sz w:val="18"/>
                <w:szCs w:val="18"/>
              </w:rPr>
              <w:t>512,232.42</w:t>
            </w:r>
            <w:r>
              <w:rPr>
                <w:rFonts w:ascii="宋体" w:hAnsi="宋体" w:cs="宋体" w:eastAsia="宋体" w:hint="default"/>
                <w:spacing w:val="-46"/>
                <w:sz w:val="18"/>
                <w:szCs w:val="18"/>
              </w:rPr>
              <w:t> </w:t>
            </w:r>
            <w:r>
              <w:rPr>
                <w:rFonts w:ascii="宋体" w:hAnsi="宋体" w:cs="宋体" w:eastAsia="宋体" w:hint="default"/>
                <w:spacing w:val="-19"/>
                <w:sz w:val="18"/>
                <w:szCs w:val="18"/>
              </w:rPr>
              <w:t>元，股</w:t>
            </w:r>
            <w:r>
              <w:rPr>
                <w:rFonts w:ascii="宋体" w:hAnsi="宋体" w:cs="宋体" w:eastAsia="宋体" w:hint="default"/>
                <w:sz w:val="18"/>
                <w:szCs w:val="18"/>
              </w:rPr>
              <w:t> 票增值权公允价值形成损 失</w:t>
            </w:r>
            <w:r>
              <w:rPr>
                <w:rFonts w:ascii="宋体" w:hAnsi="宋体" w:cs="宋体" w:eastAsia="宋体" w:hint="default"/>
                <w:spacing w:val="-46"/>
                <w:sz w:val="18"/>
                <w:szCs w:val="18"/>
              </w:rPr>
              <w:t> </w:t>
            </w:r>
            <w:r>
              <w:rPr>
                <w:rFonts w:ascii="宋体" w:hAnsi="宋体" w:cs="宋体" w:eastAsia="宋体" w:hint="default"/>
                <w:sz w:val="18"/>
                <w:szCs w:val="18"/>
              </w:rPr>
              <w:t>1,836,450.00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r>
        <w:trPr>
          <w:trHeight w:val="710"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3,861,958.56</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2.28%</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其中坏账损失</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3,794,927.53</w:t>
            </w:r>
            <w:r>
              <w:rPr>
                <w:rFonts w:ascii="宋体" w:hAnsi="宋体" w:cs="宋体" w:eastAsia="宋体" w:hint="default"/>
                <w:spacing w:val="-56"/>
                <w:sz w:val="18"/>
                <w:szCs w:val="18"/>
              </w:rPr>
              <w:t> </w:t>
            </w:r>
            <w:r>
              <w:rPr>
                <w:rFonts w:ascii="宋体" w:hAnsi="宋体" w:cs="宋体" w:eastAsia="宋体" w:hint="default"/>
                <w:sz w:val="18"/>
                <w:szCs w:val="18"/>
              </w:rPr>
              <w:t>元，存货跌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价损失</w:t>
            </w:r>
            <w:r>
              <w:rPr>
                <w:rFonts w:ascii="宋体" w:hAnsi="宋体" w:cs="宋体" w:eastAsia="宋体" w:hint="default"/>
                <w:spacing w:val="-46"/>
                <w:sz w:val="18"/>
                <w:szCs w:val="18"/>
              </w:rPr>
              <w:t> </w:t>
            </w:r>
            <w:r>
              <w:rPr>
                <w:rFonts w:ascii="宋体" w:hAnsi="宋体" w:cs="宋体" w:eastAsia="宋体" w:hint="default"/>
                <w:sz w:val="18"/>
                <w:szCs w:val="18"/>
              </w:rPr>
              <w:t>67,031.03</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r>
        <w:trPr>
          <w:trHeight w:val="407"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320,664.68</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0.19%</w:t>
            </w:r>
          </w:p>
        </w:tc>
        <w:tc>
          <w:tcPr>
            <w:tcW w:w="2231"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r>
        <w:trPr>
          <w:trHeight w:val="408" w:hRule="exact"/>
        </w:trPr>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533,008.11</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0.31%</w:t>
            </w:r>
          </w:p>
        </w:tc>
        <w:tc>
          <w:tcPr>
            <w:tcW w:w="2231"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不具有持续性</w:t>
            </w:r>
          </w:p>
        </w:tc>
      </w:tr>
    </w:tbl>
    <w:p>
      <w:pPr>
        <w:spacing w:line="240" w:lineRule="auto" w:before="7"/>
        <w:rPr>
          <w:rFonts w:ascii="宋体" w:hAnsi="宋体" w:cs="宋体" w:eastAsia="宋体" w:hint="default"/>
          <w:sz w:val="20"/>
          <w:szCs w:val="20"/>
        </w:rPr>
      </w:pPr>
    </w:p>
    <w:p>
      <w:pPr>
        <w:pStyle w:val="Heading2"/>
        <w:spacing w:line="397" w:lineRule="exact"/>
        <w:ind w:right="1016"/>
        <w:jc w:val="left"/>
      </w:pPr>
      <w:bookmarkStart w:name="四、资产及负债状况" w:id="39"/>
      <w:bookmarkEnd w:id="39"/>
      <w:r>
        <w:rPr/>
      </w:r>
      <w:r>
        <w:rPr/>
        <w:t>四、资产及负债状况</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资产构成重大变动情况" w:id="40"/>
      <w:bookmarkEnd w:id="40"/>
      <w:r>
        <w:rPr/>
      </w:r>
      <w:r>
        <w:rPr>
          <w:rFonts w:ascii="Times New Roman" w:hAnsi="Times New Roman" w:cs="Times New Roman" w:eastAsia="Times New Roman" w:hint="default"/>
        </w:rPr>
        <w:t>1</w:t>
      </w:r>
      <w:r>
        <w:rPr>
          <w:rFonts w:ascii="微软雅黑" w:hAnsi="微软雅黑" w:cs="微软雅黑" w:eastAsia="微软雅黑" w:hint="default"/>
        </w:rPr>
        <w:t>、资产构成重大变动情况</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308"/>
        <w:gridCol w:w="1342"/>
        <w:gridCol w:w="996"/>
        <w:gridCol w:w="1476"/>
        <w:gridCol w:w="997"/>
        <w:gridCol w:w="833"/>
        <w:gridCol w:w="2903"/>
      </w:tblGrid>
      <w:tr>
        <w:trPr>
          <w:trHeight w:val="407" w:hRule="exact"/>
        </w:trPr>
        <w:tc>
          <w:tcPr>
            <w:tcW w:w="1308" w:type="dxa"/>
            <w:vMerge w:val="restart"/>
            <w:tcBorders>
              <w:top w:val="single" w:sz="4" w:space="0" w:color="000000"/>
              <w:left w:val="single" w:sz="4" w:space="0" w:color="000000"/>
              <w:right w:val="single" w:sz="4" w:space="0" w:color="000000"/>
            </w:tcBorders>
            <w:shd w:val="clear" w:color="auto" w:fill="D2D2D2"/>
          </w:tcPr>
          <w:p>
            <w:pPr/>
          </w:p>
        </w:tc>
        <w:tc>
          <w:tcPr>
            <w:tcW w:w="23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230" w:right="230"/>
              <w:jc w:val="left"/>
              <w:rPr>
                <w:rFonts w:ascii="宋体" w:hAnsi="宋体" w:cs="宋体" w:eastAsia="宋体" w:hint="default"/>
                <w:sz w:val="18"/>
                <w:szCs w:val="18"/>
              </w:rPr>
            </w:pPr>
            <w:r>
              <w:rPr>
                <w:rFonts w:ascii="宋体" w:hAnsi="宋体" w:cs="宋体" w:eastAsia="宋体" w:hint="default"/>
                <w:sz w:val="18"/>
                <w:szCs w:val="18"/>
              </w:rPr>
              <w:t>比重 增减</w:t>
            </w:r>
          </w:p>
        </w:tc>
        <w:tc>
          <w:tcPr>
            <w:tcW w:w="29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90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78" w:hRule="exact"/>
        </w:trPr>
        <w:tc>
          <w:tcPr>
            <w:tcW w:w="1308"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占总资产</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占总资产</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33" w:type="dxa"/>
            <w:vMerge/>
            <w:tcBorders>
              <w:left w:val="single" w:sz="4" w:space="0" w:color="000000"/>
              <w:bottom w:val="single" w:sz="4" w:space="0" w:color="000000"/>
              <w:right w:val="single" w:sz="4" w:space="0" w:color="000000"/>
            </w:tcBorders>
            <w:shd w:val="clear" w:color="auto" w:fill="D2D2D2"/>
          </w:tcPr>
          <w:p>
            <w:pPr/>
          </w:p>
        </w:tc>
        <w:tc>
          <w:tcPr>
            <w:tcW w:w="2903" w:type="dxa"/>
            <w:vMerge/>
            <w:tcBorders>
              <w:left w:val="single" w:sz="4" w:space="0" w:color="000000"/>
              <w:bottom w:val="single" w:sz="4" w:space="0" w:color="000000"/>
              <w:right w:val="single" w:sz="4" w:space="0" w:color="000000"/>
            </w:tcBorders>
            <w:shd w:val="clear" w:color="auto" w:fill="D2D2D2"/>
          </w:tcPr>
          <w:p>
            <w:pPr/>
          </w:p>
        </w:tc>
      </w:tr>
      <w:tr>
        <w:trPr>
          <w:trHeight w:val="476"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894,467,911.39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34.35%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1,274,602,996.80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47.96%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-13.61%</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主要系报告期归还银行贷款、以及</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MM</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Solutions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EAD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所致</w:t>
            </w:r>
          </w:p>
        </w:tc>
      </w:tr>
      <w:tr>
        <w:trPr>
          <w:trHeight w:val="407"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489,376,153.81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18.80%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405,667,009.02</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15.26%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50" w:right="0"/>
              <w:jc w:val="center"/>
              <w:rPr>
                <w:rFonts w:ascii="Times New Roman" w:hAnsi="Times New Roman" w:cs="Times New Roman" w:eastAsia="Times New Roman" w:hint="default"/>
                <w:sz w:val="18"/>
                <w:szCs w:val="18"/>
              </w:rPr>
            </w:pPr>
            <w:r>
              <w:rPr>
                <w:rFonts w:ascii="Times New Roman"/>
                <w:sz w:val="18"/>
              </w:rPr>
              <w:t>3.54%</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主要系公司报告期收入增长所致</w:t>
            </w:r>
          </w:p>
        </w:tc>
      </w:tr>
      <w:tr>
        <w:trPr>
          <w:trHeight w:val="476"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2"/>
                <w:sz w:val="18"/>
              </w:rPr>
              <w:t>15,099,112.11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8,463,149.40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0.32%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0" w:right="0"/>
              <w:jc w:val="center"/>
              <w:rPr>
                <w:rFonts w:ascii="Times New Roman" w:hAnsi="Times New Roman" w:cs="Times New Roman" w:eastAsia="Times New Roman" w:hint="default"/>
                <w:sz w:val="18"/>
                <w:szCs w:val="18"/>
              </w:rPr>
            </w:pPr>
            <w:r>
              <w:rPr>
                <w:rFonts w:ascii="Times New Roman"/>
                <w:sz w:val="18"/>
              </w:rPr>
              <w:t>0.26%</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主要系报告期业务规模增长，原材</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料和库存产品储备增加所致</w:t>
            </w:r>
          </w:p>
        </w:tc>
      </w:tr>
      <w:tr>
        <w:trPr>
          <w:trHeight w:val="408"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44,532,630.05</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47,975,653.30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-0.10%</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7"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73,269,916.59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2.81%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75,179,755.20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2.83%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0" w:right="0"/>
              <w:jc w:val="center"/>
              <w:rPr>
                <w:rFonts w:ascii="Times New Roman" w:hAnsi="Times New Roman" w:cs="Times New Roman" w:eastAsia="Times New Roman" w:hint="default"/>
                <w:sz w:val="18"/>
                <w:szCs w:val="18"/>
              </w:rPr>
            </w:pPr>
            <w:r>
              <w:rPr>
                <w:rFonts w:ascii="Times New Roman"/>
                <w:sz w:val="18"/>
              </w:rPr>
              <w:t>-0.02%</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6"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373,753,560.00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14.35%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666,543,140.00</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25.08%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-10.73%</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主要系公司报告期归还银行贷款</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07" w:hRule="exact"/>
        </w:trPr>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163,771,581.54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166,006,416.18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center"/>
              <w:rPr>
                <w:rFonts w:ascii="Times New Roman" w:hAnsi="Times New Roman" w:cs="Times New Roman" w:eastAsia="Times New Roman" w:hint="default"/>
                <w:sz w:val="18"/>
                <w:szCs w:val="18"/>
              </w:rPr>
            </w:pPr>
            <w:r>
              <w:rPr>
                <w:rFonts w:ascii="Times New Roman"/>
                <w:sz w:val="18"/>
              </w:rPr>
              <w:t>0.04%</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可供出售金融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203,663,711.10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7.82%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151,891,508.11</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5.72%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0" w:right="0"/>
              <w:jc w:val="center"/>
              <w:rPr>
                <w:rFonts w:ascii="Times New Roman" w:hAnsi="Times New Roman" w:cs="Times New Roman" w:eastAsia="Times New Roman" w:hint="default"/>
                <w:sz w:val="18"/>
                <w:szCs w:val="18"/>
              </w:rPr>
            </w:pPr>
            <w:r>
              <w:rPr>
                <w:rFonts w:ascii="Times New Roman"/>
                <w:sz w:val="18"/>
              </w:rPr>
              <w:t>2.10%</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主要系公司报告期内对外战略性</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投资增加所致</w:t>
            </w:r>
          </w:p>
        </w:tc>
      </w:tr>
      <w:tr>
        <w:trPr>
          <w:trHeight w:val="711"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260,772,840.62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236,581,271.33</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8.90%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0" w:right="0"/>
              <w:jc w:val="center"/>
              <w:rPr>
                <w:rFonts w:ascii="Times New Roman" w:hAnsi="Times New Roman" w:cs="Times New Roman" w:eastAsia="Times New Roman" w:hint="default"/>
                <w:sz w:val="18"/>
                <w:szCs w:val="18"/>
              </w:rPr>
            </w:pPr>
            <w:r>
              <w:rPr>
                <w:rFonts w:ascii="Times New Roman"/>
                <w:sz w:val="18"/>
              </w:rPr>
              <w:t>1.12%</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主要系公司报告期内收购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MM</w:t>
            </w:r>
          </w:p>
          <w:p>
            <w:pPr>
              <w:pStyle w:val="TableParagraph"/>
              <w:spacing w:line="232" w:lineRule="exact" w:before="17"/>
              <w:ind w:left="101" w:right="209"/>
              <w:jc w:val="left"/>
              <w:rPr>
                <w:rFonts w:ascii="宋体" w:hAnsi="宋体" w:cs="宋体" w:eastAsia="宋体" w:hint="default"/>
                <w:sz w:val="18"/>
                <w:szCs w:val="18"/>
              </w:rPr>
            </w:pPr>
            <w:r>
              <w:rPr>
                <w:rFonts w:ascii="Times New Roman" w:hAnsi="Times New Roman" w:cs="Times New Roman" w:eastAsia="Times New Roman" w:hint="default"/>
                <w:sz w:val="18"/>
                <w:szCs w:val="18"/>
              </w:rPr>
              <w:t>Solutions EAD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的无形资产评估增 值所致</w:t>
            </w:r>
          </w:p>
        </w:tc>
      </w:tr>
      <w:tr>
        <w:trPr>
          <w:trHeight w:val="476"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43,125,797.40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1.66%</w:t>
            </w:r>
          </w:p>
        </w:tc>
        <w:tc>
          <w:tcPr>
            <w:tcW w:w="1476"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0" w:right="0"/>
              <w:jc w:val="center"/>
              <w:rPr>
                <w:rFonts w:ascii="Times New Roman" w:hAnsi="Times New Roman" w:cs="Times New Roman" w:eastAsia="Times New Roman" w:hint="default"/>
                <w:sz w:val="18"/>
                <w:szCs w:val="18"/>
              </w:rPr>
            </w:pPr>
            <w:r>
              <w:rPr>
                <w:rFonts w:ascii="Times New Roman"/>
                <w:sz w:val="18"/>
              </w:rPr>
              <w:t>1.66%</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主要系公司报告期截止有正处研</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发期的项目所致</w:t>
            </w:r>
          </w:p>
        </w:tc>
      </w:tr>
      <w:tr>
        <w:trPr>
          <w:trHeight w:val="47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419,998,609.57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16.13%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239,422,345.36</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9.01%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50" w:right="0"/>
              <w:jc w:val="center"/>
              <w:rPr>
                <w:rFonts w:ascii="Times New Roman" w:hAnsi="Times New Roman" w:cs="Times New Roman" w:eastAsia="Times New Roman" w:hint="default"/>
                <w:sz w:val="18"/>
                <w:szCs w:val="18"/>
              </w:rPr>
            </w:pPr>
            <w:r>
              <w:rPr>
                <w:rFonts w:ascii="Times New Roman"/>
                <w:sz w:val="18"/>
              </w:rPr>
              <w:t>7.12%</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主要系公司报告期收购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MM</w:t>
            </w:r>
          </w:p>
          <w:p>
            <w:pPr>
              <w:pStyle w:val="TableParagraph"/>
              <w:spacing w:line="242"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Solutions EAD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所致</w:t>
            </w:r>
          </w:p>
        </w:tc>
      </w:tr>
    </w:tbl>
    <w:p>
      <w:pPr>
        <w:spacing w:after="0" w:line="242" w:lineRule="exact"/>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6"/>
        <w:rPr>
          <w:rFonts w:ascii="宋体" w:hAnsi="宋体" w:cs="宋体" w:eastAsia="宋体" w:hint="default"/>
          <w:sz w:val="24"/>
          <w:szCs w:val="24"/>
        </w:rPr>
      </w:pPr>
    </w:p>
    <w:tbl>
      <w:tblPr>
        <w:tblW w:w="0" w:type="auto"/>
        <w:jc w:val="left"/>
        <w:tblInd w:w="301" w:type="dxa"/>
        <w:tblLayout w:type="fixed"/>
        <w:tblCellMar>
          <w:top w:w="0" w:type="dxa"/>
          <w:left w:w="0" w:type="dxa"/>
          <w:bottom w:w="0" w:type="dxa"/>
          <w:right w:w="0" w:type="dxa"/>
        </w:tblCellMar>
        <w:tblLook w:val="01E0"/>
      </w:tblPr>
      <w:tblGrid>
        <w:gridCol w:w="1308"/>
        <w:gridCol w:w="1342"/>
        <w:gridCol w:w="996"/>
        <w:gridCol w:w="1476"/>
        <w:gridCol w:w="997"/>
        <w:gridCol w:w="833"/>
        <w:gridCol w:w="2903"/>
      </w:tblGrid>
      <w:tr>
        <w:trPr>
          <w:trHeight w:val="476"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应付票据及应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付账款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76,635,795.41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2.94%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92,929,165.27</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3.50%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-0.56%</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136,133,087.79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46,691,287.48</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1.76%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3.47%</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主要系公司报告期内计提的未发</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放的工资及奖金增加所致</w:t>
            </w:r>
          </w:p>
        </w:tc>
      </w:tr>
      <w:tr>
        <w:trPr>
          <w:trHeight w:val="477"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113,440,175.50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211,409,010.44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7.95%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-3.59%</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主要系公司报告期内限制性股票</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解锁，回购义务相应减少所致</w:t>
            </w:r>
          </w:p>
        </w:tc>
      </w:tr>
      <w:tr>
        <w:trPr>
          <w:trHeight w:val="478"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39,138,952.88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22,574,240.04</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0.85%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0.65%</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主要系公司报告期内收到的未确</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认损益的政府补助所致</w:t>
            </w:r>
          </w:p>
        </w:tc>
      </w:tr>
      <w:tr>
        <w:trPr>
          <w:trHeight w:val="710"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13"/>
              <w:jc w:val="left"/>
              <w:rPr>
                <w:rFonts w:ascii="宋体" w:hAnsi="宋体" w:cs="宋体" w:eastAsia="宋体" w:hint="default"/>
                <w:sz w:val="18"/>
                <w:szCs w:val="18"/>
              </w:rPr>
            </w:pPr>
            <w:r>
              <w:rPr>
                <w:rFonts w:ascii="宋体" w:hAnsi="宋体" w:cs="宋体" w:eastAsia="宋体" w:hint="default"/>
                <w:sz w:val="18"/>
                <w:szCs w:val="18"/>
              </w:rPr>
              <w:t>递延所得税负 债</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46,822,963.87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41,491,674.39</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1.56%</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0.24%</w:t>
            </w:r>
          </w:p>
        </w:tc>
        <w:tc>
          <w:tcPr>
            <w:tcW w:w="290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主要系公司报告期内收购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MM</w:t>
            </w:r>
          </w:p>
          <w:p>
            <w:pPr>
              <w:pStyle w:val="TableParagraph"/>
              <w:spacing w:line="234" w:lineRule="exact" w:before="15"/>
              <w:ind w:left="101" w:right="209"/>
              <w:jc w:val="left"/>
              <w:rPr>
                <w:rFonts w:ascii="宋体" w:hAnsi="宋体" w:cs="宋体" w:eastAsia="宋体" w:hint="default"/>
                <w:sz w:val="18"/>
                <w:szCs w:val="18"/>
              </w:rPr>
            </w:pPr>
            <w:r>
              <w:rPr>
                <w:rFonts w:ascii="Times New Roman" w:hAnsi="Times New Roman" w:cs="Times New Roman" w:eastAsia="Times New Roman" w:hint="default"/>
                <w:sz w:val="18"/>
                <w:szCs w:val="18"/>
              </w:rPr>
              <w:t>Solutions EAD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的无形资产评估增 值确认递延所得税负债所致</w:t>
            </w:r>
          </w:p>
        </w:tc>
      </w:tr>
    </w:tbl>
    <w:p>
      <w:pPr>
        <w:spacing w:line="240" w:lineRule="auto" w:before="12"/>
        <w:rPr>
          <w:rFonts w:ascii="宋体" w:hAnsi="宋体" w:cs="宋体" w:eastAsia="宋体" w:hint="default"/>
          <w:sz w:val="8"/>
          <w:szCs w:val="8"/>
        </w:rPr>
      </w:pPr>
    </w:p>
    <w:p>
      <w:pPr>
        <w:pStyle w:val="BodyText"/>
        <w:spacing w:line="324" w:lineRule="exact"/>
        <w:ind w:left="834" w:right="0"/>
        <w:jc w:val="left"/>
        <w:rPr>
          <w:rFonts w:ascii="微软雅黑" w:hAnsi="微软雅黑" w:cs="微软雅黑" w:eastAsia="微软雅黑" w:hint="default"/>
        </w:rPr>
      </w:pPr>
      <w:bookmarkStart w:name="2、以公允价值计量的资产和负债" w:id="41"/>
      <w:bookmarkEnd w:id="41"/>
      <w:r>
        <w:rPr/>
      </w:r>
      <w:r>
        <w:rPr>
          <w:rFonts w:ascii="Times New Roman" w:hAnsi="Times New Roman" w:cs="Times New Roman" w:eastAsia="Times New Roman" w:hint="default"/>
        </w:rPr>
        <w:t>2</w:t>
      </w:r>
      <w:r>
        <w:rPr>
          <w:rFonts w:ascii="微软雅黑" w:hAnsi="微软雅黑" w:cs="微软雅黑" w:eastAsia="微软雅黑" w:hint="default"/>
        </w:rPr>
        <w:t>、以公允价值计量的资产和负债</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301" w:type="dxa"/>
        <w:tblLayout w:type="fixed"/>
        <w:tblCellMar>
          <w:top w:w="0" w:type="dxa"/>
          <w:left w:w="0" w:type="dxa"/>
          <w:bottom w:w="0" w:type="dxa"/>
          <w:right w:w="0" w:type="dxa"/>
        </w:tblCellMar>
        <w:tblLook w:val="01E0"/>
      </w:tblPr>
      <w:tblGrid>
        <w:gridCol w:w="1475"/>
        <w:gridCol w:w="1252"/>
        <w:gridCol w:w="1221"/>
        <w:gridCol w:w="1135"/>
        <w:gridCol w:w="1135"/>
        <w:gridCol w:w="1136"/>
        <w:gridCol w:w="1250"/>
        <w:gridCol w:w="1252"/>
      </w:tblGrid>
      <w:tr>
        <w:trPr>
          <w:trHeight w:val="710" w:hRule="exact"/>
        </w:trPr>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56" w:right="153"/>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2" w:right="0"/>
              <w:jc w:val="left"/>
              <w:rPr>
                <w:rFonts w:ascii="宋体" w:hAnsi="宋体" w:cs="宋体" w:eastAsia="宋体" w:hint="default"/>
                <w:sz w:val="18"/>
                <w:szCs w:val="18"/>
              </w:rPr>
            </w:pPr>
            <w:r>
              <w:rPr>
                <w:rFonts w:ascii="宋体" w:hAnsi="宋体" w:cs="宋体" w:eastAsia="宋体" w:hint="default"/>
                <w:sz w:val="18"/>
                <w:szCs w:val="18"/>
              </w:rPr>
              <w:t>计入权益的</w:t>
            </w:r>
          </w:p>
          <w:p>
            <w:pPr>
              <w:pStyle w:val="TableParagraph"/>
              <w:spacing w:line="232" w:lineRule="exact" w:before="24"/>
              <w:ind w:left="292" w:right="110"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82" w:right="110" w:hanging="270"/>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82" w:right="201"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440" w:right="258" w:hanging="180"/>
              <w:jc w:val="left"/>
              <w:rPr>
                <w:rFonts w:ascii="宋体" w:hAnsi="宋体" w:cs="宋体" w:eastAsia="宋体" w:hint="default"/>
                <w:sz w:val="18"/>
                <w:szCs w:val="18"/>
              </w:rPr>
            </w:pPr>
            <w:r>
              <w:rPr>
                <w:rFonts w:ascii="宋体" w:hAnsi="宋体" w:cs="宋体" w:eastAsia="宋体" w:hint="default"/>
                <w:sz w:val="18"/>
                <w:szCs w:val="18"/>
              </w:rPr>
              <w:t>本期出售 金额</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7" w:hRule="exact"/>
        </w:trPr>
        <w:tc>
          <w:tcPr>
            <w:tcW w:w="985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7" w:hRule="exact"/>
        </w:trPr>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w:t>
            </w:r>
          </w:p>
        </w:tc>
        <w:tc>
          <w:tcPr>
            <w:tcW w:w="122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41,445,871.46</w:t>
            </w:r>
          </w:p>
        </w:tc>
        <w:tc>
          <w:tcPr>
            <w:tcW w:w="1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sz w:val="18"/>
              </w:rPr>
              <w:t>-2,788,399.16</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sz w:val="18"/>
              </w:rPr>
              <w:t>19,243,772.30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19,413,700.00</w:t>
            </w:r>
          </w:p>
        </w:tc>
      </w:tr>
    </w:tbl>
    <w:p>
      <w:pPr>
        <w:spacing w:line="240" w:lineRule="auto" w:before="6"/>
        <w:rPr>
          <w:rFonts w:ascii="宋体" w:hAnsi="宋体" w:cs="宋体" w:eastAsia="宋体" w:hint="default"/>
          <w:sz w:val="7"/>
          <w:szCs w:val="7"/>
        </w:rPr>
      </w:pPr>
    </w:p>
    <w:p>
      <w:pPr>
        <w:pStyle w:val="BodyText"/>
        <w:spacing w:line="240" w:lineRule="auto" w:before="35"/>
        <w:ind w:left="834" w:right="0"/>
        <w:jc w:val="left"/>
      </w:pPr>
      <w:r>
        <w:rPr/>
        <w:t>报告期内公司主要资产计量属性未发生重大变化</w:t>
      </w:r>
    </w:p>
    <w:p>
      <w:pPr>
        <w:spacing w:line="240" w:lineRule="auto" w:before="4"/>
        <w:rPr>
          <w:rFonts w:ascii="宋体" w:hAnsi="宋体" w:cs="宋体" w:eastAsia="宋体" w:hint="default"/>
          <w:sz w:val="17"/>
          <w:szCs w:val="17"/>
        </w:rPr>
      </w:pPr>
    </w:p>
    <w:p>
      <w:pPr>
        <w:pStyle w:val="BodyText"/>
        <w:spacing w:line="240" w:lineRule="auto"/>
        <w:ind w:left="834" w:right="0"/>
        <w:jc w:val="left"/>
        <w:rPr>
          <w:rFonts w:ascii="微软雅黑" w:hAnsi="微软雅黑" w:cs="微软雅黑" w:eastAsia="微软雅黑" w:hint="default"/>
        </w:rPr>
      </w:pPr>
      <w:bookmarkStart w:name="3、截至报告期末的资产权利受限情况" w:id="42"/>
      <w:bookmarkEnd w:id="42"/>
      <w:r>
        <w:rPr/>
      </w:r>
      <w:r>
        <w:rPr>
          <w:rFonts w:ascii="Times New Roman" w:hAnsi="Times New Roman" w:cs="Times New Roman" w:eastAsia="Times New Roman" w:hint="default"/>
        </w:rPr>
        <w:t>3</w:t>
      </w:r>
      <w:r>
        <w:rPr>
          <w:rFonts w:ascii="微软雅黑" w:hAnsi="微软雅黑" w:cs="微软雅黑" w:eastAsia="微软雅黑" w:hint="default"/>
        </w:rPr>
        <w:t>、截至报告期末的资产权利受限情况</w:t>
      </w:r>
    </w:p>
    <w:p>
      <w:pPr>
        <w:spacing w:line="240" w:lineRule="auto" w:before="12"/>
        <w:rPr>
          <w:rFonts w:ascii="微软雅黑" w:hAnsi="微软雅黑" w:cs="微软雅黑" w:eastAsia="微软雅黑" w:hint="default"/>
          <w:sz w:val="19"/>
          <w:szCs w:val="19"/>
        </w:rPr>
      </w:pPr>
    </w:p>
    <w:tbl>
      <w:tblPr>
        <w:tblW w:w="0" w:type="auto"/>
        <w:jc w:val="left"/>
        <w:tblInd w:w="301" w:type="dxa"/>
        <w:tblLayout w:type="fixed"/>
        <w:tblCellMar>
          <w:top w:w="0" w:type="dxa"/>
          <w:left w:w="0" w:type="dxa"/>
          <w:bottom w:w="0" w:type="dxa"/>
          <w:right w:w="0" w:type="dxa"/>
        </w:tblCellMar>
        <w:tblLook w:val="01E0"/>
      </w:tblPr>
      <w:tblGrid>
        <w:gridCol w:w="1359"/>
        <w:gridCol w:w="3262"/>
        <w:gridCol w:w="5235"/>
      </w:tblGrid>
      <w:tr>
        <w:trPr>
          <w:trHeight w:val="427"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91"/>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83"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5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427"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50"/>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180,491,665.80</w:t>
            </w:r>
          </w:p>
        </w:tc>
        <w:tc>
          <w:tcPr>
            <w:tcW w:w="5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2" w:right="0"/>
              <w:jc w:val="center"/>
              <w:rPr>
                <w:rFonts w:ascii="宋体" w:hAnsi="宋体" w:cs="宋体" w:eastAsia="宋体" w:hint="default"/>
                <w:sz w:val="18"/>
                <w:szCs w:val="18"/>
              </w:rPr>
            </w:pPr>
            <w:r>
              <w:rPr>
                <w:rFonts w:ascii="宋体" w:hAnsi="宋体" w:cs="宋体" w:eastAsia="宋体" w:hint="default"/>
                <w:sz w:val="18"/>
                <w:szCs w:val="18"/>
              </w:rPr>
              <w:t>开立备用信用证质押和员工提供出入境保证金</w:t>
            </w:r>
          </w:p>
        </w:tc>
      </w:tr>
      <w:tr>
        <w:trPr>
          <w:trHeight w:val="427"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50"/>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29,232,262.55</w:t>
            </w:r>
          </w:p>
        </w:tc>
        <w:tc>
          <w:tcPr>
            <w:tcW w:w="5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4" w:right="0"/>
              <w:jc w:val="center"/>
              <w:rPr>
                <w:rFonts w:ascii="宋体" w:hAnsi="宋体" w:cs="宋体" w:eastAsia="宋体" w:hint="default"/>
                <w:sz w:val="18"/>
                <w:szCs w:val="18"/>
              </w:rPr>
            </w:pPr>
            <w:r>
              <w:rPr>
                <w:rFonts w:ascii="宋体" w:hAnsi="宋体" w:cs="宋体" w:eastAsia="宋体" w:hint="default"/>
                <w:sz w:val="18"/>
                <w:szCs w:val="18"/>
              </w:rPr>
              <w:t>抵押</w:t>
            </w:r>
          </w:p>
        </w:tc>
      </w:tr>
    </w:tbl>
    <w:p>
      <w:pPr>
        <w:spacing w:line="240" w:lineRule="auto" w:before="10"/>
        <w:rPr>
          <w:rFonts w:ascii="微软雅黑" w:hAnsi="微软雅黑" w:cs="微软雅黑" w:eastAsia="微软雅黑" w:hint="default"/>
          <w:sz w:val="15"/>
          <w:szCs w:val="15"/>
        </w:rPr>
      </w:pPr>
    </w:p>
    <w:p>
      <w:pPr>
        <w:pStyle w:val="Heading2"/>
        <w:spacing w:line="397" w:lineRule="exact"/>
        <w:ind w:left="414" w:right="0"/>
        <w:jc w:val="left"/>
      </w:pPr>
      <w:bookmarkStart w:name="五、投资状况分析" w:id="43"/>
      <w:bookmarkEnd w:id="43"/>
      <w:r>
        <w:rPr/>
      </w:r>
      <w:r>
        <w:rPr/>
        <w:t>五、投资状况分析</w:t>
      </w:r>
    </w:p>
    <w:p>
      <w:pPr>
        <w:spacing w:line="240" w:lineRule="auto" w:before="10"/>
        <w:rPr>
          <w:rFonts w:ascii="微软雅黑" w:hAnsi="微软雅黑" w:cs="微软雅黑" w:eastAsia="微软雅黑" w:hint="default"/>
          <w:sz w:val="21"/>
          <w:szCs w:val="21"/>
        </w:rPr>
      </w:pPr>
    </w:p>
    <w:p>
      <w:pPr>
        <w:pStyle w:val="BodyText"/>
        <w:spacing w:line="240" w:lineRule="auto"/>
        <w:ind w:left="834" w:right="0"/>
        <w:jc w:val="left"/>
        <w:rPr>
          <w:rFonts w:ascii="微软雅黑" w:hAnsi="微软雅黑" w:cs="微软雅黑" w:eastAsia="微软雅黑" w:hint="default"/>
        </w:rPr>
      </w:pPr>
      <w:bookmarkStart w:name="1、总体情况" w:id="44"/>
      <w:bookmarkEnd w:id="44"/>
      <w:r>
        <w:rPr/>
      </w:r>
      <w:r>
        <w:rPr>
          <w:rFonts w:ascii="Times New Roman" w:hAnsi="Times New Roman" w:cs="Times New Roman" w:eastAsia="Times New Roman" w:hint="default"/>
        </w:rPr>
        <w:t>1</w:t>
      </w:r>
      <w:r>
        <w:rPr>
          <w:rFonts w:ascii="微软雅黑" w:hAnsi="微软雅黑" w:cs="微软雅黑" w:eastAsia="微软雅黑" w:hint="default"/>
        </w:rPr>
        <w:t>、总体情况</w:t>
      </w:r>
    </w:p>
    <w:p>
      <w:pPr>
        <w:spacing w:line="240" w:lineRule="auto" w:before="12"/>
        <w:rPr>
          <w:rFonts w:ascii="微软雅黑" w:hAnsi="微软雅黑" w:cs="微软雅黑" w:eastAsia="微软雅黑" w:hint="default"/>
          <w:sz w:val="19"/>
          <w:szCs w:val="19"/>
        </w:rPr>
      </w:pPr>
    </w:p>
    <w:tbl>
      <w:tblPr>
        <w:tblW w:w="0" w:type="auto"/>
        <w:jc w:val="left"/>
        <w:tblInd w:w="3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7" w:right="0"/>
              <w:jc w:val="left"/>
              <w:rPr>
                <w:rFonts w:ascii="Times New Roman" w:hAnsi="Times New Roman" w:cs="Times New Roman" w:eastAsia="Times New Roman" w:hint="default"/>
                <w:sz w:val="18"/>
                <w:szCs w:val="18"/>
              </w:rPr>
            </w:pPr>
            <w:r>
              <w:rPr>
                <w:rFonts w:ascii="Times New Roman"/>
                <w:sz w:val="18"/>
              </w:rPr>
              <w:t>340,404,609.75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7" w:right="0"/>
              <w:jc w:val="left"/>
              <w:rPr>
                <w:rFonts w:ascii="Times New Roman" w:hAnsi="Times New Roman" w:cs="Times New Roman" w:eastAsia="Times New Roman" w:hint="default"/>
                <w:sz w:val="18"/>
                <w:szCs w:val="18"/>
              </w:rPr>
            </w:pPr>
            <w:r>
              <w:rPr>
                <w:rFonts w:ascii="Times New Roman"/>
                <w:sz w:val="18"/>
              </w:rPr>
              <w:t>442,158,581.21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-23.01%</w:t>
            </w:r>
          </w:p>
        </w:tc>
      </w:tr>
    </w:tbl>
    <w:p>
      <w:pPr>
        <w:spacing w:line="240" w:lineRule="auto" w:before="13"/>
        <w:rPr>
          <w:rFonts w:ascii="微软雅黑" w:hAnsi="微软雅黑" w:cs="微软雅黑" w:eastAsia="微软雅黑" w:hint="default"/>
          <w:sz w:val="6"/>
          <w:szCs w:val="6"/>
        </w:rPr>
      </w:pPr>
    </w:p>
    <w:p>
      <w:pPr>
        <w:pStyle w:val="BodyText"/>
        <w:spacing w:line="324" w:lineRule="exact"/>
        <w:ind w:left="834" w:right="0"/>
        <w:jc w:val="left"/>
        <w:rPr>
          <w:rFonts w:ascii="微软雅黑" w:hAnsi="微软雅黑" w:cs="微软雅黑" w:eastAsia="微软雅黑" w:hint="default"/>
        </w:rPr>
      </w:pPr>
      <w:bookmarkStart w:name="2、报告期内获取的重大的股权投资情况" w:id="45"/>
      <w:bookmarkEnd w:id="45"/>
      <w:r>
        <w:rPr/>
      </w:r>
      <w:r>
        <w:rPr>
          <w:rFonts w:ascii="Times New Roman" w:hAnsi="Times New Roman" w:cs="Times New Roman" w:eastAsia="Times New Roman" w:hint="default"/>
        </w:rPr>
        <w:t>2</w:t>
      </w:r>
      <w:r>
        <w:rPr>
          <w:rFonts w:ascii="微软雅黑" w:hAnsi="微软雅黑" w:cs="微软雅黑" w:eastAsia="微软雅黑" w:hint="default"/>
        </w:rPr>
        <w:t>、报告期内获取的重大的股权投资情况</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897"/>
        <w:gridCol w:w="718"/>
        <w:gridCol w:w="592"/>
        <w:gridCol w:w="1342"/>
        <w:gridCol w:w="861"/>
        <w:gridCol w:w="498"/>
        <w:gridCol w:w="514"/>
        <w:gridCol w:w="512"/>
        <w:gridCol w:w="515"/>
        <w:gridCol w:w="532"/>
        <w:gridCol w:w="1251"/>
        <w:gridCol w:w="526"/>
        <w:gridCol w:w="576"/>
        <w:gridCol w:w="906"/>
      </w:tblGrid>
      <w:tr>
        <w:trPr>
          <w:trHeight w:val="788" w:hRule="exact"/>
        </w:trPr>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8" w:right="141" w:hanging="75"/>
              <w:jc w:val="left"/>
              <w:rPr>
                <w:rFonts w:ascii="宋体" w:hAnsi="宋体" w:cs="宋体" w:eastAsia="宋体" w:hint="default"/>
                <w:sz w:val="15"/>
                <w:szCs w:val="15"/>
              </w:rPr>
            </w:pPr>
            <w:r>
              <w:rPr>
                <w:rFonts w:ascii="宋体" w:hAnsi="宋体" w:cs="宋体" w:eastAsia="宋体" w:hint="default"/>
                <w:sz w:val="15"/>
                <w:szCs w:val="15"/>
              </w:rPr>
              <w:t>被投资公 司名称</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8" w:right="127" w:hanging="150"/>
              <w:jc w:val="left"/>
              <w:rPr>
                <w:rFonts w:ascii="宋体" w:hAnsi="宋体" w:cs="宋体" w:eastAsia="宋体" w:hint="default"/>
                <w:sz w:val="15"/>
                <w:szCs w:val="15"/>
              </w:rPr>
            </w:pPr>
            <w:r>
              <w:rPr>
                <w:rFonts w:ascii="宋体" w:hAnsi="宋体" w:cs="宋体" w:eastAsia="宋体" w:hint="default"/>
                <w:sz w:val="15"/>
                <w:szCs w:val="15"/>
              </w:rPr>
              <w:t>主要业 务</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0" w:right="139"/>
              <w:jc w:val="left"/>
              <w:rPr>
                <w:rFonts w:ascii="宋体" w:hAnsi="宋体" w:cs="宋体" w:eastAsia="宋体" w:hint="default"/>
                <w:sz w:val="15"/>
                <w:szCs w:val="15"/>
              </w:rPr>
            </w:pPr>
            <w:r>
              <w:rPr>
                <w:rFonts w:ascii="宋体" w:hAnsi="宋体" w:cs="宋体" w:eastAsia="宋体" w:hint="default"/>
                <w:sz w:val="15"/>
                <w:szCs w:val="15"/>
              </w:rPr>
              <w:t>投资 方式</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投资金额</w:t>
            </w:r>
          </w:p>
        </w:tc>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76" w:right="273"/>
              <w:jc w:val="left"/>
              <w:rPr>
                <w:rFonts w:ascii="宋体" w:hAnsi="宋体" w:cs="宋体" w:eastAsia="宋体" w:hint="default"/>
                <w:sz w:val="15"/>
                <w:szCs w:val="15"/>
              </w:rPr>
            </w:pPr>
            <w:r>
              <w:rPr>
                <w:rFonts w:ascii="宋体" w:hAnsi="宋体" w:cs="宋体" w:eastAsia="宋体" w:hint="default"/>
                <w:sz w:val="15"/>
                <w:szCs w:val="15"/>
              </w:rPr>
              <w:t>持股 比例</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资</w:t>
            </w:r>
          </w:p>
          <w:p>
            <w:pPr>
              <w:pStyle w:val="TableParagraph"/>
              <w:spacing w:line="240" w:lineRule="auto"/>
              <w:ind w:left="169" w:right="167"/>
              <w:jc w:val="both"/>
              <w:rPr>
                <w:rFonts w:ascii="宋体" w:hAnsi="宋体" w:cs="宋体" w:eastAsia="宋体" w:hint="default"/>
                <w:sz w:val="15"/>
                <w:szCs w:val="15"/>
              </w:rPr>
            </w:pPr>
            <w:r>
              <w:rPr>
                <w:rFonts w:ascii="宋体" w:hAnsi="宋体" w:cs="宋体" w:eastAsia="宋体" w:hint="default"/>
                <w:sz w:val="15"/>
                <w:szCs w:val="15"/>
              </w:rPr>
              <w:t>金 来 源</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76" w:right="175"/>
              <w:jc w:val="both"/>
              <w:rPr>
                <w:rFonts w:ascii="宋体" w:hAnsi="宋体" w:cs="宋体" w:eastAsia="宋体" w:hint="default"/>
                <w:sz w:val="15"/>
                <w:szCs w:val="15"/>
              </w:rPr>
            </w:pPr>
            <w:r>
              <w:rPr>
                <w:rFonts w:ascii="宋体" w:hAnsi="宋体" w:cs="宋体" w:eastAsia="宋体" w:hint="default"/>
                <w:sz w:val="15"/>
                <w:szCs w:val="15"/>
              </w:rPr>
              <w:t>合 作 方</w:t>
            </w:r>
          </w:p>
        </w:tc>
        <w:tc>
          <w:tcPr>
            <w:tcW w:w="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投</w:t>
            </w:r>
          </w:p>
          <w:p>
            <w:pPr>
              <w:pStyle w:val="TableParagraph"/>
              <w:spacing w:line="240" w:lineRule="auto"/>
              <w:ind w:left="176" w:right="174"/>
              <w:jc w:val="both"/>
              <w:rPr>
                <w:rFonts w:ascii="宋体" w:hAnsi="宋体" w:cs="宋体" w:eastAsia="宋体" w:hint="default"/>
                <w:sz w:val="15"/>
                <w:szCs w:val="15"/>
              </w:rPr>
            </w:pPr>
            <w:r>
              <w:rPr>
                <w:rFonts w:ascii="宋体" w:hAnsi="宋体" w:cs="宋体" w:eastAsia="宋体" w:hint="default"/>
                <w:sz w:val="15"/>
                <w:szCs w:val="15"/>
              </w:rPr>
              <w:t>资 期 限</w:t>
            </w:r>
          </w:p>
        </w:tc>
        <w:tc>
          <w:tcPr>
            <w:tcW w:w="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产</w:t>
            </w:r>
          </w:p>
          <w:p>
            <w:pPr>
              <w:pStyle w:val="TableParagraph"/>
              <w:spacing w:line="240" w:lineRule="auto"/>
              <w:ind w:left="177" w:right="175"/>
              <w:jc w:val="both"/>
              <w:rPr>
                <w:rFonts w:ascii="宋体" w:hAnsi="宋体" w:cs="宋体" w:eastAsia="宋体" w:hint="default"/>
                <w:sz w:val="15"/>
                <w:szCs w:val="15"/>
              </w:rPr>
            </w:pPr>
            <w:r>
              <w:rPr>
                <w:rFonts w:ascii="宋体" w:hAnsi="宋体" w:cs="宋体" w:eastAsia="宋体" w:hint="default"/>
                <w:sz w:val="15"/>
                <w:szCs w:val="15"/>
              </w:rPr>
              <w:t>品 类 型</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0" w:right="109"/>
              <w:jc w:val="left"/>
              <w:rPr>
                <w:rFonts w:ascii="宋体" w:hAnsi="宋体" w:cs="宋体" w:eastAsia="宋体" w:hint="default"/>
                <w:sz w:val="15"/>
                <w:szCs w:val="15"/>
              </w:rPr>
            </w:pPr>
            <w:r>
              <w:rPr>
                <w:rFonts w:ascii="宋体" w:hAnsi="宋体" w:cs="宋体" w:eastAsia="宋体" w:hint="default"/>
                <w:sz w:val="15"/>
                <w:szCs w:val="15"/>
              </w:rPr>
              <w:t>预计 收益</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70" w:right="0"/>
              <w:jc w:val="left"/>
              <w:rPr>
                <w:rFonts w:ascii="宋体" w:hAnsi="宋体" w:cs="宋体" w:eastAsia="宋体" w:hint="default"/>
                <w:sz w:val="15"/>
                <w:szCs w:val="15"/>
              </w:rPr>
            </w:pPr>
            <w:r>
              <w:rPr>
                <w:rFonts w:ascii="宋体" w:hAnsi="宋体" w:cs="宋体" w:eastAsia="宋体" w:hint="default"/>
                <w:sz w:val="15"/>
                <w:szCs w:val="15"/>
              </w:rPr>
              <w:t>本期投资盈亏</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6" w:right="107"/>
              <w:jc w:val="left"/>
              <w:rPr>
                <w:rFonts w:ascii="宋体" w:hAnsi="宋体" w:cs="宋体" w:eastAsia="宋体" w:hint="default"/>
                <w:sz w:val="15"/>
                <w:szCs w:val="15"/>
              </w:rPr>
            </w:pPr>
            <w:r>
              <w:rPr>
                <w:rFonts w:ascii="宋体" w:hAnsi="宋体" w:cs="宋体" w:eastAsia="宋体" w:hint="default"/>
                <w:sz w:val="15"/>
                <w:szCs w:val="15"/>
              </w:rPr>
              <w:t>是否 涉诉</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133" w:right="0"/>
              <w:jc w:val="left"/>
              <w:rPr>
                <w:rFonts w:ascii="宋体" w:hAnsi="宋体" w:cs="宋体" w:eastAsia="宋体" w:hint="default"/>
                <w:sz w:val="15"/>
                <w:szCs w:val="15"/>
              </w:rPr>
            </w:pPr>
            <w:r>
              <w:rPr>
                <w:rFonts w:ascii="宋体" w:hAnsi="宋体" w:cs="宋体" w:eastAsia="宋体" w:hint="default"/>
                <w:sz w:val="15"/>
                <w:szCs w:val="15"/>
              </w:rPr>
              <w:t>披露</w:t>
            </w:r>
          </w:p>
          <w:p>
            <w:pPr>
              <w:pStyle w:val="TableParagraph"/>
              <w:spacing w:line="194" w:lineRule="exact"/>
              <w:ind w:left="133" w:right="0"/>
              <w:jc w:val="left"/>
              <w:rPr>
                <w:rFonts w:ascii="宋体" w:hAnsi="宋体" w:cs="宋体" w:eastAsia="宋体" w:hint="default"/>
                <w:sz w:val="15"/>
                <w:szCs w:val="15"/>
              </w:rPr>
            </w:pPr>
            <w:r>
              <w:rPr>
                <w:rFonts w:ascii="宋体" w:hAnsi="宋体" w:cs="宋体" w:eastAsia="宋体" w:hint="default"/>
                <w:sz w:val="15"/>
                <w:szCs w:val="15"/>
              </w:rPr>
              <w:t>日期</w:t>
            </w:r>
          </w:p>
          <w:p>
            <w:pPr>
              <w:pStyle w:val="TableParagraph"/>
              <w:spacing w:line="240" w:lineRule="auto"/>
              <w:ind w:left="133" w:right="131"/>
              <w:jc w:val="left"/>
              <w:rPr>
                <w:rFonts w:ascii="宋体" w:hAnsi="宋体" w:cs="宋体" w:eastAsia="宋体" w:hint="default"/>
                <w:sz w:val="15"/>
                <w:szCs w:val="15"/>
              </w:rPr>
            </w:pPr>
            <w:r>
              <w:rPr>
                <w:rFonts w:ascii="宋体" w:hAnsi="宋体" w:cs="宋体" w:eastAsia="宋体" w:hint="default"/>
                <w:sz w:val="15"/>
                <w:szCs w:val="15"/>
              </w:rPr>
              <w:t>（如 有）</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195" w:lineRule="exact"/>
              <w:ind w:left="147" w:right="0"/>
              <w:jc w:val="left"/>
              <w:rPr>
                <w:rFonts w:ascii="宋体" w:hAnsi="宋体" w:cs="宋体" w:eastAsia="宋体" w:hint="default"/>
                <w:sz w:val="15"/>
                <w:szCs w:val="15"/>
              </w:rPr>
            </w:pPr>
            <w:r>
              <w:rPr>
                <w:rFonts w:ascii="宋体" w:hAnsi="宋体" w:cs="宋体" w:eastAsia="宋体" w:hint="default"/>
                <w:sz w:val="15"/>
                <w:szCs w:val="15"/>
              </w:rPr>
              <w:t>披露索引</w:t>
            </w:r>
          </w:p>
          <w:p>
            <w:pPr>
              <w:pStyle w:val="TableParagraph"/>
              <w:spacing w:line="195" w:lineRule="exact"/>
              <w:ind w:left="147" w:right="0"/>
              <w:jc w:val="left"/>
              <w:rPr>
                <w:rFonts w:ascii="宋体" w:hAnsi="宋体" w:cs="宋体" w:eastAsia="宋体" w:hint="default"/>
                <w:sz w:val="15"/>
                <w:szCs w:val="15"/>
              </w:rPr>
            </w:pPr>
            <w:r>
              <w:rPr>
                <w:rFonts w:ascii="宋体" w:hAnsi="宋体" w:cs="宋体" w:eastAsia="宋体" w:hint="default"/>
                <w:sz w:val="15"/>
                <w:szCs w:val="15"/>
              </w:rPr>
              <w:t>（如有）</w:t>
            </w:r>
          </w:p>
        </w:tc>
      </w:tr>
      <w:tr>
        <w:trPr>
          <w:trHeight w:val="1178" w:hRule="exact"/>
        </w:trPr>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MM</w:t>
            </w:r>
          </w:p>
          <w:p>
            <w:pPr>
              <w:pStyle w:val="TableParagraph"/>
              <w:spacing w:line="240" w:lineRule="auto"/>
              <w:ind w:left="103" w:right="101"/>
              <w:jc w:val="left"/>
              <w:rPr>
                <w:rFonts w:ascii="Times New Roman" w:hAnsi="Times New Roman" w:cs="Times New Roman" w:eastAsia="Times New Roman" w:hint="default"/>
                <w:sz w:val="18"/>
                <w:szCs w:val="18"/>
              </w:rPr>
            </w:pPr>
            <w:r>
              <w:rPr>
                <w:rFonts w:ascii="Times New Roman"/>
                <w:sz w:val="18"/>
              </w:rPr>
              <w:t>Solutions</w:t>
            </w:r>
            <w:r>
              <w:rPr>
                <w:rFonts w:ascii="Times New Roman"/>
                <w:w w:val="99"/>
                <w:sz w:val="18"/>
              </w:rPr>
              <w:t> </w:t>
            </w:r>
            <w:r>
              <w:rPr>
                <w:rFonts w:ascii="Times New Roman"/>
                <w:sz w:val="18"/>
              </w:rPr>
              <w:t>EAD</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42"/>
              <w:jc w:val="both"/>
              <w:rPr>
                <w:rFonts w:ascii="宋体" w:hAnsi="宋体" w:cs="宋体" w:eastAsia="宋体" w:hint="default"/>
                <w:sz w:val="18"/>
                <w:szCs w:val="18"/>
              </w:rPr>
            </w:pPr>
            <w:r>
              <w:rPr>
                <w:rFonts w:ascii="宋体" w:hAnsi="宋体" w:cs="宋体" w:eastAsia="宋体" w:hint="default"/>
                <w:sz w:val="18"/>
                <w:szCs w:val="18"/>
              </w:rPr>
              <w:t>销售 及开 发服 务</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290,702,167.21</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100.00%</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03"/>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03" w:right="217"/>
              <w:jc w:val="left"/>
              <w:rPr>
                <w:rFonts w:ascii="宋体" w:hAnsi="宋体" w:cs="宋体" w:eastAsia="宋体" w:hint="default"/>
                <w:sz w:val="18"/>
                <w:szCs w:val="18"/>
              </w:rPr>
            </w:pPr>
            <w:r>
              <w:rPr>
                <w:rFonts w:ascii="宋体" w:hAnsi="宋体" w:cs="宋体" w:eastAsia="宋体" w:hint="default"/>
                <w:sz w:val="18"/>
                <w:szCs w:val="18"/>
              </w:rPr>
              <w:t>长 期</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软</w:t>
            </w:r>
          </w:p>
          <w:p>
            <w:pPr>
              <w:pStyle w:val="TableParagraph"/>
              <w:spacing w:line="237" w:lineRule="auto"/>
              <w:ind w:left="103" w:right="221"/>
              <w:jc w:val="both"/>
              <w:rPr>
                <w:rFonts w:ascii="宋体" w:hAnsi="宋体" w:cs="宋体" w:eastAsia="宋体" w:hint="default"/>
                <w:sz w:val="18"/>
                <w:szCs w:val="18"/>
              </w:rPr>
            </w:pPr>
            <w:r>
              <w:rPr>
                <w:rFonts w:ascii="宋体" w:hAnsi="宋体" w:cs="宋体" w:eastAsia="宋体" w:hint="default"/>
                <w:sz w:val="18"/>
                <w:szCs w:val="18"/>
              </w:rPr>
              <w:t>件 开 发 及</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35,163,583.13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36"/>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194" w:lineRule="exact" w:before="24"/>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2018-017</w:t>
            </w:r>
          </w:p>
        </w:tc>
      </w:tr>
    </w:tbl>
    <w:p>
      <w:pPr>
        <w:spacing w:after="0" w:line="240" w:lineRule="auto"/>
        <w:jc w:val="left"/>
        <w:rPr>
          <w:rFonts w:ascii="Times New Roman" w:hAnsi="Times New Roman" w:cs="Times New Roman" w:eastAsia="Times New Roman" w:hint="default"/>
          <w:sz w:val="18"/>
          <w:szCs w:val="18"/>
        </w:rPr>
        <w:sectPr>
          <w:pgSz w:w="11910" w:h="16840"/>
          <w:pgMar w:header="801" w:footer="1007" w:top="1100" w:bottom="1200" w:left="720" w:right="0"/>
        </w:sectPr>
      </w:pPr>
    </w:p>
    <w:p>
      <w:pPr>
        <w:spacing w:line="240" w:lineRule="auto" w:before="6"/>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897"/>
        <w:gridCol w:w="718"/>
        <w:gridCol w:w="592"/>
        <w:gridCol w:w="1342"/>
        <w:gridCol w:w="861"/>
        <w:gridCol w:w="498"/>
        <w:gridCol w:w="514"/>
        <w:gridCol w:w="512"/>
        <w:gridCol w:w="515"/>
        <w:gridCol w:w="532"/>
        <w:gridCol w:w="1251"/>
        <w:gridCol w:w="526"/>
        <w:gridCol w:w="576"/>
        <w:gridCol w:w="906"/>
      </w:tblGrid>
      <w:tr>
        <w:trPr>
          <w:trHeight w:val="476" w:hRule="exact"/>
        </w:trPr>
        <w:tc>
          <w:tcPr>
            <w:tcW w:w="897"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861" w:type="dxa"/>
            <w:tcBorders>
              <w:top w:val="single" w:sz="4" w:space="0" w:color="000000"/>
              <w:left w:val="single" w:sz="4" w:space="0" w:color="000000"/>
              <w:bottom w:val="single" w:sz="4" w:space="0" w:color="000000"/>
              <w:right w:val="single" w:sz="4" w:space="0" w:color="000000"/>
            </w:tcBorders>
          </w:tcPr>
          <w:p>
            <w:pPr/>
          </w:p>
        </w:tc>
        <w:tc>
          <w:tcPr>
            <w:tcW w:w="498"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532"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290,702,167.21</w:t>
            </w:r>
          </w:p>
        </w:tc>
        <w:tc>
          <w:tcPr>
            <w:tcW w:w="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35,163,583.13</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8"/>
          <w:szCs w:val="8"/>
        </w:rPr>
      </w:pPr>
    </w:p>
    <w:p>
      <w:pPr>
        <w:pStyle w:val="BodyText"/>
        <w:spacing w:line="324" w:lineRule="exact"/>
        <w:ind w:left="834" w:right="0"/>
        <w:jc w:val="left"/>
        <w:rPr>
          <w:rFonts w:ascii="微软雅黑" w:hAnsi="微软雅黑" w:cs="微软雅黑" w:eastAsia="微软雅黑" w:hint="default"/>
        </w:rPr>
      </w:pPr>
      <w:bookmarkStart w:name="3、报告期内正在进行的重大的非股权投资情况" w:id="46"/>
      <w:bookmarkEnd w:id="46"/>
      <w:r>
        <w:rPr/>
      </w:r>
      <w:r>
        <w:rPr>
          <w:rFonts w:ascii="Times New Roman" w:hAnsi="Times New Roman" w:cs="Times New Roman" w:eastAsia="Times New Roman" w:hint="default"/>
        </w:rPr>
        <w:t>3</w:t>
      </w:r>
      <w:r>
        <w:rPr>
          <w:rFonts w:ascii="微软雅黑" w:hAnsi="微软雅黑" w:cs="微软雅黑" w:eastAsia="微软雅黑" w:hint="default"/>
        </w:rPr>
        <w:t>、报告期内正在进行的重大的非股权投资情况</w:t>
      </w:r>
    </w:p>
    <w:p>
      <w:pPr>
        <w:spacing w:line="240" w:lineRule="auto" w:before="8"/>
        <w:rPr>
          <w:rFonts w:ascii="微软雅黑" w:hAnsi="微软雅黑" w:cs="微软雅黑" w:eastAsia="微软雅黑" w:hint="default"/>
          <w:sz w:val="20"/>
          <w:szCs w:val="20"/>
        </w:rPr>
      </w:pPr>
    </w:p>
    <w:p>
      <w:pPr>
        <w:pStyle w:val="BodyText"/>
        <w:spacing w:line="240" w:lineRule="auto"/>
        <w:ind w:left="8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16"/>
          <w:szCs w:val="16"/>
        </w:rPr>
      </w:pPr>
    </w:p>
    <w:p>
      <w:pPr>
        <w:pStyle w:val="BodyText"/>
        <w:spacing w:line="240" w:lineRule="auto"/>
        <w:ind w:left="834" w:right="0"/>
        <w:jc w:val="left"/>
        <w:rPr>
          <w:rFonts w:ascii="微软雅黑" w:hAnsi="微软雅黑" w:cs="微软雅黑" w:eastAsia="微软雅黑" w:hint="default"/>
        </w:rPr>
      </w:pPr>
      <w:bookmarkStart w:name="4、以公允价值计量的金融资产" w:id="47"/>
      <w:bookmarkEnd w:id="47"/>
      <w:r>
        <w:rPr/>
      </w:r>
      <w:r>
        <w:rPr>
          <w:rFonts w:ascii="Times New Roman" w:hAnsi="Times New Roman" w:cs="Times New Roman" w:eastAsia="Times New Roman" w:hint="default"/>
        </w:rPr>
        <w:t>4</w:t>
      </w:r>
      <w:r>
        <w:rPr>
          <w:rFonts w:ascii="微软雅黑" w:hAnsi="微软雅黑" w:cs="微软雅黑" w:eastAsia="微软雅黑" w:hint="default"/>
        </w:rPr>
        <w:t>、以公允价值计量的金融资产</w:t>
      </w:r>
    </w:p>
    <w:p>
      <w:pPr>
        <w:spacing w:line="240" w:lineRule="auto" w:before="7"/>
        <w:rPr>
          <w:rFonts w:ascii="微软雅黑" w:hAnsi="微软雅黑" w:cs="微软雅黑" w:eastAsia="微软雅黑" w:hint="default"/>
          <w:sz w:val="20"/>
          <w:szCs w:val="20"/>
        </w:rPr>
      </w:pPr>
    </w:p>
    <w:p>
      <w:pPr>
        <w:pStyle w:val="BodyText"/>
        <w:spacing w:line="240" w:lineRule="auto"/>
        <w:ind w:left="8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16"/>
          <w:szCs w:val="16"/>
        </w:rPr>
      </w:pPr>
    </w:p>
    <w:p>
      <w:pPr>
        <w:pStyle w:val="BodyText"/>
        <w:spacing w:line="240" w:lineRule="auto"/>
        <w:ind w:left="834" w:right="0"/>
        <w:jc w:val="left"/>
        <w:rPr>
          <w:rFonts w:ascii="微软雅黑" w:hAnsi="微软雅黑" w:cs="微软雅黑" w:eastAsia="微软雅黑" w:hint="default"/>
        </w:rPr>
      </w:pPr>
      <w:bookmarkStart w:name="5、募集资金使用情况" w:id="48"/>
      <w:bookmarkEnd w:id="48"/>
      <w:r>
        <w:rPr/>
      </w:r>
      <w:r>
        <w:rPr>
          <w:rFonts w:ascii="Times New Roman" w:hAnsi="Times New Roman" w:cs="Times New Roman" w:eastAsia="Times New Roman" w:hint="default"/>
        </w:rPr>
        <w:t>5</w:t>
      </w:r>
      <w:r>
        <w:rPr>
          <w:rFonts w:ascii="微软雅黑" w:hAnsi="微软雅黑" w:cs="微软雅黑" w:eastAsia="微软雅黑" w:hint="default"/>
        </w:rPr>
        <w:t>、募集资金使用情况</w:t>
      </w:r>
    </w:p>
    <w:p>
      <w:pPr>
        <w:spacing w:line="240" w:lineRule="auto" w:before="7"/>
        <w:rPr>
          <w:rFonts w:ascii="微软雅黑" w:hAnsi="微软雅黑" w:cs="微软雅黑" w:eastAsia="微软雅黑" w:hint="default"/>
          <w:sz w:val="20"/>
          <w:szCs w:val="20"/>
        </w:rPr>
      </w:pPr>
    </w:p>
    <w:p>
      <w:pPr>
        <w:pStyle w:val="BodyText"/>
        <w:spacing w:line="420" w:lineRule="auto"/>
        <w:ind w:left="834" w:right="71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公司报告期无募集资金使用情况。</w:t>
      </w:r>
    </w:p>
    <w:p>
      <w:pPr>
        <w:pStyle w:val="Heading2"/>
        <w:spacing w:line="240" w:lineRule="auto" w:before="125"/>
        <w:ind w:left="414" w:right="0"/>
        <w:jc w:val="left"/>
      </w:pPr>
      <w:bookmarkStart w:name="六、重大资产和股权出售" w:id="49"/>
      <w:bookmarkEnd w:id="49"/>
      <w:r>
        <w:rPr/>
      </w:r>
      <w:r>
        <w:rPr/>
        <w:t>六、重大资产和股权出售</w:t>
      </w:r>
    </w:p>
    <w:p>
      <w:pPr>
        <w:spacing w:line="240" w:lineRule="auto" w:before="10"/>
        <w:rPr>
          <w:rFonts w:ascii="微软雅黑" w:hAnsi="微软雅黑" w:cs="微软雅黑" w:eastAsia="微软雅黑" w:hint="default"/>
          <w:sz w:val="21"/>
          <w:szCs w:val="21"/>
        </w:rPr>
      </w:pPr>
    </w:p>
    <w:p>
      <w:pPr>
        <w:pStyle w:val="BodyText"/>
        <w:spacing w:line="240" w:lineRule="auto"/>
        <w:ind w:left="834" w:right="0"/>
        <w:jc w:val="left"/>
        <w:rPr>
          <w:rFonts w:ascii="微软雅黑" w:hAnsi="微软雅黑" w:cs="微软雅黑" w:eastAsia="微软雅黑" w:hint="default"/>
        </w:rPr>
      </w:pPr>
      <w:bookmarkStart w:name="1、出售重大资产情况" w:id="50"/>
      <w:bookmarkEnd w:id="50"/>
      <w:r>
        <w:rPr/>
      </w:r>
      <w:r>
        <w:rPr>
          <w:rFonts w:ascii="Times New Roman" w:hAnsi="Times New Roman" w:cs="Times New Roman" w:eastAsia="Times New Roman" w:hint="default"/>
        </w:rPr>
        <w:t>1</w:t>
      </w:r>
      <w:r>
        <w:rPr>
          <w:rFonts w:ascii="微软雅黑" w:hAnsi="微软雅黑" w:cs="微软雅黑" w:eastAsia="微软雅黑" w:hint="default"/>
        </w:rPr>
        <w:t>、出售重大资产情况</w:t>
      </w:r>
    </w:p>
    <w:p>
      <w:pPr>
        <w:spacing w:line="240" w:lineRule="auto" w:before="8"/>
        <w:rPr>
          <w:rFonts w:ascii="微软雅黑" w:hAnsi="微软雅黑" w:cs="微软雅黑" w:eastAsia="微软雅黑" w:hint="default"/>
          <w:sz w:val="20"/>
          <w:szCs w:val="20"/>
        </w:rPr>
      </w:pPr>
    </w:p>
    <w:p>
      <w:pPr>
        <w:pStyle w:val="BodyText"/>
        <w:spacing w:line="429" w:lineRule="auto"/>
        <w:ind w:left="834" w:right="7602"/>
        <w:jc w:val="left"/>
        <w:rPr>
          <w:rFonts w:ascii="微软雅黑" w:hAnsi="微软雅黑" w:cs="微软雅黑" w:eastAsia="微软雅黑"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公司报告期未出售重大资产。 </w:t>
      </w:r>
      <w:bookmarkStart w:name="2、出售重大股权情况" w:id="51"/>
      <w:bookmarkEnd w:id="51"/>
      <w:r>
        <w:rPr/>
      </w:r>
      <w:r>
        <w:rPr>
          <w:rFonts w:ascii="Times New Roman" w:hAnsi="Times New Roman" w:cs="Times New Roman" w:eastAsia="Times New Roman" w:hint="default"/>
        </w:rPr>
        <w:t>2</w:t>
      </w:r>
      <w:r>
        <w:rPr>
          <w:rFonts w:ascii="微软雅黑" w:hAnsi="微软雅黑" w:cs="微软雅黑" w:eastAsia="微软雅黑" w:hint="default"/>
        </w:rPr>
        <w:t>、出售重大股权情况</w:t>
      </w:r>
    </w:p>
    <w:p>
      <w:pPr>
        <w:pStyle w:val="BodyText"/>
        <w:spacing w:line="240" w:lineRule="auto" w:before="133"/>
        <w:ind w:left="8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5"/>
        <w:rPr>
          <w:rFonts w:ascii="宋体" w:hAnsi="宋体" w:cs="宋体" w:eastAsia="宋体" w:hint="default"/>
          <w:sz w:val="20"/>
          <w:szCs w:val="20"/>
        </w:rPr>
      </w:pPr>
    </w:p>
    <w:p>
      <w:pPr>
        <w:pStyle w:val="Heading2"/>
        <w:spacing w:line="240" w:lineRule="auto"/>
        <w:ind w:left="414" w:right="0"/>
        <w:jc w:val="left"/>
      </w:pPr>
      <w:bookmarkStart w:name="七、主要控股参股公司分析" w:id="52"/>
      <w:bookmarkEnd w:id="52"/>
      <w:r>
        <w:rPr/>
      </w:r>
      <w:r>
        <w:rPr/>
        <w:t>七、主要控股参股公司分析</w:t>
      </w:r>
    </w:p>
    <w:p>
      <w:pPr>
        <w:spacing w:line="240" w:lineRule="auto" w:before="13"/>
        <w:rPr>
          <w:rFonts w:ascii="微软雅黑" w:hAnsi="微软雅黑" w:cs="微软雅黑" w:eastAsia="微软雅黑" w:hint="default"/>
          <w:sz w:val="24"/>
          <w:szCs w:val="24"/>
        </w:rPr>
      </w:pPr>
    </w:p>
    <w:p>
      <w:pPr>
        <w:pStyle w:val="BodyText"/>
        <w:spacing w:line="240" w:lineRule="auto"/>
        <w:ind w:left="834" w:right="0"/>
        <w:jc w:val="left"/>
      </w:pPr>
      <w:r>
        <w:rPr/>
        <w:t>主要子公司及对公司净利润影响达</w:t>
      </w:r>
      <w:r>
        <w:rPr>
          <w:spacing w:val="-54"/>
        </w:rPr>
        <w:t> </w:t>
      </w:r>
      <w:r>
        <w:rPr>
          <w:rFonts w:ascii="Times New Roman" w:hAnsi="Times New Roman" w:cs="Times New Roman" w:eastAsia="Times New Roman" w:hint="default"/>
        </w:rPr>
        <w:t>10%</w:t>
      </w:r>
      <w:r>
        <w:rPr/>
        <w:t>以上的参股公司情况</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897"/>
        <w:gridCol w:w="605"/>
        <w:gridCol w:w="971"/>
        <w:gridCol w:w="1252"/>
        <w:gridCol w:w="1342"/>
        <w:gridCol w:w="1252"/>
        <w:gridCol w:w="1341"/>
        <w:gridCol w:w="1253"/>
        <w:gridCol w:w="1250"/>
      </w:tblGrid>
      <w:tr>
        <w:trPr>
          <w:trHeight w:val="476" w:hRule="exact"/>
        </w:trPr>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64"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5" w:lineRule="exact"/>
              <w:ind w:left="26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公司</w:t>
            </w:r>
          </w:p>
          <w:p>
            <w:pPr>
              <w:pStyle w:val="TableParagraph"/>
              <w:spacing w:line="235" w:lineRule="exact"/>
              <w:ind w:left="117"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6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177" w:hRule="exact"/>
        </w:trPr>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南京中</w:t>
            </w:r>
          </w:p>
          <w:p>
            <w:pPr>
              <w:pStyle w:val="TableParagraph"/>
              <w:spacing w:line="237" w:lineRule="auto"/>
              <w:ind w:left="103" w:right="243"/>
              <w:jc w:val="both"/>
              <w:rPr>
                <w:rFonts w:ascii="宋体" w:hAnsi="宋体" w:cs="宋体" w:eastAsia="宋体" w:hint="default"/>
                <w:sz w:val="18"/>
                <w:szCs w:val="18"/>
              </w:rPr>
            </w:pPr>
            <w:r>
              <w:rPr>
                <w:rFonts w:ascii="宋体" w:hAnsi="宋体" w:cs="宋体" w:eastAsia="宋体" w:hint="default"/>
                <w:sz w:val="18"/>
                <w:szCs w:val="18"/>
              </w:rPr>
              <w:t>科创达 软件科 技有限 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03" w:right="131"/>
              <w:jc w:val="left"/>
              <w:rPr>
                <w:rFonts w:ascii="宋体" w:hAnsi="宋体" w:cs="宋体" w:eastAsia="宋体" w:hint="default"/>
                <w:sz w:val="18"/>
                <w:szCs w:val="18"/>
              </w:rPr>
            </w:pPr>
            <w:r>
              <w:rPr>
                <w:rFonts w:ascii="宋体" w:hAnsi="宋体" w:cs="宋体" w:eastAsia="宋体" w:hint="default"/>
                <w:sz w:val="18"/>
                <w:szCs w:val="18"/>
              </w:rPr>
              <w:t>子公 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03" w:right="137"/>
              <w:jc w:val="left"/>
              <w:rPr>
                <w:rFonts w:ascii="宋体" w:hAnsi="宋体" w:cs="宋体" w:eastAsia="宋体" w:hint="default"/>
                <w:sz w:val="18"/>
                <w:szCs w:val="18"/>
              </w:rPr>
            </w:pPr>
            <w:r>
              <w:rPr>
                <w:rFonts w:ascii="宋体" w:hAnsi="宋体" w:cs="宋体" w:eastAsia="宋体" w:hint="default"/>
                <w:sz w:val="18"/>
                <w:szCs w:val="18"/>
              </w:rPr>
              <w:t>销售及开 发服务</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139,208,077.78</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90,876,519.57</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150,181,080.11</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24,600,854.11</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22,386,548.45</w:t>
            </w:r>
          </w:p>
        </w:tc>
      </w:tr>
      <w:tr>
        <w:trPr>
          <w:trHeight w:val="945" w:hRule="exact"/>
        </w:trPr>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中科创</w:t>
            </w:r>
          </w:p>
          <w:p>
            <w:pPr>
              <w:pStyle w:val="TableParagraph"/>
              <w:spacing w:line="237" w:lineRule="auto"/>
              <w:ind w:left="103" w:right="243"/>
              <w:jc w:val="both"/>
              <w:rPr>
                <w:rFonts w:ascii="宋体" w:hAnsi="宋体" w:cs="宋体" w:eastAsia="宋体" w:hint="default"/>
                <w:sz w:val="18"/>
                <w:szCs w:val="18"/>
              </w:rPr>
            </w:pPr>
            <w:r>
              <w:rPr>
                <w:rFonts w:ascii="宋体" w:hAnsi="宋体" w:cs="宋体" w:eastAsia="宋体" w:hint="default"/>
                <w:sz w:val="18"/>
                <w:szCs w:val="18"/>
              </w:rPr>
              <w:t>达香港 有限公 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131"/>
              <w:jc w:val="left"/>
              <w:rPr>
                <w:rFonts w:ascii="宋体" w:hAnsi="宋体" w:cs="宋体" w:eastAsia="宋体" w:hint="default"/>
                <w:sz w:val="18"/>
                <w:szCs w:val="18"/>
              </w:rPr>
            </w:pPr>
            <w:r>
              <w:rPr>
                <w:rFonts w:ascii="宋体" w:hAnsi="宋体" w:cs="宋体" w:eastAsia="宋体" w:hint="default"/>
                <w:sz w:val="18"/>
                <w:szCs w:val="18"/>
              </w:rPr>
              <w:t>子公 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0"/>
              <w:ind w:left="103" w:right="137"/>
              <w:jc w:val="both"/>
              <w:rPr>
                <w:rFonts w:ascii="宋体" w:hAnsi="宋体" w:cs="宋体" w:eastAsia="宋体" w:hint="default"/>
                <w:sz w:val="18"/>
                <w:szCs w:val="18"/>
              </w:rPr>
            </w:pPr>
            <w:r>
              <w:rPr>
                <w:rFonts w:ascii="宋体" w:hAnsi="宋体" w:cs="宋体" w:eastAsia="宋体" w:hint="default"/>
                <w:sz w:val="18"/>
                <w:szCs w:val="18"/>
              </w:rPr>
              <w:t>移动操作 系统解决 方案</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z w:val="18"/>
              </w:rPr>
              <w:t>611,900.00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323,271,254.16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15,523,783.38</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pacing w:val="-1"/>
                <w:sz w:val="18"/>
              </w:rPr>
              <w:t>308,902,854.76</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24,173,852.10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Times New Roman"/>
                <w:sz w:val="18"/>
              </w:rPr>
              <w:t>23,959,561.59</w:t>
            </w:r>
          </w:p>
        </w:tc>
      </w:tr>
      <w:tr>
        <w:trPr>
          <w:trHeight w:val="478" w:hRule="exact"/>
        </w:trPr>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w:t>
            </w:r>
          </w:p>
          <w:p>
            <w:pPr>
              <w:pStyle w:val="TableParagraph"/>
              <w:spacing w:line="248"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w:t>
            </w:r>
            <w:r>
              <w:rPr>
                <w:rFonts w:ascii="Times New Roman" w:hAnsi="Times New Roman" w:cs="Times New Roman" w:eastAsia="Times New Roman" w:hint="default"/>
                <w:sz w:val="18"/>
                <w:szCs w:val="18"/>
              </w:rPr>
              <w:t>(</w:t>
            </w:r>
            <w:r>
              <w:rPr>
                <w:rFonts w:ascii="宋体" w:hAnsi="宋体" w:cs="宋体" w:eastAsia="宋体" w:hint="default"/>
                <w:sz w:val="18"/>
                <w:szCs w:val="18"/>
              </w:rPr>
              <w:t>重庆</w:t>
            </w:r>
            <w:r>
              <w:rPr>
                <w:rFonts w:ascii="Times New Roman" w:hAnsi="Times New Roman" w:cs="Times New Roman" w:eastAsia="Times New Roman" w:hint="default"/>
                <w:sz w:val="18"/>
                <w:szCs w:val="18"/>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移动智能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终端解决</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35,000,000.00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95,856,293.09</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54,302,294.00</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80,332,005.38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18,970,454.02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Times New Roman" w:hAnsi="Times New Roman" w:cs="Times New Roman" w:eastAsia="Times New Roman" w:hint="default"/>
                <w:sz w:val="18"/>
                <w:szCs w:val="18"/>
              </w:rPr>
            </w:pPr>
            <w:r>
              <w:rPr>
                <w:rFonts w:ascii="Times New Roman"/>
                <w:sz w:val="18"/>
              </w:rPr>
              <w:t>17,458,532.57</w:t>
            </w:r>
          </w:p>
        </w:tc>
      </w:tr>
    </w:tbl>
    <w:p>
      <w:pPr>
        <w:spacing w:after="0" w:line="240" w:lineRule="auto"/>
        <w:jc w:val="center"/>
        <w:rPr>
          <w:rFonts w:ascii="Times New Roman" w:hAnsi="Times New Roman" w:cs="Times New Roman" w:eastAsia="Times New Roman" w:hint="default"/>
          <w:sz w:val="18"/>
          <w:szCs w:val="18"/>
        </w:rPr>
        <w:sectPr>
          <w:pgSz w:w="11910" w:h="16840"/>
          <w:pgMar w:header="801" w:footer="1007" w:top="1100" w:bottom="1200" w:left="720" w:right="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897"/>
        <w:gridCol w:w="605"/>
        <w:gridCol w:w="971"/>
        <w:gridCol w:w="1252"/>
        <w:gridCol w:w="1342"/>
        <w:gridCol w:w="1252"/>
        <w:gridCol w:w="1341"/>
        <w:gridCol w:w="1253"/>
        <w:gridCol w:w="1250"/>
      </w:tblGrid>
      <w:tr>
        <w:trPr>
          <w:trHeight w:val="710" w:hRule="exact"/>
        </w:trPr>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汽车科</w:t>
            </w:r>
          </w:p>
          <w:p>
            <w:pPr>
              <w:pStyle w:val="TableParagraph"/>
              <w:spacing w:line="232" w:lineRule="exact" w:before="24"/>
              <w:ind w:left="103" w:right="243"/>
              <w:jc w:val="left"/>
              <w:rPr>
                <w:rFonts w:ascii="宋体" w:hAnsi="宋体" w:cs="宋体" w:eastAsia="宋体" w:hint="default"/>
                <w:sz w:val="18"/>
                <w:szCs w:val="18"/>
              </w:rPr>
            </w:pPr>
            <w:r>
              <w:rPr>
                <w:rFonts w:ascii="宋体" w:hAnsi="宋体" w:cs="宋体" w:eastAsia="宋体" w:hint="default"/>
                <w:sz w:val="18"/>
                <w:szCs w:val="18"/>
              </w:rPr>
              <w:t>技有限 公司</w:t>
            </w:r>
          </w:p>
        </w:tc>
        <w:tc>
          <w:tcPr>
            <w:tcW w:w="605"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方案</w:t>
            </w:r>
          </w:p>
        </w:tc>
        <w:tc>
          <w:tcPr>
            <w:tcW w:w="125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34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MM</w:t>
            </w:r>
          </w:p>
          <w:p>
            <w:pPr>
              <w:pStyle w:val="TableParagraph"/>
              <w:spacing w:line="240" w:lineRule="auto"/>
              <w:ind w:left="103" w:right="101"/>
              <w:jc w:val="left"/>
              <w:rPr>
                <w:rFonts w:ascii="Times New Roman" w:hAnsi="Times New Roman" w:cs="Times New Roman" w:eastAsia="Times New Roman" w:hint="default"/>
                <w:sz w:val="18"/>
                <w:szCs w:val="18"/>
              </w:rPr>
            </w:pPr>
            <w:r>
              <w:rPr>
                <w:rFonts w:ascii="Times New Roman"/>
                <w:sz w:val="18"/>
              </w:rPr>
              <w:t>Solutions</w:t>
            </w:r>
            <w:r>
              <w:rPr>
                <w:rFonts w:ascii="Times New Roman"/>
                <w:w w:val="99"/>
                <w:sz w:val="18"/>
              </w:rPr>
              <w:t> </w:t>
            </w:r>
            <w:r>
              <w:rPr>
                <w:rFonts w:ascii="Times New Roman"/>
                <w:sz w:val="18"/>
              </w:rPr>
              <w:t>EAD</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131"/>
              <w:jc w:val="left"/>
              <w:rPr>
                <w:rFonts w:ascii="宋体" w:hAnsi="宋体" w:cs="宋体" w:eastAsia="宋体" w:hint="default"/>
                <w:sz w:val="18"/>
                <w:szCs w:val="18"/>
              </w:rPr>
            </w:pPr>
            <w:r>
              <w:rPr>
                <w:rFonts w:ascii="宋体" w:hAnsi="宋体" w:cs="宋体" w:eastAsia="宋体" w:hint="default"/>
                <w:sz w:val="18"/>
                <w:szCs w:val="18"/>
              </w:rPr>
              <w:t>子公 司</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137"/>
              <w:jc w:val="left"/>
              <w:rPr>
                <w:rFonts w:ascii="宋体" w:hAnsi="宋体" w:cs="宋体" w:eastAsia="宋体" w:hint="default"/>
                <w:sz w:val="18"/>
                <w:szCs w:val="18"/>
              </w:rPr>
            </w:pPr>
            <w:r>
              <w:rPr>
                <w:rFonts w:ascii="宋体" w:hAnsi="宋体" w:cs="宋体" w:eastAsia="宋体" w:hint="default"/>
                <w:sz w:val="18"/>
                <w:szCs w:val="18"/>
              </w:rPr>
              <w:t>销售及开 发服务</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470,976.77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111,912,241.76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91,810,143.65</w:t>
            </w:r>
          </w:p>
        </w:tc>
        <w:tc>
          <w:tcPr>
            <w:tcW w:w="1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91,561,167.64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39,234,058.52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35,163,583.13</w:t>
            </w:r>
          </w:p>
        </w:tc>
      </w:tr>
    </w:tbl>
    <w:p>
      <w:pPr>
        <w:spacing w:line="240" w:lineRule="auto" w:before="6"/>
        <w:rPr>
          <w:rFonts w:ascii="宋体" w:hAnsi="宋体" w:cs="宋体" w:eastAsia="宋体" w:hint="default"/>
          <w:sz w:val="7"/>
          <w:szCs w:val="7"/>
        </w:rPr>
      </w:pPr>
    </w:p>
    <w:p>
      <w:pPr>
        <w:pStyle w:val="BodyText"/>
        <w:spacing w:line="240" w:lineRule="auto" w:before="35"/>
        <w:ind w:left="794" w:right="1023"/>
        <w:jc w:val="left"/>
      </w:pPr>
      <w:r>
        <w:rPr/>
        <w:t>报告期内取得和处置子公司的情况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261" w:type="dxa"/>
        <w:tblLayout w:type="fixed"/>
        <w:tblCellMar>
          <w:top w:w="0" w:type="dxa"/>
          <w:left w:w="0" w:type="dxa"/>
          <w:bottom w:w="0" w:type="dxa"/>
          <w:right w:w="0" w:type="dxa"/>
        </w:tblCellMar>
        <w:tblLook w:val="01E0"/>
      </w:tblPr>
      <w:tblGrid>
        <w:gridCol w:w="3284"/>
        <w:gridCol w:w="3285"/>
        <w:gridCol w:w="3287"/>
      </w:tblGrid>
      <w:tr>
        <w:trPr>
          <w:trHeight w:val="406"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6"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MM Solutions</w:t>
            </w:r>
            <w:r>
              <w:rPr>
                <w:rFonts w:ascii="Times New Roman"/>
                <w:spacing w:val="-3"/>
                <w:sz w:val="18"/>
              </w:rPr>
              <w:t> </w:t>
            </w:r>
            <w:r>
              <w:rPr>
                <w:rFonts w:ascii="Times New Roman"/>
                <w:sz w:val="18"/>
              </w:rPr>
              <w:t>EAD</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收购取得</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报告期内，对公司净利润有较大影响</w:t>
            </w:r>
          </w:p>
        </w:tc>
      </w:tr>
      <w:tr>
        <w:trPr>
          <w:trHeight w:val="40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重庆创通联智物联网有限公司</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r>
        <w:trPr>
          <w:trHeight w:val="4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565"/>
              <w:jc w:val="left"/>
              <w:rPr>
                <w:rFonts w:ascii="Times New Roman" w:hAnsi="Times New Roman" w:cs="Times New Roman" w:eastAsia="Times New Roman" w:hint="default"/>
                <w:sz w:val="18"/>
                <w:szCs w:val="18"/>
              </w:rPr>
            </w:pPr>
            <w:r>
              <w:rPr>
                <w:rFonts w:ascii="Times New Roman"/>
                <w:sz w:val="18"/>
              </w:rPr>
              <w:t>THUNDERSOFT INDIA</w:t>
            </w:r>
            <w:r>
              <w:rPr>
                <w:rFonts w:ascii="Times New Roman"/>
                <w:spacing w:val="-12"/>
                <w:sz w:val="18"/>
              </w:rPr>
              <w:t> </w:t>
            </w:r>
            <w:r>
              <w:rPr>
                <w:rFonts w:ascii="Times New Roman"/>
                <w:spacing w:val="-7"/>
                <w:sz w:val="18"/>
              </w:rPr>
              <w:t>PRIVATE</w:t>
            </w:r>
            <w:r>
              <w:rPr>
                <w:rFonts w:ascii="Times New Roman"/>
                <w:sz w:val="18"/>
              </w:rPr>
              <w:t> LIMITED</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r>
        <w:trPr>
          <w:trHeight w:val="4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48"/>
              <w:jc w:val="left"/>
              <w:rPr>
                <w:rFonts w:ascii="Times New Roman" w:hAnsi="Times New Roman" w:cs="Times New Roman" w:eastAsia="Times New Roman" w:hint="default"/>
                <w:sz w:val="18"/>
                <w:szCs w:val="18"/>
              </w:rPr>
            </w:pPr>
            <w:r>
              <w:rPr>
                <w:rFonts w:ascii="Times New Roman"/>
                <w:sz w:val="18"/>
              </w:rPr>
              <w:t>THUNDER </w:t>
            </w:r>
            <w:r>
              <w:rPr>
                <w:rFonts w:ascii="Times New Roman"/>
                <w:spacing w:val="-3"/>
                <w:sz w:val="18"/>
              </w:rPr>
              <w:t>SOFTWARE</w:t>
            </w:r>
            <w:r>
              <w:rPr>
                <w:rFonts w:ascii="Times New Roman"/>
                <w:sz w:val="18"/>
              </w:rPr>
              <w:t> TECHNOLOGY </w:t>
            </w:r>
            <w:r>
              <w:rPr>
                <w:rFonts w:ascii="Times New Roman"/>
                <w:spacing w:val="-3"/>
                <w:sz w:val="18"/>
              </w:rPr>
              <w:t>MALAYSIA</w:t>
            </w:r>
            <w:r>
              <w:rPr>
                <w:rFonts w:ascii="Times New Roman"/>
                <w:spacing w:val="-15"/>
                <w:sz w:val="18"/>
              </w:rPr>
              <w:t> </w:t>
            </w:r>
            <w:r>
              <w:rPr>
                <w:rFonts w:ascii="Times New Roman"/>
                <w:sz w:val="18"/>
              </w:rPr>
              <w:t>SDN.BHD</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r>
        <w:trPr>
          <w:trHeight w:val="408"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Thundercomm America</w:t>
            </w:r>
            <w:r>
              <w:rPr>
                <w:rFonts w:ascii="Times New Roman"/>
                <w:spacing w:val="-17"/>
                <w:sz w:val="18"/>
              </w:rPr>
              <w:t> </w:t>
            </w:r>
            <w:r>
              <w:rPr>
                <w:rFonts w:ascii="Times New Roman"/>
                <w:sz w:val="18"/>
              </w:rPr>
              <w:t>Corporation</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r>
        <w:trPr>
          <w:trHeight w:val="424"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348"/>
              <w:jc w:val="left"/>
              <w:rPr>
                <w:rFonts w:ascii="Times New Roman" w:hAnsi="Times New Roman" w:cs="Times New Roman" w:eastAsia="Times New Roman" w:hint="default"/>
                <w:sz w:val="18"/>
                <w:szCs w:val="18"/>
              </w:rPr>
            </w:pPr>
            <w:r>
              <w:rPr>
                <w:rFonts w:ascii="Times New Roman"/>
                <w:sz w:val="18"/>
              </w:rPr>
              <w:t>Thundercomm HongKong</w:t>
            </w:r>
            <w:r>
              <w:rPr>
                <w:rFonts w:ascii="Times New Roman"/>
                <w:spacing w:val="-3"/>
                <w:sz w:val="18"/>
              </w:rPr>
              <w:t> </w:t>
            </w:r>
            <w:r>
              <w:rPr>
                <w:rFonts w:ascii="Times New Roman"/>
                <w:sz w:val="18"/>
              </w:rPr>
              <w:t>Corporation</w:t>
            </w:r>
            <w:r>
              <w:rPr>
                <w:rFonts w:ascii="Times New Roman"/>
                <w:sz w:val="18"/>
              </w:rPr>
              <w:t> Limited</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报告期内，对公司净利润无重大影响</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397" w:lineRule="exact"/>
        <w:ind w:left="374" w:right="1023"/>
        <w:jc w:val="left"/>
      </w:pPr>
      <w:bookmarkStart w:name="八、公司控制的结构化主体情况" w:id="53"/>
      <w:bookmarkEnd w:id="53"/>
      <w:r>
        <w:rPr/>
      </w:r>
      <w:r>
        <w:rPr/>
        <w:t>八、公司控制的结构化主体情况</w:t>
      </w:r>
    </w:p>
    <w:p>
      <w:pPr>
        <w:spacing w:line="240" w:lineRule="auto" w:before="13"/>
        <w:rPr>
          <w:rFonts w:ascii="微软雅黑" w:hAnsi="微软雅黑" w:cs="微软雅黑" w:eastAsia="微软雅黑" w:hint="default"/>
          <w:sz w:val="24"/>
          <w:szCs w:val="24"/>
        </w:rPr>
      </w:pPr>
    </w:p>
    <w:p>
      <w:pPr>
        <w:pStyle w:val="BodyText"/>
        <w:spacing w:line="240" w:lineRule="auto"/>
        <w:ind w:left="794" w:right="10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Heading2"/>
        <w:spacing w:line="240" w:lineRule="auto"/>
        <w:ind w:left="374" w:right="1023"/>
        <w:jc w:val="left"/>
      </w:pPr>
      <w:bookmarkStart w:name="九、公司未来发展的展望" w:id="54"/>
      <w:bookmarkEnd w:id="54"/>
      <w:r>
        <w:rPr/>
      </w:r>
      <w:r>
        <w:rPr/>
        <w:t>九、公司未来发展的展望</w:t>
      </w:r>
    </w:p>
    <w:p>
      <w:pPr>
        <w:pStyle w:val="BodyText"/>
        <w:spacing w:line="510" w:lineRule="atLeast" w:before="191"/>
        <w:ind w:left="794" w:right="1023"/>
        <w:jc w:val="left"/>
      </w:pPr>
      <w:r>
        <w:rPr/>
        <w:t>（一）公司发展战略 在“万物互联</w:t>
      </w:r>
      <w:r>
        <w:rPr>
          <w:rFonts w:ascii="宋体" w:hAnsi="宋体" w:cs="宋体" w:eastAsia="宋体" w:hint="default"/>
        </w:rPr>
        <w:t>+</w:t>
      </w:r>
      <w:r>
        <w:rPr/>
        <w:t>人工智能”的趋势下，公司以“创造丰富多彩的智能世界”为使命，坚持以智能操作</w:t>
      </w:r>
    </w:p>
    <w:p>
      <w:pPr>
        <w:pStyle w:val="BodyText"/>
        <w:spacing w:line="297" w:lineRule="auto" w:before="66"/>
        <w:ind w:left="374" w:right="1023"/>
        <w:jc w:val="left"/>
      </w:pPr>
      <w:r>
        <w:rPr/>
        <w:t>系统技术为核心，聚焦人工智能关键技术，深耕智能系统、智能物联网、智能网联汽车三大市场。未来， </w:t>
      </w:r>
      <w:r>
        <w:rPr>
          <w:spacing w:val="-3"/>
        </w:rPr>
        <w:t>公司将继续加强智能视觉、智能语音、安全等智能中间件技术，为各种智能设备提供智能大脑、智能眼睛、</w:t>
      </w:r>
      <w:r>
        <w:rPr>
          <w:spacing w:val="-96"/>
        </w:rPr>
        <w:t> </w:t>
      </w:r>
      <w:r>
        <w:rPr>
          <w:spacing w:val="-96"/>
        </w:rPr>
      </w:r>
      <w:r>
        <w:rPr/>
        <w:t>智能耳朵。凭借公司的国际化品牌影响力，公司将积极建立全球行销渠道，建立全覆盖的全球行销网络， 持续扩大全球市场占有率，并逐步探索并实现研发资源的全球布局。</w:t>
      </w:r>
    </w:p>
    <w:p>
      <w:pPr>
        <w:spacing w:line="240" w:lineRule="auto" w:before="12"/>
        <w:rPr>
          <w:rFonts w:ascii="宋体" w:hAnsi="宋体" w:cs="宋体" w:eastAsia="宋体" w:hint="default"/>
          <w:sz w:val="13"/>
          <w:szCs w:val="13"/>
        </w:rPr>
      </w:pPr>
    </w:p>
    <w:p>
      <w:pPr>
        <w:pStyle w:val="BodyText"/>
        <w:spacing w:line="444" w:lineRule="auto"/>
        <w:ind w:left="794" w:right="4137"/>
        <w:jc w:val="left"/>
      </w:pPr>
      <w:r>
        <w:rPr/>
        <w:t>（二）</w:t>
      </w:r>
      <w:r>
        <w:rPr>
          <w:rFonts w:ascii="宋体" w:hAnsi="宋体" w:cs="宋体" w:eastAsia="宋体" w:hint="default"/>
        </w:rPr>
        <w:t>2019</w:t>
      </w:r>
      <w:r>
        <w:rPr>
          <w:rFonts w:ascii="宋体" w:hAnsi="宋体" w:cs="宋体" w:eastAsia="宋体" w:hint="default"/>
          <w:spacing w:val="-53"/>
        </w:rPr>
        <w:t> </w:t>
      </w:r>
      <w:r>
        <w:rPr/>
        <w:t>年度公司经营计划 </w:t>
      </w:r>
      <w:r>
        <w:rPr>
          <w:rFonts w:ascii="宋体" w:hAnsi="宋体" w:cs="宋体" w:eastAsia="宋体" w:hint="default"/>
        </w:rPr>
        <w:t>1</w:t>
      </w:r>
      <w:r>
        <w:rPr/>
        <w:t>、依靠技术优势及产业链地位，加深与核心客户的合作深度与广度</w:t>
      </w:r>
    </w:p>
    <w:p>
      <w:pPr>
        <w:pStyle w:val="BodyText"/>
        <w:spacing w:line="297" w:lineRule="auto" w:before="55"/>
        <w:ind w:left="374" w:right="1130" w:firstLine="420"/>
        <w:jc w:val="both"/>
      </w:pPr>
      <w:r>
        <w:rPr>
          <w:spacing w:val="-1"/>
        </w:rPr>
        <w:t>公司在智能操作系统技术方面的领先性及操作系统技术厂商的垂直整合能力，为公司提供了与产业链</w:t>
      </w:r>
      <w:r>
        <w:rPr/>
        <w:t> </w:t>
      </w:r>
      <w:r>
        <w:rPr>
          <w:spacing w:val="-2"/>
        </w:rPr>
        <w:t>内知名厂商多通道、多领域、多产品线的合作。</w:t>
      </w:r>
      <w:r>
        <w:rPr>
          <w:rFonts w:ascii="宋体" w:hAnsi="宋体" w:cs="宋体" w:eastAsia="宋体" w:hint="default"/>
          <w:spacing w:val="-2"/>
        </w:rPr>
        <w:t>2019</w:t>
      </w:r>
      <w:r>
        <w:rPr>
          <w:rFonts w:ascii="宋体" w:hAnsi="宋体" w:cs="宋体" w:eastAsia="宋体" w:hint="default"/>
          <w:spacing w:val="-37"/>
        </w:rPr>
        <w:t> </w:t>
      </w:r>
      <w:r>
        <w:rPr>
          <w:spacing w:val="-2"/>
        </w:rPr>
        <w:t>年公司将进一步加强与各类芯片厂商、终端厂商、运</w:t>
      </w:r>
      <w:r>
        <w:rPr>
          <w:spacing w:val="-102"/>
        </w:rPr>
        <w:t> </w:t>
      </w:r>
      <w:r>
        <w:rPr>
          <w:spacing w:val="-102"/>
        </w:rPr>
      </w:r>
      <w:r>
        <w:rPr/>
        <w:t>营商的合作，依托公司在智能视觉人工智能技术方面的优势，抓住 </w:t>
      </w:r>
      <w:r>
        <w:rPr>
          <w:rFonts w:ascii="宋体" w:hAnsi="宋体" w:cs="宋体" w:eastAsia="宋体" w:hint="default"/>
        </w:rPr>
        <w:t>5G</w:t>
      </w:r>
      <w:r>
        <w:rPr>
          <w:rFonts w:ascii="宋体" w:hAnsi="宋体" w:cs="宋体" w:eastAsia="宋体" w:hint="default"/>
          <w:spacing w:val="-22"/>
        </w:rPr>
        <w:t> </w:t>
      </w:r>
      <w:r>
        <w:rPr/>
        <w:t>时代下智能终端的行业机会，打造 行业精品解决方案，并继续提升全球化服务能力，努力开拓具备重大商业潜力的海外市场。</w:t>
      </w:r>
    </w:p>
    <w:p>
      <w:pPr>
        <w:spacing w:line="240" w:lineRule="auto" w:before="12"/>
        <w:rPr>
          <w:rFonts w:ascii="宋体" w:hAnsi="宋体" w:cs="宋体" w:eastAsia="宋体" w:hint="default"/>
          <w:sz w:val="13"/>
          <w:szCs w:val="13"/>
        </w:rPr>
      </w:pPr>
    </w:p>
    <w:p>
      <w:pPr>
        <w:pStyle w:val="BodyText"/>
        <w:spacing w:line="240" w:lineRule="auto"/>
        <w:ind w:left="794" w:right="1023"/>
        <w:jc w:val="left"/>
      </w:pPr>
      <w:r>
        <w:rPr>
          <w:rFonts w:ascii="宋体" w:hAnsi="宋体" w:cs="宋体" w:eastAsia="宋体" w:hint="default"/>
        </w:rPr>
        <w:t>2</w:t>
      </w:r>
      <w:r>
        <w:rPr/>
        <w:t>、巩固智能物联网领域的技术优势和客户基础</w:t>
      </w:r>
    </w:p>
    <w:p>
      <w:pPr>
        <w:spacing w:after="0" w:line="240" w:lineRule="auto"/>
        <w:jc w:val="left"/>
        <w:sectPr>
          <w:pgSz w:w="11910" w:h="16840"/>
          <w:pgMar w:header="801" w:footer="1007" w:top="1100" w:bottom="1200" w:left="760" w:right="0"/>
        </w:sectPr>
      </w:pPr>
    </w:p>
    <w:p>
      <w:pPr>
        <w:spacing w:line="240" w:lineRule="auto" w:before="1"/>
        <w:rPr>
          <w:rFonts w:ascii="宋体" w:hAnsi="宋体" w:cs="宋体" w:eastAsia="宋体" w:hint="default"/>
          <w:sz w:val="19"/>
          <w:szCs w:val="19"/>
        </w:rPr>
      </w:pPr>
    </w:p>
    <w:p>
      <w:pPr>
        <w:pStyle w:val="BodyText"/>
        <w:spacing w:line="297" w:lineRule="auto" w:before="35"/>
        <w:ind w:left="154" w:right="1130" w:firstLine="420"/>
        <w:jc w:val="both"/>
      </w:pPr>
      <w:r>
        <w:rPr>
          <w:spacing w:val="-1"/>
        </w:rPr>
        <w:t>公司在智能物联网领域已经形成了面向智能相机、</w:t>
      </w:r>
      <w:r>
        <w:rPr>
          <w:rFonts w:ascii="宋体" w:hAnsi="宋体" w:cs="宋体" w:eastAsia="宋体" w:hint="default"/>
          <w:spacing w:val="-1"/>
        </w:rPr>
        <w:t>VR/AR</w:t>
      </w:r>
      <w:r>
        <w:rPr>
          <w:spacing w:val="-1"/>
        </w:rPr>
        <w:t>、机器人、可穿戴、行业物联网的“芯片</w:t>
      </w:r>
      <w:r>
        <w:rPr>
          <w:rFonts w:ascii="宋体" w:hAnsi="宋体" w:cs="宋体" w:eastAsia="宋体" w:hint="default"/>
          <w:spacing w:val="-1"/>
        </w:rPr>
        <w:t>+</w:t>
      </w:r>
      <w:r>
        <w:rPr>
          <w:spacing w:val="-1"/>
        </w:rPr>
        <w:t>操</w:t>
      </w:r>
      <w:r>
        <w:rPr/>
        <w:t> 作系统</w:t>
      </w:r>
      <w:r>
        <w:rPr>
          <w:rFonts w:ascii="宋体" w:hAnsi="宋体" w:cs="宋体" w:eastAsia="宋体" w:hint="default"/>
        </w:rPr>
        <w:t>+</w:t>
      </w:r>
      <w:r>
        <w:rPr/>
        <w:t>核心算法”的模块化产品，客户遍及行业主流厂商。</w:t>
      </w:r>
      <w:r>
        <w:rPr>
          <w:rFonts w:ascii="宋体" w:hAnsi="宋体" w:cs="宋体" w:eastAsia="宋体" w:hint="default"/>
        </w:rPr>
        <w:t>2019</w:t>
      </w:r>
      <w:r>
        <w:rPr>
          <w:rFonts w:ascii="宋体" w:hAnsi="宋体" w:cs="宋体" w:eastAsia="宋体" w:hint="default"/>
          <w:spacing w:val="-44"/>
        </w:rPr>
        <w:t> </w:t>
      </w:r>
      <w:r>
        <w:rPr/>
        <w:t>年公司将继续以</w:t>
      </w:r>
      <w:r>
        <w:rPr>
          <w:spacing w:val="-45"/>
        </w:rPr>
        <w:t> </w:t>
      </w:r>
      <w:r>
        <w:rPr>
          <w:rFonts w:ascii="宋体" w:hAnsi="宋体" w:cs="宋体" w:eastAsia="宋体" w:hint="default"/>
        </w:rPr>
        <w:t>SoM</w:t>
      </w:r>
      <w:r>
        <w:rPr>
          <w:rFonts w:ascii="宋体" w:hAnsi="宋体" w:cs="宋体" w:eastAsia="宋体" w:hint="default"/>
          <w:spacing w:val="-44"/>
        </w:rPr>
        <w:t> </w:t>
      </w:r>
      <w:r>
        <w:rPr/>
        <w:t>产品、智能视觉、 </w:t>
      </w:r>
      <w:r>
        <w:rPr>
          <w:spacing w:val="-2"/>
        </w:rPr>
        <w:t>智能语音、</w:t>
      </w:r>
      <w:r>
        <w:rPr>
          <w:rFonts w:ascii="宋体" w:hAnsi="宋体" w:cs="宋体" w:eastAsia="宋体" w:hint="default"/>
          <w:spacing w:val="-2"/>
        </w:rPr>
        <w:t>FOTA</w:t>
      </w:r>
      <w:r>
        <w:rPr>
          <w:rFonts w:ascii="宋体" w:hAnsi="宋体" w:cs="宋体" w:eastAsia="宋体" w:hint="default"/>
          <w:spacing w:val="-40"/>
        </w:rPr>
        <w:t> </w:t>
      </w:r>
      <w:r>
        <w:rPr>
          <w:spacing w:val="-2"/>
        </w:rPr>
        <w:t>等技术为切入点，构建智能物联网生态，强化垂直行业产品和智能系统平台技术，抓住市</w:t>
      </w:r>
      <w:r>
        <w:rPr>
          <w:spacing w:val="-102"/>
        </w:rPr>
        <w:t> </w:t>
      </w:r>
      <w:r>
        <w:rPr>
          <w:spacing w:val="-102"/>
        </w:rPr>
      </w:r>
      <w:r>
        <w:rPr/>
        <w:t>场机遇，积累更多行业客户。</w:t>
      </w:r>
    </w:p>
    <w:p>
      <w:pPr>
        <w:spacing w:line="240" w:lineRule="auto" w:before="1"/>
        <w:rPr>
          <w:rFonts w:ascii="宋体" w:hAnsi="宋体" w:cs="宋体" w:eastAsia="宋体" w:hint="default"/>
          <w:sz w:val="14"/>
          <w:szCs w:val="14"/>
        </w:rPr>
      </w:pPr>
    </w:p>
    <w:p>
      <w:pPr>
        <w:pStyle w:val="BodyText"/>
        <w:spacing w:line="240" w:lineRule="auto"/>
        <w:ind w:left="574" w:right="1116"/>
        <w:jc w:val="left"/>
      </w:pPr>
      <w:r>
        <w:rPr>
          <w:rFonts w:ascii="宋体" w:hAnsi="宋体" w:cs="宋体" w:eastAsia="宋体" w:hint="default"/>
        </w:rPr>
        <w:t>3</w:t>
      </w:r>
      <w:r>
        <w:rPr/>
        <w:t>、加大智能网联汽车业务拓展力度</w:t>
      </w:r>
    </w:p>
    <w:p>
      <w:pPr>
        <w:spacing w:line="240" w:lineRule="auto" w:before="10"/>
        <w:rPr>
          <w:rFonts w:ascii="宋体" w:hAnsi="宋体" w:cs="宋体" w:eastAsia="宋体" w:hint="default"/>
          <w:sz w:val="17"/>
          <w:szCs w:val="17"/>
        </w:rPr>
      </w:pPr>
    </w:p>
    <w:p>
      <w:pPr>
        <w:pStyle w:val="BodyText"/>
        <w:spacing w:line="297" w:lineRule="auto"/>
        <w:ind w:left="154" w:right="1131" w:firstLine="420"/>
        <w:jc w:val="both"/>
      </w:pPr>
      <w:r>
        <w:rPr/>
        <w:t>公司自 </w:t>
      </w:r>
      <w:r>
        <w:rPr>
          <w:rFonts w:ascii="宋体" w:hAnsi="宋体" w:cs="宋体" w:eastAsia="宋体" w:hint="default"/>
        </w:rPr>
        <w:t>2014</w:t>
      </w:r>
      <w:r>
        <w:rPr>
          <w:rFonts w:ascii="宋体" w:hAnsi="宋体" w:cs="宋体" w:eastAsia="宋体" w:hint="default"/>
          <w:spacing w:val="-23"/>
        </w:rPr>
        <w:t> </w:t>
      </w:r>
      <w:r>
        <w:rPr/>
        <w:t>年开始正式进入智能汽车业务领域，目前已经成为业内知名的智能网联汽车平台产品提 </w:t>
      </w:r>
      <w:r>
        <w:rPr>
          <w:spacing w:val="-3"/>
        </w:rPr>
        <w:t>供商。汽车前装市场进入门槛高，但进入后客户粘性大。</w:t>
      </w:r>
      <w:r>
        <w:rPr>
          <w:rFonts w:ascii="宋体" w:hAnsi="宋体" w:cs="宋体" w:eastAsia="宋体" w:hint="default"/>
          <w:spacing w:val="-3"/>
        </w:rPr>
        <w:t>2019</w:t>
      </w:r>
      <w:r>
        <w:rPr>
          <w:rFonts w:ascii="宋体" w:hAnsi="宋体" w:cs="宋体" w:eastAsia="宋体" w:hint="default"/>
          <w:spacing w:val="-46"/>
        </w:rPr>
        <w:t> </w:t>
      </w:r>
      <w:r>
        <w:rPr/>
        <w:t>年公司将借助现有客户基础持续在智能网联 </w:t>
      </w:r>
      <w:r>
        <w:rPr>
          <w:spacing w:val="-1"/>
        </w:rPr>
        <w:t>汽车市场发力，并整合全球销售渠道，重点提升欧美及韩国的市场份额。公司将通过加强核心产品的交付</w:t>
      </w:r>
      <w:r>
        <w:rPr>
          <w:spacing w:val="-83"/>
        </w:rPr>
        <w:t> </w:t>
      </w:r>
      <w:r>
        <w:rPr>
          <w:spacing w:val="-83"/>
        </w:rPr>
      </w:r>
      <w:r>
        <w:rPr/>
        <w:t>能力建设，形成竞争壁垒。</w:t>
      </w:r>
    </w:p>
    <w:p>
      <w:pPr>
        <w:pStyle w:val="BodyText"/>
        <w:spacing w:line="508" w:lineRule="exact" w:before="21"/>
        <w:ind w:left="574" w:right="1116"/>
        <w:jc w:val="left"/>
      </w:pPr>
      <w:r>
        <w:rPr>
          <w:rFonts w:ascii="宋体" w:hAnsi="宋体" w:cs="宋体" w:eastAsia="宋体" w:hint="default"/>
        </w:rPr>
        <w:t>4</w:t>
      </w:r>
      <w:r>
        <w:rPr/>
        <w:t>、赋能垂直行业，巩固智能视觉人工智能技术的全球领先性 </w:t>
      </w:r>
      <w:r>
        <w:rPr>
          <w:spacing w:val="-1"/>
        </w:rPr>
        <w:t>随着人工智能技术的快速发展，用户需求不断涌现。公司将依托在智能视觉方面已经积累起来的技术</w:t>
      </w:r>
    </w:p>
    <w:p>
      <w:pPr>
        <w:pStyle w:val="BodyText"/>
        <w:spacing w:line="297" w:lineRule="auto"/>
        <w:ind w:left="154" w:right="1116"/>
        <w:jc w:val="left"/>
      </w:pPr>
      <w:r>
        <w:rPr>
          <w:spacing w:val="-1"/>
        </w:rPr>
        <w:t>基础，继续研发和优化面向智能终端、场景端的图形图像算法及整体解决方案落地，为垂直行业赋能，提</w:t>
      </w:r>
      <w:r>
        <w:rPr>
          <w:spacing w:val="-85"/>
        </w:rPr>
        <w:t> </w:t>
      </w:r>
      <w:r>
        <w:rPr>
          <w:spacing w:val="-85"/>
        </w:rPr>
      </w:r>
      <w:r>
        <w:rPr/>
        <w:t>升公司在全球嵌入式视觉及人工智能领域的市场竞争地位。</w:t>
      </w:r>
    </w:p>
    <w:p>
      <w:pPr>
        <w:pStyle w:val="BodyText"/>
        <w:spacing w:line="508" w:lineRule="exact" w:before="22"/>
        <w:ind w:left="574" w:right="1116"/>
        <w:jc w:val="left"/>
      </w:pPr>
      <w:r>
        <w:rPr>
          <w:rFonts w:ascii="宋体" w:hAnsi="宋体" w:cs="宋体" w:eastAsia="宋体" w:hint="default"/>
        </w:rPr>
        <w:t>5</w:t>
      </w:r>
      <w:r>
        <w:rPr/>
        <w:t>、进一步引进和培养人才 </w:t>
      </w:r>
      <w:r>
        <w:rPr>
          <w:spacing w:val="-1"/>
        </w:rPr>
        <w:t>人才是公司的核心竞争力。公司成立以来一直坚持以人为本，注重人才的引进和培养。公司的人才引</w:t>
      </w:r>
    </w:p>
    <w:p>
      <w:pPr>
        <w:pStyle w:val="BodyText"/>
        <w:spacing w:line="297" w:lineRule="auto"/>
        <w:ind w:left="154" w:right="1116"/>
        <w:jc w:val="left"/>
      </w:pPr>
      <w:r>
        <w:rPr>
          <w:spacing w:val="-1"/>
        </w:rPr>
        <w:t>进将集中体现在技术人才、营销人才和管理人才三大领域。同时，公司将探索先进的人才培养制度，为优</w:t>
      </w:r>
      <w:r>
        <w:rPr>
          <w:spacing w:val="-86"/>
        </w:rPr>
        <w:t> </w:t>
      </w:r>
      <w:r>
        <w:rPr>
          <w:spacing w:val="-86"/>
        </w:rPr>
      </w:r>
      <w:r>
        <w:rPr/>
        <w:t>秀人才提供良好的职业发展平台。</w:t>
      </w:r>
    </w:p>
    <w:p>
      <w:pPr>
        <w:spacing w:line="240" w:lineRule="auto" w:before="1"/>
        <w:rPr>
          <w:rFonts w:ascii="宋体" w:hAnsi="宋体" w:cs="宋体" w:eastAsia="宋体" w:hint="default"/>
          <w:sz w:val="14"/>
          <w:szCs w:val="14"/>
        </w:rPr>
      </w:pPr>
    </w:p>
    <w:p>
      <w:pPr>
        <w:pStyle w:val="BodyText"/>
        <w:spacing w:line="444" w:lineRule="auto"/>
        <w:ind w:left="574" w:right="7287"/>
        <w:jc w:val="left"/>
      </w:pPr>
      <w:r>
        <w:rPr/>
        <w:t>（三）可能面对的风险 </w:t>
      </w:r>
      <w:r>
        <w:rPr>
          <w:rFonts w:ascii="宋体" w:hAnsi="宋体" w:cs="宋体" w:eastAsia="宋体" w:hint="default"/>
        </w:rPr>
        <w:t>1</w:t>
      </w:r>
      <w:r>
        <w:rPr/>
        <w:t>、下游市场不确定性较高的风险</w:t>
      </w:r>
    </w:p>
    <w:p>
      <w:pPr>
        <w:pStyle w:val="BodyText"/>
        <w:spacing w:line="297" w:lineRule="auto" w:before="55"/>
        <w:ind w:left="154" w:right="1131" w:firstLine="420"/>
        <w:jc w:val="both"/>
      </w:pPr>
      <w:r>
        <w:rPr>
          <w:spacing w:val="-1"/>
        </w:rPr>
        <w:t>智能物联网是公司大力拓展的战略业务。智能物联网业务具有海量的市场规模，但仍属于导入期，存</w:t>
      </w:r>
      <w:r>
        <w:rPr/>
        <w:t> </w:t>
      </w:r>
      <w:r>
        <w:rPr>
          <w:spacing w:val="-1"/>
        </w:rPr>
        <w:t>在热点分散，此起彼伏的现象，不确定性较大。如果公司不能把握行业特点，客户拓展进度和订单数量不</w:t>
      </w:r>
      <w:r>
        <w:rPr>
          <w:spacing w:val="-86"/>
        </w:rPr>
        <w:t> </w:t>
      </w:r>
      <w:r>
        <w:rPr>
          <w:spacing w:val="-86"/>
        </w:rPr>
      </w:r>
      <w:r>
        <w:rPr/>
        <w:t>及预期，将对公司业绩造成不利影响。</w:t>
      </w:r>
    </w:p>
    <w:p>
      <w:pPr>
        <w:spacing w:line="240" w:lineRule="auto" w:before="12"/>
        <w:rPr>
          <w:rFonts w:ascii="宋体" w:hAnsi="宋体" w:cs="宋体" w:eastAsia="宋体" w:hint="default"/>
          <w:sz w:val="13"/>
          <w:szCs w:val="13"/>
        </w:rPr>
      </w:pPr>
    </w:p>
    <w:p>
      <w:pPr>
        <w:pStyle w:val="BodyText"/>
        <w:spacing w:line="297" w:lineRule="auto"/>
        <w:ind w:left="154" w:right="1131" w:firstLine="420"/>
        <w:jc w:val="both"/>
      </w:pPr>
      <w:r>
        <w:rPr>
          <w:spacing w:val="-1"/>
        </w:rPr>
        <w:t>针对上述风险，公司组建针对不同领域的专业市场团队，加强与客户的沟通和协作，积极了解客户需</w:t>
      </w:r>
      <w:r>
        <w:rPr/>
        <w:t> 求。公司通过预收货款、分期采购和交付等方式进一步降低财务风险。</w:t>
      </w:r>
    </w:p>
    <w:p>
      <w:pPr>
        <w:spacing w:line="240" w:lineRule="auto" w:before="0"/>
        <w:rPr>
          <w:rFonts w:ascii="宋体" w:hAnsi="宋体" w:cs="宋体" w:eastAsia="宋体" w:hint="default"/>
          <w:sz w:val="14"/>
          <w:szCs w:val="14"/>
        </w:rPr>
      </w:pPr>
    </w:p>
    <w:p>
      <w:pPr>
        <w:pStyle w:val="BodyText"/>
        <w:spacing w:line="240" w:lineRule="auto"/>
        <w:ind w:left="574" w:right="1116"/>
        <w:jc w:val="left"/>
      </w:pPr>
      <w:r>
        <w:rPr>
          <w:rFonts w:ascii="宋体" w:hAnsi="宋体" w:cs="宋体" w:eastAsia="宋体" w:hint="default"/>
        </w:rPr>
        <w:t>2</w:t>
      </w:r>
      <w:r>
        <w:rPr/>
        <w:t>、应收账款发生坏账的风险</w:t>
      </w:r>
    </w:p>
    <w:p>
      <w:pPr>
        <w:spacing w:line="240" w:lineRule="auto" w:before="10"/>
        <w:rPr>
          <w:rFonts w:ascii="宋体" w:hAnsi="宋体" w:cs="宋体" w:eastAsia="宋体" w:hint="default"/>
          <w:sz w:val="17"/>
          <w:szCs w:val="17"/>
        </w:rPr>
      </w:pPr>
    </w:p>
    <w:p>
      <w:pPr>
        <w:pStyle w:val="BodyText"/>
        <w:spacing w:line="297" w:lineRule="auto"/>
        <w:ind w:left="154" w:right="1130" w:firstLine="420"/>
        <w:jc w:val="both"/>
      </w:pPr>
      <w:r>
        <w:rPr/>
        <w:t>截至报告期末，公司应收账款余额</w:t>
      </w:r>
      <w:r>
        <w:rPr>
          <w:spacing w:val="-44"/>
        </w:rPr>
        <w:t> </w:t>
      </w:r>
      <w:r>
        <w:rPr>
          <w:rFonts w:ascii="宋体" w:hAnsi="宋体" w:cs="宋体" w:eastAsia="宋体" w:hint="default"/>
        </w:rPr>
        <w:t>48,937.62</w:t>
      </w:r>
      <w:r>
        <w:rPr>
          <w:rFonts w:ascii="宋体" w:hAnsi="宋体" w:cs="宋体" w:eastAsia="宋体" w:hint="default"/>
          <w:spacing w:val="-43"/>
        </w:rPr>
        <w:t> </w:t>
      </w:r>
      <w:r>
        <w:rPr/>
        <w:t>万元，占资产总额的比例为</w:t>
      </w:r>
      <w:r>
        <w:rPr>
          <w:spacing w:val="-44"/>
        </w:rPr>
        <w:t> </w:t>
      </w:r>
      <w:r>
        <w:rPr>
          <w:rFonts w:ascii="宋体" w:hAnsi="宋体" w:cs="宋体" w:eastAsia="宋体" w:hint="default"/>
        </w:rPr>
        <w:t>18.8%</w:t>
      </w:r>
      <w:r>
        <w:rPr/>
        <w:t>。应收账款已按照坏 </w:t>
      </w:r>
      <w:r>
        <w:rPr>
          <w:spacing w:val="-1"/>
        </w:rPr>
        <w:t>账准备计提政策提取了坏账准备。尽管公司报告期内并未出现大额坏账，但应收账款绝对金额及占总资产</w:t>
      </w:r>
      <w:r>
        <w:rPr>
          <w:spacing w:val="-81"/>
        </w:rPr>
        <w:t> </w:t>
      </w:r>
      <w:r>
        <w:rPr>
          <w:spacing w:val="-81"/>
        </w:rPr>
      </w:r>
      <w:r>
        <w:rPr/>
        <w:t>的相对比重仍然较高，不能排除未来出现应收账款无法收回而损害公司利益的情形。</w:t>
      </w:r>
    </w:p>
    <w:p>
      <w:pPr>
        <w:spacing w:line="240" w:lineRule="auto" w:before="12"/>
        <w:rPr>
          <w:rFonts w:ascii="宋体" w:hAnsi="宋体" w:cs="宋体" w:eastAsia="宋体" w:hint="default"/>
          <w:sz w:val="13"/>
          <w:szCs w:val="13"/>
        </w:rPr>
      </w:pPr>
    </w:p>
    <w:p>
      <w:pPr>
        <w:pStyle w:val="BodyText"/>
        <w:spacing w:line="297" w:lineRule="auto"/>
        <w:ind w:left="154" w:right="1131" w:firstLine="420"/>
        <w:jc w:val="both"/>
      </w:pPr>
      <w:r>
        <w:rPr>
          <w:spacing w:val="-1"/>
        </w:rPr>
        <w:t>针对上述风险，公司进一步加强与客户的沟通，并通过分阶段预收款等方式控制财务风险。同时公司</w:t>
      </w:r>
      <w:r>
        <w:rPr/>
        <w:t> 注重与客户建立长期合作关系，不断为客户创造价值。</w:t>
      </w:r>
    </w:p>
    <w:p>
      <w:pPr>
        <w:pStyle w:val="BodyText"/>
        <w:spacing w:line="508" w:lineRule="exact" w:before="23"/>
        <w:ind w:left="574" w:right="1116"/>
        <w:jc w:val="left"/>
      </w:pPr>
      <w:r>
        <w:rPr>
          <w:rFonts w:ascii="宋体" w:hAnsi="宋体" w:cs="宋体" w:eastAsia="宋体" w:hint="default"/>
        </w:rPr>
        <w:t>3</w:t>
      </w:r>
      <w:r>
        <w:rPr/>
        <w:t>、客户集中度较高的风险 </w:t>
      </w:r>
      <w:r>
        <w:rPr>
          <w:spacing w:val="-1"/>
        </w:rPr>
        <w:t>公司面向智能手机行业的客户主要为大型国际知名芯片厂商及终端厂商。报告期内公司来自前五名客</w:t>
      </w:r>
    </w:p>
    <w:p>
      <w:pPr>
        <w:pStyle w:val="BodyText"/>
        <w:spacing w:line="269" w:lineRule="exact"/>
        <w:ind w:left="154" w:right="1116"/>
        <w:jc w:val="left"/>
      </w:pPr>
      <w:r>
        <w:rPr/>
        <w:t>户的收入占营业收入的比重分别为</w:t>
      </w:r>
      <w:r>
        <w:rPr>
          <w:spacing w:val="-54"/>
        </w:rPr>
        <w:t> </w:t>
      </w:r>
      <w:r>
        <w:rPr>
          <w:rFonts w:ascii="宋体" w:hAnsi="宋体" w:cs="宋体" w:eastAsia="宋体" w:hint="default"/>
        </w:rPr>
        <w:t>33.92%</w:t>
      </w:r>
      <w:r>
        <w:rPr/>
        <w:t>，客户集中度较高。</w:t>
      </w:r>
    </w:p>
    <w:p>
      <w:pPr>
        <w:spacing w:after="0" w:line="269" w:lineRule="exact"/>
        <w:jc w:val="left"/>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97" w:lineRule="auto" w:before="35"/>
        <w:ind w:left="214" w:right="1131" w:firstLine="420"/>
        <w:jc w:val="both"/>
      </w:pPr>
      <w:r>
        <w:rPr>
          <w:spacing w:val="-1"/>
        </w:rPr>
        <w:t>针对上述风险，公司在不断引领和满足客户需求的同时，持续拓展新的市场和客户，努力扩大客户规</w:t>
      </w:r>
      <w:r>
        <w:rPr/>
        <w:t> 模、提升自身的技术实力，为客户创造长期价值。</w:t>
      </w:r>
    </w:p>
    <w:p>
      <w:pPr>
        <w:spacing w:line="240" w:lineRule="auto" w:before="12"/>
        <w:rPr>
          <w:rFonts w:ascii="宋体" w:hAnsi="宋体" w:cs="宋体" w:eastAsia="宋体" w:hint="default"/>
          <w:sz w:val="13"/>
          <w:szCs w:val="13"/>
        </w:rPr>
      </w:pPr>
    </w:p>
    <w:p>
      <w:pPr>
        <w:pStyle w:val="BodyText"/>
        <w:spacing w:line="240" w:lineRule="auto"/>
        <w:ind w:right="1016"/>
        <w:jc w:val="left"/>
      </w:pPr>
      <w:r>
        <w:rPr>
          <w:rFonts w:ascii="宋体" w:hAnsi="宋体" w:cs="宋体" w:eastAsia="宋体" w:hint="default"/>
        </w:rPr>
        <w:t>4</w:t>
      </w:r>
      <w:r>
        <w:rPr/>
        <w:t>、跨境并购整合失败的风险</w:t>
      </w:r>
    </w:p>
    <w:p>
      <w:pPr>
        <w:spacing w:line="240" w:lineRule="auto" w:before="12"/>
        <w:rPr>
          <w:rFonts w:ascii="宋体" w:hAnsi="宋体" w:cs="宋体" w:eastAsia="宋体" w:hint="default"/>
          <w:sz w:val="17"/>
          <w:szCs w:val="17"/>
        </w:rPr>
      </w:pPr>
    </w:p>
    <w:p>
      <w:pPr>
        <w:pStyle w:val="BodyText"/>
        <w:spacing w:line="297" w:lineRule="auto"/>
        <w:ind w:left="214" w:right="1131" w:firstLine="420"/>
        <w:jc w:val="both"/>
      </w:pPr>
      <w:r>
        <w:rPr>
          <w:spacing w:val="-3"/>
        </w:rPr>
        <w:t>截至报告期末，公司商誉</w:t>
      </w:r>
      <w:r>
        <w:rPr>
          <w:spacing w:val="-55"/>
        </w:rPr>
        <w:t> </w:t>
      </w:r>
      <w:r>
        <w:rPr>
          <w:rFonts w:ascii="宋体" w:hAnsi="宋体" w:cs="宋体" w:eastAsia="宋体" w:hint="default"/>
        </w:rPr>
        <w:t>41,999.86</w:t>
      </w:r>
      <w:r>
        <w:rPr>
          <w:rFonts w:ascii="宋体" w:hAnsi="宋体" w:cs="宋体" w:eastAsia="宋体" w:hint="default"/>
          <w:spacing w:val="-55"/>
        </w:rPr>
        <w:t> </w:t>
      </w:r>
      <w:r>
        <w:rPr>
          <w:spacing w:val="-3"/>
        </w:rPr>
        <w:t>万元，占资产总额的比例为</w:t>
      </w:r>
      <w:r>
        <w:rPr>
          <w:spacing w:val="-56"/>
        </w:rPr>
        <w:t> </w:t>
      </w:r>
      <w:r>
        <w:rPr>
          <w:rFonts w:ascii="宋体" w:hAnsi="宋体" w:cs="宋体" w:eastAsia="宋体" w:hint="default"/>
        </w:rPr>
        <w:t>16.13%</w:t>
      </w:r>
      <w:r>
        <w:rPr/>
        <w:t>。公司上市后充分借助资本市 </w:t>
      </w:r>
      <w:r>
        <w:rPr>
          <w:spacing w:val="-1"/>
        </w:rPr>
        <w:t>场的力量加快发展，积极收购境外优质资产。由于管理水平差异、文化差异等因素还可能存在收购后未能</w:t>
      </w:r>
      <w:r>
        <w:rPr>
          <w:spacing w:val="-83"/>
        </w:rPr>
        <w:t> </w:t>
      </w:r>
      <w:r>
        <w:rPr>
          <w:spacing w:val="-83"/>
        </w:rPr>
      </w:r>
      <w:r>
        <w:rPr/>
        <w:t>有效整合的风险。</w:t>
      </w:r>
    </w:p>
    <w:p>
      <w:pPr>
        <w:spacing w:line="240" w:lineRule="auto" w:before="0"/>
        <w:rPr>
          <w:rFonts w:ascii="宋体" w:hAnsi="宋体" w:cs="宋体" w:eastAsia="宋体" w:hint="default"/>
          <w:sz w:val="14"/>
          <w:szCs w:val="14"/>
        </w:rPr>
      </w:pPr>
    </w:p>
    <w:p>
      <w:pPr>
        <w:pStyle w:val="BodyText"/>
        <w:spacing w:line="297" w:lineRule="auto"/>
        <w:ind w:left="214" w:right="1131" w:firstLine="420"/>
        <w:jc w:val="both"/>
      </w:pPr>
      <w:r>
        <w:rPr>
          <w:spacing w:val="-1"/>
        </w:rPr>
        <w:t>针对上述风险，公司与被并购公司讨论确定战略愿景与定位，分析业务发展战略及发展计划，明确经</w:t>
      </w:r>
      <w:r>
        <w:rPr/>
        <w:t> </w:t>
      </w:r>
      <w:r>
        <w:rPr>
          <w:spacing w:val="-1"/>
        </w:rPr>
        <w:t>营重点及产品研发方向。尊重被并购公司原有企业文化，并将公司文化适当融入，保证核心管理团队、业</w:t>
      </w:r>
      <w:r>
        <w:rPr>
          <w:spacing w:val="-85"/>
        </w:rPr>
        <w:t> </w:t>
      </w:r>
      <w:r>
        <w:rPr>
          <w:spacing w:val="-85"/>
        </w:rPr>
      </w:r>
      <w:r>
        <w:rPr/>
        <w:t>务团队的稳定性，提升并购整合的成功率。</w:t>
      </w:r>
    </w:p>
    <w:p>
      <w:pPr>
        <w:pStyle w:val="BodyText"/>
        <w:spacing w:line="508" w:lineRule="exact" w:before="21"/>
        <w:ind w:right="1113"/>
        <w:jc w:val="left"/>
        <w:rPr>
          <w:rFonts w:ascii="宋体" w:hAnsi="宋体" w:cs="宋体" w:eastAsia="宋体" w:hint="default"/>
        </w:rPr>
      </w:pPr>
      <w:r>
        <w:rPr>
          <w:rFonts w:ascii="宋体" w:hAnsi="宋体" w:cs="宋体" w:eastAsia="宋体" w:hint="default"/>
        </w:rPr>
        <w:t>5</w:t>
      </w:r>
      <w:r>
        <w:rPr/>
        <w:t>、研发投入效果不及预期的风险 作为以技术为本的操作系统厂商，公司十分重视研发投入。最近三年公司研发费用分别为</w:t>
      </w:r>
      <w:r>
        <w:rPr>
          <w:spacing w:val="-21"/>
        </w:rPr>
        <w:t> </w:t>
      </w:r>
      <w:r>
        <w:rPr>
          <w:rFonts w:ascii="宋体" w:hAnsi="宋体" w:cs="宋体" w:eastAsia="宋体" w:hint="default"/>
        </w:rPr>
        <w:t>27,969.78</w:t>
      </w:r>
    </w:p>
    <w:p>
      <w:pPr>
        <w:pStyle w:val="BodyText"/>
        <w:spacing w:line="297" w:lineRule="auto"/>
        <w:ind w:left="214" w:right="1129"/>
        <w:jc w:val="both"/>
      </w:pPr>
      <w:r>
        <w:rPr/>
        <w:t>万元、</w:t>
      </w:r>
      <w:r>
        <w:rPr>
          <w:rFonts w:ascii="宋体" w:hAnsi="宋体" w:cs="宋体" w:eastAsia="宋体" w:hint="default"/>
        </w:rPr>
        <w:t>14,439.44</w:t>
      </w:r>
      <w:r>
        <w:rPr>
          <w:rFonts w:ascii="宋体" w:hAnsi="宋体" w:cs="宋体" w:eastAsia="宋体" w:hint="default"/>
          <w:spacing w:val="-47"/>
        </w:rPr>
        <w:t> </w:t>
      </w:r>
      <w:r>
        <w:rPr/>
        <w:t>万元和</w:t>
      </w:r>
      <w:r>
        <w:rPr>
          <w:spacing w:val="-49"/>
        </w:rPr>
        <w:t> </w:t>
      </w:r>
      <w:r>
        <w:rPr>
          <w:rFonts w:ascii="宋体" w:hAnsi="宋体" w:cs="宋体" w:eastAsia="宋体" w:hint="default"/>
        </w:rPr>
        <w:t>14,665.99</w:t>
      </w:r>
      <w:r>
        <w:rPr>
          <w:rFonts w:ascii="宋体" w:hAnsi="宋体" w:cs="宋体" w:eastAsia="宋体" w:hint="default"/>
          <w:spacing w:val="-47"/>
        </w:rPr>
        <w:t> </w:t>
      </w:r>
      <w:r>
        <w:rPr/>
        <w:t>万元，占同期营业收入的比重分别达到</w:t>
      </w:r>
      <w:r>
        <w:rPr>
          <w:spacing w:val="-47"/>
        </w:rPr>
        <w:t> </w:t>
      </w:r>
      <w:r>
        <w:rPr>
          <w:rFonts w:ascii="宋体" w:hAnsi="宋体" w:cs="宋体" w:eastAsia="宋体" w:hint="default"/>
        </w:rPr>
        <w:t>19.10%</w:t>
      </w:r>
      <w:r>
        <w:rPr/>
        <w:t>、</w:t>
      </w:r>
      <w:r>
        <w:rPr>
          <w:rFonts w:ascii="宋体" w:hAnsi="宋体" w:cs="宋体" w:eastAsia="宋体" w:hint="default"/>
        </w:rPr>
        <w:t>12.42%</w:t>
      </w:r>
      <w:r>
        <w:rPr/>
        <w:t>和</w:t>
      </w:r>
      <w:r>
        <w:rPr>
          <w:spacing w:val="-48"/>
        </w:rPr>
        <w:t> </w:t>
      </w:r>
      <w:r>
        <w:rPr>
          <w:rFonts w:ascii="宋体" w:hAnsi="宋体" w:cs="宋体" w:eastAsia="宋体" w:hint="default"/>
        </w:rPr>
        <w:t>17.3%</w:t>
      </w:r>
      <w:r>
        <w:rPr/>
        <w:t>，研</w:t>
      </w:r>
      <w:r>
        <w:rPr>
          <w:spacing w:val="1"/>
        </w:rPr>
        <w:t> </w:t>
      </w:r>
      <w:r>
        <w:rPr>
          <w:spacing w:val="-1"/>
        </w:rPr>
        <w:t>发投入较高。如果公司研发投入未能取得预期效果、未能形成新产品和知识产权并最终取得销售收入，将</w:t>
      </w:r>
      <w:r>
        <w:rPr>
          <w:spacing w:val="-83"/>
        </w:rPr>
        <w:t> </w:t>
      </w:r>
      <w:r>
        <w:rPr>
          <w:spacing w:val="-83"/>
        </w:rPr>
      </w:r>
      <w:r>
        <w:rPr/>
        <w:t>对公司业绩造成不利影响。</w:t>
      </w:r>
    </w:p>
    <w:p>
      <w:pPr>
        <w:spacing w:line="240" w:lineRule="auto" w:before="0"/>
        <w:rPr>
          <w:rFonts w:ascii="宋体" w:hAnsi="宋体" w:cs="宋体" w:eastAsia="宋体" w:hint="default"/>
          <w:sz w:val="14"/>
          <w:szCs w:val="14"/>
        </w:rPr>
      </w:pPr>
    </w:p>
    <w:p>
      <w:pPr>
        <w:pStyle w:val="BodyText"/>
        <w:spacing w:line="297" w:lineRule="auto"/>
        <w:ind w:left="214" w:right="1131" w:firstLine="420"/>
        <w:jc w:val="both"/>
      </w:pPr>
      <w:r>
        <w:rPr>
          <w:spacing w:val="-1"/>
        </w:rPr>
        <w:t>针对上述风险，公司建立了完善的研发流程，重视项目立项的可行性分析，重视对行业和技术发展趋</w:t>
      </w:r>
      <w:r>
        <w:rPr/>
        <w:t> </w:t>
      </w:r>
      <w:r>
        <w:rPr>
          <w:spacing w:val="-1"/>
        </w:rPr>
        <w:t>势的研究，紧贴客户和市场需求，部分研发项目已取得一定的客户订单，尽量降低研发失败的可能性和不</w:t>
      </w:r>
      <w:r>
        <w:rPr>
          <w:spacing w:val="-82"/>
        </w:rPr>
        <w:t> </w:t>
      </w:r>
      <w:r>
        <w:rPr>
          <w:spacing w:val="-82"/>
        </w:rPr>
      </w:r>
      <w:r>
        <w:rPr/>
        <w:t>利影响。</w:t>
      </w:r>
    </w:p>
    <w:p>
      <w:pPr>
        <w:spacing w:line="240" w:lineRule="auto" w:before="11"/>
        <w:rPr>
          <w:rFonts w:ascii="宋体" w:hAnsi="宋体" w:cs="宋体" w:eastAsia="宋体" w:hint="default"/>
          <w:sz w:val="17"/>
          <w:szCs w:val="17"/>
        </w:rPr>
      </w:pPr>
    </w:p>
    <w:p>
      <w:pPr>
        <w:pStyle w:val="Heading2"/>
        <w:spacing w:line="240" w:lineRule="auto"/>
        <w:ind w:right="0"/>
        <w:jc w:val="both"/>
      </w:pPr>
      <w:bookmarkStart w:name="十、接待调研、沟通、采访等活动登记表" w:id="55"/>
      <w:bookmarkEnd w:id="55"/>
      <w:r>
        <w:rPr/>
      </w:r>
      <w:r>
        <w:rPr/>
        <w:t>十、接待调研、沟通、采访等活动登记表</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报告期内接待调研、沟通、采访等活动登记表" w:id="56"/>
      <w:bookmarkEnd w:id="56"/>
      <w:r>
        <w:rPr/>
      </w:r>
      <w:r>
        <w:rPr>
          <w:rFonts w:ascii="Times New Roman" w:hAnsi="Times New Roman" w:cs="Times New Roman" w:eastAsia="Times New Roman" w:hint="default"/>
        </w:rPr>
        <w:t>1</w:t>
      </w:r>
      <w:r>
        <w:rPr>
          <w:rFonts w:ascii="微软雅黑" w:hAnsi="微软雅黑" w:cs="微软雅黑" w:eastAsia="微软雅黑" w:hint="default"/>
        </w:rPr>
        <w:t>、报告期内接待调研、沟通、采访等活动登记表</w:t>
      </w:r>
    </w:p>
    <w:p>
      <w:pPr>
        <w:spacing w:line="240" w:lineRule="auto" w:before="12"/>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243"/>
        <w:gridCol w:w="2243"/>
        <w:gridCol w:w="2242"/>
        <w:gridCol w:w="3128"/>
      </w:tblGrid>
      <w:tr>
        <w:trPr>
          <w:trHeight w:val="407"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9"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76" w:hRule="exac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互动易平台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关系活动记录表</w:t>
            </w:r>
          </w:p>
        </w:tc>
      </w:tr>
      <w:tr>
        <w:trPr>
          <w:trHeight w:val="476" w:hRule="exac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互动易平台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关系活动记录表</w:t>
            </w:r>
          </w:p>
        </w:tc>
      </w:tr>
      <w:tr>
        <w:trPr>
          <w:trHeight w:val="478" w:hRule="exact"/>
        </w:trPr>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互动易平台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关系活动记录表</w:t>
            </w:r>
          </w:p>
        </w:tc>
      </w:tr>
    </w:tbl>
    <w:p>
      <w:pPr>
        <w:spacing w:after="0" w:line="227" w:lineRule="exact"/>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0"/>
        <w:rPr>
          <w:rFonts w:ascii="微软雅黑" w:hAnsi="微软雅黑" w:cs="微软雅黑" w:eastAsia="微软雅黑" w:hint="default"/>
          <w:sz w:val="20"/>
          <w:szCs w:val="20"/>
        </w:rPr>
      </w:pPr>
    </w:p>
    <w:p>
      <w:pPr>
        <w:spacing w:line="240" w:lineRule="auto" w:before="0"/>
        <w:rPr>
          <w:rFonts w:ascii="微软雅黑" w:hAnsi="微软雅黑" w:cs="微软雅黑" w:eastAsia="微软雅黑" w:hint="default"/>
          <w:sz w:val="20"/>
          <w:szCs w:val="20"/>
        </w:rPr>
      </w:pPr>
    </w:p>
    <w:p>
      <w:pPr>
        <w:spacing w:line="240" w:lineRule="auto" w:before="8"/>
        <w:rPr>
          <w:rFonts w:ascii="微软雅黑" w:hAnsi="微软雅黑" w:cs="微软雅黑" w:eastAsia="微软雅黑" w:hint="default"/>
          <w:sz w:val="13"/>
          <w:szCs w:val="13"/>
        </w:rPr>
      </w:pPr>
    </w:p>
    <w:p>
      <w:pPr>
        <w:pStyle w:val="Heading1"/>
        <w:spacing w:line="441" w:lineRule="exact"/>
        <w:ind w:left="3833" w:right="1016"/>
        <w:jc w:val="left"/>
        <w:rPr>
          <w:b w:val="0"/>
          <w:bCs w:val="0"/>
        </w:rPr>
      </w:pPr>
      <w:bookmarkStart w:name="第五节 重要事项" w:id="57"/>
      <w:bookmarkEnd w:id="57"/>
      <w:r>
        <w:rPr>
          <w:b w:val="0"/>
          <w:bCs w:val="0"/>
        </w:rPr>
      </w:r>
      <w:bookmarkStart w:name="_bookmark3" w:id="58"/>
      <w:bookmarkEnd w:id="58"/>
      <w:r>
        <w:rPr>
          <w:b w:val="0"/>
          <w:bCs w:val="0"/>
        </w:rPr>
      </w:r>
      <w:r>
        <w:rPr/>
        <w:t>第五节</w:t>
      </w:r>
      <w:r>
        <w:rPr>
          <w:spacing w:val="64"/>
        </w:rPr>
        <w:t> </w:t>
      </w:r>
      <w:r>
        <w:rPr/>
        <w:t>重要事项</w:t>
      </w:r>
      <w:r>
        <w:rPr>
          <w:b w:val="0"/>
          <w:bCs w:val="0"/>
        </w:rPr>
      </w:r>
    </w:p>
    <w:p>
      <w:pPr>
        <w:spacing w:line="240" w:lineRule="auto" w:before="3"/>
        <w:rPr>
          <w:rFonts w:ascii="微软雅黑" w:hAnsi="微软雅黑" w:cs="微软雅黑" w:eastAsia="微软雅黑" w:hint="default"/>
          <w:b/>
          <w:bCs/>
          <w:sz w:val="44"/>
          <w:szCs w:val="44"/>
        </w:rPr>
      </w:pPr>
    </w:p>
    <w:p>
      <w:pPr>
        <w:pStyle w:val="Heading2"/>
        <w:spacing w:line="240" w:lineRule="auto"/>
        <w:ind w:right="1016"/>
        <w:jc w:val="left"/>
      </w:pPr>
      <w:bookmarkStart w:name="一、公司普通股利润分配及资本公积金转增股本情况" w:id="59"/>
      <w:bookmarkEnd w:id="59"/>
      <w:r>
        <w:rPr/>
      </w:r>
      <w:r>
        <w:rPr/>
        <w:t>一、公司普通股利润分配及资本公积金转增股本情况</w:t>
      </w:r>
    </w:p>
    <w:p>
      <w:pPr>
        <w:spacing w:line="240" w:lineRule="auto" w:before="12"/>
        <w:rPr>
          <w:rFonts w:ascii="微软雅黑" w:hAnsi="微软雅黑" w:cs="微软雅黑" w:eastAsia="微软雅黑" w:hint="default"/>
          <w:sz w:val="24"/>
          <w:szCs w:val="24"/>
        </w:rPr>
      </w:pPr>
    </w:p>
    <w:p>
      <w:pPr>
        <w:pStyle w:val="BodyText"/>
        <w:spacing w:line="240" w:lineRule="auto"/>
        <w:ind w:right="1016"/>
        <w:jc w:val="left"/>
      </w:pPr>
      <w:r>
        <w:rPr/>
        <w:t>报告期内普通股利润分配政策，特别是现金分红政策的制定、执行或调整情况</w:t>
      </w:r>
    </w:p>
    <w:p>
      <w:pPr>
        <w:spacing w:line="240" w:lineRule="auto" w:before="12"/>
        <w:rPr>
          <w:rFonts w:ascii="宋体" w:hAnsi="宋体" w:cs="宋体" w:eastAsia="宋体" w:hint="default"/>
          <w:sz w:val="17"/>
          <w:szCs w:val="17"/>
        </w:rPr>
      </w:pPr>
    </w:p>
    <w:p>
      <w:pPr>
        <w:pStyle w:val="BodyText"/>
        <w:spacing w:line="240" w:lineRule="auto"/>
        <w:ind w:right="1016"/>
        <w:jc w:val="left"/>
        <w:rPr>
          <w:rFonts w:ascii="宋体" w:hAnsi="宋体" w:cs="宋体" w:eastAsia="宋体" w:hint="default"/>
        </w:rPr>
      </w:pPr>
      <w:r>
        <w:rPr/>
        <w:t>公司</w:t>
      </w:r>
      <w:r>
        <w:rPr>
          <w:spacing w:val="-51"/>
        </w:rPr>
        <w:t> </w:t>
      </w:r>
      <w:r>
        <w:rPr>
          <w:rFonts w:ascii="宋体" w:hAnsi="宋体" w:cs="宋体" w:eastAsia="宋体" w:hint="default"/>
        </w:rPr>
        <w:t>2018</w:t>
      </w:r>
      <w:r>
        <w:rPr>
          <w:rFonts w:ascii="宋体" w:hAnsi="宋体" w:cs="宋体" w:eastAsia="宋体" w:hint="default"/>
          <w:spacing w:val="-52"/>
        </w:rPr>
        <w:t> </w:t>
      </w:r>
      <w:r>
        <w:rPr/>
        <w:t>年</w:t>
      </w:r>
      <w:r>
        <w:rPr>
          <w:spacing w:val="-53"/>
        </w:rPr>
        <w:t> </w:t>
      </w:r>
      <w:r>
        <w:rPr>
          <w:rFonts w:ascii="宋体" w:hAnsi="宋体" w:cs="宋体" w:eastAsia="宋体" w:hint="default"/>
        </w:rPr>
        <w:t>5</w:t>
      </w:r>
      <w:r>
        <w:rPr>
          <w:rFonts w:ascii="宋体" w:hAnsi="宋体" w:cs="宋体" w:eastAsia="宋体" w:hint="default"/>
          <w:spacing w:val="-51"/>
        </w:rPr>
        <w:t> </w:t>
      </w:r>
      <w:r>
        <w:rPr/>
        <w:t>月</w:t>
      </w:r>
      <w:r>
        <w:rPr>
          <w:spacing w:val="-53"/>
        </w:rPr>
        <w:t> </w:t>
      </w:r>
      <w:r>
        <w:rPr>
          <w:rFonts w:ascii="宋体" w:hAnsi="宋体" w:cs="宋体" w:eastAsia="宋体" w:hint="default"/>
        </w:rPr>
        <w:t>17</w:t>
      </w:r>
      <w:r>
        <w:rPr>
          <w:rFonts w:ascii="宋体" w:hAnsi="宋体" w:cs="宋体" w:eastAsia="宋体" w:hint="default"/>
          <w:spacing w:val="-51"/>
        </w:rPr>
        <w:t> </w:t>
      </w:r>
      <w:r>
        <w:rPr/>
        <w:t>日召开</w:t>
      </w:r>
      <w:r>
        <w:rPr>
          <w:spacing w:val="-52"/>
        </w:rPr>
        <w:t> </w:t>
      </w:r>
      <w:r>
        <w:rPr>
          <w:rFonts w:ascii="宋体" w:hAnsi="宋体" w:cs="宋体" w:eastAsia="宋体" w:hint="default"/>
        </w:rPr>
        <w:t>2017</w:t>
      </w:r>
      <w:r>
        <w:rPr>
          <w:rFonts w:ascii="宋体" w:hAnsi="宋体" w:cs="宋体" w:eastAsia="宋体" w:hint="default"/>
          <w:spacing w:val="-52"/>
        </w:rPr>
        <w:t> </w:t>
      </w:r>
      <w:r>
        <w:rPr>
          <w:spacing w:val="-4"/>
        </w:rPr>
        <w:t>年年度股东大会，审议通过</w:t>
      </w:r>
      <w:r>
        <w:rPr>
          <w:spacing w:val="-51"/>
        </w:rPr>
        <w:t> </w:t>
      </w:r>
      <w:r>
        <w:rPr>
          <w:rFonts w:ascii="宋体" w:hAnsi="宋体" w:cs="宋体" w:eastAsia="宋体" w:hint="default"/>
        </w:rPr>
        <w:t>2017</w:t>
      </w:r>
      <w:r>
        <w:rPr>
          <w:rFonts w:ascii="宋体" w:hAnsi="宋体" w:cs="宋体" w:eastAsia="宋体" w:hint="default"/>
          <w:spacing w:val="-52"/>
        </w:rPr>
        <w:t> </w:t>
      </w:r>
      <w:r>
        <w:rPr>
          <w:spacing w:val="-4"/>
        </w:rPr>
        <w:t>年年度利润分配预案：以公司</w:t>
      </w:r>
      <w:r>
        <w:rPr>
          <w:spacing w:val="-51"/>
        </w:rPr>
        <w:t> </w:t>
      </w:r>
      <w:r>
        <w:rPr>
          <w:rFonts w:ascii="宋体" w:hAnsi="宋体" w:cs="宋体" w:eastAsia="宋体" w:hint="default"/>
        </w:rPr>
        <w:t>2017</w:t>
      </w:r>
    </w:p>
    <w:p>
      <w:pPr>
        <w:pStyle w:val="BodyText"/>
        <w:spacing w:line="240" w:lineRule="auto" w:before="66"/>
        <w:ind w:left="214" w:right="0"/>
        <w:jc w:val="left"/>
      </w:pP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日的总股本</w:t>
      </w:r>
      <w:r>
        <w:rPr>
          <w:spacing w:val="-53"/>
        </w:rPr>
        <w:t> </w:t>
      </w:r>
      <w:r>
        <w:rPr>
          <w:rFonts w:ascii="宋体" w:hAnsi="宋体" w:cs="宋体" w:eastAsia="宋体" w:hint="default"/>
        </w:rPr>
        <w:t>403,878,622</w:t>
      </w:r>
      <w:r>
        <w:rPr>
          <w:rFonts w:ascii="宋体" w:hAnsi="宋体" w:cs="宋体" w:eastAsia="宋体" w:hint="default"/>
          <w:spacing w:val="-53"/>
        </w:rPr>
        <w:t> </w:t>
      </w:r>
      <w:r>
        <w:rPr>
          <w:spacing w:val="-4"/>
        </w:rPr>
        <w:t>股为基数，向全体股东每</w:t>
      </w:r>
      <w:r>
        <w:rPr>
          <w:spacing w:val="-52"/>
        </w:rPr>
        <w:t> </w:t>
      </w:r>
      <w:r>
        <w:rPr>
          <w:rFonts w:ascii="宋体" w:hAnsi="宋体" w:cs="宋体" w:eastAsia="宋体" w:hint="default"/>
        </w:rPr>
        <w:t>10</w:t>
      </w:r>
      <w:r>
        <w:rPr>
          <w:rFonts w:ascii="宋体" w:hAnsi="宋体" w:cs="宋体" w:eastAsia="宋体" w:hint="default"/>
          <w:spacing w:val="-52"/>
        </w:rPr>
        <w:t> </w:t>
      </w:r>
      <w:r>
        <w:rPr/>
        <w:t>股派发现金红利人民币</w:t>
      </w:r>
      <w:r>
        <w:rPr>
          <w:spacing w:val="-52"/>
        </w:rPr>
        <w:t> </w:t>
      </w:r>
      <w:r>
        <w:rPr>
          <w:rFonts w:ascii="宋体" w:hAnsi="宋体" w:cs="宋体" w:eastAsia="宋体" w:hint="default"/>
        </w:rPr>
        <w:t>0.80</w:t>
      </w:r>
      <w:r>
        <w:rPr>
          <w:rFonts w:ascii="宋体" w:hAnsi="宋体" w:cs="宋体" w:eastAsia="宋体" w:hint="default"/>
          <w:spacing w:val="-53"/>
        </w:rPr>
        <w:t> </w:t>
      </w:r>
      <w:r>
        <w:rPr>
          <w:spacing w:val="-15"/>
        </w:rPr>
        <w:t>元（含税），</w:t>
      </w:r>
    </w:p>
    <w:p>
      <w:pPr>
        <w:pStyle w:val="BodyText"/>
        <w:spacing w:line="240" w:lineRule="auto" w:before="64"/>
        <w:ind w:left="214" w:right="1016"/>
        <w:jc w:val="left"/>
      </w:pPr>
      <w:r>
        <w:rPr/>
        <w:t>合计现金分红总额为</w:t>
      </w:r>
      <w:r>
        <w:rPr>
          <w:spacing w:val="-52"/>
        </w:rPr>
        <w:t> </w:t>
      </w:r>
      <w:r>
        <w:rPr>
          <w:rFonts w:ascii="宋体" w:hAnsi="宋体" w:cs="宋体" w:eastAsia="宋体" w:hint="default"/>
        </w:rPr>
        <w:t>32,310,289.76</w:t>
      </w:r>
      <w:r>
        <w:rPr>
          <w:rFonts w:ascii="宋体" w:hAnsi="宋体" w:cs="宋体" w:eastAsia="宋体" w:hint="default"/>
          <w:spacing w:val="-53"/>
        </w:rPr>
        <w:t> </w:t>
      </w:r>
      <w:r>
        <w:rPr/>
        <w:t>元。</w:t>
      </w:r>
    </w:p>
    <w:p>
      <w:pPr>
        <w:spacing w:line="240" w:lineRule="auto" w:before="12"/>
        <w:rPr>
          <w:rFonts w:ascii="宋体" w:hAnsi="宋体" w:cs="宋体" w:eastAsia="宋体" w:hint="default"/>
          <w:sz w:val="17"/>
          <w:szCs w:val="17"/>
        </w:rPr>
      </w:pPr>
    </w:p>
    <w:p>
      <w:pPr>
        <w:pStyle w:val="BodyText"/>
        <w:spacing w:line="297" w:lineRule="auto"/>
        <w:ind w:left="214" w:right="1118" w:firstLine="420"/>
        <w:jc w:val="left"/>
      </w:pPr>
      <w:r>
        <w:rPr>
          <w:spacing w:val="-1"/>
        </w:rPr>
        <w:t>由于公司部分股权激励对象离职，部分已获授但尚未解锁的限制性股票已完成回购注销。公司总股本</w:t>
      </w:r>
      <w:r>
        <w:rPr/>
        <w:t> 变更为</w:t>
      </w:r>
      <w:r>
        <w:rPr>
          <w:spacing w:val="-33"/>
        </w:rPr>
        <w:t> </w:t>
      </w:r>
      <w:r>
        <w:rPr>
          <w:rFonts w:ascii="宋体" w:hAnsi="宋体" w:cs="宋体" w:eastAsia="宋体" w:hint="default"/>
        </w:rPr>
        <w:t>403,621,238</w:t>
      </w:r>
      <w:r>
        <w:rPr>
          <w:rFonts w:ascii="宋体" w:hAnsi="宋体" w:cs="宋体" w:eastAsia="宋体" w:hint="default"/>
          <w:spacing w:val="-32"/>
        </w:rPr>
        <w:t> </w:t>
      </w:r>
      <w:r>
        <w:rPr/>
        <w:t>股，按照“分配总额不变”的原则，按照目前股本总额重新计算的</w:t>
      </w:r>
      <w:r>
        <w:rPr>
          <w:spacing w:val="-33"/>
        </w:rPr>
        <w:t> </w:t>
      </w:r>
      <w:r>
        <w:rPr>
          <w:rFonts w:ascii="宋体" w:hAnsi="宋体" w:cs="宋体" w:eastAsia="宋体" w:hint="default"/>
        </w:rPr>
        <w:t>2017</w:t>
      </w:r>
      <w:r>
        <w:rPr>
          <w:rFonts w:ascii="宋体" w:hAnsi="宋体" w:cs="宋体" w:eastAsia="宋体" w:hint="default"/>
          <w:spacing w:val="-33"/>
        </w:rPr>
        <w:t> </w:t>
      </w:r>
      <w:r>
        <w:rPr/>
        <w:t>年度利润分</w:t>
      </w:r>
    </w:p>
    <w:p>
      <w:pPr>
        <w:pStyle w:val="BodyText"/>
        <w:spacing w:line="240" w:lineRule="auto" w:before="14"/>
        <w:ind w:left="214" w:right="1016"/>
        <w:jc w:val="left"/>
      </w:pPr>
      <w:r>
        <w:rPr/>
        <w:t>配方案为：以公司现有总股本</w:t>
      </w:r>
      <w:r>
        <w:rPr>
          <w:spacing w:val="-53"/>
        </w:rPr>
        <w:t> </w:t>
      </w:r>
      <w:r>
        <w:rPr>
          <w:rFonts w:ascii="宋体" w:hAnsi="宋体" w:cs="宋体" w:eastAsia="宋体" w:hint="default"/>
        </w:rPr>
        <w:t>403,621,238</w:t>
      </w:r>
      <w:r>
        <w:rPr>
          <w:rFonts w:ascii="宋体" w:hAnsi="宋体" w:cs="宋体" w:eastAsia="宋体" w:hint="default"/>
          <w:spacing w:val="-53"/>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4"/>
        </w:rPr>
        <w:t> </w:t>
      </w:r>
      <w:r>
        <w:rPr/>
        <w:t>股派</w:t>
      </w:r>
      <w:r>
        <w:rPr>
          <w:spacing w:val="-53"/>
        </w:rPr>
        <w:t> </w:t>
      </w:r>
      <w:r>
        <w:rPr>
          <w:rFonts w:ascii="宋体" w:hAnsi="宋体" w:cs="宋体" w:eastAsia="宋体" w:hint="default"/>
        </w:rPr>
        <w:t>0.800510</w:t>
      </w:r>
      <w:r>
        <w:rPr>
          <w:rFonts w:ascii="宋体" w:hAnsi="宋体" w:cs="宋体" w:eastAsia="宋体" w:hint="default"/>
          <w:spacing w:val="-54"/>
        </w:rPr>
        <w:t> </w:t>
      </w:r>
      <w:r>
        <w:rPr/>
        <w:t>元人民币现金。</w:t>
      </w:r>
    </w:p>
    <w:p>
      <w:pPr>
        <w:spacing w:line="240" w:lineRule="auto" w:before="12"/>
        <w:rPr>
          <w:rFonts w:ascii="宋体" w:hAnsi="宋体" w:cs="宋体" w:eastAsia="宋体" w:hint="default"/>
          <w:sz w:val="17"/>
          <w:szCs w:val="17"/>
        </w:rPr>
      </w:pPr>
    </w:p>
    <w:p>
      <w:pPr>
        <w:pStyle w:val="BodyText"/>
        <w:spacing w:line="240" w:lineRule="auto"/>
        <w:ind w:right="1016"/>
        <w:jc w:val="left"/>
      </w:pPr>
      <w:r>
        <w:rPr/>
        <w:t>该利润分配方案已于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3"/>
        </w:rPr>
        <w:t> </w:t>
      </w:r>
      <w:r>
        <w:rPr/>
        <w:t>日实施完毕。</w:t>
      </w:r>
    </w:p>
    <w:p>
      <w:pPr>
        <w:spacing w:line="240" w:lineRule="auto" w:before="8"/>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02"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2"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否得到了充分保护：</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明：</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7"/>
          <w:szCs w:val="17"/>
        </w:rPr>
      </w:pPr>
    </w:p>
    <w:p>
      <w:pPr>
        <w:pStyle w:val="BodyText"/>
        <w:spacing w:line="432" w:lineRule="auto"/>
        <w:ind w:right="27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公司报告期利润分配预案及资本公积金转增股本预案符合公司章程等的相关规定。 本年度利润分配及资本公积金转增股本情况</w:t>
      </w:r>
    </w:p>
    <w:p>
      <w:pPr>
        <w:spacing w:line="240" w:lineRule="auto" w:before="8"/>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828"/>
        <w:gridCol w:w="6027"/>
      </w:tblGrid>
      <w:tr>
        <w:trPr>
          <w:trHeight w:val="408"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0.90</w:t>
            </w:r>
          </w:p>
        </w:tc>
      </w:tr>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403,090,847</w:t>
            </w:r>
          </w:p>
        </w:tc>
      </w:tr>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36,278,176.23</w:t>
            </w:r>
          </w:p>
        </w:tc>
      </w:tr>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828"/>
        <w:gridCol w:w="6027"/>
      </w:tblGrid>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36,278,176.23</w:t>
            </w:r>
          </w:p>
        </w:tc>
      </w:tr>
      <w:tr>
        <w:trPr>
          <w:trHeight w:val="40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325,735,178.79</w:t>
            </w:r>
          </w:p>
        </w:tc>
      </w:tr>
      <w:tr>
        <w:trPr>
          <w:trHeight w:val="477" w:hRule="exact"/>
        </w:trPr>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的比例</w:t>
            </w:r>
          </w:p>
        </w:tc>
        <w:tc>
          <w:tcPr>
            <w:tcW w:w="6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7"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7" w:hRule="exact"/>
        </w:trPr>
        <w:tc>
          <w:tcPr>
            <w:tcW w:w="9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7"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32"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78" w:hRule="exact"/>
        </w:trPr>
        <w:tc>
          <w:tcPr>
            <w:tcW w:w="9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以公司本次董事会召开日的总股本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403,090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847.00 </w:t>
            </w:r>
            <w:r>
              <w:rPr>
                <w:rFonts w:ascii="宋体" w:hAnsi="宋体" w:cs="宋体" w:eastAsia="宋体" w:hint="default"/>
                <w:sz w:val="18"/>
                <w:szCs w:val="18"/>
              </w:rPr>
              <w:t>股为基数</w:t>
            </w:r>
            <w:r>
              <w:rPr>
                <w:rFonts w:ascii="宋体" w:hAnsi="宋体" w:cs="宋体" w:eastAsia="宋体" w:hint="default"/>
                <w:spacing w:val="-28"/>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0.90</w:t>
            </w:r>
            <w:r>
              <w:rPr>
                <w:rFonts w:ascii="Times New Roman" w:hAnsi="Times New Roman" w:cs="Times New Roman" w:eastAsia="Times New Roman" w:hint="default"/>
                <w:spacing w:val="-1"/>
                <w:sz w:val="18"/>
                <w:szCs w:val="18"/>
              </w:rPr>
              <w:t> </w:t>
            </w:r>
            <w:r>
              <w:rPr>
                <w:rFonts w:ascii="宋体" w:hAnsi="宋体" w:cs="宋体" w:eastAsia="宋体" w:hint="default"/>
                <w:spacing w:val="-28"/>
                <w:sz w:val="18"/>
                <w:szCs w:val="18"/>
              </w:rPr>
              <w:t>元</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28"/>
                <w:sz w:val="18"/>
                <w:szCs w:val="18"/>
              </w:rPr>
              <w:t>，</w:t>
            </w:r>
            <w:r>
              <w:rPr>
                <w:rFonts w:ascii="宋体" w:hAnsi="宋体" w:cs="宋体" w:eastAsia="宋体" w:hint="default"/>
                <w:sz w:val="18"/>
                <w:szCs w:val="18"/>
              </w:rPr>
              <w:t>共计</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36,278,176.23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公司近</w:t>
      </w:r>
      <w:r>
        <w:rPr>
          <w:spacing w:val="-11"/>
        </w:rPr>
        <w:t> </w:t>
      </w:r>
      <w:r>
        <w:rPr>
          <w:rFonts w:ascii="宋体" w:hAnsi="宋体" w:cs="宋体" w:eastAsia="宋体" w:hint="default"/>
        </w:rPr>
        <w:t>3</w:t>
      </w:r>
      <w:r>
        <w:rPr>
          <w:rFonts w:ascii="宋体" w:hAnsi="宋体" w:cs="宋体" w:eastAsia="宋体" w:hint="default"/>
          <w:spacing w:val="-11"/>
        </w:rPr>
        <w:t> </w:t>
      </w:r>
      <w:r>
        <w:rPr/>
        <w:t>年（包括本报告期）的普通股股利分配方案（预案</w:t>
      </w:r>
      <w:r>
        <w:rPr>
          <w:spacing w:val="-105"/>
        </w:rPr>
        <w:t>）</w:t>
      </w:r>
      <w:r>
        <w:rPr/>
        <w:t>、资本</w:t>
      </w:r>
      <w:r>
        <w:rPr>
          <w:spacing w:val="-2"/>
        </w:rPr>
        <w:t>公</w:t>
      </w:r>
      <w:r>
        <w:rPr/>
        <w:t>积金转增股本方案（预案）情</w:t>
      </w:r>
    </w:p>
    <w:p>
      <w:pPr>
        <w:pStyle w:val="BodyText"/>
        <w:spacing w:line="240" w:lineRule="auto" w:before="66"/>
        <w:ind w:left="214" w:right="1016"/>
        <w:jc w:val="left"/>
      </w:pPr>
      <w:r>
        <w:rPr/>
        <w:t>况</w:t>
      </w:r>
    </w:p>
    <w:p>
      <w:pPr>
        <w:spacing w:line="240" w:lineRule="auto" w:before="1"/>
        <w:rPr>
          <w:rFonts w:ascii="宋体" w:hAnsi="宋体" w:cs="宋体" w:eastAsia="宋体" w:hint="default"/>
          <w:sz w:val="15"/>
          <w:szCs w:val="15"/>
        </w:rPr>
      </w:pPr>
    </w:p>
    <w:p>
      <w:pPr>
        <w:pStyle w:val="BodyText"/>
        <w:spacing w:line="240" w:lineRule="auto" w:before="35"/>
        <w:ind w:right="1016"/>
        <w:jc w:val="left"/>
        <w:rPr>
          <w:rFonts w:ascii="宋体" w:hAnsi="宋体" w:cs="宋体" w:eastAsia="宋体" w:hint="default"/>
        </w:rPr>
      </w:pPr>
      <w:r>
        <w:rPr>
          <w:rFonts w:ascii="宋体" w:hAnsi="宋体" w:cs="宋体" w:eastAsia="宋体" w:hint="default"/>
          <w:spacing w:val="1"/>
        </w:rPr>
        <w:t>1</w:t>
      </w:r>
      <w:r>
        <w:rPr>
          <w:spacing w:val="-106"/>
        </w:rPr>
        <w:t>、</w:t>
      </w:r>
      <w:r>
        <w:rPr>
          <w:rFonts w:ascii="宋体" w:hAnsi="宋体" w:cs="宋体" w:eastAsia="宋体" w:hint="default"/>
        </w:rPr>
        <w:t>2016</w:t>
      </w:r>
      <w:r>
        <w:rPr>
          <w:rFonts w:ascii="宋体" w:hAnsi="宋体" w:cs="宋体" w:eastAsia="宋体" w:hint="default"/>
          <w:spacing w:val="-55"/>
        </w:rPr>
        <w:t> </w:t>
      </w:r>
      <w:r>
        <w:rPr/>
        <w:t>年</w:t>
      </w:r>
      <w:r>
        <w:rPr>
          <w:spacing w:val="-2"/>
        </w:rPr>
        <w:t>度</w:t>
      </w:r>
      <w:r>
        <w:rPr/>
        <w:t>利润分配预案</w:t>
      </w:r>
      <w:r>
        <w:rPr>
          <w:spacing w:val="-105"/>
        </w:rPr>
        <w:t>：</w:t>
      </w:r>
      <w:r>
        <w:rPr/>
        <w:t>以公司</w:t>
      </w:r>
      <w:r>
        <w:rPr>
          <w:spacing w:val="-2"/>
        </w:rPr>
        <w:t>现</w:t>
      </w:r>
      <w:r>
        <w:rPr/>
        <w:t>有总股本</w:t>
      </w:r>
      <w:r>
        <w:rPr>
          <w:spacing w:val="-56"/>
        </w:rPr>
        <w:t> </w:t>
      </w:r>
      <w:r>
        <w:rPr>
          <w:rFonts w:ascii="宋体" w:hAnsi="宋体" w:cs="宋体" w:eastAsia="宋体" w:hint="default"/>
        </w:rPr>
        <w:t>402,887,658</w:t>
      </w:r>
      <w:r>
        <w:rPr>
          <w:rFonts w:ascii="宋体" w:hAnsi="宋体" w:cs="宋体" w:eastAsia="宋体" w:hint="default"/>
          <w:spacing w:val="-56"/>
        </w:rPr>
        <w:t> </w:t>
      </w:r>
      <w:r>
        <w:rPr>
          <w:spacing w:val="-2"/>
        </w:rPr>
        <w:t>股</w:t>
      </w:r>
      <w:r>
        <w:rPr/>
        <w:t>为基数</w:t>
      </w:r>
      <w:r>
        <w:rPr>
          <w:spacing w:val="-105"/>
        </w:rPr>
        <w:t>，</w:t>
      </w:r>
      <w:r>
        <w:rPr/>
        <w:t>向</w:t>
      </w:r>
      <w:r>
        <w:rPr>
          <w:spacing w:val="-2"/>
        </w:rPr>
        <w:t>全</w:t>
      </w:r>
      <w:r>
        <w:rPr/>
        <w:t>体股东每</w:t>
      </w:r>
      <w:r>
        <w:rPr>
          <w:spacing w:val="-56"/>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7"/>
        </w:rPr>
        <w:t> </w:t>
      </w:r>
      <w:r>
        <w:rPr/>
        <w:t>股派</w:t>
      </w:r>
      <w:r>
        <w:rPr>
          <w:spacing w:val="-56"/>
        </w:rPr>
        <w:t> </w:t>
      </w:r>
      <w:r>
        <w:rPr>
          <w:rFonts w:ascii="宋体" w:hAnsi="宋体" w:cs="宋体" w:eastAsia="宋体" w:hint="default"/>
        </w:rPr>
        <w:t>0.700298</w:t>
      </w:r>
    </w:p>
    <w:p>
      <w:pPr>
        <w:pStyle w:val="BodyText"/>
        <w:spacing w:line="240" w:lineRule="auto" w:before="66"/>
        <w:ind w:left="214" w:right="1016"/>
        <w:jc w:val="left"/>
      </w:pPr>
      <w:r>
        <w:rPr/>
        <w:t>元人民币现金。该利润分配方案已于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日实施完毕。</w:t>
      </w:r>
    </w:p>
    <w:p>
      <w:pPr>
        <w:spacing w:line="240" w:lineRule="auto" w:before="12"/>
        <w:rPr>
          <w:rFonts w:ascii="宋体" w:hAnsi="宋体" w:cs="宋体" w:eastAsia="宋体" w:hint="default"/>
          <w:sz w:val="17"/>
          <w:szCs w:val="17"/>
        </w:rPr>
      </w:pPr>
    </w:p>
    <w:p>
      <w:pPr>
        <w:pStyle w:val="BodyText"/>
        <w:spacing w:line="297" w:lineRule="auto"/>
        <w:ind w:left="214" w:right="1119" w:firstLine="420"/>
        <w:jc w:val="left"/>
      </w:pPr>
      <w:r>
        <w:rPr>
          <w:rFonts w:ascii="宋体" w:hAnsi="宋体" w:cs="宋体" w:eastAsia="宋体" w:hint="default"/>
          <w:spacing w:val="-5"/>
        </w:rPr>
        <w:t>2</w:t>
      </w:r>
      <w:r>
        <w:rPr>
          <w:spacing w:val="-5"/>
        </w:rPr>
        <w:t>、</w:t>
      </w:r>
      <w:r>
        <w:rPr>
          <w:rFonts w:ascii="宋体" w:hAnsi="宋体" w:cs="宋体" w:eastAsia="宋体" w:hint="default"/>
          <w:spacing w:val="-5"/>
        </w:rPr>
        <w:t>2017</w:t>
      </w:r>
      <w:r>
        <w:rPr>
          <w:rFonts w:ascii="宋体" w:hAnsi="宋体" w:cs="宋体" w:eastAsia="宋体" w:hint="default"/>
          <w:spacing w:val="-56"/>
        </w:rPr>
        <w:t> </w:t>
      </w:r>
      <w:r>
        <w:rPr/>
        <w:t>年度利润分配方案：以公司本次董事会召开日的总股本</w:t>
      </w:r>
      <w:r>
        <w:rPr>
          <w:spacing w:val="-58"/>
        </w:rPr>
        <w:t> </w:t>
      </w:r>
      <w:r>
        <w:rPr>
          <w:rFonts w:ascii="宋体" w:hAnsi="宋体" w:cs="宋体" w:eastAsia="宋体" w:hint="default"/>
        </w:rPr>
        <w:t>403,090,847.00</w:t>
      </w:r>
      <w:r>
        <w:rPr>
          <w:rFonts w:ascii="宋体" w:hAnsi="宋体" w:cs="宋体" w:eastAsia="宋体" w:hint="default"/>
          <w:spacing w:val="-57"/>
        </w:rPr>
        <w:t> </w:t>
      </w:r>
      <w:r>
        <w:rPr>
          <w:spacing w:val="-4"/>
        </w:rPr>
        <w:t>股为基数，向全体股</w:t>
      </w:r>
      <w:r>
        <w:rPr/>
        <w:t> 东每</w:t>
      </w:r>
      <w:r>
        <w:rPr>
          <w:spacing w:val="-54"/>
        </w:rPr>
        <w:t> </w:t>
      </w:r>
      <w:r>
        <w:rPr>
          <w:rFonts w:ascii="宋体" w:hAnsi="宋体" w:cs="宋体" w:eastAsia="宋体" w:hint="default"/>
        </w:rPr>
        <w:t>10</w:t>
      </w:r>
      <w:r>
        <w:rPr>
          <w:rFonts w:ascii="宋体" w:hAnsi="宋体" w:cs="宋体" w:eastAsia="宋体" w:hint="default"/>
          <w:spacing w:val="-53"/>
        </w:rPr>
        <w:t> </w:t>
      </w:r>
      <w:r>
        <w:rPr/>
        <w:t>股派发现金股利人民币</w:t>
      </w:r>
      <w:r>
        <w:rPr>
          <w:spacing w:val="-54"/>
        </w:rPr>
        <w:t> </w:t>
      </w:r>
      <w:r>
        <w:rPr>
          <w:rFonts w:ascii="宋体" w:hAnsi="宋体" w:cs="宋体" w:eastAsia="宋体" w:hint="default"/>
        </w:rPr>
        <w:t>0.8</w:t>
      </w:r>
      <w:r>
        <w:rPr>
          <w:rFonts w:ascii="宋体" w:hAnsi="宋体" w:cs="宋体" w:eastAsia="宋体" w:hint="default"/>
          <w:spacing w:val="-54"/>
        </w:rPr>
        <w:t> </w:t>
      </w:r>
      <w:r>
        <w:rPr/>
        <w:t>元（含税），共计分配现金股利</w:t>
      </w:r>
      <w:r>
        <w:rPr>
          <w:spacing w:val="-53"/>
        </w:rPr>
        <w:t> </w:t>
      </w:r>
      <w:r>
        <w:rPr>
          <w:rFonts w:ascii="宋体" w:hAnsi="宋体" w:cs="宋体" w:eastAsia="宋体" w:hint="default"/>
        </w:rPr>
        <w:t>32,310,289.76</w:t>
      </w:r>
      <w:r>
        <w:rPr>
          <w:rFonts w:ascii="宋体" w:hAnsi="宋体" w:cs="宋体" w:eastAsia="宋体" w:hint="default"/>
          <w:spacing w:val="-54"/>
        </w:rPr>
        <w:t> </w:t>
      </w:r>
      <w:r>
        <w:rPr/>
        <w:t>元。</w:t>
      </w:r>
    </w:p>
    <w:p>
      <w:pPr>
        <w:spacing w:line="240" w:lineRule="auto" w:before="0"/>
        <w:rPr>
          <w:rFonts w:ascii="宋体" w:hAnsi="宋体" w:cs="宋体" w:eastAsia="宋体" w:hint="default"/>
          <w:sz w:val="14"/>
          <w:szCs w:val="14"/>
        </w:rPr>
      </w:pPr>
    </w:p>
    <w:p>
      <w:pPr>
        <w:pStyle w:val="BodyText"/>
        <w:spacing w:line="297" w:lineRule="auto"/>
        <w:ind w:left="214" w:right="1117" w:firstLine="420"/>
        <w:jc w:val="left"/>
      </w:pP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43"/>
        </w:rPr>
        <w:t> </w:t>
      </w:r>
      <w:r>
        <w:rPr/>
        <w:t>年度利润分配方案：以公司本次董事会召开日的总股本</w:t>
      </w:r>
      <w:r>
        <w:rPr>
          <w:spacing w:val="-44"/>
        </w:rPr>
        <w:t> </w:t>
      </w:r>
      <w:r>
        <w:rPr>
          <w:rFonts w:ascii="宋体" w:hAnsi="宋体" w:cs="宋体" w:eastAsia="宋体" w:hint="default"/>
        </w:rPr>
        <w:t>403,878,622</w:t>
      </w:r>
      <w:r>
        <w:rPr>
          <w:rFonts w:ascii="宋体" w:hAnsi="宋体" w:cs="宋体" w:eastAsia="宋体" w:hint="default"/>
          <w:spacing w:val="-43"/>
        </w:rPr>
        <w:t> </w:t>
      </w:r>
      <w:r>
        <w:rPr/>
        <w:t>股为基数，向全体股东 每</w:t>
      </w:r>
      <w:r>
        <w:rPr>
          <w:spacing w:val="-55"/>
        </w:rPr>
        <w:t> </w:t>
      </w:r>
      <w:r>
        <w:rPr>
          <w:rFonts w:ascii="宋体" w:hAnsi="宋体" w:cs="宋体" w:eastAsia="宋体" w:hint="default"/>
        </w:rPr>
        <w:t>10</w:t>
      </w:r>
      <w:r>
        <w:rPr>
          <w:rFonts w:ascii="宋体" w:hAnsi="宋体" w:cs="宋体" w:eastAsia="宋体" w:hint="default"/>
          <w:spacing w:val="-54"/>
        </w:rPr>
        <w:t> </w:t>
      </w:r>
      <w:r>
        <w:rPr/>
        <w:t>股派发现金股利人民币</w:t>
      </w:r>
      <w:r>
        <w:rPr>
          <w:spacing w:val="-55"/>
        </w:rPr>
        <w:t> </w:t>
      </w:r>
      <w:r>
        <w:rPr>
          <w:rFonts w:ascii="宋体" w:hAnsi="宋体" w:cs="宋体" w:eastAsia="宋体" w:hint="default"/>
        </w:rPr>
        <w:t>0.9</w:t>
      </w:r>
      <w:r>
        <w:rPr>
          <w:rFonts w:ascii="宋体" w:hAnsi="宋体" w:cs="宋体" w:eastAsia="宋体" w:hint="default"/>
          <w:spacing w:val="-54"/>
        </w:rPr>
        <w:t> </w:t>
      </w:r>
      <w:r>
        <w:rPr/>
        <w:t>元（含税），共计分配现金股利</w:t>
      </w:r>
      <w:r>
        <w:rPr>
          <w:spacing w:val="-54"/>
        </w:rPr>
        <w:t> </w:t>
      </w:r>
      <w:r>
        <w:rPr>
          <w:rFonts w:ascii="宋体" w:hAnsi="宋体" w:cs="宋体" w:eastAsia="宋体" w:hint="default"/>
        </w:rPr>
        <w:t>36,278,176.23</w:t>
      </w:r>
      <w:r>
        <w:rPr>
          <w:rFonts w:ascii="宋体" w:hAnsi="宋体" w:cs="宋体" w:eastAsia="宋体" w:hint="default"/>
          <w:spacing w:val="-54"/>
        </w:rPr>
        <w:t> </w:t>
      </w:r>
      <w:r>
        <w:rPr/>
        <w:t>元。</w:t>
      </w:r>
    </w:p>
    <w:p>
      <w:pPr>
        <w:spacing w:line="240" w:lineRule="auto" w:before="12"/>
        <w:rPr>
          <w:rFonts w:ascii="宋体" w:hAnsi="宋体" w:cs="宋体" w:eastAsia="宋体" w:hint="default"/>
          <w:sz w:val="13"/>
          <w:szCs w:val="13"/>
        </w:rPr>
      </w:pPr>
    </w:p>
    <w:p>
      <w:pPr>
        <w:pStyle w:val="BodyText"/>
        <w:spacing w:line="240" w:lineRule="auto"/>
        <w:ind w:right="1016"/>
        <w:jc w:val="left"/>
      </w:pPr>
      <w:r>
        <w:rPr/>
        <w:t>公司近三年（包括本报告期）普通股现金分红情况表</w:t>
      </w:r>
    </w:p>
    <w:p>
      <w:pPr>
        <w:spacing w:line="240" w:lineRule="auto" w:before="4"/>
        <w:rPr>
          <w:rFonts w:ascii="宋体" w:hAnsi="宋体" w:cs="宋体" w:eastAsia="宋体" w:hint="default"/>
          <w:sz w:val="18"/>
          <w:szCs w:val="18"/>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203"/>
        <w:gridCol w:w="1250"/>
        <w:gridCol w:w="1342"/>
        <w:gridCol w:w="1202"/>
        <w:gridCol w:w="1202"/>
        <w:gridCol w:w="1203"/>
        <w:gridCol w:w="1250"/>
        <w:gridCol w:w="1203"/>
      </w:tblGrid>
      <w:tr>
        <w:trPr>
          <w:trHeight w:val="187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70" w:right="168"/>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26" w:right="125"/>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8"/>
              <w:ind w:left="146"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35" w:lineRule="exact"/>
              <w:ind w:left="146"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237" w:lineRule="auto" w:before="1"/>
              <w:ind w:left="146" w:right="144"/>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237" w:lineRule="auto" w:before="1"/>
              <w:ind w:left="146" w:right="144"/>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例</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03" w:right="100" w:hanging="2"/>
              <w:jc w:val="center"/>
              <w:rPr>
                <w:rFonts w:ascii="宋体" w:hAnsi="宋体" w:cs="宋体" w:eastAsia="宋体" w:hint="default"/>
                <w:sz w:val="18"/>
                <w:szCs w:val="18"/>
              </w:rPr>
            </w:pPr>
            <w:r>
              <w:rPr>
                <w:rFonts w:ascii="宋体" w:hAnsi="宋体" w:cs="宋体" w:eastAsia="宋体" w:hint="default"/>
                <w:sz w:val="18"/>
                <w:szCs w:val="18"/>
              </w:rPr>
              <w:t>现金分红总 </w:t>
            </w:r>
            <w:r>
              <w:rPr>
                <w:rFonts w:ascii="宋体" w:hAnsi="宋体" w:cs="宋体" w:eastAsia="宋体" w:hint="default"/>
                <w:spacing w:val="-8"/>
                <w:sz w:val="18"/>
                <w:szCs w:val="18"/>
              </w:rPr>
              <w:t>额（含其他方</w:t>
            </w:r>
            <w:r>
              <w:rPr>
                <w:rFonts w:ascii="宋体" w:hAnsi="宋体" w:cs="宋体" w:eastAsia="宋体" w:hint="default"/>
                <w:sz w:val="18"/>
                <w:szCs w:val="18"/>
              </w:rPr>
              <w:t> 式）</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现金分红总</w:t>
            </w:r>
          </w:p>
          <w:p>
            <w:pPr>
              <w:pStyle w:val="TableParagraph"/>
              <w:spacing w:line="237" w:lineRule="auto" w:before="1"/>
              <w:ind w:left="146" w:right="146"/>
              <w:jc w:val="center"/>
              <w:rPr>
                <w:rFonts w:ascii="宋体" w:hAnsi="宋体" w:cs="宋体" w:eastAsia="宋体" w:hint="default"/>
                <w:sz w:val="18"/>
                <w:szCs w:val="18"/>
              </w:rPr>
            </w:pPr>
            <w:r>
              <w:rPr>
                <w:rFonts w:ascii="宋体" w:hAnsi="宋体" w:cs="宋体" w:eastAsia="宋体" w:hint="default"/>
                <w:sz w:val="18"/>
                <w:szCs w:val="18"/>
              </w:rPr>
              <w:t>额（含其他 方式）占合 并报表中归 属于上市公 司普通股股 东的净利润 的比率</w:t>
            </w:r>
          </w:p>
        </w:tc>
      </w:tr>
      <w:tr>
        <w:trPr>
          <w:trHeight w:val="40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36,278,176.23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164,304,280.80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22.08%</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36,278,176.23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22.08%</w:t>
            </w:r>
          </w:p>
        </w:tc>
      </w:tr>
      <w:tr>
        <w:trPr>
          <w:trHeight w:val="408"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32,310,289.76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78,044,301.23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41.40%</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32,310,289.76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41.40%</w:t>
            </w:r>
          </w:p>
        </w:tc>
      </w:tr>
      <w:tr>
        <w:trPr>
          <w:trHeight w:val="40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28,214,175.08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120,282,199.78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23.46%</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28,214,175.08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23.46%</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公司报告期内盈利且母公司可供普通股股东分配利润为正但未提出普通股现金红利分配预案</w:t>
      </w:r>
    </w:p>
    <w:p>
      <w:pPr>
        <w:spacing w:line="240" w:lineRule="auto" w:before="12"/>
        <w:rPr>
          <w:rFonts w:ascii="宋体" w:hAnsi="宋体" w:cs="宋体" w:eastAsia="宋体" w:hint="default"/>
          <w:sz w:val="17"/>
          <w:szCs w:val="17"/>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01" w:footer="1007" w:top="1100" w:bottom="1200" w:left="920" w:right="0"/>
        </w:sectPr>
      </w:pPr>
    </w:p>
    <w:p>
      <w:pPr>
        <w:spacing w:line="240" w:lineRule="auto" w:before="9"/>
        <w:rPr>
          <w:rFonts w:ascii="宋体" w:hAnsi="宋体" w:cs="宋体" w:eastAsia="宋体" w:hint="default"/>
          <w:sz w:val="26"/>
          <w:szCs w:val="26"/>
        </w:rPr>
      </w:pPr>
    </w:p>
    <w:p>
      <w:pPr>
        <w:pStyle w:val="Heading2"/>
        <w:spacing w:line="397" w:lineRule="exact"/>
        <w:ind w:right="1016"/>
        <w:jc w:val="left"/>
      </w:pPr>
      <w:bookmarkStart w:name="二、承诺事项履行情况" w:id="60"/>
      <w:bookmarkEnd w:id="60"/>
      <w:r>
        <w:rPr/>
      </w:r>
      <w:r>
        <w:rPr/>
        <w:t>二、承诺事项履行情况</w:t>
      </w:r>
    </w:p>
    <w:p>
      <w:pPr>
        <w:spacing w:line="240" w:lineRule="auto" w:before="9"/>
        <w:rPr>
          <w:rFonts w:ascii="微软雅黑" w:hAnsi="微软雅黑" w:cs="微软雅黑" w:eastAsia="微软雅黑" w:hint="default"/>
          <w:sz w:val="21"/>
          <w:szCs w:val="21"/>
        </w:rPr>
      </w:pPr>
    </w:p>
    <w:p>
      <w:pPr>
        <w:pStyle w:val="BodyText"/>
        <w:spacing w:line="357" w:lineRule="auto"/>
        <w:ind w:left="214" w:right="1016" w:firstLine="420"/>
        <w:jc w:val="left"/>
        <w:rPr>
          <w:rFonts w:ascii="微软雅黑" w:hAnsi="微软雅黑" w:cs="微软雅黑" w:eastAsia="微软雅黑" w:hint="default"/>
        </w:rPr>
      </w:pPr>
      <w:bookmarkStart w:name="1、公司实际控制人、股东、关联方、收购人以及公司等承诺相关方在报告期内履行完毕及" w:id="61"/>
      <w:bookmarkEnd w:id="61"/>
      <w:r>
        <w:rPr/>
      </w:r>
      <w:r>
        <w:rPr>
          <w:rFonts w:ascii="Times New Roman" w:hAnsi="Times New Roman" w:cs="Times New Roman" w:eastAsia="Times New Roman" w:hint="default"/>
        </w:rPr>
        <w:t>1</w:t>
      </w:r>
      <w:r>
        <w:rPr>
          <w:rFonts w:ascii="微软雅黑" w:hAnsi="微软雅黑" w:cs="微软雅黑" w:eastAsia="微软雅黑" w:hint="default"/>
        </w:rPr>
        <w:t>、公司实际控制人、股东、关联方、收购人以及公司等承诺相关方在报告期内履行完毕及截至报告 期末尚未履行完毕的承诺事项</w:t>
      </w:r>
    </w:p>
    <w:p>
      <w:pPr>
        <w:spacing w:line="240" w:lineRule="auto" w:before="14"/>
        <w:rPr>
          <w:rFonts w:ascii="微软雅黑" w:hAnsi="微软雅黑" w:cs="微软雅黑" w:eastAsia="微软雅黑"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959"/>
        <w:gridCol w:w="709"/>
        <w:gridCol w:w="850"/>
        <w:gridCol w:w="4963"/>
        <w:gridCol w:w="992"/>
        <w:gridCol w:w="708"/>
        <w:gridCol w:w="674"/>
      </w:tblGrid>
      <w:tr>
        <w:trPr>
          <w:trHeight w:val="476"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承诺类</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2"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5" w:lineRule="exact"/>
              <w:ind w:left="15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177"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收购报告</w:t>
            </w:r>
          </w:p>
          <w:p>
            <w:pPr>
              <w:pStyle w:val="TableParagraph"/>
              <w:spacing w:line="237" w:lineRule="auto"/>
              <w:ind w:left="103" w:right="124"/>
              <w:jc w:val="both"/>
              <w:rPr>
                <w:rFonts w:ascii="宋体" w:hAnsi="宋体" w:cs="宋体" w:eastAsia="宋体" w:hint="default"/>
                <w:sz w:val="18"/>
                <w:szCs w:val="18"/>
              </w:rPr>
            </w:pPr>
            <w:r>
              <w:rPr>
                <w:rFonts w:ascii="宋体" w:hAnsi="宋体" w:cs="宋体" w:eastAsia="宋体" w:hint="default"/>
                <w:sz w:val="18"/>
                <w:szCs w:val="18"/>
              </w:rPr>
              <w:t>书或权益 变动报告 书中所作 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1878" w:hRule="exact"/>
        </w:trPr>
        <w:tc>
          <w:tcPr>
            <w:tcW w:w="9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4"/>
              <w:ind w:right="0"/>
              <w:jc w:val="left"/>
              <w:rPr>
                <w:rFonts w:ascii="微软雅黑" w:hAnsi="微软雅黑" w:cs="微软雅黑" w:eastAsia="微软雅黑" w:hint="default"/>
                <w:sz w:val="16"/>
                <w:szCs w:val="16"/>
              </w:rPr>
            </w:pPr>
          </w:p>
          <w:p>
            <w:pPr>
              <w:pStyle w:val="TableParagraph"/>
              <w:spacing w:line="237" w:lineRule="auto"/>
              <w:ind w:left="103" w:right="124"/>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4"/>
              <w:ind w:right="0"/>
              <w:jc w:val="left"/>
              <w:rPr>
                <w:rFonts w:ascii="微软雅黑" w:hAnsi="微软雅黑" w:cs="微软雅黑" w:eastAsia="微软雅黑" w:hint="default"/>
                <w:sz w:val="20"/>
                <w:szCs w:val="20"/>
              </w:rPr>
            </w:pPr>
          </w:p>
          <w:p>
            <w:pPr>
              <w:pStyle w:val="TableParagraph"/>
              <w:spacing w:line="240" w:lineRule="auto"/>
              <w:ind w:left="103" w:right="234"/>
              <w:jc w:val="left"/>
              <w:rPr>
                <w:rFonts w:ascii="宋体" w:hAnsi="宋体" w:cs="宋体" w:eastAsia="宋体" w:hint="default"/>
                <w:sz w:val="18"/>
                <w:szCs w:val="18"/>
              </w:rPr>
            </w:pPr>
            <w:r>
              <w:rPr>
                <w:rFonts w:ascii="宋体" w:hAnsi="宋体" w:cs="宋体" w:eastAsia="宋体" w:hint="default"/>
                <w:sz w:val="18"/>
                <w:szCs w:val="18"/>
              </w:rPr>
              <w:t>赵鸿 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4"/>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22"/>
                <w:sz w:val="18"/>
                <w:szCs w:val="18"/>
              </w:rPr>
              <w:t>易、资金</w:t>
            </w:r>
            <w:r>
              <w:rPr>
                <w:rFonts w:ascii="宋体" w:hAnsi="宋体" w:cs="宋体" w:eastAsia="宋体" w:hint="default"/>
                <w:sz w:val="18"/>
                <w:szCs w:val="18"/>
              </w:rPr>
              <w:t> 占用方 面的承</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、本人承诺，本人将不会并且将要求、督促本人控制的下属</w:t>
            </w:r>
          </w:p>
          <w:p>
            <w:pPr>
              <w:pStyle w:val="TableParagraph"/>
              <w:spacing w:line="235" w:lineRule="auto"/>
              <w:ind w:left="103" w:right="102"/>
              <w:jc w:val="left"/>
              <w:rPr>
                <w:rFonts w:ascii="宋体" w:hAnsi="宋体" w:cs="宋体" w:eastAsia="宋体" w:hint="default"/>
                <w:sz w:val="18"/>
                <w:szCs w:val="18"/>
              </w:rPr>
            </w:pPr>
            <w:r>
              <w:rPr>
                <w:rFonts w:ascii="宋体" w:hAnsi="宋体" w:cs="宋体" w:eastAsia="宋体" w:hint="default"/>
                <w:sz w:val="18"/>
                <w:szCs w:val="18"/>
              </w:rPr>
              <w:t>企业不会在中国境内外任何地方、以任何形式直接或间接从 事与中科创达及其控制的其他企业构成竞争的业务或活动。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、如本人或本人控制的相关企业违反本承诺函，应负责赔偿</w:t>
            </w:r>
            <w:r>
              <w:rPr>
                <w:rFonts w:ascii="宋体" w:hAnsi="宋体" w:cs="宋体" w:eastAsia="宋体" w:hint="default"/>
                <w:sz w:val="18"/>
                <w:szCs w:val="18"/>
              </w:rPr>
              <w:t> 中科创达及其控制的其他企业因同业竞争行为而导致的损 失，并且本人及本人控制的相关企业从事与中科创达及其控 制的其他企业构成竞争业务所产生的全部收益均归中科创达 所有。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4"/>
              <w:ind w:right="0"/>
              <w:jc w:val="left"/>
              <w:rPr>
                <w:rFonts w:ascii="微软雅黑" w:hAnsi="微软雅黑" w:cs="微软雅黑" w:eastAsia="微软雅黑" w:hint="default"/>
                <w:sz w:val="20"/>
                <w:szCs w:val="20"/>
              </w:rPr>
            </w:pPr>
          </w:p>
          <w:p>
            <w:pPr>
              <w:pStyle w:val="TableParagraph"/>
              <w:spacing w:line="242"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4"/>
              <w:ind w:right="0"/>
              <w:jc w:val="left"/>
              <w:rPr>
                <w:rFonts w:ascii="微软雅黑" w:hAnsi="微软雅黑" w:cs="微软雅黑" w:eastAsia="微软雅黑" w:hint="default"/>
                <w:sz w:val="20"/>
                <w:szCs w:val="20"/>
              </w:rPr>
            </w:pPr>
          </w:p>
          <w:p>
            <w:pPr>
              <w:pStyle w:val="TableParagraph"/>
              <w:spacing w:line="240" w:lineRule="auto"/>
              <w:ind w:left="103" w:right="233"/>
              <w:jc w:val="left"/>
              <w:rPr>
                <w:rFonts w:ascii="宋体" w:hAnsi="宋体" w:cs="宋体" w:eastAsia="宋体" w:hint="default"/>
                <w:sz w:val="18"/>
                <w:szCs w:val="18"/>
              </w:rPr>
            </w:pPr>
            <w:r>
              <w:rPr>
                <w:rFonts w:ascii="宋体" w:hAnsi="宋体" w:cs="宋体" w:eastAsia="宋体" w:hint="default"/>
                <w:sz w:val="18"/>
                <w:szCs w:val="18"/>
              </w:rPr>
              <w:t>无限 期</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4"/>
              <w:ind w:right="0"/>
              <w:jc w:val="left"/>
              <w:rPr>
                <w:rFonts w:ascii="微软雅黑" w:hAnsi="微软雅黑" w:cs="微软雅黑" w:eastAsia="微软雅黑" w:hint="default"/>
                <w:sz w:val="20"/>
                <w:szCs w:val="20"/>
              </w:rPr>
            </w:pPr>
          </w:p>
          <w:p>
            <w:pPr>
              <w:pStyle w:val="TableParagraph"/>
              <w:spacing w:line="240" w:lineRule="auto"/>
              <w:ind w:left="103" w:right="199"/>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2578" w:hRule="exact"/>
        </w:trPr>
        <w:tc>
          <w:tcPr>
            <w:tcW w:w="959"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8"/>
              <w:ind w:right="0"/>
              <w:jc w:val="left"/>
              <w:rPr>
                <w:rFonts w:ascii="微软雅黑" w:hAnsi="微软雅黑" w:cs="微软雅黑" w:eastAsia="微软雅黑" w:hint="default"/>
                <w:sz w:val="24"/>
                <w:szCs w:val="24"/>
              </w:rPr>
            </w:pPr>
          </w:p>
          <w:p>
            <w:pPr>
              <w:pStyle w:val="TableParagraph"/>
              <w:spacing w:line="234" w:lineRule="exact"/>
              <w:ind w:left="103" w:right="234"/>
              <w:jc w:val="left"/>
              <w:rPr>
                <w:rFonts w:ascii="宋体" w:hAnsi="宋体" w:cs="宋体" w:eastAsia="宋体" w:hint="default"/>
                <w:sz w:val="18"/>
                <w:szCs w:val="18"/>
              </w:rPr>
            </w:pPr>
            <w:r>
              <w:rPr>
                <w:rFonts w:ascii="宋体" w:hAnsi="宋体" w:cs="宋体" w:eastAsia="宋体" w:hint="default"/>
                <w:sz w:val="18"/>
                <w:szCs w:val="18"/>
              </w:rPr>
              <w:t>赵鸿 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微软雅黑" w:hAnsi="微软雅黑" w:cs="微软雅黑" w:eastAsia="微软雅黑" w:hint="default"/>
                <w:sz w:val="25"/>
                <w:szCs w:val="25"/>
              </w:rPr>
            </w:pPr>
          </w:p>
          <w:p>
            <w:pPr>
              <w:pStyle w:val="TableParagraph"/>
              <w:spacing w:line="237" w:lineRule="auto"/>
              <w:ind w:left="103" w:right="14"/>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22"/>
                <w:sz w:val="18"/>
                <w:szCs w:val="18"/>
              </w:rPr>
              <w:t>易、资金</w:t>
            </w:r>
            <w:r>
              <w:rPr>
                <w:rFonts w:ascii="宋体" w:hAnsi="宋体" w:cs="宋体" w:eastAsia="宋体" w:hint="default"/>
                <w:sz w:val="18"/>
                <w:szCs w:val="18"/>
              </w:rPr>
              <w:t> 占用方 面的承</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、本次交易完成后，本人与中科创达及其控制的其他企业将</w:t>
            </w:r>
          </w:p>
          <w:p>
            <w:pPr>
              <w:pStyle w:val="TableParagraph"/>
              <w:spacing w:line="235" w:lineRule="auto"/>
              <w:ind w:left="103" w:right="11"/>
              <w:jc w:val="left"/>
              <w:rPr>
                <w:rFonts w:ascii="宋体" w:hAnsi="宋体" w:cs="宋体" w:eastAsia="宋体" w:hint="default"/>
                <w:sz w:val="18"/>
                <w:szCs w:val="18"/>
              </w:rPr>
            </w:pPr>
            <w:r>
              <w:rPr>
                <w:rFonts w:ascii="宋体" w:hAnsi="宋体" w:cs="宋体" w:eastAsia="宋体" w:hint="default"/>
                <w:sz w:val="18"/>
                <w:szCs w:val="18"/>
              </w:rPr>
              <w:t>尽可能的避免和减少关联交易。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、对于确有必要且无法避免 的关联交易，本人将遵循市场化的公正、公平、公开原则， </w:t>
            </w:r>
            <w:r>
              <w:rPr>
                <w:rFonts w:ascii="宋体" w:hAnsi="宋体" w:cs="宋体" w:eastAsia="宋体" w:hint="default"/>
                <w:spacing w:val="-1"/>
                <w:sz w:val="18"/>
                <w:szCs w:val="18"/>
              </w:rPr>
              <w:t>按照有关法律法规、规范性文件和《公司章程》等有关规定，</w:t>
            </w:r>
            <w:r>
              <w:rPr>
                <w:rFonts w:ascii="宋体" w:hAnsi="宋体" w:cs="宋体" w:eastAsia="宋体" w:hint="default"/>
                <w:sz w:val="18"/>
                <w:szCs w:val="18"/>
              </w:rPr>
              <w:t> 履行包括回避表决等合法程序，不通过关联关系谋求特殊利 益，不会进行任何有损中科创达及中科创达其他股东利益， 特别是中小股东利益的关联交易。</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、本人及本人的关联方将 不以任何方式违法违规占用中科创达及其控制的其他企业的 资金、资产，亦不要求中科创达及其控制的其他企业为本人 </w:t>
            </w:r>
            <w:r>
              <w:rPr>
                <w:rFonts w:ascii="宋体" w:hAnsi="宋体" w:cs="宋体" w:eastAsia="宋体" w:hint="default"/>
                <w:spacing w:val="-1"/>
                <w:sz w:val="18"/>
                <w:szCs w:val="18"/>
              </w:rPr>
              <w:t>及本人的关联方进行违规担保。本人同意，若违反上述承诺，</w:t>
            </w:r>
            <w:r>
              <w:rPr>
                <w:rFonts w:ascii="宋体" w:hAnsi="宋体" w:cs="宋体" w:eastAsia="宋体" w:hint="default"/>
                <w:sz w:val="18"/>
                <w:szCs w:val="18"/>
              </w:rPr>
              <w:t> 将承担因此而给中科创达及其股东造成的一切损失。</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2"/>
              <w:ind w:right="0"/>
              <w:jc w:val="left"/>
              <w:rPr>
                <w:rFonts w:ascii="微软雅黑" w:hAnsi="微软雅黑" w:cs="微软雅黑" w:eastAsia="微软雅黑" w:hint="default"/>
                <w:sz w:val="23"/>
                <w:szCs w:val="23"/>
              </w:rPr>
            </w:pPr>
          </w:p>
          <w:p>
            <w:pPr>
              <w:pStyle w:val="TableParagraph"/>
              <w:spacing w:line="24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8"/>
              <w:ind w:right="0"/>
              <w:jc w:val="left"/>
              <w:rPr>
                <w:rFonts w:ascii="微软雅黑" w:hAnsi="微软雅黑" w:cs="微软雅黑" w:eastAsia="微软雅黑" w:hint="default"/>
                <w:sz w:val="24"/>
                <w:szCs w:val="24"/>
              </w:rPr>
            </w:pPr>
          </w:p>
          <w:p>
            <w:pPr>
              <w:pStyle w:val="TableParagraph"/>
              <w:spacing w:line="234" w:lineRule="exact"/>
              <w:ind w:left="103" w:right="233"/>
              <w:jc w:val="left"/>
              <w:rPr>
                <w:rFonts w:ascii="宋体" w:hAnsi="宋体" w:cs="宋体" w:eastAsia="宋体" w:hint="default"/>
                <w:sz w:val="18"/>
                <w:szCs w:val="18"/>
              </w:rPr>
            </w:pPr>
            <w:r>
              <w:rPr>
                <w:rFonts w:ascii="宋体" w:hAnsi="宋体" w:cs="宋体" w:eastAsia="宋体" w:hint="default"/>
                <w:sz w:val="18"/>
                <w:szCs w:val="18"/>
              </w:rPr>
              <w:t>无限 期</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8"/>
              <w:ind w:right="0"/>
              <w:jc w:val="left"/>
              <w:rPr>
                <w:rFonts w:ascii="微软雅黑" w:hAnsi="微软雅黑" w:cs="微软雅黑" w:eastAsia="微软雅黑" w:hint="default"/>
                <w:sz w:val="24"/>
                <w:szCs w:val="24"/>
              </w:rPr>
            </w:pPr>
          </w:p>
          <w:p>
            <w:pPr>
              <w:pStyle w:val="TableParagraph"/>
              <w:spacing w:line="234" w:lineRule="exact"/>
              <w:ind w:left="103" w:right="199"/>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4913" w:hRule="exact"/>
        </w:trPr>
        <w:tc>
          <w:tcPr>
            <w:tcW w:w="9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9"/>
              <w:ind w:right="0"/>
              <w:jc w:val="left"/>
              <w:rPr>
                <w:rFonts w:ascii="微软雅黑" w:hAnsi="微软雅黑" w:cs="微软雅黑" w:eastAsia="微软雅黑" w:hint="default"/>
                <w:sz w:val="11"/>
                <w:szCs w:val="11"/>
              </w:rPr>
            </w:pPr>
          </w:p>
          <w:p>
            <w:pPr>
              <w:pStyle w:val="TableParagraph"/>
              <w:spacing w:line="237" w:lineRule="auto"/>
              <w:ind w:left="103" w:right="124"/>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1"/>
              <w:ind w:right="0"/>
              <w:jc w:val="left"/>
              <w:rPr>
                <w:rFonts w:ascii="微软雅黑" w:hAnsi="微软雅黑" w:cs="微软雅黑" w:eastAsia="微软雅黑" w:hint="default"/>
                <w:sz w:val="18"/>
                <w:szCs w:val="18"/>
              </w:rPr>
            </w:pPr>
          </w:p>
          <w:p>
            <w:pPr>
              <w:pStyle w:val="TableParagraph"/>
              <w:spacing w:line="240" w:lineRule="auto"/>
              <w:ind w:left="103" w:right="234"/>
              <w:jc w:val="left"/>
              <w:rPr>
                <w:rFonts w:ascii="宋体" w:hAnsi="宋体" w:cs="宋体" w:eastAsia="宋体" w:hint="default"/>
                <w:sz w:val="18"/>
                <w:szCs w:val="18"/>
              </w:rPr>
            </w:pPr>
            <w:r>
              <w:rPr>
                <w:rFonts w:ascii="宋体" w:hAnsi="宋体" w:cs="宋体" w:eastAsia="宋体" w:hint="default"/>
                <w:sz w:val="18"/>
                <w:szCs w:val="18"/>
              </w:rPr>
              <w:t>赵鸿 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1"/>
              <w:ind w:right="0"/>
              <w:jc w:val="left"/>
              <w:rPr>
                <w:rFonts w:ascii="微软雅黑" w:hAnsi="微软雅黑" w:cs="微软雅黑" w:eastAsia="微软雅黑" w:hint="default"/>
                <w:sz w:val="18"/>
                <w:szCs w:val="18"/>
              </w:rPr>
            </w:pPr>
          </w:p>
          <w:p>
            <w:pPr>
              <w:pStyle w:val="TableParagraph"/>
              <w:spacing w:line="240" w:lineRule="auto"/>
              <w:ind w:left="103" w:right="19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本公司控股股东、实际控制人、公司董事长赵鸿飞就所持股</w:t>
            </w:r>
          </w:p>
          <w:p>
            <w:pPr>
              <w:pStyle w:val="TableParagraph"/>
              <w:spacing w:line="235" w:lineRule="auto" w:before="3"/>
              <w:ind w:left="103" w:right="19"/>
              <w:jc w:val="left"/>
              <w:rPr>
                <w:rFonts w:ascii="宋体" w:hAnsi="宋体" w:cs="宋体" w:eastAsia="宋体" w:hint="default"/>
                <w:sz w:val="18"/>
                <w:szCs w:val="18"/>
              </w:rPr>
            </w:pPr>
            <w:r>
              <w:rPr>
                <w:rFonts w:ascii="宋体" w:hAnsi="宋体" w:cs="宋体" w:eastAsia="宋体" w:hint="default"/>
                <w:sz w:val="18"/>
                <w:szCs w:val="18"/>
              </w:rPr>
              <w:t>份的限售安排、自愿锁定股份、延长锁定期限的承诺就公司 股票的锁定期限承诺如下：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、自公司股票在深圳证券交易所 创业板上市交易之日起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个月内，不转让或委托他人管理其 在公司首次公开发行股票前直接或间接持有的公司股份，也 不由公司回购该部分股份。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、在担任公司董事、监事或高级 管理人员期间，如实并及时申报直接或间接持有公司股份及 其变动情况；在上述承诺期限届满后，每年转让直接或间接 持有的公司股份不超过直接或间接持有公司股份总数的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；离职后六个月内，不转让直接或间接持有的公司股份； 在公司股票上市之日起六个月内申报离职的，自申报离职之 日起十八个月内不转让直接持有的公司的股份；在公司股票 上市之日起第七个月至第十二个月之间申报离职的，自申报 离职之日起十二个月内不转让直接持有的公司股份；若申报 离职，则自离职信息申报之日起六个月内，增持的公司股份 也将按上述承诺予以锁定。</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、公司股票上市后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个月内如股</w:t>
            </w:r>
          </w:p>
          <w:p>
            <w:pPr>
              <w:pStyle w:val="TableParagraph"/>
              <w:spacing w:line="232" w:lineRule="auto"/>
              <w:ind w:left="103" w:right="78"/>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个交易日的收盘价（如果因派发现金红利、送股、 转增股本、增发新股等原因进行除权、除息的，须按照深圳 证券交易所的有关规定作复权处理，下同）低于发行价，或 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个月期末收盘价低于发行价，持有发行人股票的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1"/>
              <w:ind w:right="0"/>
              <w:jc w:val="left"/>
              <w:rPr>
                <w:rFonts w:ascii="微软雅黑" w:hAnsi="微软雅黑" w:cs="微软雅黑" w:eastAsia="微软雅黑" w:hint="default"/>
                <w:sz w:val="18"/>
                <w:szCs w:val="18"/>
              </w:rPr>
            </w:pPr>
          </w:p>
          <w:p>
            <w:pPr>
              <w:pStyle w:val="TableParagraph"/>
              <w:spacing w:line="242"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1"/>
              <w:ind w:right="0"/>
              <w:jc w:val="left"/>
              <w:rPr>
                <w:rFonts w:ascii="微软雅黑" w:hAnsi="微软雅黑" w:cs="微软雅黑" w:eastAsia="微软雅黑" w:hint="default"/>
                <w:sz w:val="18"/>
                <w:szCs w:val="18"/>
              </w:rPr>
            </w:pPr>
          </w:p>
          <w:p>
            <w:pPr>
              <w:pStyle w:val="TableParagraph"/>
              <w:spacing w:line="240" w:lineRule="auto"/>
              <w:ind w:left="103" w:right="233"/>
              <w:jc w:val="left"/>
              <w:rPr>
                <w:rFonts w:ascii="宋体" w:hAnsi="宋体" w:cs="宋体" w:eastAsia="宋体" w:hint="default"/>
                <w:sz w:val="18"/>
                <w:szCs w:val="18"/>
              </w:rPr>
            </w:pPr>
            <w:r>
              <w:rPr>
                <w:rFonts w:ascii="宋体" w:hAnsi="宋体" w:cs="宋体" w:eastAsia="宋体" w:hint="default"/>
                <w:sz w:val="18"/>
                <w:szCs w:val="18"/>
              </w:rPr>
              <w:t>无限 期</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1"/>
              <w:ind w:right="0"/>
              <w:jc w:val="left"/>
              <w:rPr>
                <w:rFonts w:ascii="微软雅黑" w:hAnsi="微软雅黑" w:cs="微软雅黑" w:eastAsia="微软雅黑" w:hint="default"/>
                <w:sz w:val="18"/>
                <w:szCs w:val="18"/>
              </w:rPr>
            </w:pPr>
          </w:p>
          <w:p>
            <w:pPr>
              <w:pStyle w:val="TableParagraph"/>
              <w:spacing w:line="240" w:lineRule="auto"/>
              <w:ind w:left="103" w:right="199"/>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838" w:hRule="exact"/>
        </w:trPr>
        <w:tc>
          <w:tcPr>
            <w:tcW w:w="959"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04"/>
              <w:jc w:val="left"/>
              <w:rPr>
                <w:rFonts w:ascii="Times New Roman" w:hAnsi="Times New Roman" w:cs="Times New Roman" w:eastAsia="Times New Roman" w:hint="default"/>
                <w:sz w:val="18"/>
                <w:szCs w:val="18"/>
              </w:rPr>
            </w:pPr>
            <w:r>
              <w:rPr>
                <w:rFonts w:ascii="Times New Roman"/>
                <w:sz w:val="18"/>
              </w:rPr>
              <w:t>Qualc</w:t>
            </w:r>
            <w:r>
              <w:rPr>
                <w:rFonts w:ascii="Times New Roman"/>
                <w:w w:val="99"/>
                <w:sz w:val="18"/>
              </w:rPr>
              <w:t> </w:t>
            </w:r>
            <w:r>
              <w:rPr>
                <w:rFonts w:ascii="Times New Roman"/>
                <w:sz w:val="18"/>
              </w:rPr>
              <w:t>omm</w:t>
            </w:r>
            <w:r>
              <w:rPr>
                <w:rFonts w:ascii="Times New Roman"/>
                <w:w w:val="99"/>
                <w:sz w:val="18"/>
              </w:rPr>
              <w:t> </w:t>
            </w:r>
            <w:r>
              <w:rPr>
                <w:rFonts w:ascii="Times New Roman"/>
                <w:sz w:val="18"/>
              </w:rPr>
              <w:t>Intern</w:t>
            </w:r>
            <w:r>
              <w:rPr>
                <w:rFonts w:ascii="Times New Roman"/>
                <w:w w:val="99"/>
                <w:sz w:val="18"/>
              </w:rPr>
              <w:t> </w:t>
            </w:r>
            <w:r>
              <w:rPr>
                <w:rFonts w:ascii="Times New Roman"/>
                <w:sz w:val="18"/>
              </w:rPr>
              <w:t>ational</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19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41"/>
              <w:ind w:left="103"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、自公司本次发行并在证券交易所上市之日起十二个月内， 不转让或者委托他人管理其直接或间接持有的公司本次发行 前已发行的股份，也不由公司回购直接或间接持有的公司本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4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微软雅黑" w:hAnsi="微软雅黑" w:cs="微软雅黑" w:eastAsia="微软雅黑"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5"/>
              <w:ind w:left="103" w:right="199"/>
              <w:jc w:val="both"/>
              <w:rPr>
                <w:rFonts w:ascii="宋体" w:hAnsi="宋体" w:cs="宋体" w:eastAsia="宋体" w:hint="default"/>
                <w:sz w:val="18"/>
                <w:szCs w:val="18"/>
              </w:rPr>
            </w:pPr>
            <w:r>
              <w:rPr>
                <w:rFonts w:ascii="宋体" w:hAnsi="宋体" w:cs="宋体" w:eastAsia="宋体" w:hint="default"/>
                <w:sz w:val="18"/>
                <w:szCs w:val="18"/>
              </w:rPr>
              <w:t>已履 行完 毕</w:t>
            </w:r>
          </w:p>
        </w:tc>
      </w:tr>
    </w:tbl>
    <w:p>
      <w:pPr>
        <w:spacing w:after="0" w:line="237" w:lineRule="auto"/>
        <w:jc w:val="both"/>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959"/>
        <w:gridCol w:w="709"/>
        <w:gridCol w:w="850"/>
        <w:gridCol w:w="4963"/>
        <w:gridCol w:w="992"/>
        <w:gridCol w:w="708"/>
        <w:gridCol w:w="674"/>
      </w:tblGrid>
      <w:tr>
        <w:trPr>
          <w:trHeight w:val="476"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承诺类</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2"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5" w:lineRule="exact"/>
              <w:ind w:left="15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618" w:hRule="exact"/>
        </w:trPr>
        <w:tc>
          <w:tcPr>
            <w:tcW w:w="959"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8"/>
              <w:ind w:left="103" w:right="17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Inc.;</w:t>
            </w:r>
            <w:r>
              <w:rPr>
                <w:rFonts w:ascii="Times New Roman" w:hAnsi="Times New Roman" w:cs="Times New Roman" w:eastAsia="Times New Roman" w:hint="default"/>
                <w:sz w:val="18"/>
                <w:szCs w:val="18"/>
              </w:rPr>
              <w:t> </w:t>
            </w:r>
            <w:r>
              <w:rPr>
                <w:rFonts w:ascii="宋体" w:hAnsi="宋体" w:cs="宋体" w:eastAsia="宋体" w:hint="default"/>
                <w:sz w:val="18"/>
                <w:szCs w:val="18"/>
              </w:rPr>
              <w:t>展讯 通信</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（天 </w:t>
            </w:r>
            <w:r>
              <w:rPr>
                <w:rFonts w:ascii="宋体" w:hAnsi="宋体" w:cs="宋体" w:eastAsia="宋体" w:hint="default"/>
                <w:spacing w:val="-16"/>
                <w:sz w:val="18"/>
                <w:szCs w:val="18"/>
              </w:rPr>
              <w:t>津）有</w:t>
            </w:r>
            <w:r>
              <w:rPr>
                <w:rFonts w:ascii="宋体" w:hAnsi="宋体" w:cs="宋体" w:eastAsia="宋体" w:hint="default"/>
                <w:sz w:val="18"/>
                <w:szCs w:val="18"/>
              </w:rPr>
              <w:t> 限公 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次发行前已发行的股份。</w:t>
            </w:r>
            <w:r>
              <w:rPr>
                <w:rFonts w:ascii="Times New Roman" w:hAnsi="Times New Roman" w:cs="Times New Roman" w:eastAsia="Times New Roman" w:hint="default"/>
                <w:sz w:val="18"/>
                <w:szCs w:val="18"/>
              </w:rPr>
              <w:t>2</w:t>
            </w:r>
            <w:r>
              <w:rPr>
                <w:rFonts w:ascii="宋体" w:hAnsi="宋体" w:cs="宋体" w:eastAsia="宋体" w:hint="default"/>
                <w:sz w:val="18"/>
                <w:szCs w:val="18"/>
              </w:rPr>
              <w:t>、自公司本次发行并在证券交易所</w:t>
            </w:r>
          </w:p>
          <w:p>
            <w:pPr>
              <w:pStyle w:val="TableParagraph"/>
              <w:spacing w:line="232" w:lineRule="auto"/>
              <w:ind w:left="103" w:right="152"/>
              <w:jc w:val="both"/>
              <w:rPr>
                <w:rFonts w:ascii="宋体" w:hAnsi="宋体" w:cs="宋体" w:eastAsia="宋体" w:hint="default"/>
                <w:sz w:val="18"/>
                <w:szCs w:val="18"/>
              </w:rPr>
            </w:pPr>
            <w:r>
              <w:rPr>
                <w:rFonts w:ascii="宋体" w:hAnsi="宋体" w:cs="宋体" w:eastAsia="宋体" w:hint="default"/>
                <w:sz w:val="18"/>
                <w:szCs w:val="18"/>
              </w:rPr>
              <w:t>上市之日起二十四个月内，累计转让或出售的股份总数不超 过持有的公司本次发行前股份总数的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；自公司本次发行 并在证券交易所上市之日起三十六个月内，累计转让或出售 的股份总数不超过持有的公司本次发行前股份总数的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2345" w:hRule="exact"/>
        </w:trPr>
        <w:tc>
          <w:tcPr>
            <w:tcW w:w="959"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3" w:right="185"/>
              <w:jc w:val="both"/>
              <w:rPr>
                <w:rFonts w:ascii="宋体" w:hAnsi="宋体" w:cs="宋体" w:eastAsia="宋体" w:hint="default"/>
                <w:sz w:val="18"/>
                <w:szCs w:val="18"/>
              </w:rPr>
            </w:pPr>
            <w:r>
              <w:rPr>
                <w:rFonts w:ascii="宋体" w:hAnsi="宋体" w:cs="宋体" w:eastAsia="宋体" w:hint="default"/>
                <w:sz w:val="18"/>
                <w:szCs w:val="18"/>
              </w:rPr>
              <w:t>耿增 强</w:t>
            </w:r>
            <w:r>
              <w:rPr>
                <w:rFonts w:ascii="Times New Roman" w:hAnsi="Times New Roman" w:cs="Times New Roman" w:eastAsia="Times New Roman" w:hint="default"/>
                <w:sz w:val="18"/>
                <w:szCs w:val="18"/>
              </w:rPr>
              <w:t>;</w:t>
            </w:r>
            <w:r>
              <w:rPr>
                <w:rFonts w:ascii="宋体" w:hAnsi="宋体" w:cs="宋体" w:eastAsia="宋体" w:hint="default"/>
                <w:sz w:val="18"/>
                <w:szCs w:val="18"/>
              </w:rPr>
              <w:t>吴</w:t>
            </w:r>
          </w:p>
          <w:p>
            <w:pPr>
              <w:pStyle w:val="TableParagraph"/>
              <w:spacing w:line="230" w:lineRule="auto"/>
              <w:ind w:left="103" w:right="184"/>
              <w:jc w:val="both"/>
              <w:rPr>
                <w:rFonts w:ascii="宋体" w:hAnsi="宋体" w:cs="宋体" w:eastAsia="宋体" w:hint="default"/>
                <w:sz w:val="18"/>
                <w:szCs w:val="18"/>
              </w:rPr>
            </w:pPr>
            <w:r>
              <w:rPr>
                <w:rFonts w:ascii="宋体" w:hAnsi="宋体" w:cs="宋体" w:eastAsia="宋体" w:hint="default"/>
                <w:sz w:val="18"/>
                <w:szCs w:val="18"/>
              </w:rPr>
              <w:t>安华</w:t>
            </w:r>
            <w:r>
              <w:rPr>
                <w:rFonts w:ascii="Times New Roman" w:hAnsi="Times New Roman" w:cs="Times New Roman" w:eastAsia="Times New Roman" w:hint="default"/>
                <w:sz w:val="18"/>
                <w:szCs w:val="18"/>
              </w:rPr>
              <w:t>; </w:t>
            </w:r>
            <w:r>
              <w:rPr>
                <w:rFonts w:ascii="宋体" w:hAnsi="宋体" w:cs="宋体" w:eastAsia="宋体" w:hint="default"/>
                <w:sz w:val="18"/>
                <w:szCs w:val="18"/>
              </w:rPr>
              <w:t>邹鹏 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2" w:lineRule="exact"/>
              <w:ind w:left="103" w:right="19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自公司本次发行并在深圳证券交易所上市之日起十二个月</w:t>
            </w:r>
          </w:p>
          <w:p>
            <w:pPr>
              <w:pStyle w:val="TableParagraph"/>
              <w:spacing w:line="237" w:lineRule="auto"/>
              <w:ind w:left="103" w:right="167"/>
              <w:jc w:val="both"/>
              <w:rPr>
                <w:rFonts w:ascii="宋体" w:hAnsi="宋体" w:cs="宋体" w:eastAsia="宋体" w:hint="default"/>
                <w:sz w:val="18"/>
                <w:szCs w:val="18"/>
              </w:rPr>
            </w:pPr>
            <w:r>
              <w:rPr>
                <w:rFonts w:ascii="宋体" w:hAnsi="宋体" w:cs="宋体" w:eastAsia="宋体" w:hint="default"/>
                <w:sz w:val="18"/>
                <w:szCs w:val="18"/>
              </w:rPr>
              <w:t>内，不转让或者委托他人管理其直接或间接持有的公司本次 发行前已持有的股份，也不由本公司回购直接或间接持有的 公司本次发行前已发行的股份；离职后六个月内，不转让直 接或间接持有的公司股份；在公司股票上市之日起六个月内 申报离职的，自申报离职之日起十八个月内不转让直接持有 的公司的股份；在公司股票上市之日起第七个月至第十二个 月之间申报离职的，自申报离职之日起十二个月内不转让直 接持有的公司股份；若申报离职，则自离职信息申报之日起 六个月内，增持的公司股份也将按上述承诺予以锁定。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32" w:lineRule="exact"/>
              <w:ind w:left="103" w:right="233"/>
              <w:jc w:val="left"/>
              <w:rPr>
                <w:rFonts w:ascii="宋体" w:hAnsi="宋体" w:cs="宋体" w:eastAsia="宋体" w:hint="default"/>
                <w:sz w:val="18"/>
                <w:szCs w:val="18"/>
              </w:rPr>
            </w:pPr>
            <w:r>
              <w:rPr>
                <w:rFonts w:ascii="宋体" w:hAnsi="宋体" w:cs="宋体" w:eastAsia="宋体" w:hint="default"/>
                <w:sz w:val="18"/>
                <w:szCs w:val="18"/>
              </w:rPr>
              <w:t>无限 期</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1"/>
              <w:jc w:val="left"/>
              <w:rPr>
                <w:rFonts w:ascii="宋体" w:hAnsi="宋体" w:cs="宋体" w:eastAsia="宋体" w:hint="default"/>
                <w:sz w:val="18"/>
                <w:szCs w:val="18"/>
              </w:rPr>
            </w:pPr>
            <w:r>
              <w:rPr>
                <w:rFonts w:ascii="宋体" w:hAnsi="宋体" w:cs="宋体" w:eastAsia="宋体" w:hint="default"/>
                <w:sz w:val="18"/>
                <w:szCs w:val="18"/>
              </w:rPr>
              <w:t>耿增 </w:t>
            </w:r>
            <w:r>
              <w:rPr>
                <w:rFonts w:ascii="宋体" w:hAnsi="宋体" w:cs="宋体" w:eastAsia="宋体" w:hint="default"/>
                <w:spacing w:val="-28"/>
                <w:sz w:val="18"/>
                <w:szCs w:val="18"/>
              </w:rPr>
              <w:t>强、吴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安华 已履 行完 </w:t>
            </w:r>
            <w:r>
              <w:rPr>
                <w:rFonts w:ascii="宋体" w:hAnsi="宋体" w:cs="宋体" w:eastAsia="宋体" w:hint="default"/>
                <w:spacing w:val="-28"/>
                <w:sz w:val="18"/>
                <w:szCs w:val="18"/>
              </w:rPr>
              <w:t>毕，邹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鹏程 正在 履行</w:t>
            </w:r>
          </w:p>
        </w:tc>
      </w:tr>
      <w:tr>
        <w:trPr>
          <w:trHeight w:val="3485" w:hRule="exact"/>
        </w:trPr>
        <w:tc>
          <w:tcPr>
            <w:tcW w:w="959"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3" w:right="185"/>
              <w:jc w:val="left"/>
              <w:rPr>
                <w:rFonts w:ascii="Times New Roman" w:hAnsi="Times New Roman" w:cs="Times New Roman" w:eastAsia="Times New Roman" w:hint="default"/>
                <w:sz w:val="18"/>
                <w:szCs w:val="18"/>
              </w:rPr>
            </w:pPr>
            <w:r>
              <w:rPr>
                <w:rFonts w:ascii="宋体" w:hAnsi="宋体" w:cs="宋体" w:eastAsia="宋体" w:hint="default"/>
                <w:sz w:val="18"/>
                <w:szCs w:val="18"/>
              </w:rPr>
              <w:t>陈晓 华</w:t>
            </w:r>
            <w:r>
              <w:rPr>
                <w:rFonts w:ascii="Times New Roman" w:hAnsi="Times New Roman" w:cs="Times New Roman" w:eastAsia="Times New Roman" w:hint="default"/>
                <w:sz w:val="18"/>
                <w:szCs w:val="18"/>
              </w:rPr>
              <w:t>;</w:t>
            </w:r>
            <w:r>
              <w:rPr>
                <w:rFonts w:ascii="宋体" w:hAnsi="宋体" w:cs="宋体" w:eastAsia="宋体" w:hint="default"/>
                <w:sz w:val="18"/>
                <w:szCs w:val="18"/>
              </w:rPr>
              <w:t>大 洋中 科 </w:t>
            </w:r>
            <w:r>
              <w:rPr>
                <w:rFonts w:ascii="Times New Roman" w:hAnsi="Times New Roman" w:cs="Times New Roman" w:eastAsia="Times New Roman" w:hint="default"/>
                <w:sz w:val="18"/>
                <w:szCs w:val="18"/>
              </w:rPr>
              <w:t>SPC</w:t>
            </w:r>
          </w:p>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株式</w:t>
            </w:r>
          </w:p>
          <w:p>
            <w:pPr>
              <w:pStyle w:val="TableParagraph"/>
              <w:spacing w:line="232" w:lineRule="auto" w:before="5"/>
              <w:ind w:left="103" w:right="184"/>
              <w:jc w:val="both"/>
              <w:rPr>
                <w:rFonts w:ascii="宋体" w:hAnsi="宋体" w:cs="宋体" w:eastAsia="宋体" w:hint="default"/>
                <w:sz w:val="18"/>
                <w:szCs w:val="18"/>
              </w:rPr>
            </w:pPr>
            <w:r>
              <w:rPr>
                <w:rFonts w:ascii="宋体" w:hAnsi="宋体" w:cs="宋体" w:eastAsia="宋体" w:hint="default"/>
                <w:sz w:val="18"/>
                <w:szCs w:val="18"/>
              </w:rPr>
              <w:t>会社</w:t>
            </w:r>
            <w:r>
              <w:rPr>
                <w:rFonts w:ascii="Times New Roman" w:hAnsi="Times New Roman" w:cs="Times New Roman" w:eastAsia="Times New Roman" w:hint="default"/>
                <w:sz w:val="18"/>
                <w:szCs w:val="18"/>
              </w:rPr>
              <w:t>; </w:t>
            </w:r>
            <w:r>
              <w:rPr>
                <w:rFonts w:ascii="宋体" w:hAnsi="宋体" w:cs="宋体" w:eastAsia="宋体" w:hint="default"/>
                <w:sz w:val="18"/>
                <w:szCs w:val="18"/>
              </w:rPr>
              <w:t>越超 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103" w:right="194"/>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82"/>
              <w:ind w:left="103" w:right="101"/>
              <w:jc w:val="left"/>
              <w:rPr>
                <w:rFonts w:ascii="宋体" w:hAnsi="宋体" w:cs="宋体" w:eastAsia="宋体" w:hint="default"/>
                <w:sz w:val="18"/>
                <w:szCs w:val="18"/>
              </w:rPr>
            </w:pPr>
            <w:r>
              <w:rPr>
                <w:rFonts w:ascii="宋体" w:hAnsi="宋体" w:cs="宋体" w:eastAsia="宋体" w:hint="default"/>
                <w:spacing w:val="-1"/>
                <w:sz w:val="18"/>
                <w:szCs w:val="18"/>
              </w:rPr>
              <w:t>就所持有公司股票的减持意向承诺如下：</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、作为持有发行人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以上股份的股东，按照法律法规及监管要求，持有发行人 的股票，并严格履行发行人首次公开发行股票招股说明书披 </w:t>
            </w:r>
            <w:r>
              <w:rPr>
                <w:rFonts w:ascii="宋体" w:hAnsi="宋体" w:cs="宋体" w:eastAsia="宋体" w:hint="default"/>
                <w:spacing w:val="-1"/>
                <w:sz w:val="18"/>
                <w:szCs w:val="18"/>
              </w:rPr>
              <w:t>露的股票锁定承诺。</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、减持发行人股份的价格根据当时的二</w:t>
            </w:r>
            <w:r>
              <w:rPr>
                <w:rFonts w:ascii="宋体" w:hAnsi="宋体" w:cs="宋体" w:eastAsia="宋体" w:hint="default"/>
                <w:sz w:val="18"/>
                <w:szCs w:val="18"/>
              </w:rPr>
              <w:t> 级市场价格确定，并应符合相关法律法规及证券交易所规则 要求；在发行人首次公开发行前所持有的发行人股份在锁定 期满后两年内减持的，转让价格不低于首次公开发行股票之 </w:t>
            </w:r>
            <w:r>
              <w:rPr>
                <w:rFonts w:ascii="宋体" w:hAnsi="宋体" w:cs="宋体" w:eastAsia="宋体" w:hint="default"/>
                <w:spacing w:val="-1"/>
                <w:sz w:val="18"/>
                <w:szCs w:val="18"/>
              </w:rPr>
              <w:t>时的发行价。</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、持有的公司股票锁定期届满后两年内合计减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持不超过持有公司首次公开发行时的股份总数的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 在减持发行人股份前，应提前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个交易日予以公告，并按照 深圳证券交易所的规则及时、准确、完整地履行信息披露义 </w:t>
            </w:r>
            <w:r>
              <w:rPr>
                <w:rFonts w:ascii="宋体" w:hAnsi="宋体" w:cs="宋体" w:eastAsia="宋体" w:hint="default"/>
                <w:spacing w:val="-1"/>
                <w:sz w:val="18"/>
                <w:szCs w:val="18"/>
              </w:rPr>
              <w:t>务。</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、在上述承诺履行期间，陈晓华职务变更、离职等原因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不影响减持意向承诺的效力，在此期间仍将继续履行上述承 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2" w:lineRule="exact"/>
              <w:ind w:left="103" w:right="233"/>
              <w:jc w:val="left"/>
              <w:rPr>
                <w:rFonts w:ascii="宋体" w:hAnsi="宋体" w:cs="宋体" w:eastAsia="宋体" w:hint="default"/>
                <w:sz w:val="18"/>
                <w:szCs w:val="18"/>
              </w:rPr>
            </w:pPr>
            <w:r>
              <w:rPr>
                <w:rFonts w:ascii="宋体" w:hAnsi="宋体" w:cs="宋体" w:eastAsia="宋体" w:hint="default"/>
                <w:sz w:val="18"/>
                <w:szCs w:val="18"/>
              </w:rPr>
              <w:t>无期 限</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陈晓</w:t>
            </w:r>
          </w:p>
          <w:p>
            <w:pPr>
              <w:pStyle w:val="TableParagraph"/>
              <w:spacing w:line="247" w:lineRule="auto"/>
              <w:ind w:left="103" w:right="101"/>
              <w:jc w:val="left"/>
              <w:rPr>
                <w:rFonts w:ascii="Times New Roman" w:hAnsi="Times New Roman" w:cs="Times New Roman" w:eastAsia="Times New Roman" w:hint="default"/>
                <w:sz w:val="18"/>
                <w:szCs w:val="18"/>
              </w:rPr>
            </w:pPr>
            <w:r>
              <w:rPr>
                <w:rFonts w:ascii="宋体" w:hAnsi="宋体" w:cs="宋体" w:eastAsia="宋体" w:hint="default"/>
                <w:spacing w:val="-28"/>
                <w:sz w:val="18"/>
                <w:szCs w:val="18"/>
              </w:rPr>
              <w:t>华、大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洋中 科 </w:t>
            </w:r>
            <w:r>
              <w:rPr>
                <w:rFonts w:ascii="Times New Roman" w:hAnsi="Times New Roman" w:cs="Times New Roman" w:eastAsia="Times New Roman" w:hint="default"/>
                <w:sz w:val="18"/>
                <w:szCs w:val="18"/>
              </w:rPr>
              <w:t>SPC</w:t>
            </w:r>
          </w:p>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株式</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z w:val="18"/>
                <w:szCs w:val="18"/>
              </w:rPr>
              <w:t>会社 已履 行完 </w:t>
            </w:r>
            <w:r>
              <w:rPr>
                <w:rFonts w:ascii="宋体" w:hAnsi="宋体" w:cs="宋体" w:eastAsia="宋体" w:hint="default"/>
                <w:spacing w:val="-28"/>
                <w:sz w:val="18"/>
                <w:szCs w:val="18"/>
              </w:rPr>
              <w:t>毕、越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超有 限公 司正 在履 行</w:t>
            </w:r>
          </w:p>
        </w:tc>
      </w:tr>
      <w:tr>
        <w:trPr>
          <w:trHeight w:val="3745" w:hRule="exact"/>
        </w:trPr>
        <w:tc>
          <w:tcPr>
            <w:tcW w:w="959"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234"/>
              <w:jc w:val="left"/>
              <w:rPr>
                <w:rFonts w:ascii="宋体" w:hAnsi="宋体" w:cs="宋体" w:eastAsia="宋体" w:hint="default"/>
                <w:sz w:val="18"/>
                <w:szCs w:val="18"/>
              </w:rPr>
            </w:pPr>
            <w:r>
              <w:rPr>
                <w:rFonts w:ascii="宋体" w:hAnsi="宋体" w:cs="宋体" w:eastAsia="宋体" w:hint="default"/>
                <w:sz w:val="18"/>
                <w:szCs w:val="18"/>
              </w:rPr>
              <w:t>赵鸿 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194"/>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就所持有公司股票的减持意向承诺如下：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、作为发行人的控</w:t>
            </w:r>
          </w:p>
          <w:p>
            <w:pPr>
              <w:pStyle w:val="TableParagraph"/>
              <w:spacing w:line="235" w:lineRule="auto"/>
              <w:ind w:left="103" w:right="12"/>
              <w:jc w:val="left"/>
              <w:rPr>
                <w:rFonts w:ascii="宋体" w:hAnsi="宋体" w:cs="宋体" w:eastAsia="宋体" w:hint="default"/>
                <w:sz w:val="18"/>
                <w:szCs w:val="18"/>
              </w:rPr>
            </w:pPr>
            <w:r>
              <w:rPr>
                <w:rFonts w:ascii="宋体" w:hAnsi="宋体" w:cs="宋体" w:eastAsia="宋体" w:hint="default"/>
                <w:sz w:val="18"/>
                <w:szCs w:val="18"/>
              </w:rPr>
              <w:t>股股东，在上述锁定期满后，在不影响控股股东地位的前提 下，可根据需要以集中竞价交易、大宗交易或其他合法的方 式适当转让部分发行人股票。在上述锁定期满后二十四个月 内，如拟转让持有的发行人股票，则每十二个月转让数量不 超过赵鸿飞所持发行人股票数量的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，且转让价格（如果因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派发现金红利、送股、转增股本、增发新股等原因进行除权、</w:t>
            </w:r>
            <w:r>
              <w:rPr>
                <w:rFonts w:ascii="宋体" w:hAnsi="宋体" w:cs="宋体" w:eastAsia="宋体" w:hint="default"/>
                <w:sz w:val="18"/>
                <w:szCs w:val="18"/>
              </w:rPr>
              <w:t> 除息的，须按照深圳证券交易所的有关规定作复权处理，下 同）不低于发行价。在减持所持有的发行人股份前，应提前 三个交易日予以公告，并在六个月内完成，并按照深圳证券 交易所的规则及时、准确、完整地履行信息披露义务。 </w:t>
            </w:r>
            <w:r>
              <w:rPr>
                <w:rFonts w:ascii="Times New Roman" w:hAnsi="Times New Roman" w:cs="Times New Roman" w:eastAsia="Times New Roman" w:hint="default"/>
                <w:sz w:val="18"/>
                <w:szCs w:val="18"/>
              </w:rPr>
              <w:t>2</w:t>
            </w:r>
            <w:r>
              <w:rPr>
                <w:rFonts w:ascii="宋体" w:hAnsi="宋体" w:cs="宋体" w:eastAsia="宋体" w:hint="default"/>
                <w:sz w:val="18"/>
                <w:szCs w:val="18"/>
              </w:rPr>
              <w:t>、 作为发行人的控股股东，按照法律法规及监管要求，持有发 行人的股票，并严格履行发行人首次公开发行股票招股说明 </w:t>
            </w:r>
            <w:r>
              <w:rPr>
                <w:rFonts w:ascii="宋体" w:hAnsi="宋体" w:cs="宋体" w:eastAsia="宋体" w:hint="default"/>
                <w:spacing w:val="-5"/>
                <w:sz w:val="18"/>
                <w:szCs w:val="18"/>
              </w:rPr>
              <w:t>书披露的股票锁定承诺。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、在上述承诺履行期间，职务变更、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离职等原因不影响锁定期限承诺第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项和减持意向承诺的效 力，在此期间仍将继续履行上述承诺。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5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233"/>
              <w:jc w:val="left"/>
              <w:rPr>
                <w:rFonts w:ascii="宋体" w:hAnsi="宋体" w:cs="宋体" w:eastAsia="宋体" w:hint="default"/>
                <w:sz w:val="18"/>
                <w:szCs w:val="18"/>
              </w:rPr>
            </w:pPr>
            <w:r>
              <w:rPr>
                <w:rFonts w:ascii="宋体" w:hAnsi="宋体" w:cs="宋体" w:eastAsia="宋体" w:hint="default"/>
                <w:sz w:val="18"/>
                <w:szCs w:val="18"/>
              </w:rPr>
              <w:t>无期 限</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199"/>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2112" w:hRule="exact"/>
        </w:trPr>
        <w:tc>
          <w:tcPr>
            <w:tcW w:w="959"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234"/>
              <w:jc w:val="left"/>
              <w:rPr>
                <w:rFonts w:ascii="宋体" w:hAnsi="宋体" w:cs="宋体" w:eastAsia="宋体" w:hint="default"/>
                <w:sz w:val="18"/>
                <w:szCs w:val="18"/>
              </w:rPr>
            </w:pPr>
            <w:r>
              <w:rPr>
                <w:rFonts w:ascii="宋体" w:hAnsi="宋体" w:cs="宋体" w:eastAsia="宋体" w:hint="default"/>
                <w:sz w:val="18"/>
                <w:szCs w:val="18"/>
              </w:rPr>
              <w:t>赵鸿 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37" w:lineRule="auto"/>
              <w:ind w:left="103" w:right="14"/>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22"/>
                <w:sz w:val="18"/>
                <w:szCs w:val="18"/>
              </w:rPr>
              <w:t>易、资金</w:t>
            </w:r>
            <w:r>
              <w:rPr>
                <w:rFonts w:ascii="宋体" w:hAnsi="宋体" w:cs="宋体" w:eastAsia="宋体" w:hint="default"/>
                <w:sz w:val="18"/>
                <w:szCs w:val="18"/>
              </w:rPr>
              <w:t> 占用方 面的承</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为避免因同业竞争损害公司及其他股东的利益，公司控股股</w:t>
            </w:r>
          </w:p>
          <w:p>
            <w:pPr>
              <w:pStyle w:val="TableParagraph"/>
              <w:spacing w:line="235" w:lineRule="auto" w:before="3"/>
              <w:ind w:left="103" w:right="13"/>
              <w:jc w:val="left"/>
              <w:rPr>
                <w:rFonts w:ascii="宋体" w:hAnsi="宋体" w:cs="宋体" w:eastAsia="宋体" w:hint="default"/>
                <w:sz w:val="18"/>
                <w:szCs w:val="18"/>
              </w:rPr>
            </w:pPr>
            <w:r>
              <w:rPr>
                <w:rFonts w:ascii="宋体" w:hAnsi="宋体" w:cs="宋体" w:eastAsia="宋体" w:hint="default"/>
                <w:spacing w:val="-5"/>
                <w:sz w:val="18"/>
                <w:szCs w:val="18"/>
              </w:rPr>
              <w:t>东和实际控制人赵鸿飞出具《避免同业竞争承诺函》（以下简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承诺函</w:t>
            </w:r>
            <w:r>
              <w:rPr>
                <w:rFonts w:ascii="Times New Roman" w:hAnsi="Times New Roman" w:cs="Times New Roman" w:eastAsia="Times New Roman" w:hint="default"/>
                <w:sz w:val="18"/>
                <w:szCs w:val="18"/>
              </w:rPr>
              <w:t>”</w:t>
            </w:r>
            <w:r>
              <w:rPr>
                <w:rFonts w:ascii="宋体" w:hAnsi="宋体" w:cs="宋体" w:eastAsia="宋体" w:hint="default"/>
                <w:sz w:val="18"/>
                <w:szCs w:val="18"/>
              </w:rPr>
              <w:t>）承诺：除公司及其子公司、启元合创（现已注 销）外，本人（包括近亲属）没有其他直接或间接控制的企 业，本人目前不存在自营、与他人共同经营或为他人经营与 公司及其子公司相同、相似业务的情形，与公司及其子公司 </w:t>
            </w:r>
            <w:r>
              <w:rPr>
                <w:rFonts w:ascii="宋体" w:hAnsi="宋体" w:cs="宋体" w:eastAsia="宋体" w:hint="default"/>
                <w:spacing w:val="-1"/>
                <w:sz w:val="18"/>
                <w:szCs w:val="18"/>
              </w:rPr>
              <w:t>之间不存在同业竞争；在本人直接或间接持有公司股份期间，</w:t>
            </w:r>
            <w:r>
              <w:rPr>
                <w:rFonts w:ascii="宋体" w:hAnsi="宋体" w:cs="宋体" w:eastAsia="宋体" w:hint="default"/>
                <w:sz w:val="18"/>
                <w:szCs w:val="18"/>
              </w:rPr>
              <w:t> 本人及本人所控制的其他企业将不采取参股、控股、联营、 合营、合作或者其他任何方式直接或间接从事与公司及其子</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2"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233"/>
              <w:jc w:val="left"/>
              <w:rPr>
                <w:rFonts w:ascii="宋体" w:hAnsi="宋体" w:cs="宋体" w:eastAsia="宋体" w:hint="default"/>
                <w:sz w:val="18"/>
                <w:szCs w:val="18"/>
              </w:rPr>
            </w:pPr>
            <w:r>
              <w:rPr>
                <w:rFonts w:ascii="宋体" w:hAnsi="宋体" w:cs="宋体" w:eastAsia="宋体" w:hint="default"/>
                <w:sz w:val="18"/>
                <w:szCs w:val="18"/>
              </w:rPr>
              <w:t>无期 限</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199"/>
              <w:jc w:val="left"/>
              <w:rPr>
                <w:rFonts w:ascii="宋体" w:hAnsi="宋体" w:cs="宋体" w:eastAsia="宋体" w:hint="default"/>
                <w:sz w:val="18"/>
                <w:szCs w:val="18"/>
              </w:rPr>
            </w:pPr>
            <w:r>
              <w:rPr>
                <w:rFonts w:ascii="宋体" w:hAnsi="宋体" w:cs="宋体" w:eastAsia="宋体" w:hint="default"/>
                <w:sz w:val="18"/>
                <w:szCs w:val="18"/>
              </w:rPr>
              <w:t>正在 履行</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959"/>
        <w:gridCol w:w="709"/>
        <w:gridCol w:w="850"/>
        <w:gridCol w:w="4963"/>
        <w:gridCol w:w="992"/>
        <w:gridCol w:w="708"/>
        <w:gridCol w:w="674"/>
      </w:tblGrid>
      <w:tr>
        <w:trPr>
          <w:trHeight w:val="476"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承诺类</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2"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5" w:lineRule="exact"/>
              <w:ind w:left="15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9115" w:hRule="exact"/>
        </w:trPr>
        <w:tc>
          <w:tcPr>
            <w:tcW w:w="959"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公司业务范围相同、相似或构成实质竞争的业务，如本人或</w:t>
            </w:r>
          </w:p>
          <w:p>
            <w:pPr>
              <w:pStyle w:val="TableParagraph"/>
              <w:spacing w:line="237" w:lineRule="auto"/>
              <w:ind w:left="103" w:right="103"/>
              <w:jc w:val="left"/>
              <w:rPr>
                <w:rFonts w:ascii="宋体" w:hAnsi="宋体" w:cs="宋体" w:eastAsia="宋体" w:hint="default"/>
                <w:sz w:val="18"/>
                <w:szCs w:val="18"/>
              </w:rPr>
            </w:pPr>
            <w:r>
              <w:rPr>
                <w:rFonts w:ascii="宋体" w:hAnsi="宋体" w:cs="宋体" w:eastAsia="宋体" w:hint="default"/>
                <w:sz w:val="18"/>
                <w:szCs w:val="18"/>
              </w:rPr>
              <w:t>本人所控制的其他企业获得的商业机会与公司及其子公司主 营业务发生同业竞争或可能发生同业竞争的，本人将立即通 知公司，尽力将该商业机会给予公司，以确保公司及其全体 股东利益不受损害；如本人违反上述承诺，则因此而取得的 相关收益将全部归公司所有，如因此给公司及其他股东造成 损失的，本人将及时、足额赔偿公司及其他股东因此遭受的 全部损失。公司控股股东和实际控制人赵鸿飞出具《减少关 </w:t>
            </w:r>
            <w:r>
              <w:rPr>
                <w:rFonts w:ascii="宋体" w:hAnsi="宋体" w:cs="宋体" w:eastAsia="宋体" w:hint="default"/>
                <w:spacing w:val="-5"/>
                <w:sz w:val="18"/>
                <w:szCs w:val="18"/>
              </w:rPr>
              <w:t>联交易的承诺函》，承诺：如果本公司因最近三年的关联交易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事项、关联方资金占用事项而受到任何处罚、产生任何纠纷 或者遭受任何经济损失，赵鸿飞将承担全部责任，以确保本 公司及其公众股东不致因此而遭受损失。赵鸿飞将善意履行 作为本公司大股东、实际控制人的义务，不利用本人所处实 际控制人地位，就本公司与赵鸿飞或赵鸿飞控制的其他企业 相关的任何关联交易采取任何行动，故意促使本公司的股东 大会或董事会作出侵犯本公司和其他股东合法权益的决议。 如果本公司必须与赵鸿飞或赵鸿飞控制的其他企业发生任何 关联交易，则赵鸿飞承诺将严格遵守本公司公司章程及其他 规定，依法履行审批程序。如赵鸿飞或赵鸿飞控制的其他企 业违反上述承诺并造成本公司经济损失的，赵鸿飞同意赔偿 相应损失。公司控股股东和实际控制人赵鸿飞出具《减少关 </w:t>
            </w:r>
            <w:r>
              <w:rPr>
                <w:rFonts w:ascii="宋体" w:hAnsi="宋体" w:cs="宋体" w:eastAsia="宋体" w:hint="default"/>
                <w:spacing w:val="-5"/>
                <w:sz w:val="18"/>
                <w:szCs w:val="18"/>
              </w:rPr>
              <w:t>联交易的承诺函》，承诺：如果本公司因最近三年的关联交易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事项、关联方资金占用事项而受到任何处罚、产生任何纠纷 或者遭受任何经济损失，赵鸿飞将承担全部责任，以确保本 公司及其公众股东不致因此而遭受损失。赵鸿飞将善意履行 作为本公司大股东、实际控制人的义务，不利用本人所处实 际控制人地位，就本公司与赵鸿飞或赵鸿飞控制的其他企业 相关的任何关联交易采取任何行动，故意促使本公司的股东 大会或董事会作出侵犯本公司和其他股东合法权益的决议。 如果本公司必须与赵鸿飞或赵鸿飞控制的其他企业发生任何 关联交易，则赵鸿飞承诺将严格遵守本公司公司章程及其他 规定，依法履行审批程序。如赵鸿飞或赵鸿飞控制的其他企 业违反上述承诺并造成本公司经济损失的，赵鸿飞同意赔偿 相应损失。公司控股股东和实际控制人赵鸿飞已出具防止资 金占用的承诺函，承诺赵鸿飞及赵鸿飞直接或间接控制的所 有企业（如有）将不以代垫费用或其他支出、直接或间接借 款、代偿债务等任何方式占用本公司及其子公司的资金，且 将严格遵守中国证监会关于上市公司法人治理的有关规定， 避免与本公司发生与正常生产经营无关的资金往来行为。</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3279" w:hRule="exact"/>
        </w:trPr>
        <w:tc>
          <w:tcPr>
            <w:tcW w:w="959"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37" w:lineRule="auto"/>
              <w:ind w:left="103" w:right="234"/>
              <w:jc w:val="both"/>
              <w:rPr>
                <w:rFonts w:ascii="宋体" w:hAnsi="宋体" w:cs="宋体" w:eastAsia="宋体" w:hint="default"/>
                <w:sz w:val="18"/>
                <w:szCs w:val="18"/>
              </w:rPr>
            </w:pPr>
            <w:r>
              <w:rPr>
                <w:rFonts w:ascii="宋体" w:hAnsi="宋体" w:cs="宋体" w:eastAsia="宋体" w:hint="default"/>
                <w:sz w:val="18"/>
                <w:szCs w:val="18"/>
              </w:rPr>
              <w:t>越超 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103" w:right="14"/>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22"/>
                <w:sz w:val="18"/>
                <w:szCs w:val="18"/>
              </w:rPr>
              <w:t>易、资金</w:t>
            </w:r>
            <w:r>
              <w:rPr>
                <w:rFonts w:ascii="宋体" w:hAnsi="宋体" w:cs="宋体" w:eastAsia="宋体" w:hint="default"/>
                <w:sz w:val="18"/>
                <w:szCs w:val="18"/>
              </w:rPr>
              <w:t> 占用方 面的承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持有公司股份</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以上的股东越超公司出具承诺，承诺目前未</w:t>
            </w:r>
          </w:p>
          <w:p>
            <w:pPr>
              <w:pStyle w:val="TableParagraph"/>
              <w:spacing w:line="235" w:lineRule="auto"/>
              <w:ind w:left="103" w:right="13"/>
              <w:jc w:val="left"/>
              <w:rPr>
                <w:rFonts w:ascii="宋体" w:hAnsi="宋体" w:cs="宋体" w:eastAsia="宋体" w:hint="default"/>
                <w:sz w:val="18"/>
                <w:szCs w:val="18"/>
              </w:rPr>
            </w:pPr>
            <w:r>
              <w:rPr>
                <w:rFonts w:ascii="宋体" w:hAnsi="宋体" w:cs="宋体" w:eastAsia="宋体" w:hint="default"/>
                <w:sz w:val="18"/>
                <w:szCs w:val="18"/>
              </w:rPr>
              <w:t>开展智能手机、平板电脑、电视等终端设备软件开发与服务 业务，将来截至越超公司在本公司持股</w:t>
            </w:r>
            <w:r>
              <w:rPr>
                <w:rFonts w:ascii="宋体" w:hAnsi="宋体" w:cs="宋体" w:eastAsia="宋体" w:hint="default"/>
                <w:spacing w:val="-43"/>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以上的期间：（</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控制的企业不以任何方式参与任何与本公司主营业务构成同 </w:t>
            </w:r>
            <w:r>
              <w:rPr>
                <w:rFonts w:ascii="宋体" w:hAnsi="宋体" w:cs="宋体" w:eastAsia="宋体" w:hint="default"/>
                <w:spacing w:val="-4"/>
                <w:sz w:val="18"/>
                <w:szCs w:val="18"/>
              </w:rPr>
              <w:t>业竞争的业务或活动。（</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）如所控制的企业获得的商业机会</w:t>
            </w:r>
            <w:r>
              <w:rPr>
                <w:rFonts w:ascii="宋体" w:hAnsi="宋体" w:cs="宋体" w:eastAsia="宋体" w:hint="default"/>
                <w:spacing w:val="-72"/>
                <w:sz w:val="18"/>
                <w:szCs w:val="18"/>
              </w:rPr>
              <w:t> </w:t>
            </w:r>
            <w:r>
              <w:rPr>
                <w:rFonts w:ascii="宋体" w:hAnsi="宋体" w:cs="宋体" w:eastAsia="宋体" w:hint="default"/>
                <w:sz w:val="18"/>
                <w:szCs w:val="18"/>
              </w:rPr>
              <w:t>与本公司主营业务发生同业竞争或可能发生同业竞争的，将 立即通知本公司，尽力将该商业机会给予本公司，以确保本 公司及其其他股东利益不受损害。此外，持有公司股份</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上的股东越超公司、大洋中科、陈晓华分别出具承诺，承诺 将善意履行作为公司股东的义务，不利用所处股东地位，就 本公司与其相关的任何关联交易采取任何行动，故意促使本 公司的股东大会或董事会作出侵犯本公司和其他股东合法权 益的决议；如果本公司必须与其发生任何关联交易，则承诺 </w:t>
            </w:r>
            <w:r>
              <w:rPr>
                <w:rFonts w:ascii="宋体" w:hAnsi="宋体" w:cs="宋体" w:eastAsia="宋体" w:hint="default"/>
                <w:spacing w:val="-1"/>
                <w:sz w:val="18"/>
                <w:szCs w:val="18"/>
              </w:rPr>
              <w:t>将严格遵守本公司公司章程及其他规定，依法履行审批程序。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2" w:lineRule="exact" w:before="129"/>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03" w:right="233"/>
              <w:jc w:val="left"/>
              <w:rPr>
                <w:rFonts w:ascii="宋体" w:hAnsi="宋体" w:cs="宋体" w:eastAsia="宋体" w:hint="default"/>
                <w:sz w:val="18"/>
                <w:szCs w:val="18"/>
              </w:rPr>
            </w:pPr>
            <w:r>
              <w:rPr>
                <w:rFonts w:ascii="宋体" w:hAnsi="宋体" w:cs="宋体" w:eastAsia="宋体" w:hint="default"/>
                <w:sz w:val="18"/>
                <w:szCs w:val="18"/>
              </w:rPr>
              <w:t>无期 限</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03" w:right="199"/>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944" w:hRule="exact"/>
        </w:trPr>
        <w:tc>
          <w:tcPr>
            <w:tcW w:w="959"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陈晓</w:t>
            </w:r>
          </w:p>
          <w:p>
            <w:pPr>
              <w:pStyle w:val="TableParagraph"/>
              <w:spacing w:line="230" w:lineRule="auto" w:before="7"/>
              <w:ind w:left="103" w:right="185"/>
              <w:jc w:val="both"/>
              <w:rPr>
                <w:rFonts w:ascii="宋体" w:hAnsi="宋体" w:cs="宋体" w:eastAsia="宋体" w:hint="default"/>
                <w:sz w:val="18"/>
                <w:szCs w:val="18"/>
              </w:rPr>
            </w:pP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大 洋中 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关于同</w:t>
            </w:r>
          </w:p>
          <w:p>
            <w:pPr>
              <w:pStyle w:val="TableParagraph"/>
              <w:spacing w:line="237" w:lineRule="auto"/>
              <w:ind w:left="103" w:right="14"/>
              <w:jc w:val="left"/>
              <w:rPr>
                <w:rFonts w:ascii="宋体" w:hAnsi="宋体" w:cs="宋体" w:eastAsia="宋体" w:hint="default"/>
                <w:sz w:val="18"/>
                <w:szCs w:val="18"/>
              </w:rPr>
            </w:pPr>
            <w:r>
              <w:rPr>
                <w:rFonts w:ascii="宋体" w:hAnsi="宋体" w:cs="宋体" w:eastAsia="宋体" w:hint="default"/>
                <w:sz w:val="18"/>
                <w:szCs w:val="18"/>
              </w:rPr>
              <w:t>业竞争、 关联交 </w:t>
            </w:r>
            <w:r>
              <w:rPr>
                <w:rFonts w:ascii="宋体" w:hAnsi="宋体" w:cs="宋体" w:eastAsia="宋体" w:hint="default"/>
                <w:spacing w:val="-22"/>
                <w:sz w:val="18"/>
                <w:szCs w:val="18"/>
              </w:rPr>
              <w:t>易、资金</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宋体" w:hAnsi="宋体" w:cs="宋体" w:eastAsia="宋体" w:hint="default"/>
                <w:sz w:val="18"/>
                <w:szCs w:val="18"/>
              </w:rPr>
              <w:t>其他持有公司股份</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以上的股东大洋中科、陈晓华分别出具</w:t>
            </w:r>
          </w:p>
          <w:p>
            <w:pPr>
              <w:pStyle w:val="TableParagraph"/>
              <w:spacing w:line="237" w:lineRule="auto"/>
              <w:ind w:left="103" w:right="169"/>
              <w:jc w:val="both"/>
              <w:rPr>
                <w:rFonts w:ascii="宋体" w:hAnsi="宋体" w:cs="宋体" w:eastAsia="宋体" w:hint="default"/>
                <w:sz w:val="18"/>
                <w:szCs w:val="18"/>
              </w:rPr>
            </w:pPr>
            <w:r>
              <w:rPr>
                <w:rFonts w:ascii="宋体" w:hAnsi="宋体" w:cs="宋体" w:eastAsia="宋体" w:hint="default"/>
                <w:sz w:val="18"/>
                <w:szCs w:val="18"/>
              </w:rPr>
              <w:t>书面承诺，承诺目前未开展智能手机、平板电脑、电视等终 端设备软件开发与服务业务，将来也不以任何方式（包括但 不限于单独经营、通过合资经营或拥有另一公司或企业的股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2"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233"/>
              <w:jc w:val="left"/>
              <w:rPr>
                <w:rFonts w:ascii="宋体" w:hAnsi="宋体" w:cs="宋体" w:eastAsia="宋体" w:hint="default"/>
                <w:sz w:val="18"/>
                <w:szCs w:val="18"/>
              </w:rPr>
            </w:pPr>
            <w:r>
              <w:rPr>
                <w:rFonts w:ascii="宋体" w:hAnsi="宋体" w:cs="宋体" w:eastAsia="宋体" w:hint="default"/>
                <w:sz w:val="18"/>
                <w:szCs w:val="18"/>
              </w:rPr>
              <w:t>无期 限</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199"/>
              <w:jc w:val="left"/>
              <w:rPr>
                <w:rFonts w:ascii="宋体" w:hAnsi="宋体" w:cs="宋体" w:eastAsia="宋体" w:hint="default"/>
                <w:sz w:val="18"/>
                <w:szCs w:val="18"/>
              </w:rPr>
            </w:pPr>
            <w:r>
              <w:rPr>
                <w:rFonts w:ascii="宋体" w:hAnsi="宋体" w:cs="宋体" w:eastAsia="宋体" w:hint="default"/>
                <w:sz w:val="18"/>
                <w:szCs w:val="18"/>
              </w:rPr>
              <w:t>正在 履行</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959"/>
        <w:gridCol w:w="709"/>
        <w:gridCol w:w="850"/>
        <w:gridCol w:w="4963"/>
        <w:gridCol w:w="992"/>
        <w:gridCol w:w="708"/>
        <w:gridCol w:w="674"/>
      </w:tblGrid>
      <w:tr>
        <w:trPr>
          <w:trHeight w:val="476"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承诺类</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2"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5" w:lineRule="exact"/>
              <w:ind w:left="15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1878" w:hRule="exact"/>
        </w:trPr>
        <w:tc>
          <w:tcPr>
            <w:tcW w:w="959"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03" w:right="0"/>
              <w:jc w:val="left"/>
              <w:rPr>
                <w:rFonts w:ascii="Times New Roman" w:hAnsi="Times New Roman" w:cs="Times New Roman" w:eastAsia="Times New Roman" w:hint="default"/>
                <w:sz w:val="18"/>
                <w:szCs w:val="18"/>
              </w:rPr>
            </w:pPr>
            <w:r>
              <w:rPr>
                <w:rFonts w:ascii="Times New Roman"/>
                <w:sz w:val="18"/>
              </w:rPr>
              <w:t>SPC</w:t>
            </w:r>
          </w:p>
          <w:p>
            <w:pPr>
              <w:pStyle w:val="TableParagraph"/>
              <w:spacing w:line="234" w:lineRule="exact" w:before="10"/>
              <w:ind w:left="103" w:right="234"/>
              <w:jc w:val="left"/>
              <w:rPr>
                <w:rFonts w:ascii="宋体" w:hAnsi="宋体" w:cs="宋体" w:eastAsia="宋体" w:hint="default"/>
                <w:sz w:val="18"/>
                <w:szCs w:val="18"/>
              </w:rPr>
            </w:pPr>
            <w:r>
              <w:rPr>
                <w:rFonts w:ascii="宋体" w:hAnsi="宋体" w:cs="宋体" w:eastAsia="宋体" w:hint="default"/>
                <w:sz w:val="18"/>
                <w:szCs w:val="18"/>
              </w:rPr>
              <w:t>株式 会社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占用方</w:t>
            </w:r>
          </w:p>
          <w:p>
            <w:pPr>
              <w:pStyle w:val="TableParagraph"/>
              <w:spacing w:line="240" w:lineRule="auto"/>
              <w:ind w:left="103" w:right="194"/>
              <w:jc w:val="left"/>
              <w:rPr>
                <w:rFonts w:ascii="宋体" w:hAnsi="宋体" w:cs="宋体" w:eastAsia="宋体" w:hint="default"/>
                <w:sz w:val="18"/>
                <w:szCs w:val="18"/>
              </w:rPr>
            </w:pPr>
            <w:r>
              <w:rPr>
                <w:rFonts w:ascii="宋体" w:hAnsi="宋体" w:cs="宋体" w:eastAsia="宋体" w:hint="default"/>
                <w:sz w:val="18"/>
                <w:szCs w:val="18"/>
              </w:rPr>
              <w:t>面的承 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份及其他权益）直接或间接参与任何与本公司主营业务构成</w:t>
            </w:r>
          </w:p>
          <w:p>
            <w:pPr>
              <w:pStyle w:val="TableParagraph"/>
              <w:spacing w:line="235" w:lineRule="auto" w:before="3"/>
              <w:ind w:left="103" w:right="105"/>
              <w:jc w:val="left"/>
              <w:rPr>
                <w:rFonts w:ascii="宋体" w:hAnsi="宋体" w:cs="宋体" w:eastAsia="宋体" w:hint="default"/>
                <w:sz w:val="18"/>
                <w:szCs w:val="18"/>
              </w:rPr>
            </w:pPr>
            <w:r>
              <w:rPr>
                <w:rFonts w:ascii="宋体" w:hAnsi="宋体" w:cs="宋体" w:eastAsia="宋体" w:hint="default"/>
                <w:spacing w:val="-3"/>
                <w:sz w:val="18"/>
                <w:szCs w:val="18"/>
              </w:rPr>
              <w:t>同业竞争的业务或活动。此外，持有公司股份</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w:t>
            </w:r>
            <w:r>
              <w:rPr>
                <w:rFonts w:ascii="宋体" w:hAnsi="宋体" w:cs="宋体" w:eastAsia="宋体" w:hint="default"/>
                <w:spacing w:val="-86"/>
                <w:sz w:val="18"/>
                <w:szCs w:val="18"/>
              </w:rPr>
              <w:t> </w:t>
            </w:r>
            <w:r>
              <w:rPr>
                <w:rFonts w:ascii="宋体" w:hAnsi="宋体" w:cs="宋体" w:eastAsia="宋体" w:hint="default"/>
                <w:sz w:val="18"/>
                <w:szCs w:val="18"/>
              </w:rPr>
              <w:t>越超公司、大洋中科、陈晓华分别出具承诺，承诺将善意履 行作为公司股东的义务，不利用所处股东地位，就本公司与 其相关的任何关联交易采取任何行动，故意促使本公司的股 东大会或董事会作出侵犯本公司和其他股东合法权益的决 议；如果本公司必须与其发生任何关联交易，则承诺将严格 遵守本公司公司章程及其他规定，依法履行审批程序。</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6314" w:hRule="exact"/>
        </w:trPr>
        <w:tc>
          <w:tcPr>
            <w:tcW w:w="959"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6"/>
              <w:ind w:left="103" w:right="234"/>
              <w:jc w:val="both"/>
              <w:rPr>
                <w:rFonts w:ascii="宋体" w:hAnsi="宋体" w:cs="宋体" w:eastAsia="宋体" w:hint="default"/>
                <w:sz w:val="18"/>
                <w:szCs w:val="18"/>
              </w:rPr>
            </w:pPr>
            <w:r>
              <w:rPr>
                <w:rFonts w:ascii="宋体" w:hAnsi="宋体" w:cs="宋体" w:eastAsia="宋体" w:hint="default"/>
                <w:sz w:val="18"/>
                <w:szCs w:val="18"/>
              </w:rPr>
              <w:t>中科 创达 软件 股份 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32" w:lineRule="exact"/>
              <w:ind w:left="103" w:right="19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公司回购（</w:t>
            </w: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）自公司股票上市交易后三年内首次触发启动条</w:t>
            </w:r>
          </w:p>
          <w:p>
            <w:pPr>
              <w:pStyle w:val="TableParagraph"/>
              <w:spacing w:line="225" w:lineRule="auto" w:before="5"/>
              <w:ind w:left="103" w:right="117"/>
              <w:jc w:val="both"/>
              <w:rPr>
                <w:rFonts w:ascii="宋体" w:hAnsi="宋体" w:cs="宋体" w:eastAsia="宋体" w:hint="default"/>
                <w:sz w:val="18"/>
                <w:szCs w:val="18"/>
              </w:rPr>
            </w:pPr>
            <w:r>
              <w:rPr>
                <w:rFonts w:ascii="宋体" w:hAnsi="宋体" w:cs="宋体" w:eastAsia="宋体" w:hint="default"/>
                <w:sz w:val="18"/>
                <w:szCs w:val="18"/>
              </w:rPr>
              <w:t>件，和</w:t>
            </w:r>
            <w:r>
              <w:rPr>
                <w:rFonts w:ascii="Times New Roman" w:hAnsi="Times New Roman" w:cs="Times New Roman" w:eastAsia="Times New Roman" w:hint="default"/>
                <w:sz w:val="18"/>
                <w:szCs w:val="18"/>
              </w:rPr>
              <w:t>/</w:t>
            </w:r>
            <w:r>
              <w:rPr>
                <w:rFonts w:ascii="宋体" w:hAnsi="宋体" w:cs="宋体" w:eastAsia="宋体" w:hint="default"/>
                <w:sz w:val="18"/>
                <w:szCs w:val="18"/>
              </w:rPr>
              <w:t>或自公司股票上市交易后三年内首次触发启动条件之 日起每隔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个月任一时点触发启动条件，为稳定公司股价之 目的，公司应在符合《上市公司回购社会公众股份管理办法</w:t>
            </w:r>
          </w:p>
          <w:p>
            <w:pPr>
              <w:pStyle w:val="TableParagraph"/>
              <w:spacing w:line="232" w:lineRule="auto" w:before="5"/>
              <w:ind w:left="103" w:right="12"/>
              <w:jc w:val="left"/>
              <w:rPr>
                <w:rFonts w:ascii="宋体" w:hAnsi="宋体" w:cs="宋体" w:eastAsia="宋体" w:hint="default"/>
                <w:sz w:val="18"/>
                <w:szCs w:val="18"/>
              </w:rPr>
            </w:pPr>
            <w:r>
              <w:rPr>
                <w:rFonts w:ascii="宋体" w:hAnsi="宋体" w:cs="宋体" w:eastAsia="宋体" w:hint="default"/>
                <w:spacing w:val="-5"/>
                <w:sz w:val="18"/>
                <w:szCs w:val="18"/>
              </w:rPr>
              <w:t>（试行）》及《关于上市公司以集中竞价交易方式回购股份的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补充规定》等相关法律法规、规范性文件的规定、且不应导 致公司股权分布不符合上市条件的前提下，向社会公众股东 </w:t>
            </w:r>
            <w:r>
              <w:rPr>
                <w:rFonts w:ascii="宋体" w:hAnsi="宋体" w:cs="宋体" w:eastAsia="宋体" w:hint="default"/>
                <w:spacing w:val="-4"/>
                <w:sz w:val="18"/>
                <w:szCs w:val="18"/>
              </w:rPr>
              <w:t>回购股份。（</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）公司股东大会对回购股份做出决议，须经出</w:t>
            </w:r>
            <w:r>
              <w:rPr>
                <w:rFonts w:ascii="宋体" w:hAnsi="宋体" w:cs="宋体" w:eastAsia="宋体" w:hint="default"/>
                <w:spacing w:val="-72"/>
                <w:sz w:val="18"/>
                <w:szCs w:val="18"/>
              </w:rPr>
              <w:t> </w:t>
            </w:r>
            <w:r>
              <w:rPr>
                <w:rFonts w:ascii="宋体" w:hAnsi="宋体" w:cs="宋体" w:eastAsia="宋体" w:hint="default"/>
                <w:sz w:val="18"/>
                <w:szCs w:val="18"/>
              </w:rPr>
              <w:t>席会议的股东所持表决权的三分之二以上通过，公司控股股 </w:t>
            </w:r>
            <w:r>
              <w:rPr>
                <w:rFonts w:ascii="宋体" w:hAnsi="宋体" w:cs="宋体" w:eastAsia="宋体" w:hint="default"/>
                <w:spacing w:val="-4"/>
                <w:sz w:val="18"/>
                <w:szCs w:val="18"/>
              </w:rPr>
              <w:t>东承诺就该等回购事宜在股东大会中投赞成票。（</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）公司为</w:t>
            </w:r>
            <w:r>
              <w:rPr>
                <w:rFonts w:ascii="宋体" w:hAnsi="宋体" w:cs="宋体" w:eastAsia="宋体" w:hint="default"/>
                <w:spacing w:val="-72"/>
                <w:sz w:val="18"/>
                <w:szCs w:val="18"/>
              </w:rPr>
              <w:t> </w:t>
            </w:r>
            <w:r>
              <w:rPr>
                <w:rFonts w:ascii="宋体" w:hAnsi="宋体" w:cs="宋体" w:eastAsia="宋体" w:hint="default"/>
                <w:sz w:val="18"/>
                <w:szCs w:val="18"/>
              </w:rPr>
              <w:t>稳定股价之目的进行股份回购的，除应符合相关法律法规、 规范性文件之规定之外，还应符合下列各项：</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）公司用于回 购股份的资金总额累计不超过公司首次公开发行新股所募集 资金的总额；</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）公司单次用于回购股份的资金不得低于人民 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）公司单次回购股份不超过公司总股本的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如上述第</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）项与本项冲突的，按照本项执行。（</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）公司董事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会公告回购股份预案后，公司股票收盘价格连续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个交易日 超过最近一期经审计的每股净资产，公司董事会应作出决议 终止回购股份事宜，且在未来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个月内不再启动股份回购事 </w:t>
            </w:r>
            <w:r>
              <w:rPr>
                <w:rFonts w:ascii="宋体" w:hAnsi="宋体" w:cs="宋体" w:eastAsia="宋体" w:hint="default"/>
                <w:spacing w:val="-4"/>
                <w:sz w:val="18"/>
                <w:szCs w:val="18"/>
              </w:rPr>
              <w:t>宜。（</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）在公司符合本预案规定的回购股份的相关条件的情</w:t>
            </w:r>
            <w:r>
              <w:rPr>
                <w:rFonts w:ascii="宋体" w:hAnsi="宋体" w:cs="宋体" w:eastAsia="宋体" w:hint="default"/>
                <w:spacing w:val="-72"/>
                <w:sz w:val="18"/>
                <w:szCs w:val="18"/>
              </w:rPr>
              <w:t> </w:t>
            </w:r>
            <w:r>
              <w:rPr>
                <w:rFonts w:ascii="宋体" w:hAnsi="宋体" w:cs="宋体" w:eastAsia="宋体" w:hint="default"/>
                <w:sz w:val="18"/>
                <w:szCs w:val="18"/>
              </w:rPr>
              <w:t>况下，公司董事会经综合考虑公司经营发展实际情况、公司 所处行业情况、公司股价的二级市场表现情况、公司现金流 量状况、社会资金成本和外部融资环境等因素，认为公司不 宜或暂无须回购股票的，经董事会决议通过并经半数以上独 立董事同意后，应将不回购股票以稳定股价事宜提交股东大 会审议，并经出席会议的股东所持表决权的三分之二以上通 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32" w:lineRule="exact"/>
              <w:ind w:left="103" w:right="233"/>
              <w:jc w:val="left"/>
              <w:rPr>
                <w:rFonts w:ascii="宋体" w:hAnsi="宋体" w:cs="宋体" w:eastAsia="宋体" w:hint="default"/>
                <w:sz w:val="18"/>
                <w:szCs w:val="18"/>
              </w:rPr>
            </w:pPr>
            <w:r>
              <w:rPr>
                <w:rFonts w:ascii="宋体" w:hAnsi="宋体" w:cs="宋体" w:eastAsia="宋体" w:hint="default"/>
                <w:sz w:val="18"/>
                <w:szCs w:val="18"/>
              </w:rPr>
              <w:t>无期 限</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32" w:lineRule="exact"/>
              <w:ind w:left="103" w:right="199"/>
              <w:jc w:val="left"/>
              <w:rPr>
                <w:rFonts w:ascii="宋体" w:hAnsi="宋体" w:cs="宋体" w:eastAsia="宋体" w:hint="default"/>
                <w:sz w:val="18"/>
                <w:szCs w:val="18"/>
              </w:rPr>
            </w:pPr>
            <w:r>
              <w:rPr>
                <w:rFonts w:ascii="宋体" w:hAnsi="宋体" w:cs="宋体" w:eastAsia="宋体" w:hint="default"/>
                <w:sz w:val="18"/>
                <w:szCs w:val="18"/>
              </w:rPr>
              <w:t>正在 履行</w:t>
            </w:r>
          </w:p>
        </w:tc>
      </w:tr>
      <w:tr>
        <w:trPr>
          <w:trHeight w:val="3744" w:hRule="exact"/>
        </w:trPr>
        <w:tc>
          <w:tcPr>
            <w:tcW w:w="959"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103" w:right="234"/>
              <w:jc w:val="left"/>
              <w:rPr>
                <w:rFonts w:ascii="宋体" w:hAnsi="宋体" w:cs="宋体" w:eastAsia="宋体" w:hint="default"/>
                <w:sz w:val="18"/>
                <w:szCs w:val="18"/>
              </w:rPr>
            </w:pPr>
            <w:r>
              <w:rPr>
                <w:rFonts w:ascii="宋体" w:hAnsi="宋体" w:cs="宋体" w:eastAsia="宋体" w:hint="default"/>
                <w:sz w:val="18"/>
                <w:szCs w:val="18"/>
              </w:rPr>
              <w:t>赵鸿 飞</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32" w:lineRule="exact"/>
              <w:ind w:left="103" w:right="19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公司上市后三年内，如公司股票收盘价格连续</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个交易日低</w:t>
            </w:r>
          </w:p>
          <w:p>
            <w:pPr>
              <w:pStyle w:val="TableParagraph"/>
              <w:spacing w:line="230" w:lineRule="auto" w:before="1"/>
              <w:ind w:left="103" w:right="12"/>
              <w:jc w:val="both"/>
              <w:rPr>
                <w:rFonts w:ascii="宋体" w:hAnsi="宋体" w:cs="宋体" w:eastAsia="宋体" w:hint="default"/>
                <w:sz w:val="18"/>
                <w:szCs w:val="18"/>
              </w:rPr>
            </w:pPr>
            <w:r>
              <w:rPr>
                <w:rFonts w:ascii="宋体" w:hAnsi="宋体" w:cs="宋体" w:eastAsia="宋体" w:hint="default"/>
                <w:sz w:val="18"/>
                <w:szCs w:val="18"/>
              </w:rPr>
              <w:t>于最近一期经审计的每股净资产（最近一期审计基准日后， 因利润分配、资本公积金转增股本、增发、配股等情况导致 公司净资产或股份总数出现变化的，每股净资产相应进行调 </w:t>
            </w:r>
            <w:r>
              <w:rPr>
                <w:rFonts w:ascii="宋体" w:hAnsi="宋体" w:cs="宋体" w:eastAsia="宋体" w:hint="default"/>
                <w:spacing w:val="-7"/>
                <w:w w:val="100"/>
                <w:sz w:val="18"/>
                <w:szCs w:val="18"/>
              </w:rPr>
              <w:t>整）（以下简称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启动条件</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），则公司应按本预案启动稳定股</w:t>
            </w:r>
            <w:r>
              <w:rPr>
                <w:rFonts w:ascii="宋体" w:hAnsi="宋体" w:cs="宋体" w:eastAsia="宋体" w:hint="default"/>
                <w:spacing w:val="-76"/>
                <w:w w:val="100"/>
                <w:sz w:val="18"/>
                <w:szCs w:val="18"/>
              </w:rPr>
              <w:t> </w:t>
            </w:r>
            <w:r>
              <w:rPr>
                <w:rFonts w:ascii="宋体" w:hAnsi="宋体" w:cs="宋体" w:eastAsia="宋体" w:hint="default"/>
                <w:spacing w:val="-76"/>
                <w:w w:val="100"/>
                <w:sz w:val="18"/>
                <w:szCs w:val="18"/>
              </w:rPr>
            </w:r>
            <w:r>
              <w:rPr>
                <w:rFonts w:ascii="宋体" w:hAnsi="宋体" w:cs="宋体" w:eastAsia="宋体" w:hint="default"/>
                <w:spacing w:val="-8"/>
                <w:sz w:val="18"/>
                <w:szCs w:val="18"/>
              </w:rPr>
              <w:t>价措施。（二）稳定股价的具体措施</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、控股股东增持（</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）自</w:t>
            </w:r>
            <w:r>
              <w:rPr>
                <w:rFonts w:ascii="宋体" w:hAnsi="宋体" w:cs="宋体" w:eastAsia="宋体" w:hint="default"/>
                <w:spacing w:val="-82"/>
                <w:sz w:val="18"/>
                <w:szCs w:val="18"/>
              </w:rPr>
              <w:t> </w:t>
            </w:r>
            <w:r>
              <w:rPr>
                <w:rFonts w:ascii="宋体" w:hAnsi="宋体" w:cs="宋体" w:eastAsia="宋体" w:hint="default"/>
                <w:sz w:val="18"/>
                <w:szCs w:val="18"/>
              </w:rPr>
              <w:t>公司股票上市交易后三年内首次触发启动条件，和</w:t>
            </w:r>
            <w:r>
              <w:rPr>
                <w:rFonts w:ascii="Times New Roman" w:hAnsi="Times New Roman" w:cs="Times New Roman" w:eastAsia="Times New Roman" w:hint="default"/>
                <w:sz w:val="18"/>
                <w:szCs w:val="18"/>
              </w:rPr>
              <w:t>/</w:t>
            </w:r>
            <w:r>
              <w:rPr>
                <w:rFonts w:ascii="宋体" w:hAnsi="宋体" w:cs="宋体" w:eastAsia="宋体" w:hint="default"/>
                <w:sz w:val="18"/>
                <w:szCs w:val="18"/>
              </w:rPr>
              <w:t>或自公司 股票上市交易后三年内首次触发启动条件之日起每隔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 任一时点触发启动条件，为稳定公司股价之目的，公司控股 股东应在符合《上市公司收购管理办法》及《创业板信息披 露业务备忘录第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号－股东及其一致行动人增持股份业务管 理》等法律法规、规范性文件的规定、且不应导致公司股权 </w:t>
            </w:r>
            <w:r>
              <w:rPr>
                <w:rFonts w:ascii="宋体" w:hAnsi="宋体" w:cs="宋体" w:eastAsia="宋体" w:hint="default"/>
                <w:spacing w:val="-4"/>
                <w:sz w:val="18"/>
                <w:szCs w:val="18"/>
              </w:rPr>
              <w:t>分布不符合上市条件的前提下，对公司股票进行增持。（</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宋体" w:hAnsi="宋体" w:cs="宋体" w:eastAsia="宋体" w:hint="default"/>
                <w:spacing w:val="-72"/>
                <w:sz w:val="18"/>
                <w:szCs w:val="18"/>
              </w:rPr>
              <w:t> </w:t>
            </w:r>
            <w:r>
              <w:rPr>
                <w:rFonts w:ascii="宋体" w:hAnsi="宋体" w:cs="宋体" w:eastAsia="宋体" w:hint="default"/>
                <w:sz w:val="18"/>
                <w:szCs w:val="18"/>
              </w:rPr>
              <w:t>控股股东承诺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）其单次增持总金额不应少于人民币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）单次及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或连续十二个月增持公司股份数量不超过公司</w:t>
            </w:r>
            <w:r>
              <w:rPr>
                <w:rFonts w:ascii="宋体" w:hAnsi="宋体" w:cs="宋体" w:eastAsia="宋体" w:hint="default"/>
                <w:spacing w:val="-83"/>
                <w:sz w:val="18"/>
                <w:szCs w:val="18"/>
              </w:rPr>
              <w:t> </w:t>
            </w:r>
            <w:r>
              <w:rPr>
                <w:rFonts w:ascii="宋体" w:hAnsi="宋体" w:cs="宋体" w:eastAsia="宋体" w:hint="default"/>
                <w:sz w:val="18"/>
                <w:szCs w:val="18"/>
              </w:rPr>
              <w:t>总股本的</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；如上述第</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）项与本项冲突的，按照本项执行。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55"/>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199"/>
              <w:jc w:val="both"/>
              <w:rPr>
                <w:rFonts w:ascii="宋体" w:hAnsi="宋体" w:cs="宋体" w:eastAsia="宋体" w:hint="default"/>
                <w:sz w:val="18"/>
                <w:szCs w:val="18"/>
              </w:rPr>
            </w:pPr>
            <w:r>
              <w:rPr>
                <w:rFonts w:ascii="宋体" w:hAnsi="宋体" w:cs="宋体" w:eastAsia="宋体" w:hint="default"/>
                <w:sz w:val="18"/>
                <w:szCs w:val="18"/>
              </w:rPr>
              <w:t>已履 行完 毕</w:t>
            </w:r>
          </w:p>
        </w:tc>
      </w:tr>
      <w:tr>
        <w:trPr>
          <w:trHeight w:val="1412" w:hRule="exact"/>
        </w:trPr>
        <w:tc>
          <w:tcPr>
            <w:tcW w:w="959"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陈晓</w:t>
            </w:r>
          </w:p>
          <w:p>
            <w:pPr>
              <w:pStyle w:val="TableParagraph"/>
              <w:spacing w:line="240" w:lineRule="exact"/>
              <w:ind w:left="103" w:right="0"/>
              <w:jc w:val="both"/>
              <w:rPr>
                <w:rFonts w:ascii="宋体" w:hAnsi="宋体" w:cs="宋体" w:eastAsia="宋体" w:hint="default"/>
                <w:sz w:val="18"/>
                <w:szCs w:val="18"/>
              </w:rPr>
            </w:pPr>
            <w:r>
              <w:rPr>
                <w:rFonts w:ascii="宋体" w:hAnsi="宋体" w:cs="宋体" w:eastAsia="宋体" w:hint="default"/>
                <w:sz w:val="18"/>
                <w:szCs w:val="18"/>
              </w:rPr>
              <w:t>华</w:t>
            </w:r>
            <w:r>
              <w:rPr>
                <w:rFonts w:ascii="Times New Roman" w:hAnsi="Times New Roman" w:cs="Times New Roman" w:eastAsia="Times New Roman" w:hint="default"/>
                <w:sz w:val="18"/>
                <w:szCs w:val="18"/>
              </w:rPr>
              <w:t>;</w:t>
            </w:r>
            <w:r>
              <w:rPr>
                <w:rFonts w:ascii="宋体" w:hAnsi="宋体" w:cs="宋体" w:eastAsia="宋体" w:hint="default"/>
                <w:sz w:val="18"/>
                <w:szCs w:val="18"/>
              </w:rPr>
              <w:t>耿</w:t>
            </w:r>
          </w:p>
          <w:p>
            <w:pPr>
              <w:pStyle w:val="TableParagraph"/>
              <w:spacing w:line="228" w:lineRule="auto" w:before="3"/>
              <w:ind w:left="103" w:right="185"/>
              <w:jc w:val="both"/>
              <w:rPr>
                <w:rFonts w:ascii="宋体" w:hAnsi="宋体" w:cs="宋体" w:eastAsia="宋体" w:hint="default"/>
                <w:sz w:val="18"/>
                <w:szCs w:val="18"/>
              </w:rPr>
            </w:pPr>
            <w:r>
              <w:rPr>
                <w:rFonts w:ascii="宋体" w:hAnsi="宋体" w:cs="宋体" w:eastAsia="宋体" w:hint="default"/>
                <w:sz w:val="18"/>
                <w:szCs w:val="18"/>
              </w:rPr>
              <w:t>增强</w:t>
            </w:r>
            <w:r>
              <w:rPr>
                <w:rFonts w:ascii="Times New Roman" w:hAnsi="Times New Roman" w:cs="Times New Roman" w:eastAsia="Times New Roman" w:hint="default"/>
                <w:sz w:val="18"/>
                <w:szCs w:val="18"/>
              </w:rPr>
              <w:t>; </w:t>
            </w:r>
            <w:r>
              <w:rPr>
                <w:rFonts w:ascii="宋体" w:hAnsi="宋体" w:cs="宋体" w:eastAsia="宋体" w:hint="default"/>
                <w:sz w:val="18"/>
                <w:szCs w:val="18"/>
              </w:rPr>
              <w:t>吴安 华</w:t>
            </w:r>
            <w:r>
              <w:rPr>
                <w:rFonts w:ascii="Times New Roman" w:hAnsi="Times New Roman" w:cs="Times New Roman" w:eastAsia="Times New Roman" w:hint="default"/>
                <w:sz w:val="18"/>
                <w:szCs w:val="18"/>
              </w:rPr>
              <w:t>;</w:t>
            </w:r>
            <w:r>
              <w:rPr>
                <w:rFonts w:ascii="宋体" w:hAnsi="宋体" w:cs="宋体" w:eastAsia="宋体" w:hint="default"/>
                <w:sz w:val="18"/>
                <w:szCs w:val="18"/>
              </w:rPr>
              <w:t>邹 鹏程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2" w:lineRule="exact"/>
              <w:ind w:left="103" w:right="194"/>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董事、高级管理人员增持（</w:t>
            </w:r>
            <w:r>
              <w:rPr>
                <w:rFonts w:ascii="Times New Roman" w:hAnsi="Times New Roman" w:cs="Times New Roman" w:eastAsia="Times New Roman" w:hint="default"/>
                <w:sz w:val="18"/>
                <w:szCs w:val="18"/>
              </w:rPr>
              <w:t>1</w:t>
            </w:r>
            <w:r>
              <w:rPr>
                <w:rFonts w:ascii="宋体" w:hAnsi="宋体" w:cs="宋体" w:eastAsia="宋体" w:hint="default"/>
                <w:sz w:val="18"/>
                <w:szCs w:val="18"/>
              </w:rPr>
              <w:t>）自公司股票上市交易后三年内</w:t>
            </w:r>
          </w:p>
          <w:p>
            <w:pPr>
              <w:pStyle w:val="TableParagraph"/>
              <w:spacing w:line="230" w:lineRule="auto"/>
              <w:ind w:left="103" w:right="13"/>
              <w:jc w:val="left"/>
              <w:rPr>
                <w:rFonts w:ascii="宋体" w:hAnsi="宋体" w:cs="宋体" w:eastAsia="宋体" w:hint="default"/>
                <w:sz w:val="18"/>
                <w:szCs w:val="18"/>
              </w:rPr>
            </w:pPr>
            <w:r>
              <w:rPr>
                <w:rFonts w:ascii="宋体" w:hAnsi="宋体" w:cs="宋体" w:eastAsia="宋体" w:hint="default"/>
                <w:sz w:val="18"/>
                <w:szCs w:val="18"/>
              </w:rPr>
              <w:t>首次触发启动条件，和</w:t>
            </w:r>
            <w:r>
              <w:rPr>
                <w:rFonts w:ascii="Times New Roman" w:hAnsi="Times New Roman" w:cs="Times New Roman" w:eastAsia="Times New Roman" w:hint="default"/>
                <w:sz w:val="18"/>
                <w:szCs w:val="18"/>
              </w:rPr>
              <w:t>/</w:t>
            </w:r>
            <w:r>
              <w:rPr>
                <w:rFonts w:ascii="宋体" w:hAnsi="宋体" w:cs="宋体" w:eastAsia="宋体" w:hint="default"/>
                <w:sz w:val="18"/>
                <w:szCs w:val="18"/>
              </w:rPr>
              <w:t>或自公司股票上市交易后三年内首次 触发启动条件之日起每隔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个月任一时点触发启动条件，为 稳定公司股价之目的，公司全体董事、高级管理人员应在符 合《上市公司收购管理办法》及《上市公司董事、监事和高 </w:t>
            </w:r>
            <w:r>
              <w:rPr>
                <w:rFonts w:ascii="宋体" w:hAnsi="宋体" w:cs="宋体" w:eastAsia="宋体" w:hint="default"/>
                <w:spacing w:val="-1"/>
                <w:sz w:val="18"/>
                <w:szCs w:val="18"/>
              </w:rPr>
              <w:t>级管理人员所持本公司股份及其变动管理规则》等法律法规、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12</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32" w:lineRule="exact"/>
              <w:ind w:left="103" w:right="199"/>
              <w:jc w:val="left"/>
              <w:rPr>
                <w:rFonts w:ascii="宋体" w:hAnsi="宋体" w:cs="宋体" w:eastAsia="宋体" w:hint="default"/>
                <w:sz w:val="18"/>
                <w:szCs w:val="18"/>
              </w:rPr>
            </w:pPr>
            <w:r>
              <w:rPr>
                <w:rFonts w:ascii="宋体" w:hAnsi="宋体" w:cs="宋体" w:eastAsia="宋体" w:hint="default"/>
                <w:sz w:val="18"/>
                <w:szCs w:val="18"/>
              </w:rPr>
              <w:t>已完 成</w:t>
            </w:r>
          </w:p>
        </w:tc>
      </w:tr>
    </w:tbl>
    <w:p>
      <w:pPr>
        <w:spacing w:after="0" w:line="232" w:lineRule="exact"/>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959"/>
        <w:gridCol w:w="709"/>
        <w:gridCol w:w="850"/>
        <w:gridCol w:w="4963"/>
        <w:gridCol w:w="992"/>
        <w:gridCol w:w="708"/>
        <w:gridCol w:w="674"/>
      </w:tblGrid>
      <w:tr>
        <w:trPr>
          <w:trHeight w:val="476"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1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承诺类</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型</w:t>
            </w:r>
          </w:p>
        </w:tc>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期限</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2" w:right="0"/>
              <w:jc w:val="left"/>
              <w:rPr>
                <w:rFonts w:ascii="宋体" w:hAnsi="宋体" w:cs="宋体" w:eastAsia="宋体" w:hint="default"/>
                <w:sz w:val="18"/>
                <w:szCs w:val="18"/>
              </w:rPr>
            </w:pPr>
            <w:r>
              <w:rPr>
                <w:rFonts w:ascii="宋体" w:hAnsi="宋体" w:cs="宋体" w:eastAsia="宋体" w:hint="default"/>
                <w:sz w:val="18"/>
                <w:szCs w:val="18"/>
              </w:rPr>
              <w:t>履行</w:t>
            </w:r>
          </w:p>
          <w:p>
            <w:pPr>
              <w:pStyle w:val="TableParagraph"/>
              <w:spacing w:line="235" w:lineRule="exact"/>
              <w:ind w:left="152"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2812"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规范性文件的规定、且不应导致公司股权分布不符合上市条</w:t>
            </w:r>
          </w:p>
          <w:p>
            <w:pPr>
              <w:pStyle w:val="TableParagraph"/>
              <w:spacing w:line="230" w:lineRule="auto" w:before="7"/>
              <w:ind w:left="103" w:right="117"/>
              <w:jc w:val="both"/>
              <w:rPr>
                <w:rFonts w:ascii="宋体" w:hAnsi="宋体" w:cs="宋体" w:eastAsia="宋体" w:hint="default"/>
                <w:sz w:val="18"/>
                <w:szCs w:val="18"/>
              </w:rPr>
            </w:pPr>
            <w:r>
              <w:rPr>
                <w:rFonts w:ascii="宋体" w:hAnsi="宋体" w:cs="宋体" w:eastAsia="宋体" w:hint="default"/>
                <w:sz w:val="18"/>
                <w:szCs w:val="18"/>
              </w:rPr>
              <w:t>件的前提下，对公司股票进行增持。 （</w:t>
            </w:r>
            <w:r>
              <w:rPr>
                <w:rFonts w:ascii="Times New Roman" w:hAnsi="Times New Roman" w:cs="Times New Roman" w:eastAsia="Times New Roman" w:hint="default"/>
                <w:sz w:val="18"/>
                <w:szCs w:val="18"/>
              </w:rPr>
              <w:t>2</w:t>
            </w:r>
            <w:r>
              <w:rPr>
                <w:rFonts w:ascii="宋体" w:hAnsi="宋体" w:cs="宋体" w:eastAsia="宋体" w:hint="default"/>
                <w:sz w:val="18"/>
                <w:szCs w:val="18"/>
              </w:rPr>
              <w:t>）有义务增持的公 司董事、高级管理人员承诺，其用于单次及</w:t>
            </w:r>
            <w:r>
              <w:rPr>
                <w:rFonts w:ascii="Times New Roman" w:hAnsi="Times New Roman" w:cs="Times New Roman" w:eastAsia="Times New Roman" w:hint="default"/>
                <w:sz w:val="18"/>
                <w:szCs w:val="18"/>
              </w:rPr>
              <w:t>/</w:t>
            </w:r>
            <w:r>
              <w:rPr>
                <w:rFonts w:ascii="宋体" w:hAnsi="宋体" w:cs="宋体" w:eastAsia="宋体" w:hint="default"/>
                <w:sz w:val="18"/>
                <w:szCs w:val="18"/>
              </w:rPr>
              <w:t>或连续十二个月 增持公司股份的货币资金不少于该等董事、高级管理人员上 年度薪酬总和（税前，下同）的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，但不超过该等董事、 高级管理人员上年度的薪酬总和。公司全体董事、高级管理 </w:t>
            </w:r>
            <w:r>
              <w:rPr>
                <w:rFonts w:ascii="宋体" w:hAnsi="宋体" w:cs="宋体" w:eastAsia="宋体" w:hint="default"/>
                <w:spacing w:val="-4"/>
                <w:sz w:val="18"/>
                <w:szCs w:val="18"/>
              </w:rPr>
              <w:t>人员对该等增持义务的履行承担连带责任。（</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）公司在首次</w:t>
            </w:r>
            <w:r>
              <w:rPr>
                <w:rFonts w:ascii="宋体" w:hAnsi="宋体" w:cs="宋体" w:eastAsia="宋体" w:hint="default"/>
                <w:spacing w:val="-72"/>
                <w:sz w:val="18"/>
                <w:szCs w:val="18"/>
              </w:rPr>
              <w:t> </w:t>
            </w:r>
            <w:r>
              <w:rPr>
                <w:rFonts w:ascii="宋体" w:hAnsi="宋体" w:cs="宋体" w:eastAsia="宋体" w:hint="default"/>
                <w:sz w:val="18"/>
                <w:szCs w:val="18"/>
              </w:rPr>
              <w:t>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股股票上市后三年内新聘任的董事和高级管理人 员应当遵守本预案关于公司董事、高级管理人员的义务及责 任的规定，公司及公司控股股东、现有董事、高级管理人员 应当促成公司新聘任的该等董事、高级管理人员遵守本预案 并签署相关承诺。</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股权激励</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其他对公</w:t>
            </w:r>
          </w:p>
          <w:p>
            <w:pPr>
              <w:pStyle w:val="TableParagraph"/>
              <w:spacing w:line="237" w:lineRule="auto"/>
              <w:ind w:left="103" w:right="124"/>
              <w:jc w:val="both"/>
              <w:rPr>
                <w:rFonts w:ascii="宋体" w:hAnsi="宋体" w:cs="宋体" w:eastAsia="宋体" w:hint="default"/>
                <w:sz w:val="18"/>
                <w:szCs w:val="18"/>
              </w:rPr>
            </w:pPr>
            <w:r>
              <w:rPr>
                <w:rFonts w:ascii="宋体" w:hAnsi="宋体" w:cs="宋体" w:eastAsia="宋体" w:hint="default"/>
                <w:sz w:val="18"/>
                <w:szCs w:val="18"/>
              </w:rPr>
              <w:t>司中小股 东所作承 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96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承诺是否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按时履行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96"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
        <w:rPr>
          <w:rFonts w:ascii="Times New Roman" w:hAnsi="Times New Roman" w:cs="Times New Roman" w:eastAsia="Times New Roman" w:hint="default"/>
          <w:sz w:val="10"/>
          <w:szCs w:val="10"/>
        </w:rPr>
      </w:pPr>
    </w:p>
    <w:p>
      <w:pPr>
        <w:pStyle w:val="BodyText"/>
        <w:spacing w:line="324" w:lineRule="exact"/>
        <w:ind w:right="1016"/>
        <w:jc w:val="left"/>
        <w:rPr>
          <w:rFonts w:ascii="微软雅黑" w:hAnsi="微软雅黑" w:cs="微软雅黑" w:eastAsia="微软雅黑" w:hint="default"/>
        </w:rPr>
      </w:pPr>
      <w:bookmarkStart w:name="2、公司资产或项目存在盈利预测，且报告期仍处在盈利预测期间，公司就资产或项目达到" w:id="62"/>
      <w:bookmarkEnd w:id="62"/>
      <w:r>
        <w:rPr/>
      </w:r>
      <w:r>
        <w:rPr>
          <w:rFonts w:ascii="Times New Roman" w:hAnsi="Times New Roman" w:cs="Times New Roman" w:eastAsia="Times New Roman" w:hint="default"/>
        </w:rPr>
        <w:t>2</w:t>
      </w:r>
      <w:r>
        <w:rPr>
          <w:rFonts w:ascii="微软雅黑" w:hAnsi="微软雅黑" w:cs="微软雅黑" w:eastAsia="微软雅黑" w:hint="default"/>
        </w:rPr>
        <w:t>、公司资产或项目存在盈利预测，且报告期仍处在盈利预测期间，公司就资产或项目达到原盈利预</w:t>
      </w:r>
    </w:p>
    <w:p>
      <w:pPr>
        <w:pStyle w:val="BodyText"/>
        <w:spacing w:line="240" w:lineRule="auto" w:before="177"/>
        <w:ind w:left="214" w:right="1016"/>
        <w:jc w:val="left"/>
        <w:rPr>
          <w:rFonts w:ascii="微软雅黑" w:hAnsi="微软雅黑" w:cs="微软雅黑" w:eastAsia="微软雅黑" w:hint="default"/>
        </w:rPr>
      </w:pPr>
      <w:r>
        <w:rPr>
          <w:rFonts w:ascii="微软雅黑" w:hAnsi="微软雅黑" w:cs="微软雅黑" w:eastAsia="微软雅黑" w:hint="default"/>
        </w:rPr>
        <w:t>测及其原因做出说明</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Heading2"/>
        <w:spacing w:line="240" w:lineRule="auto"/>
        <w:ind w:right="1016"/>
        <w:jc w:val="left"/>
      </w:pPr>
      <w:bookmarkStart w:name="三、控股股东及其关联方对上市公司的非经营性占用资金情况" w:id="63"/>
      <w:bookmarkEnd w:id="63"/>
      <w:r>
        <w:rPr/>
      </w:r>
      <w:r>
        <w:rPr/>
        <w:t>三、控股股东及其关联方对上市公司的非经营性占用资金情况</w:t>
      </w:r>
    </w:p>
    <w:p>
      <w:pPr>
        <w:spacing w:line="240" w:lineRule="auto" w:before="12"/>
        <w:rPr>
          <w:rFonts w:ascii="微软雅黑" w:hAnsi="微软雅黑" w:cs="微软雅黑" w:eastAsia="微软雅黑" w:hint="default"/>
          <w:sz w:val="24"/>
          <w:szCs w:val="24"/>
        </w:rPr>
      </w:pPr>
    </w:p>
    <w:p>
      <w:pPr>
        <w:pStyle w:val="BodyText"/>
        <w:spacing w:line="240" w:lineRule="auto"/>
        <w:ind w:right="1016"/>
        <w:jc w:val="left"/>
      </w:pPr>
      <w:r>
        <w:rPr/>
        <w:t>公司报告期不存在控股股东及其关联方对上市公司的非经营性占用资金。</w:t>
      </w:r>
    </w:p>
    <w:p>
      <w:pPr>
        <w:spacing w:line="240" w:lineRule="auto" w:before="9"/>
        <w:rPr>
          <w:rFonts w:ascii="宋体" w:hAnsi="宋体" w:cs="宋体" w:eastAsia="宋体" w:hint="default"/>
          <w:sz w:val="21"/>
          <w:szCs w:val="21"/>
        </w:rPr>
      </w:pPr>
    </w:p>
    <w:p>
      <w:pPr>
        <w:pStyle w:val="Heading2"/>
        <w:spacing w:line="240" w:lineRule="auto"/>
        <w:ind w:right="1016"/>
        <w:jc w:val="left"/>
      </w:pPr>
      <w:bookmarkStart w:name="四、董事会对最近一期“非标准审计报告”相关情况的说明" w:id="64"/>
      <w:bookmarkEnd w:id="64"/>
      <w:r>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p>
    <w:p>
      <w:pPr>
        <w:spacing w:line="240" w:lineRule="auto" w:before="13"/>
        <w:rPr>
          <w:rFonts w:ascii="微软雅黑" w:hAnsi="微软雅黑" w:cs="微软雅黑" w:eastAsia="微软雅黑" w:hint="default"/>
          <w:sz w:val="24"/>
          <w:szCs w:val="24"/>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5"/>
        <w:rPr>
          <w:rFonts w:ascii="宋体" w:hAnsi="宋体" w:cs="宋体" w:eastAsia="宋体" w:hint="default"/>
          <w:sz w:val="20"/>
          <w:szCs w:val="20"/>
        </w:rPr>
      </w:pPr>
    </w:p>
    <w:p>
      <w:pPr>
        <w:pStyle w:val="Heading2"/>
        <w:spacing w:line="357" w:lineRule="auto"/>
        <w:ind w:right="1016"/>
        <w:jc w:val="left"/>
      </w:pPr>
      <w:bookmarkStart w:name="五、董事会、监事会、独立董事（如有）对会计师事务所本报告期“非标准审计报告”的说" w:id="65"/>
      <w:bookmarkEnd w:id="65"/>
      <w:r>
        <w:rPr/>
      </w:r>
      <w:r>
        <w:rPr>
          <w:w w:val="95"/>
        </w:rPr>
        <w:t>五、董事会、监事会、独立董事（如有）对会计师事务所本报告期</w:t>
      </w:r>
      <w:r>
        <w:rPr>
          <w:rFonts w:ascii="Times New Roman" w:hAnsi="Times New Roman" w:cs="Times New Roman" w:eastAsia="Times New Roman" w:hint="default"/>
          <w:w w:val="95"/>
        </w:rPr>
        <w:t>“</w:t>
      </w:r>
      <w:r>
        <w:rPr>
          <w:w w:val="95"/>
        </w:rPr>
        <w:t>非标准审计</w:t>
      </w:r>
      <w:r>
        <w:rPr>
          <w:spacing w:val="67"/>
          <w:w w:val="95"/>
        </w:rPr>
        <w:t> </w:t>
      </w:r>
      <w:r>
        <w:rPr/>
        <w:t>报告</w:t>
      </w:r>
      <w:r>
        <w:rPr>
          <w:rFonts w:ascii="Times New Roman" w:hAnsi="Times New Roman" w:cs="Times New Roman" w:eastAsia="Times New Roman" w:hint="default"/>
        </w:rPr>
        <w:t>”</w:t>
      </w:r>
      <w:r>
        <w:rPr/>
        <w:t>的说明</w:t>
      </w:r>
    </w:p>
    <w:p>
      <w:pPr>
        <w:pStyle w:val="BodyText"/>
        <w:spacing w:line="240" w:lineRule="auto" w:before="245"/>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0"/>
          <w:szCs w:val="20"/>
        </w:rPr>
      </w:pPr>
    </w:p>
    <w:p>
      <w:pPr>
        <w:pStyle w:val="Heading2"/>
        <w:spacing w:line="240" w:lineRule="auto"/>
        <w:ind w:right="1016"/>
        <w:jc w:val="left"/>
      </w:pPr>
      <w:bookmarkStart w:name="六、董事会关于报告期会计政策、会计估计变更或重大会计差错更正的说明" w:id="66"/>
      <w:bookmarkEnd w:id="66"/>
      <w:r>
        <w:rPr/>
      </w:r>
      <w:r>
        <w:rPr/>
        <w:t>六、董事会关于报告期会计政策、会计估计变更或重大会计差错更正的说明</w:t>
      </w:r>
    </w:p>
    <w:p>
      <w:pPr>
        <w:spacing w:line="240" w:lineRule="auto" w:before="12"/>
        <w:rPr>
          <w:rFonts w:ascii="微软雅黑" w:hAnsi="微软雅黑" w:cs="微软雅黑" w:eastAsia="微软雅黑" w:hint="default"/>
          <w:sz w:val="24"/>
          <w:szCs w:val="24"/>
        </w:rPr>
      </w:pPr>
    </w:p>
    <w:p>
      <w:pPr>
        <w:pStyle w:val="BodyText"/>
        <w:spacing w:line="240" w:lineRule="auto"/>
        <w:ind w:right="1016"/>
        <w:jc w:val="left"/>
      </w:pPr>
      <w:r>
        <w:rPr/>
        <w:t>根据财政部</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spacing w:val="-1"/>
        </w:rPr>
        <w:t>1</w:t>
      </w:r>
      <w:r>
        <w:rPr>
          <w:rFonts w:ascii="宋体" w:hAnsi="宋体" w:cs="宋体" w:eastAsia="宋体" w:hint="default"/>
        </w:rPr>
        <w:t>5</w:t>
      </w:r>
      <w:r>
        <w:rPr>
          <w:rFonts w:ascii="宋体" w:hAnsi="宋体" w:cs="宋体" w:eastAsia="宋体" w:hint="default"/>
          <w:spacing w:val="-52"/>
        </w:rPr>
        <w:t> </w:t>
      </w:r>
      <w:r>
        <w:rPr/>
        <w:t>日发布</w:t>
      </w:r>
      <w:r>
        <w:rPr>
          <w:spacing w:val="-11"/>
        </w:rPr>
        <w:t>的</w:t>
      </w:r>
      <w:r>
        <w:rPr>
          <w:spacing w:val="-2"/>
        </w:rPr>
        <w:t>《</w:t>
      </w:r>
      <w:r>
        <w:rPr/>
        <w:t>关于修订印发</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2"/>
        </w:rPr>
        <w:t>度</w:t>
      </w:r>
      <w:r>
        <w:rPr/>
        <w:t>一般企业财务报表格式的通知</w:t>
      </w:r>
      <w:r>
        <w:rPr>
          <w:spacing w:val="-116"/>
        </w:rPr>
        <w:t>》</w:t>
      </w:r>
      <w:r>
        <w:rPr/>
        <w:t>（财会</w:t>
      </w:r>
    </w:p>
    <w:p>
      <w:pPr>
        <w:spacing w:after="0" w:line="240" w:lineRule="auto"/>
        <w:jc w:val="left"/>
        <w:sectPr>
          <w:pgSz w:w="11910" w:h="16840"/>
          <w:pgMar w:header="801" w:footer="1007" w:top="1100" w:bottom="1200" w:left="920" w:right="0"/>
        </w:sectPr>
      </w:pPr>
    </w:p>
    <w:p>
      <w:pPr>
        <w:spacing w:line="240" w:lineRule="auto" w:before="1"/>
        <w:rPr>
          <w:rFonts w:ascii="宋体" w:hAnsi="宋体" w:cs="宋体" w:eastAsia="宋体" w:hint="default"/>
          <w:sz w:val="19"/>
          <w:szCs w:val="19"/>
        </w:rPr>
      </w:pPr>
    </w:p>
    <w:p>
      <w:pPr>
        <w:pStyle w:val="BodyText"/>
        <w:spacing w:line="240" w:lineRule="auto" w:before="35"/>
        <w:ind w:left="214" w:right="1016"/>
        <w:jc w:val="left"/>
      </w:pPr>
      <w:r>
        <w:rPr/>
        <w:t>〔</w:t>
      </w:r>
      <w:r>
        <w:rPr>
          <w:rFonts w:ascii="宋体" w:hAnsi="宋体" w:cs="宋体" w:eastAsia="宋体" w:hint="default"/>
        </w:rPr>
        <w:t>201</w:t>
      </w:r>
      <w:r>
        <w:rPr>
          <w:rFonts w:ascii="宋体" w:hAnsi="宋体" w:cs="宋体" w:eastAsia="宋体" w:hint="default"/>
          <w:spacing w:val="1"/>
        </w:rPr>
        <w:t>8</w:t>
      </w:r>
      <w:r>
        <w:rPr>
          <w:spacing w:val="-2"/>
        </w:rPr>
        <w:t>〕</w:t>
      </w:r>
      <w:r>
        <w:rPr>
          <w:rFonts w:ascii="宋体" w:hAnsi="宋体" w:cs="宋体" w:eastAsia="宋体" w:hint="default"/>
        </w:rPr>
        <w:t>15</w:t>
      </w:r>
      <w:r>
        <w:rPr>
          <w:rFonts w:ascii="宋体" w:hAnsi="宋体" w:cs="宋体" w:eastAsia="宋体" w:hint="default"/>
          <w:spacing w:val="-53"/>
        </w:rPr>
        <w:t> </w:t>
      </w:r>
      <w:r>
        <w:rPr/>
        <w:t>号</w:t>
      </w:r>
      <w:r>
        <w:rPr>
          <w:spacing w:val="-105"/>
        </w:rPr>
        <w:t>）</w:t>
      </w:r>
      <w:r>
        <w:rPr/>
        <w:t>，本公</w:t>
      </w:r>
      <w:r>
        <w:rPr>
          <w:spacing w:val="-2"/>
        </w:rPr>
        <w:t>司</w:t>
      </w:r>
      <w:r>
        <w:rPr/>
        <w:t>对财务报表格式进行了以下修订：</w:t>
      </w:r>
    </w:p>
    <w:p>
      <w:pPr>
        <w:spacing w:line="240" w:lineRule="auto" w:before="12"/>
        <w:rPr>
          <w:rFonts w:ascii="宋体" w:hAnsi="宋体" w:cs="宋体" w:eastAsia="宋体" w:hint="default"/>
          <w:sz w:val="17"/>
          <w:szCs w:val="17"/>
        </w:rPr>
      </w:pPr>
    </w:p>
    <w:p>
      <w:pPr>
        <w:pStyle w:val="BodyText"/>
        <w:spacing w:line="297" w:lineRule="auto"/>
        <w:ind w:left="214" w:right="1109" w:firstLine="420"/>
        <w:jc w:val="both"/>
      </w:pPr>
      <w:r>
        <w:rPr>
          <w:spacing w:val="-1"/>
        </w:rPr>
        <w:t>①资产负债表：将原“应收票据”及“应收账款”项目归并至“应收票据及应收账款”；将原“应收</w:t>
      </w:r>
      <w:r>
        <w:rPr/>
        <w:t> </w:t>
      </w:r>
      <w:r>
        <w:rPr>
          <w:spacing w:val="-1"/>
        </w:rPr>
        <w:t>利息”、“应收股利”及“其他应收款”项目归并至“其他应收款”；将原“固定资产”及“固定资产清</w:t>
      </w:r>
      <w:r>
        <w:rPr>
          <w:spacing w:val="-82"/>
        </w:rPr>
        <w:t> </w:t>
      </w:r>
      <w:r>
        <w:rPr>
          <w:spacing w:val="-82"/>
        </w:rPr>
      </w:r>
      <w:r>
        <w:rPr>
          <w:spacing w:val="-1"/>
        </w:rPr>
        <w:t>理”项目归并至“固定资产”；将原“工程物资”及“在建工程”项目归并至“在建工程”；将原“应付</w:t>
      </w:r>
      <w:r>
        <w:rPr>
          <w:spacing w:val="-83"/>
        </w:rPr>
        <w:t> </w:t>
      </w:r>
      <w:r>
        <w:rPr>
          <w:spacing w:val="-83"/>
        </w:rPr>
      </w:r>
      <w:r>
        <w:rPr>
          <w:spacing w:val="-1"/>
        </w:rPr>
        <w:t>票据”及“应付账款”项目归并至“应付票据及应付账款”；将原“应付利息”“应付股利”及“其他应</w:t>
      </w:r>
      <w:r>
        <w:rPr>
          <w:spacing w:val="-81"/>
        </w:rPr>
        <w:t> </w:t>
      </w:r>
      <w:r>
        <w:rPr>
          <w:spacing w:val="-81"/>
        </w:rPr>
      </w:r>
      <w:r>
        <w:rPr/>
        <w:t>付款”项目归并至“其他应付款”；将原“长期应付款”及“专项应付款”项目归并至“长期应付款”。</w:t>
      </w:r>
    </w:p>
    <w:p>
      <w:pPr>
        <w:spacing w:line="240" w:lineRule="auto" w:before="0"/>
        <w:rPr>
          <w:rFonts w:ascii="宋体" w:hAnsi="宋体" w:cs="宋体" w:eastAsia="宋体" w:hint="default"/>
          <w:sz w:val="14"/>
          <w:szCs w:val="14"/>
        </w:rPr>
      </w:pPr>
    </w:p>
    <w:p>
      <w:pPr>
        <w:pStyle w:val="BodyText"/>
        <w:spacing w:line="297" w:lineRule="auto"/>
        <w:ind w:left="214" w:right="1130" w:firstLine="420"/>
        <w:jc w:val="both"/>
      </w:pPr>
      <w:r>
        <w:rPr>
          <w:spacing w:val="-1"/>
        </w:rPr>
        <w:t>②利润表：将“管理费用”项目分拆“管理费用”和“研发费用”明细项目列报；利润表中“财务费</w:t>
      </w:r>
      <w:r>
        <w:rPr/>
        <w:t> 用”项目下增加“利息费用”和“利息收入”明细项目列报。</w:t>
      </w:r>
    </w:p>
    <w:p>
      <w:pPr>
        <w:spacing w:line="240" w:lineRule="auto" w:before="0"/>
        <w:rPr>
          <w:rFonts w:ascii="宋体" w:hAnsi="宋体" w:cs="宋体" w:eastAsia="宋体" w:hint="default"/>
          <w:sz w:val="14"/>
          <w:szCs w:val="14"/>
        </w:rPr>
      </w:pPr>
    </w:p>
    <w:p>
      <w:pPr>
        <w:pStyle w:val="BodyText"/>
        <w:spacing w:line="444" w:lineRule="auto"/>
        <w:ind w:right="3612"/>
        <w:jc w:val="left"/>
      </w:pPr>
      <w:r>
        <w:rPr/>
        <w:t>③所有者权益变动表：新增“设定受益计划变动额结转留存收益”项目。 上述会计政策变更事项已经第三届董事会第三次会议审议批准。</w:t>
      </w:r>
    </w:p>
    <w:p>
      <w:pPr>
        <w:pStyle w:val="BodyText"/>
        <w:spacing w:line="240" w:lineRule="auto" w:before="55"/>
        <w:ind w:right="1016"/>
        <w:jc w:val="left"/>
      </w:pPr>
      <w:r>
        <w:rPr/>
        <w:t>期初及上年（</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/2017</w:t>
      </w:r>
      <w:r>
        <w:rPr>
          <w:rFonts w:ascii="宋体" w:hAnsi="宋体" w:cs="宋体" w:eastAsia="宋体" w:hint="default"/>
          <w:spacing w:val="-53"/>
        </w:rPr>
        <w:t> </w:t>
      </w:r>
      <w:r>
        <w:rPr/>
        <w:t>年度）受影响的财务报表项目明细情况如下：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93" w:right="1109"/>
        <w:jc w:val="center"/>
      </w:pPr>
      <w:r>
        <w:rPr/>
        <w:t>合并报表</w:t>
      </w:r>
    </w:p>
    <w:p>
      <w:pPr>
        <w:spacing w:line="240" w:lineRule="auto" w:before="0"/>
        <w:rPr>
          <w:rFonts w:ascii="宋体" w:hAnsi="宋体" w:cs="宋体" w:eastAsia="宋体" w:hint="default"/>
          <w:sz w:val="16"/>
          <w:szCs w:val="16"/>
        </w:rPr>
      </w:pPr>
    </w:p>
    <w:p>
      <w:pPr>
        <w:spacing w:before="0"/>
        <w:ind w:left="0" w:right="1130" w:firstLine="0"/>
        <w:jc w:val="right"/>
        <w:rPr>
          <w:rFonts w:ascii="宋体" w:hAnsi="宋体" w:cs="宋体" w:eastAsia="宋体" w:hint="default"/>
          <w:sz w:val="24"/>
          <w:szCs w:val="24"/>
        </w:rPr>
      </w:pPr>
      <w:r>
        <w:rPr>
          <w:rFonts w:ascii="宋体" w:hAnsi="宋体" w:cs="宋体" w:eastAsia="宋体" w:hint="default"/>
          <w:sz w:val="24"/>
          <w:szCs w:val="24"/>
        </w:rPr>
        <w:t>单位：元</w:t>
      </w:r>
    </w:p>
    <w:p>
      <w:pPr>
        <w:spacing w:line="240" w:lineRule="auto" w:before="6"/>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770"/>
        <w:gridCol w:w="1554"/>
        <w:gridCol w:w="3306"/>
        <w:gridCol w:w="2225"/>
      </w:tblGrid>
      <w:tr>
        <w:trPr>
          <w:trHeight w:val="427" w:hRule="exact"/>
        </w:trPr>
        <w:tc>
          <w:tcPr>
            <w:tcW w:w="43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55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2,466,088.51</w:t>
            </w:r>
          </w:p>
        </w:tc>
        <w:tc>
          <w:tcPr>
            <w:tcW w:w="330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57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986" w:right="0"/>
              <w:jc w:val="left"/>
              <w:rPr>
                <w:rFonts w:ascii="Times New Roman" w:hAnsi="Times New Roman" w:cs="Times New Roman" w:eastAsia="Times New Roman" w:hint="default"/>
                <w:sz w:val="18"/>
                <w:szCs w:val="18"/>
              </w:rPr>
            </w:pPr>
            <w:r>
              <w:rPr>
                <w:rFonts w:ascii="Times New Roman"/>
                <w:sz w:val="18"/>
              </w:rPr>
              <w:t>408,133,097.53</w:t>
            </w: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405,667,009.02</w:t>
            </w:r>
          </w:p>
        </w:tc>
        <w:tc>
          <w:tcPr>
            <w:tcW w:w="3306" w:type="dxa"/>
            <w:vMerge/>
            <w:tcBorders>
              <w:left w:val="single" w:sz="4" w:space="0" w:color="000000"/>
              <w:bottom w:val="single" w:sz="4" w:space="0" w:color="000000"/>
              <w:right w:val="single" w:sz="4" w:space="0" w:color="000000"/>
            </w:tcBorders>
          </w:tcPr>
          <w:p>
            <w:pPr/>
          </w:p>
        </w:tc>
        <w:tc>
          <w:tcPr>
            <w:tcW w:w="2225" w:type="dxa"/>
            <w:vMerge/>
            <w:tcBorders>
              <w:left w:val="single" w:sz="4" w:space="0" w:color="000000"/>
              <w:bottom w:val="single" w:sz="4" w:space="0" w:color="000000"/>
              <w:right w:val="single" w:sz="4" w:space="0" w:color="000000"/>
            </w:tcBorders>
          </w:tcPr>
          <w:p>
            <w:pP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5,715,386.44</w:t>
            </w:r>
          </w:p>
        </w:tc>
        <w:tc>
          <w:tcPr>
            <w:tcW w:w="3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22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076" w:right="0"/>
              <w:jc w:val="left"/>
              <w:rPr>
                <w:rFonts w:ascii="Times New Roman" w:hAnsi="Times New Roman" w:cs="Times New Roman" w:eastAsia="Times New Roman" w:hint="default"/>
                <w:sz w:val="18"/>
                <w:szCs w:val="18"/>
              </w:rPr>
            </w:pPr>
            <w:r>
              <w:rPr>
                <w:rFonts w:ascii="Times New Roman"/>
                <w:sz w:val="18"/>
              </w:rPr>
              <w:t>16,990,717.19</w:t>
            </w: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54" w:type="dxa"/>
            <w:tcBorders>
              <w:top w:val="single" w:sz="4" w:space="0" w:color="000000"/>
              <w:left w:val="single" w:sz="4" w:space="0" w:color="000000"/>
              <w:bottom w:val="single" w:sz="4" w:space="0" w:color="000000"/>
              <w:right w:val="single" w:sz="4" w:space="0" w:color="000000"/>
            </w:tcBorders>
          </w:tcPr>
          <w:p>
            <w:pPr/>
          </w:p>
        </w:tc>
        <w:tc>
          <w:tcPr>
            <w:tcW w:w="3306" w:type="dxa"/>
            <w:vMerge/>
            <w:tcBorders>
              <w:left w:val="single" w:sz="4" w:space="0" w:color="000000"/>
              <w:right w:val="single" w:sz="4" w:space="0" w:color="000000"/>
            </w:tcBorders>
          </w:tcPr>
          <w:p>
            <w:pPr/>
          </w:p>
        </w:tc>
        <w:tc>
          <w:tcPr>
            <w:tcW w:w="2225" w:type="dxa"/>
            <w:vMerge/>
            <w:tcBorders>
              <w:left w:val="single" w:sz="4" w:space="0" w:color="000000"/>
              <w:right w:val="single" w:sz="4" w:space="0" w:color="000000"/>
            </w:tcBorders>
          </w:tcPr>
          <w:p>
            <w:pP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11,275,330.75</w:t>
            </w:r>
          </w:p>
        </w:tc>
        <w:tc>
          <w:tcPr>
            <w:tcW w:w="3306" w:type="dxa"/>
            <w:vMerge/>
            <w:tcBorders>
              <w:left w:val="single" w:sz="4" w:space="0" w:color="000000"/>
              <w:bottom w:val="single" w:sz="4" w:space="0" w:color="000000"/>
              <w:right w:val="single" w:sz="4" w:space="0" w:color="000000"/>
            </w:tcBorders>
          </w:tcPr>
          <w:p>
            <w:pPr/>
          </w:p>
        </w:tc>
        <w:tc>
          <w:tcPr>
            <w:tcW w:w="2225" w:type="dxa"/>
            <w:vMerge/>
            <w:tcBorders>
              <w:left w:val="single" w:sz="4" w:space="0" w:color="000000"/>
              <w:bottom w:val="single" w:sz="4" w:space="0" w:color="000000"/>
              <w:right w:val="single" w:sz="4" w:space="0" w:color="000000"/>
            </w:tcBorders>
          </w:tcPr>
          <w:p>
            <w:pP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75,179,755.20</w:t>
            </w:r>
          </w:p>
        </w:tc>
        <w:tc>
          <w:tcPr>
            <w:tcW w:w="330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22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076" w:right="0"/>
              <w:jc w:val="left"/>
              <w:rPr>
                <w:rFonts w:ascii="Times New Roman" w:hAnsi="Times New Roman" w:cs="Times New Roman" w:eastAsia="Times New Roman" w:hint="default"/>
                <w:sz w:val="18"/>
                <w:szCs w:val="18"/>
              </w:rPr>
            </w:pPr>
            <w:r>
              <w:rPr>
                <w:rFonts w:ascii="Times New Roman"/>
                <w:sz w:val="18"/>
              </w:rPr>
              <w:t>75,179,755.20</w:t>
            </w:r>
          </w:p>
        </w:tc>
      </w:tr>
      <w:tr>
        <w:trPr>
          <w:trHeight w:val="426"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554" w:type="dxa"/>
            <w:tcBorders>
              <w:top w:val="single" w:sz="4" w:space="0" w:color="000000"/>
              <w:left w:val="single" w:sz="4" w:space="0" w:color="000000"/>
              <w:bottom w:val="single" w:sz="4" w:space="0" w:color="000000"/>
              <w:right w:val="single" w:sz="4" w:space="0" w:color="000000"/>
            </w:tcBorders>
          </w:tcPr>
          <w:p>
            <w:pPr/>
          </w:p>
        </w:tc>
        <w:tc>
          <w:tcPr>
            <w:tcW w:w="3306" w:type="dxa"/>
            <w:vMerge/>
            <w:tcBorders>
              <w:left w:val="single" w:sz="4" w:space="0" w:color="000000"/>
              <w:bottom w:val="single" w:sz="4" w:space="0" w:color="000000"/>
              <w:right w:val="single" w:sz="4" w:space="0" w:color="000000"/>
            </w:tcBorders>
          </w:tcPr>
          <w:p>
            <w:pPr/>
          </w:p>
        </w:tc>
        <w:tc>
          <w:tcPr>
            <w:tcW w:w="2225" w:type="dxa"/>
            <w:vMerge/>
            <w:tcBorders>
              <w:left w:val="single" w:sz="4" w:space="0" w:color="000000"/>
              <w:bottom w:val="single" w:sz="4" w:space="0" w:color="000000"/>
              <w:right w:val="single" w:sz="4" w:space="0" w:color="000000"/>
            </w:tcBorders>
          </w:tcPr>
          <w:p>
            <w:pP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4" w:type="dxa"/>
            <w:tcBorders>
              <w:top w:val="single" w:sz="4" w:space="0" w:color="000000"/>
              <w:left w:val="single" w:sz="4" w:space="0" w:color="000000"/>
              <w:bottom w:val="single" w:sz="4" w:space="0" w:color="000000"/>
              <w:right w:val="single" w:sz="4" w:space="0" w:color="000000"/>
            </w:tcBorders>
          </w:tcPr>
          <w:p>
            <w:pPr/>
          </w:p>
        </w:tc>
        <w:tc>
          <w:tcPr>
            <w:tcW w:w="330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57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2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76" w:right="0"/>
              <w:jc w:val="left"/>
              <w:rPr>
                <w:rFonts w:ascii="Times New Roman" w:hAnsi="Times New Roman" w:cs="Times New Roman" w:eastAsia="Times New Roman" w:hint="default"/>
                <w:sz w:val="18"/>
                <w:szCs w:val="18"/>
              </w:rPr>
            </w:pPr>
            <w:r>
              <w:rPr>
                <w:rFonts w:ascii="Times New Roman"/>
                <w:sz w:val="18"/>
              </w:rPr>
              <w:t>92,929,165.27</w:t>
            </w: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92,929,165.27</w:t>
            </w:r>
          </w:p>
        </w:tc>
        <w:tc>
          <w:tcPr>
            <w:tcW w:w="3306" w:type="dxa"/>
            <w:vMerge/>
            <w:tcBorders>
              <w:left w:val="single" w:sz="4" w:space="0" w:color="000000"/>
              <w:bottom w:val="single" w:sz="4" w:space="0" w:color="000000"/>
              <w:right w:val="single" w:sz="4" w:space="0" w:color="000000"/>
            </w:tcBorders>
          </w:tcPr>
          <w:p>
            <w:pPr/>
          </w:p>
        </w:tc>
        <w:tc>
          <w:tcPr>
            <w:tcW w:w="2225" w:type="dxa"/>
            <w:vMerge/>
            <w:tcBorders>
              <w:left w:val="single" w:sz="4" w:space="0" w:color="000000"/>
              <w:bottom w:val="single" w:sz="4" w:space="0" w:color="000000"/>
              <w:right w:val="single" w:sz="4" w:space="0" w:color="000000"/>
            </w:tcBorders>
          </w:tcPr>
          <w:p>
            <w:pP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391,748.90</w:t>
            </w:r>
          </w:p>
        </w:tc>
        <w:tc>
          <w:tcPr>
            <w:tcW w:w="3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22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986" w:right="0"/>
              <w:jc w:val="left"/>
              <w:rPr>
                <w:rFonts w:ascii="Times New Roman" w:hAnsi="Times New Roman" w:cs="Times New Roman" w:eastAsia="Times New Roman" w:hint="default"/>
                <w:sz w:val="18"/>
                <w:szCs w:val="18"/>
              </w:rPr>
            </w:pPr>
            <w:r>
              <w:rPr>
                <w:rFonts w:ascii="Times New Roman"/>
                <w:sz w:val="18"/>
              </w:rPr>
              <w:t>211,409,010.44</w:t>
            </w: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1,237,338.30</w:t>
            </w:r>
          </w:p>
        </w:tc>
        <w:tc>
          <w:tcPr>
            <w:tcW w:w="3306" w:type="dxa"/>
            <w:vMerge/>
            <w:tcBorders>
              <w:left w:val="single" w:sz="4" w:space="0" w:color="000000"/>
              <w:right w:val="single" w:sz="4" w:space="0" w:color="000000"/>
            </w:tcBorders>
          </w:tcPr>
          <w:p>
            <w:pPr/>
          </w:p>
        </w:tc>
        <w:tc>
          <w:tcPr>
            <w:tcW w:w="2225" w:type="dxa"/>
            <w:vMerge/>
            <w:tcBorders>
              <w:left w:val="single" w:sz="4" w:space="0" w:color="000000"/>
              <w:right w:val="single" w:sz="4" w:space="0" w:color="000000"/>
            </w:tcBorders>
          </w:tcPr>
          <w:p>
            <w:pP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209,779,923.24</w:t>
            </w:r>
          </w:p>
        </w:tc>
        <w:tc>
          <w:tcPr>
            <w:tcW w:w="3306" w:type="dxa"/>
            <w:vMerge/>
            <w:tcBorders>
              <w:left w:val="single" w:sz="4" w:space="0" w:color="000000"/>
              <w:bottom w:val="single" w:sz="4" w:space="0" w:color="000000"/>
              <w:right w:val="single" w:sz="4" w:space="0" w:color="000000"/>
            </w:tcBorders>
          </w:tcPr>
          <w:p>
            <w:pPr/>
          </w:p>
        </w:tc>
        <w:tc>
          <w:tcPr>
            <w:tcW w:w="2225" w:type="dxa"/>
            <w:vMerge/>
            <w:tcBorders>
              <w:left w:val="single" w:sz="4" w:space="0" w:color="000000"/>
              <w:bottom w:val="single" w:sz="4" w:space="0" w:color="000000"/>
              <w:right w:val="single" w:sz="4" w:space="0" w:color="000000"/>
            </w:tcBorders>
          </w:tcPr>
          <w:p>
            <w:pPr/>
          </w:p>
        </w:tc>
      </w:tr>
      <w:tr>
        <w:trPr>
          <w:trHeight w:val="426"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6,840,738.68</w:t>
            </w:r>
          </w:p>
        </w:tc>
        <w:tc>
          <w:tcPr>
            <w:tcW w:w="330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长期应付款</w:t>
            </w:r>
          </w:p>
        </w:tc>
        <w:tc>
          <w:tcPr>
            <w:tcW w:w="22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166" w:right="0"/>
              <w:jc w:val="left"/>
              <w:rPr>
                <w:rFonts w:ascii="Times New Roman" w:hAnsi="Times New Roman" w:cs="Times New Roman" w:eastAsia="Times New Roman" w:hint="default"/>
                <w:sz w:val="18"/>
                <w:szCs w:val="18"/>
              </w:rPr>
            </w:pPr>
            <w:r>
              <w:rPr>
                <w:rFonts w:ascii="Times New Roman"/>
                <w:sz w:val="18"/>
              </w:rPr>
              <w:t>7,340,738.68</w:t>
            </w:r>
          </w:p>
        </w:tc>
      </w:tr>
      <w:tr>
        <w:trPr>
          <w:trHeight w:val="428"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z w:val="18"/>
              </w:rPr>
              <w:t>500,000.00</w:t>
            </w:r>
          </w:p>
        </w:tc>
        <w:tc>
          <w:tcPr>
            <w:tcW w:w="3306" w:type="dxa"/>
            <w:vMerge/>
            <w:tcBorders>
              <w:left w:val="single" w:sz="4" w:space="0" w:color="000000"/>
              <w:bottom w:val="single" w:sz="4" w:space="0" w:color="000000"/>
              <w:right w:val="single" w:sz="4" w:space="0" w:color="000000"/>
            </w:tcBorders>
          </w:tcPr>
          <w:p>
            <w:pPr/>
          </w:p>
        </w:tc>
        <w:tc>
          <w:tcPr>
            <w:tcW w:w="2225" w:type="dxa"/>
            <w:vMerge/>
            <w:tcBorders>
              <w:left w:val="single" w:sz="4" w:space="0" w:color="000000"/>
              <w:bottom w:val="single" w:sz="4" w:space="0" w:color="000000"/>
              <w:right w:val="single" w:sz="4" w:space="0" w:color="000000"/>
            </w:tcBorders>
          </w:tcPr>
          <w:p>
            <w:pPr/>
          </w:p>
        </w:tc>
      </w:tr>
      <w:tr>
        <w:trPr>
          <w:trHeight w:val="427" w:hRule="exact"/>
        </w:trPr>
        <w:tc>
          <w:tcPr>
            <w:tcW w:w="277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282,992,277.73</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147,539,045.72</w:t>
            </w:r>
          </w:p>
        </w:tc>
      </w:tr>
      <w:tr>
        <w:trPr>
          <w:trHeight w:val="427" w:hRule="exact"/>
        </w:trPr>
        <w:tc>
          <w:tcPr>
            <w:tcW w:w="2770" w:type="dxa"/>
            <w:vMerge/>
            <w:tcBorders>
              <w:left w:val="single" w:sz="4" w:space="0" w:color="000000"/>
              <w:bottom w:val="single" w:sz="4" w:space="0" w:color="000000"/>
              <w:right w:val="single" w:sz="4" w:space="0" w:color="000000"/>
            </w:tcBorders>
          </w:tcPr>
          <w:p>
            <w:pPr/>
          </w:p>
        </w:tc>
        <w:tc>
          <w:tcPr>
            <w:tcW w:w="1554" w:type="dxa"/>
            <w:vMerge/>
            <w:tcBorders>
              <w:left w:val="single" w:sz="4" w:space="0" w:color="000000"/>
              <w:bottom w:val="single" w:sz="4" w:space="0" w:color="000000"/>
              <w:right w:val="single" w:sz="4" w:space="0" w:color="000000"/>
            </w:tcBorders>
          </w:tcPr>
          <w:p>
            <w:pP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135,453,232.01</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770"/>
        <w:gridCol w:w="1554"/>
        <w:gridCol w:w="3306"/>
        <w:gridCol w:w="2208"/>
      </w:tblGrid>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3"/>
              <w:jc w:val="center"/>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30,815,041.84</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38,113,361.84</w:t>
            </w:r>
          </w:p>
        </w:tc>
      </w:tr>
      <w:tr>
        <w:trPr>
          <w:trHeight w:val="42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3"/>
              <w:jc w:val="center"/>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9,454,722.74</w:t>
            </w:r>
          </w:p>
        </w:tc>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2,156,402.74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193" w:right="1109"/>
        <w:jc w:val="center"/>
      </w:pPr>
      <w:r>
        <w:rPr/>
        <w:t>公司报表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51"/>
        <w:gridCol w:w="2415"/>
        <w:gridCol w:w="2972"/>
        <w:gridCol w:w="2007"/>
      </w:tblGrid>
      <w:tr>
        <w:trPr>
          <w:trHeight w:val="427" w:hRule="exact"/>
        </w:trPr>
        <w:tc>
          <w:tcPr>
            <w:tcW w:w="48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4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427" w:hRule="exact"/>
        </w:trPr>
        <w:tc>
          <w:tcPr>
            <w:tcW w:w="2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5" w:type="dxa"/>
            <w:tcBorders>
              <w:top w:val="single" w:sz="4" w:space="0" w:color="000000"/>
              <w:left w:val="single" w:sz="4" w:space="0" w:color="000000"/>
              <w:bottom w:val="single" w:sz="4" w:space="0" w:color="000000"/>
              <w:right w:val="single" w:sz="4" w:space="0" w:color="000000"/>
            </w:tcBorders>
          </w:tcPr>
          <w:p>
            <w:pPr/>
          </w:p>
        </w:tc>
        <w:tc>
          <w:tcPr>
            <w:tcW w:w="297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0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377,739,643.67</w:t>
            </w:r>
          </w:p>
        </w:tc>
      </w:tr>
      <w:tr>
        <w:trPr>
          <w:trHeight w:val="4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2"/>
              <w:jc w:val="right"/>
              <w:rPr>
                <w:rFonts w:ascii="Times New Roman" w:hAnsi="Times New Roman" w:cs="Times New Roman" w:eastAsia="Times New Roman" w:hint="default"/>
                <w:sz w:val="18"/>
                <w:szCs w:val="18"/>
              </w:rPr>
            </w:pPr>
            <w:r>
              <w:rPr>
                <w:rFonts w:ascii="Times New Roman"/>
                <w:spacing w:val="-1"/>
                <w:sz w:val="18"/>
              </w:rPr>
              <w:t>377,739,643.67</w:t>
            </w:r>
          </w:p>
        </w:tc>
        <w:tc>
          <w:tcPr>
            <w:tcW w:w="2972" w:type="dxa"/>
            <w:vMerge/>
            <w:tcBorders>
              <w:left w:val="single" w:sz="4" w:space="0" w:color="000000"/>
              <w:bottom w:val="single" w:sz="4" w:space="0" w:color="000000"/>
              <w:right w:val="single" w:sz="4" w:space="0" w:color="000000"/>
            </w:tcBorders>
          </w:tcPr>
          <w:p>
            <w:pPr/>
          </w:p>
        </w:tc>
        <w:tc>
          <w:tcPr>
            <w:tcW w:w="2007" w:type="dxa"/>
            <w:vMerge/>
            <w:tcBorders>
              <w:left w:val="single" w:sz="4" w:space="0" w:color="000000"/>
              <w:bottom w:val="single" w:sz="4" w:space="0" w:color="000000"/>
              <w:right w:val="single" w:sz="4" w:space="0" w:color="000000"/>
            </w:tcBorders>
          </w:tcPr>
          <w:p>
            <w:pPr/>
          </w:p>
        </w:tc>
      </w:tr>
      <w:tr>
        <w:trPr>
          <w:trHeight w:val="42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5,715,386.44</w:t>
            </w:r>
          </w:p>
        </w:tc>
        <w:tc>
          <w:tcPr>
            <w:tcW w:w="2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41,572,776.89</w:t>
            </w:r>
          </w:p>
        </w:tc>
      </w:tr>
      <w:tr>
        <w:trPr>
          <w:trHeight w:val="42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15" w:type="dxa"/>
            <w:tcBorders>
              <w:top w:val="single" w:sz="4" w:space="0" w:color="000000"/>
              <w:left w:val="single" w:sz="4" w:space="0" w:color="000000"/>
              <w:bottom w:val="single" w:sz="4" w:space="0" w:color="000000"/>
              <w:right w:val="single" w:sz="4" w:space="0" w:color="000000"/>
            </w:tcBorders>
          </w:tcPr>
          <w:p>
            <w:pPr/>
          </w:p>
        </w:tc>
        <w:tc>
          <w:tcPr>
            <w:tcW w:w="2972" w:type="dxa"/>
            <w:vMerge/>
            <w:tcBorders>
              <w:left w:val="single" w:sz="4" w:space="0" w:color="000000"/>
              <w:right w:val="single" w:sz="4" w:space="0" w:color="000000"/>
            </w:tcBorders>
          </w:tcPr>
          <w:p>
            <w:pPr/>
          </w:p>
        </w:tc>
        <w:tc>
          <w:tcPr>
            <w:tcW w:w="2007" w:type="dxa"/>
            <w:vMerge/>
            <w:tcBorders>
              <w:left w:val="single" w:sz="4" w:space="0" w:color="000000"/>
              <w:right w:val="single" w:sz="4" w:space="0" w:color="000000"/>
            </w:tcBorders>
          </w:tcPr>
          <w:p>
            <w:pPr/>
          </w:p>
        </w:tc>
      </w:tr>
      <w:tr>
        <w:trPr>
          <w:trHeight w:val="42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35,857,390.45</w:t>
            </w:r>
          </w:p>
        </w:tc>
        <w:tc>
          <w:tcPr>
            <w:tcW w:w="2972" w:type="dxa"/>
            <w:vMerge/>
            <w:tcBorders>
              <w:left w:val="single" w:sz="4" w:space="0" w:color="000000"/>
              <w:bottom w:val="single" w:sz="4" w:space="0" w:color="000000"/>
              <w:right w:val="single" w:sz="4" w:space="0" w:color="000000"/>
            </w:tcBorders>
          </w:tcPr>
          <w:p>
            <w:pPr/>
          </w:p>
        </w:tc>
        <w:tc>
          <w:tcPr>
            <w:tcW w:w="2007" w:type="dxa"/>
            <w:vMerge/>
            <w:tcBorders>
              <w:left w:val="single" w:sz="4" w:space="0" w:color="000000"/>
              <w:bottom w:val="single" w:sz="4" w:space="0" w:color="000000"/>
              <w:right w:val="single" w:sz="4" w:space="0" w:color="000000"/>
            </w:tcBorders>
          </w:tcPr>
          <w:p>
            <w:pPr/>
          </w:p>
        </w:tc>
      </w:tr>
      <w:tr>
        <w:trPr>
          <w:trHeight w:val="42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4,046,130.24</w:t>
            </w:r>
          </w:p>
        </w:tc>
        <w:tc>
          <w:tcPr>
            <w:tcW w:w="297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0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937" w:right="0"/>
              <w:jc w:val="left"/>
              <w:rPr>
                <w:rFonts w:ascii="Times New Roman" w:hAnsi="Times New Roman" w:cs="Times New Roman" w:eastAsia="Times New Roman" w:hint="default"/>
                <w:sz w:val="18"/>
                <w:szCs w:val="18"/>
              </w:rPr>
            </w:pPr>
            <w:r>
              <w:rPr>
                <w:rFonts w:ascii="Times New Roman"/>
                <w:sz w:val="18"/>
              </w:rPr>
              <w:t>4,046,130.24</w:t>
            </w:r>
          </w:p>
        </w:tc>
      </w:tr>
      <w:tr>
        <w:trPr>
          <w:trHeight w:val="42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15" w:type="dxa"/>
            <w:tcBorders>
              <w:top w:val="single" w:sz="4" w:space="0" w:color="000000"/>
              <w:left w:val="single" w:sz="4" w:space="0" w:color="000000"/>
              <w:bottom w:val="single" w:sz="4" w:space="0" w:color="000000"/>
              <w:right w:val="single" w:sz="4" w:space="0" w:color="000000"/>
            </w:tcBorders>
          </w:tcPr>
          <w:p>
            <w:pPr/>
          </w:p>
        </w:tc>
        <w:tc>
          <w:tcPr>
            <w:tcW w:w="2972" w:type="dxa"/>
            <w:vMerge/>
            <w:tcBorders>
              <w:left w:val="single" w:sz="4" w:space="0" w:color="000000"/>
              <w:bottom w:val="single" w:sz="4" w:space="0" w:color="000000"/>
              <w:right w:val="single" w:sz="4" w:space="0" w:color="000000"/>
            </w:tcBorders>
          </w:tcPr>
          <w:p>
            <w:pPr/>
          </w:p>
        </w:tc>
        <w:tc>
          <w:tcPr>
            <w:tcW w:w="2007" w:type="dxa"/>
            <w:vMerge/>
            <w:tcBorders>
              <w:left w:val="single" w:sz="4" w:space="0" w:color="000000"/>
              <w:bottom w:val="single" w:sz="4" w:space="0" w:color="000000"/>
              <w:right w:val="single" w:sz="4" w:space="0" w:color="000000"/>
            </w:tcBorders>
          </w:tcPr>
          <w:p>
            <w:pPr/>
          </w:p>
        </w:tc>
      </w:tr>
      <w:tr>
        <w:trPr>
          <w:trHeight w:val="44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5" w:type="dxa"/>
            <w:tcBorders>
              <w:top w:val="single" w:sz="4" w:space="0" w:color="000000"/>
              <w:left w:val="single" w:sz="4" w:space="0" w:color="000000"/>
              <w:bottom w:val="single" w:sz="4" w:space="0" w:color="000000"/>
              <w:right w:val="single" w:sz="4" w:space="0" w:color="000000"/>
            </w:tcBorders>
          </w:tcPr>
          <w:p>
            <w:pPr/>
          </w:p>
        </w:tc>
        <w:tc>
          <w:tcPr>
            <w:tcW w:w="29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86,565,537.00</w:t>
            </w:r>
          </w:p>
        </w:tc>
      </w:tr>
      <w:tr>
        <w:trPr>
          <w:trHeight w:val="4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86,565,537.00</w:t>
            </w:r>
          </w:p>
        </w:tc>
        <w:tc>
          <w:tcPr>
            <w:tcW w:w="2972" w:type="dxa"/>
            <w:vMerge/>
            <w:tcBorders>
              <w:left w:val="single" w:sz="4" w:space="0" w:color="000000"/>
              <w:bottom w:val="single" w:sz="4" w:space="0" w:color="000000"/>
              <w:right w:val="single" w:sz="4" w:space="0" w:color="000000"/>
            </w:tcBorders>
          </w:tcPr>
          <w:p>
            <w:pPr/>
          </w:p>
        </w:tc>
        <w:tc>
          <w:tcPr>
            <w:tcW w:w="2007"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5" w:type="dxa"/>
            <w:tcBorders>
              <w:top w:val="single" w:sz="4" w:space="0" w:color="000000"/>
              <w:left w:val="single" w:sz="4" w:space="0" w:color="000000"/>
              <w:bottom w:val="single" w:sz="4" w:space="0" w:color="000000"/>
              <w:right w:val="single" w:sz="4" w:space="0" w:color="000000"/>
            </w:tcBorders>
          </w:tcPr>
          <w:p>
            <w:pPr/>
          </w:p>
        </w:tc>
        <w:tc>
          <w:tcPr>
            <w:tcW w:w="29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781" w:right="0"/>
              <w:jc w:val="left"/>
              <w:rPr>
                <w:rFonts w:ascii="Times New Roman" w:hAnsi="Times New Roman" w:cs="Times New Roman" w:eastAsia="Times New Roman" w:hint="default"/>
                <w:sz w:val="18"/>
                <w:szCs w:val="18"/>
              </w:rPr>
            </w:pPr>
            <w:r>
              <w:rPr>
                <w:rFonts w:ascii="Times New Roman"/>
                <w:sz w:val="18"/>
              </w:rPr>
              <w:t>195,863,477.42</w:t>
            </w:r>
          </w:p>
        </w:tc>
      </w:tr>
      <w:tr>
        <w:trPr>
          <w:trHeight w:val="42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1,237,338.30</w:t>
            </w:r>
          </w:p>
        </w:tc>
        <w:tc>
          <w:tcPr>
            <w:tcW w:w="2972" w:type="dxa"/>
            <w:vMerge/>
            <w:tcBorders>
              <w:left w:val="single" w:sz="4" w:space="0" w:color="000000"/>
              <w:right w:val="single" w:sz="4" w:space="0" w:color="000000"/>
            </w:tcBorders>
          </w:tcPr>
          <w:p>
            <w:pPr/>
          </w:p>
        </w:tc>
        <w:tc>
          <w:tcPr>
            <w:tcW w:w="2007" w:type="dxa"/>
            <w:vMerge/>
            <w:tcBorders>
              <w:left w:val="single" w:sz="4" w:space="0" w:color="000000"/>
              <w:right w:val="single" w:sz="4" w:space="0" w:color="000000"/>
            </w:tcBorders>
          </w:tcPr>
          <w:p>
            <w:pPr/>
          </w:p>
        </w:tc>
      </w:tr>
      <w:tr>
        <w:trPr>
          <w:trHeight w:val="42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194,626,139.12</w:t>
            </w:r>
          </w:p>
        </w:tc>
        <w:tc>
          <w:tcPr>
            <w:tcW w:w="2972" w:type="dxa"/>
            <w:vMerge/>
            <w:tcBorders>
              <w:left w:val="single" w:sz="4" w:space="0" w:color="000000"/>
              <w:bottom w:val="single" w:sz="4" w:space="0" w:color="000000"/>
              <w:right w:val="single" w:sz="4" w:space="0" w:color="000000"/>
            </w:tcBorders>
          </w:tcPr>
          <w:p>
            <w:pPr/>
          </w:p>
        </w:tc>
        <w:tc>
          <w:tcPr>
            <w:tcW w:w="2007" w:type="dxa"/>
            <w:vMerge/>
            <w:tcBorders>
              <w:left w:val="single" w:sz="4" w:space="0" w:color="000000"/>
              <w:bottom w:val="single" w:sz="4" w:space="0" w:color="000000"/>
              <w:right w:val="single" w:sz="4" w:space="0" w:color="000000"/>
            </w:tcBorders>
          </w:tcPr>
          <w:p>
            <w:pPr/>
          </w:p>
        </w:tc>
      </w:tr>
      <w:tr>
        <w:trPr>
          <w:trHeight w:val="427"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5"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265" w:right="0"/>
              <w:jc w:val="left"/>
              <w:rPr>
                <w:rFonts w:ascii="Times New Roman" w:hAnsi="Times New Roman" w:cs="Times New Roman" w:eastAsia="Times New Roman" w:hint="default"/>
                <w:sz w:val="18"/>
                <w:szCs w:val="18"/>
              </w:rPr>
            </w:pPr>
            <w:r>
              <w:rPr>
                <w:rFonts w:ascii="Times New Roman"/>
                <w:sz w:val="18"/>
              </w:rPr>
              <w:t>96,852,047.08</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9"/>
              <w:jc w:val="right"/>
              <w:rPr>
                <w:rFonts w:ascii="Times New Roman" w:hAnsi="Times New Roman" w:cs="Times New Roman" w:eastAsia="Times New Roman" w:hint="default"/>
                <w:sz w:val="18"/>
                <w:szCs w:val="18"/>
              </w:rPr>
            </w:pPr>
            <w:r>
              <w:rPr>
                <w:rFonts w:ascii="Times New Roman"/>
                <w:spacing w:val="-1"/>
                <w:sz w:val="18"/>
              </w:rPr>
              <w:t>50,737,848.98</w:t>
            </w:r>
          </w:p>
        </w:tc>
      </w:tr>
      <w:tr>
        <w:trPr>
          <w:trHeight w:val="427" w:hRule="exact"/>
        </w:trPr>
        <w:tc>
          <w:tcPr>
            <w:tcW w:w="2451" w:type="dxa"/>
            <w:vMerge/>
            <w:tcBorders>
              <w:left w:val="single" w:sz="4" w:space="0" w:color="000000"/>
              <w:bottom w:val="single" w:sz="4" w:space="0" w:color="000000"/>
              <w:right w:val="single" w:sz="4" w:space="0" w:color="000000"/>
            </w:tcBorders>
          </w:tcPr>
          <w:p>
            <w:pPr/>
          </w:p>
        </w:tc>
        <w:tc>
          <w:tcPr>
            <w:tcW w:w="2415" w:type="dxa"/>
            <w:vMerge/>
            <w:tcBorders>
              <w:left w:val="single" w:sz="4" w:space="0" w:color="000000"/>
              <w:bottom w:val="single" w:sz="4" w:space="0" w:color="000000"/>
              <w:right w:val="single" w:sz="4" w:space="0" w:color="000000"/>
            </w:tcBorders>
          </w:tcPr>
          <w:p>
            <w:pP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9"/>
              <w:jc w:val="right"/>
              <w:rPr>
                <w:rFonts w:ascii="Times New Roman" w:hAnsi="Times New Roman" w:cs="Times New Roman" w:eastAsia="Times New Roman" w:hint="default"/>
                <w:sz w:val="18"/>
                <w:szCs w:val="18"/>
              </w:rPr>
            </w:pPr>
            <w:r>
              <w:rPr>
                <w:rFonts w:ascii="Times New Roman"/>
                <w:spacing w:val="-1"/>
                <w:sz w:val="18"/>
              </w:rPr>
              <w:t>46,114,198.10</w:t>
            </w:r>
          </w:p>
        </w:tc>
      </w:tr>
      <w:tr>
        <w:trPr>
          <w:trHeight w:val="49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103" w:right="177"/>
              <w:jc w:val="left"/>
              <w:rPr>
                <w:rFonts w:ascii="宋体" w:hAnsi="宋体" w:cs="宋体" w:eastAsia="宋体" w:hint="default"/>
                <w:sz w:val="18"/>
                <w:szCs w:val="18"/>
              </w:rPr>
            </w:pPr>
            <w:r>
              <w:rPr>
                <w:rFonts w:ascii="宋体" w:hAnsi="宋体" w:cs="宋体" w:eastAsia="宋体" w:hint="default"/>
                <w:sz w:val="18"/>
                <w:szCs w:val="18"/>
              </w:rPr>
              <w:t>收到其他与经营活动有关的 现金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22,978,122.97</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Times New Roman" w:hAnsi="Times New Roman" w:cs="Times New Roman" w:eastAsia="Times New Roman" w:hint="default"/>
                <w:sz w:val="18"/>
                <w:szCs w:val="18"/>
              </w:rPr>
            </w:pPr>
            <w:r>
              <w:rPr>
                <w:rFonts w:ascii="Times New Roman"/>
                <w:spacing w:val="-1"/>
                <w:sz w:val="18"/>
              </w:rPr>
              <w:t>25,978,122.97</w:t>
            </w:r>
          </w:p>
        </w:tc>
      </w:tr>
      <w:tr>
        <w:trPr>
          <w:trHeight w:val="49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103" w:right="177"/>
              <w:jc w:val="left"/>
              <w:rPr>
                <w:rFonts w:ascii="宋体" w:hAnsi="宋体" w:cs="宋体" w:eastAsia="宋体" w:hint="default"/>
                <w:sz w:val="18"/>
                <w:szCs w:val="18"/>
              </w:rPr>
            </w:pPr>
            <w:r>
              <w:rPr>
                <w:rFonts w:ascii="宋体" w:hAnsi="宋体" w:cs="宋体" w:eastAsia="宋体" w:hint="default"/>
                <w:sz w:val="18"/>
                <w:szCs w:val="18"/>
              </w:rPr>
              <w:t>收到其他与投资活动有关的 现金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5,156,402.74</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Times New Roman" w:hAnsi="Times New Roman" w:cs="Times New Roman" w:eastAsia="Times New Roman" w:hint="default"/>
                <w:sz w:val="18"/>
                <w:szCs w:val="18"/>
              </w:rPr>
            </w:pPr>
            <w:r>
              <w:rPr>
                <w:rFonts w:ascii="Times New Roman"/>
                <w:spacing w:val="-1"/>
                <w:sz w:val="18"/>
              </w:rPr>
              <w:t>2,156,402.74</w:t>
            </w:r>
          </w:p>
        </w:tc>
      </w:tr>
    </w:tbl>
    <w:p>
      <w:pPr>
        <w:spacing w:line="240" w:lineRule="auto" w:before="6"/>
        <w:rPr>
          <w:rFonts w:ascii="宋体" w:hAnsi="宋体" w:cs="宋体" w:eastAsia="宋体" w:hint="default"/>
          <w:sz w:val="7"/>
          <w:szCs w:val="7"/>
        </w:rPr>
      </w:pPr>
    </w:p>
    <w:p>
      <w:pPr>
        <w:pStyle w:val="BodyText"/>
        <w:spacing w:line="444" w:lineRule="auto" w:before="35"/>
        <w:ind w:right="7392"/>
        <w:jc w:val="left"/>
      </w:pPr>
      <w:r>
        <w:rPr/>
        <w:t>（</w:t>
      </w:r>
      <w:r>
        <w:rPr>
          <w:rFonts w:ascii="宋体" w:hAnsi="宋体" w:cs="宋体" w:eastAsia="宋体" w:hint="default"/>
        </w:rPr>
        <w:t>2</w:t>
      </w:r>
      <w:r>
        <w:rPr/>
        <w:t>）重要会计估计变更 本报告期无重要会计估计变更。</w:t>
      </w:r>
    </w:p>
    <w:p>
      <w:pPr>
        <w:pStyle w:val="Heading2"/>
        <w:spacing w:line="240" w:lineRule="auto" w:before="104"/>
        <w:ind w:right="1016"/>
        <w:jc w:val="left"/>
      </w:pPr>
      <w:bookmarkStart w:name="七、与上年度财务报告相比，合并报表范围发生变化的情况说明" w:id="67"/>
      <w:bookmarkEnd w:id="67"/>
      <w:r>
        <w:rPr/>
      </w:r>
      <w:r>
        <w:rPr/>
        <w:t>七、与上年度财务报告相比，合并报表范围发生变化的情况说明</w:t>
      </w:r>
    </w:p>
    <w:p>
      <w:pPr>
        <w:spacing w:line="240" w:lineRule="auto" w:before="14"/>
        <w:rPr>
          <w:rFonts w:ascii="微软雅黑" w:hAnsi="微软雅黑" w:cs="微软雅黑" w:eastAsia="微软雅黑" w:hint="default"/>
          <w:sz w:val="24"/>
          <w:szCs w:val="24"/>
        </w:rPr>
      </w:pPr>
    </w:p>
    <w:p>
      <w:pPr>
        <w:pStyle w:val="BodyText"/>
        <w:spacing w:line="240" w:lineRule="auto"/>
        <w:ind w:right="1016"/>
        <w:jc w:val="left"/>
        <w:rPr>
          <w:rFonts w:ascii="Times New Roman" w:hAnsi="Times New Roman" w:cs="Times New Roman" w:eastAsia="Times New Roman" w:hint="default"/>
        </w:rPr>
      </w:pPr>
      <w:r>
        <w:rPr/>
        <w:t>详见本报告</w:t>
      </w:r>
      <w:r>
        <w:rPr>
          <w:rFonts w:ascii="Times New Roman" w:hAnsi="Times New Roman" w:cs="Times New Roman" w:eastAsia="Times New Roman" w:hint="default"/>
        </w:rPr>
        <w:t>“</w:t>
      </w:r>
      <w:r>
        <w:rPr/>
        <w:t>第十一节财务报告</w:t>
      </w:r>
      <w:r>
        <w:rPr>
          <w:spacing w:val="-21"/>
        </w:rPr>
        <w:t> </w:t>
      </w:r>
      <w:r>
        <w:rPr/>
        <w:t>八、合并范围的变更</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801" w:footer="1007" w:top="1100" w:bottom="1200" w:left="920" w:right="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33"/>
        <w:ind w:right="1016"/>
        <w:jc w:val="left"/>
      </w:pPr>
      <w:bookmarkStart w:name="八、聘任、解聘会计师事务所情况" w:id="68"/>
      <w:bookmarkEnd w:id="68"/>
      <w:r>
        <w:rPr/>
      </w:r>
      <w:r>
        <w:rPr/>
        <w:t>八、聘任、解聘会计师事务所情况</w:t>
      </w:r>
    </w:p>
    <w:p>
      <w:pPr>
        <w:spacing w:line="240" w:lineRule="auto" w:before="12"/>
        <w:rPr>
          <w:rFonts w:ascii="微软雅黑" w:hAnsi="微软雅黑" w:cs="微软雅黑" w:eastAsia="微软雅黑" w:hint="default"/>
          <w:sz w:val="24"/>
          <w:szCs w:val="24"/>
        </w:rPr>
      </w:pPr>
    </w:p>
    <w:p>
      <w:pPr>
        <w:pStyle w:val="BodyText"/>
        <w:spacing w:line="240" w:lineRule="auto"/>
        <w:ind w:right="1016"/>
        <w:jc w:val="left"/>
      </w:pPr>
      <w:r>
        <w:rPr/>
        <w:t>现聘任的会计事务所</w:t>
      </w:r>
    </w:p>
    <w:p>
      <w:pPr>
        <w:spacing w:line="240" w:lineRule="auto" w:before="8"/>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4935"/>
        <w:gridCol w:w="4920"/>
      </w:tblGrid>
      <w:tr>
        <w:trPr>
          <w:trHeight w:val="407"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7"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90</w:t>
            </w:r>
          </w:p>
        </w:tc>
      </w:tr>
      <w:tr>
        <w:trPr>
          <w:trHeight w:val="407"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7"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李万军、蔡中伏</w:t>
            </w:r>
          </w:p>
        </w:tc>
      </w:tr>
      <w:tr>
        <w:trPr>
          <w:trHeight w:val="407" w:hRule="exact"/>
        </w:trPr>
        <w:tc>
          <w:tcPr>
            <w:tcW w:w="4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是否改聘会计师事务所</w:t>
      </w:r>
    </w:p>
    <w:p>
      <w:pPr>
        <w:spacing w:line="240" w:lineRule="auto" w:before="12"/>
        <w:rPr>
          <w:rFonts w:ascii="宋体" w:hAnsi="宋体" w:cs="宋体" w:eastAsia="宋体" w:hint="default"/>
          <w:sz w:val="17"/>
          <w:szCs w:val="17"/>
        </w:rPr>
      </w:pPr>
    </w:p>
    <w:p>
      <w:pPr>
        <w:pStyle w:val="BodyText"/>
        <w:spacing w:line="420" w:lineRule="auto"/>
        <w:ind w:right="50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聘请内部控制审计会计师事务所、财务顾问或保荐人情况</w:t>
      </w:r>
    </w:p>
    <w:p>
      <w:pPr>
        <w:pStyle w:val="BodyText"/>
        <w:spacing w:line="240" w:lineRule="auto" w:before="75"/>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Heading2"/>
        <w:spacing w:line="240" w:lineRule="auto"/>
        <w:ind w:right="1016"/>
        <w:jc w:val="left"/>
      </w:pPr>
      <w:bookmarkStart w:name="九、年度报告披露后面临暂停上市和终止上市情况" w:id="69"/>
      <w:bookmarkEnd w:id="69"/>
      <w:r>
        <w:rPr/>
      </w:r>
      <w:r>
        <w:rPr/>
        <w:t>九、年度报告披露后面临暂停上市和终止上市情况</w:t>
      </w:r>
    </w:p>
    <w:p>
      <w:pPr>
        <w:spacing w:line="240" w:lineRule="auto" w:before="12"/>
        <w:rPr>
          <w:rFonts w:ascii="微软雅黑" w:hAnsi="微软雅黑" w:cs="微软雅黑" w:eastAsia="微软雅黑" w:hint="default"/>
          <w:sz w:val="24"/>
          <w:szCs w:val="24"/>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7"/>
        <w:rPr>
          <w:rFonts w:ascii="宋体" w:hAnsi="宋体" w:cs="宋体" w:eastAsia="宋体" w:hint="default"/>
          <w:sz w:val="20"/>
          <w:szCs w:val="20"/>
        </w:rPr>
      </w:pPr>
    </w:p>
    <w:p>
      <w:pPr>
        <w:pStyle w:val="Heading2"/>
        <w:spacing w:line="240" w:lineRule="auto"/>
        <w:ind w:right="1016"/>
        <w:jc w:val="left"/>
      </w:pPr>
      <w:bookmarkStart w:name="十、破产重整相关事项" w:id="70"/>
      <w:bookmarkEnd w:id="70"/>
      <w:r>
        <w:rPr/>
      </w:r>
      <w:r>
        <w:rPr/>
        <w:t>十、破产重整相关事项</w:t>
      </w:r>
    </w:p>
    <w:p>
      <w:pPr>
        <w:spacing w:line="240" w:lineRule="auto" w:before="12"/>
        <w:rPr>
          <w:rFonts w:ascii="微软雅黑" w:hAnsi="微软雅黑" w:cs="微软雅黑" w:eastAsia="微软雅黑" w:hint="default"/>
          <w:sz w:val="24"/>
          <w:szCs w:val="24"/>
        </w:rPr>
      </w:pPr>
    </w:p>
    <w:p>
      <w:pPr>
        <w:pStyle w:val="BodyText"/>
        <w:spacing w:line="420" w:lineRule="auto"/>
        <w:ind w:right="67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公司报告期未发生破产重整相关事项。</w:t>
      </w:r>
    </w:p>
    <w:p>
      <w:pPr>
        <w:pStyle w:val="Heading2"/>
        <w:spacing w:line="240" w:lineRule="auto" w:before="126"/>
        <w:ind w:right="1016"/>
        <w:jc w:val="left"/>
      </w:pPr>
      <w:bookmarkStart w:name="十一、重大诉讼、仲裁事项" w:id="71"/>
      <w:bookmarkEnd w:id="71"/>
      <w:r>
        <w:rPr/>
      </w:r>
      <w:r>
        <w:rPr/>
        <w:t>十一、重大诉讼、仲裁事项</w:t>
      </w:r>
    </w:p>
    <w:p>
      <w:pPr>
        <w:spacing w:line="240" w:lineRule="auto" w:before="12"/>
        <w:rPr>
          <w:rFonts w:ascii="微软雅黑" w:hAnsi="微软雅黑" w:cs="微软雅黑" w:eastAsia="微软雅黑" w:hint="default"/>
          <w:sz w:val="24"/>
          <w:szCs w:val="24"/>
        </w:rPr>
      </w:pPr>
    </w:p>
    <w:p>
      <w:pPr>
        <w:pStyle w:val="BodyText"/>
        <w:spacing w:line="420" w:lineRule="auto"/>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本年度公司无重大诉讼、仲裁事项。</w:t>
      </w:r>
    </w:p>
    <w:p>
      <w:pPr>
        <w:pStyle w:val="Heading2"/>
        <w:spacing w:line="240" w:lineRule="auto" w:before="126"/>
        <w:ind w:right="1016"/>
        <w:jc w:val="left"/>
      </w:pPr>
      <w:bookmarkStart w:name="十二、处罚及整改情况" w:id="72"/>
      <w:bookmarkEnd w:id="72"/>
      <w:r>
        <w:rPr/>
      </w:r>
      <w:r>
        <w:rPr/>
        <w:t>十二、处罚及整改情况</w:t>
      </w:r>
    </w:p>
    <w:p>
      <w:pPr>
        <w:spacing w:line="240" w:lineRule="auto" w:before="12"/>
        <w:rPr>
          <w:rFonts w:ascii="微软雅黑" w:hAnsi="微软雅黑" w:cs="微软雅黑" w:eastAsia="微软雅黑" w:hint="default"/>
          <w:sz w:val="24"/>
          <w:szCs w:val="24"/>
        </w:rPr>
      </w:pPr>
    </w:p>
    <w:p>
      <w:pPr>
        <w:pStyle w:val="BodyText"/>
        <w:spacing w:line="420" w:lineRule="auto"/>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公司报告期不存在处罚及整改情况。</w:t>
      </w:r>
    </w:p>
    <w:p>
      <w:pPr>
        <w:spacing w:after="0" w:line="420" w:lineRule="auto"/>
        <w:jc w:val="left"/>
        <w:sectPr>
          <w:pgSz w:w="11910" w:h="16840"/>
          <w:pgMar w:header="801" w:footer="1007" w:top="1100" w:bottom="1200" w:left="920" w:right="0"/>
        </w:sectPr>
      </w:pPr>
    </w:p>
    <w:p>
      <w:pPr>
        <w:spacing w:line="240" w:lineRule="auto" w:before="9"/>
        <w:rPr>
          <w:rFonts w:ascii="宋体" w:hAnsi="宋体" w:cs="宋体" w:eastAsia="宋体" w:hint="default"/>
          <w:sz w:val="26"/>
          <w:szCs w:val="26"/>
        </w:rPr>
      </w:pPr>
    </w:p>
    <w:p>
      <w:pPr>
        <w:pStyle w:val="Heading2"/>
        <w:spacing w:line="397" w:lineRule="exact"/>
        <w:ind w:left="154" w:right="1116"/>
        <w:jc w:val="left"/>
      </w:pPr>
      <w:bookmarkStart w:name="十三、公司及其控股股东、实际控制人的诚信状况" w:id="73"/>
      <w:bookmarkEnd w:id="73"/>
      <w:r>
        <w:rPr/>
      </w:r>
      <w:r>
        <w:rPr/>
        <w:t>十三、公司及其控股股东、实际控制人的诚信状况</w:t>
      </w:r>
    </w:p>
    <w:p>
      <w:pPr>
        <w:spacing w:line="240" w:lineRule="auto" w:before="12"/>
        <w:rPr>
          <w:rFonts w:ascii="微软雅黑" w:hAnsi="微软雅黑" w:cs="微软雅黑" w:eastAsia="微软雅黑" w:hint="default"/>
          <w:sz w:val="24"/>
          <w:szCs w:val="24"/>
        </w:rPr>
      </w:pPr>
    </w:p>
    <w:p>
      <w:pPr>
        <w:pStyle w:val="BodyText"/>
        <w:spacing w:line="297" w:lineRule="auto"/>
        <w:ind w:left="154" w:right="1116" w:firstLine="420"/>
        <w:jc w:val="left"/>
      </w:pPr>
      <w:r>
        <w:rPr>
          <w:spacing w:val="-1"/>
        </w:rPr>
        <w:t>报告期内，公司及控股股东、实际控制人的诚信状况良好，不存在未履行法院生效判决、所负数额较</w:t>
      </w:r>
      <w:r>
        <w:rPr/>
        <w:t> 大的债务到期未清偿等情况。</w:t>
      </w:r>
    </w:p>
    <w:p>
      <w:pPr>
        <w:spacing w:line="240" w:lineRule="auto" w:before="11"/>
        <w:rPr>
          <w:rFonts w:ascii="宋体" w:hAnsi="宋体" w:cs="宋体" w:eastAsia="宋体" w:hint="default"/>
          <w:sz w:val="17"/>
          <w:szCs w:val="17"/>
        </w:rPr>
      </w:pPr>
    </w:p>
    <w:p>
      <w:pPr>
        <w:pStyle w:val="Heading2"/>
        <w:spacing w:line="240" w:lineRule="auto"/>
        <w:ind w:left="154" w:right="1116"/>
        <w:jc w:val="left"/>
      </w:pPr>
      <w:bookmarkStart w:name="十四、公司股权激励计划、员工持股计划或其他员工激励措施的实施情况" w:id="74"/>
      <w:bookmarkEnd w:id="74"/>
      <w:r>
        <w:rPr/>
      </w:r>
      <w:r>
        <w:rPr/>
        <w:t>十四、公司股权激励计划、员工持股计划或其他员工激励措施的实施情况</w:t>
      </w:r>
    </w:p>
    <w:p>
      <w:pPr>
        <w:spacing w:line="240" w:lineRule="auto" w:before="12"/>
        <w:rPr>
          <w:rFonts w:ascii="微软雅黑" w:hAnsi="微软雅黑" w:cs="微软雅黑" w:eastAsia="微软雅黑" w:hint="default"/>
          <w:sz w:val="24"/>
          <w:szCs w:val="24"/>
        </w:rPr>
      </w:pPr>
    </w:p>
    <w:p>
      <w:pPr>
        <w:pStyle w:val="BodyText"/>
        <w:spacing w:line="297" w:lineRule="auto"/>
        <w:ind w:left="154" w:right="1130" w:firstLine="420"/>
        <w:jc w:val="both"/>
      </w:pPr>
      <w:r>
        <w:rPr>
          <w:rFonts w:ascii="宋体" w:hAnsi="宋体" w:cs="宋体" w:eastAsia="宋体" w:hint="default"/>
        </w:rPr>
        <w:t>1.2018</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spacing w:val="-3"/>
        </w:rPr>
        <w:t>日召开的第二届董事会第三十次会议审议通过了《关于公司</w:t>
      </w:r>
      <w:r>
        <w:rPr>
          <w:spacing w:val="-53"/>
        </w:rPr>
        <w:t> </w:t>
      </w:r>
      <w:r>
        <w:rPr>
          <w:rFonts w:ascii="宋体" w:hAnsi="宋体" w:cs="宋体" w:eastAsia="宋体" w:hint="default"/>
        </w:rPr>
        <w:t>2016</w:t>
      </w:r>
      <w:r>
        <w:rPr>
          <w:rFonts w:ascii="宋体" w:hAnsi="宋体" w:cs="宋体" w:eastAsia="宋体" w:hint="default"/>
          <w:spacing w:val="-54"/>
        </w:rPr>
        <w:t> </w:t>
      </w:r>
      <w:r>
        <w:rPr/>
        <w:t>年限制性股票激励 </w:t>
      </w:r>
      <w:r>
        <w:rPr>
          <w:spacing w:val="-1"/>
        </w:rPr>
        <w:t>计划第二个解锁期解锁条件成就的议案》、《关于回购注销离职股权激励对象所持已获授但尚未解锁的限</w:t>
      </w:r>
      <w:r>
        <w:rPr>
          <w:spacing w:val="-82"/>
        </w:rPr>
        <w:t> </w:t>
      </w:r>
      <w:r>
        <w:rPr>
          <w:spacing w:val="-82"/>
        </w:rPr>
      </w:r>
      <w:r>
        <w:rPr/>
        <w:t>制性股票的议案》，经中国证券登记结算有限责任公司深圳分公司审核确认，公司 </w:t>
      </w:r>
      <w:r>
        <w:rPr>
          <w:rFonts w:ascii="宋体" w:hAnsi="宋体" w:cs="宋体" w:eastAsia="宋体" w:hint="default"/>
        </w:rPr>
        <w:t>2016</w:t>
      </w:r>
      <w:r>
        <w:rPr>
          <w:rFonts w:ascii="宋体" w:hAnsi="宋体" w:cs="宋体" w:eastAsia="宋体" w:hint="default"/>
          <w:spacing w:val="-24"/>
        </w:rPr>
        <w:t> </w:t>
      </w:r>
      <w:r>
        <w:rPr/>
        <w:t>年限制性股票激</w:t>
      </w:r>
    </w:p>
    <w:p>
      <w:pPr>
        <w:pStyle w:val="BodyText"/>
        <w:spacing w:line="240" w:lineRule="auto" w:before="15"/>
        <w:ind w:left="154" w:right="0"/>
        <w:jc w:val="left"/>
      </w:pPr>
      <w:r>
        <w:rPr/>
        <w:t>励计划授予股份第二个解锁期解除限售手续已于</w:t>
      </w:r>
      <w:r>
        <w:rPr>
          <w:spacing w:val="-44"/>
        </w:rPr>
        <w:t> </w:t>
      </w:r>
      <w:r>
        <w:rPr>
          <w:rFonts w:ascii="宋体" w:hAnsi="宋体" w:cs="宋体" w:eastAsia="宋体" w:hint="default"/>
        </w:rPr>
        <w:t>2018</w:t>
      </w:r>
      <w:r>
        <w:rPr>
          <w:rFonts w:ascii="宋体" w:hAnsi="宋体" w:cs="宋体" w:eastAsia="宋体" w:hint="default"/>
          <w:spacing w:val="-45"/>
        </w:rPr>
        <w:t> </w:t>
      </w:r>
      <w:r>
        <w:rPr/>
        <w:t>年</w:t>
      </w:r>
      <w:r>
        <w:rPr>
          <w:spacing w:val="-46"/>
        </w:rPr>
        <w:t> </w:t>
      </w:r>
      <w:r>
        <w:rPr>
          <w:rFonts w:ascii="宋体" w:hAnsi="宋体" w:cs="宋体" w:eastAsia="宋体" w:hint="default"/>
        </w:rPr>
        <w:t>5</w:t>
      </w:r>
      <w:r>
        <w:rPr>
          <w:rFonts w:ascii="宋体" w:hAnsi="宋体" w:cs="宋体" w:eastAsia="宋体" w:hint="default"/>
          <w:spacing w:val="-46"/>
        </w:rPr>
        <w:t> </w:t>
      </w:r>
      <w:r>
        <w:rPr/>
        <w:t>月</w:t>
      </w:r>
      <w:r>
        <w:rPr>
          <w:spacing w:val="-45"/>
        </w:rPr>
        <w:t> </w:t>
      </w:r>
      <w:r>
        <w:rPr>
          <w:rFonts w:ascii="宋体" w:hAnsi="宋体" w:cs="宋体" w:eastAsia="宋体" w:hint="default"/>
        </w:rPr>
        <w:t>10</w:t>
      </w:r>
      <w:r>
        <w:rPr>
          <w:rFonts w:ascii="宋体" w:hAnsi="宋体" w:cs="宋体" w:eastAsia="宋体" w:hint="default"/>
          <w:spacing w:val="-45"/>
        </w:rPr>
        <w:t> </w:t>
      </w:r>
      <w:r>
        <w:rPr/>
        <w:t>日办理完毕，上市流通日为</w:t>
      </w:r>
      <w:r>
        <w:rPr>
          <w:spacing w:val="-45"/>
        </w:rPr>
        <w:t> </w:t>
      </w:r>
      <w:r>
        <w:rPr>
          <w:rFonts w:ascii="宋体" w:hAnsi="宋体" w:cs="宋体" w:eastAsia="宋体" w:hint="default"/>
        </w:rPr>
        <w:t>2018</w:t>
      </w:r>
      <w:r>
        <w:rPr>
          <w:rFonts w:ascii="宋体" w:hAnsi="宋体" w:cs="宋体" w:eastAsia="宋体" w:hint="default"/>
          <w:spacing w:val="-45"/>
        </w:rPr>
        <w:t> </w:t>
      </w:r>
      <w:r>
        <w:rPr/>
        <w:t>年</w:t>
      </w:r>
      <w:r>
        <w:rPr>
          <w:spacing w:val="-46"/>
        </w:rPr>
        <w:t> </w:t>
      </w:r>
      <w:r>
        <w:rPr>
          <w:rFonts w:ascii="宋体" w:hAnsi="宋体" w:cs="宋体" w:eastAsia="宋体" w:hint="default"/>
        </w:rPr>
        <w:t>5</w:t>
      </w:r>
      <w:r>
        <w:rPr>
          <w:rFonts w:ascii="宋体" w:hAnsi="宋体" w:cs="宋体" w:eastAsia="宋体" w:hint="default"/>
          <w:spacing w:val="-45"/>
        </w:rPr>
        <w:t> </w:t>
      </w:r>
      <w:r>
        <w:rPr/>
        <w:t>月</w:t>
      </w:r>
    </w:p>
    <w:p>
      <w:pPr>
        <w:pStyle w:val="BodyText"/>
        <w:spacing w:line="240" w:lineRule="auto" w:before="66"/>
        <w:ind w:left="154" w:right="1116"/>
        <w:jc w:val="left"/>
      </w:pPr>
      <w:r>
        <w:rPr>
          <w:rFonts w:ascii="宋体" w:hAnsi="宋体" w:cs="宋体" w:eastAsia="宋体" w:hint="default"/>
        </w:rPr>
        <w:t>14</w:t>
      </w:r>
      <w:r>
        <w:rPr>
          <w:rFonts w:ascii="宋体" w:hAnsi="宋体" w:cs="宋体" w:eastAsia="宋体" w:hint="default"/>
          <w:spacing w:val="-53"/>
        </w:rPr>
        <w:t> </w:t>
      </w:r>
      <w:r>
        <w:rPr/>
        <w:t>日；因离职注销未解锁的限制性股票事宜已经于</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日完成。</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rFonts w:ascii="宋体" w:hAnsi="宋体" w:cs="宋体" w:eastAsia="宋体" w:hint="default"/>
        </w:rPr>
        <w:t>2.2018</w:t>
      </w:r>
      <w:r>
        <w:rPr>
          <w:rFonts w:ascii="宋体" w:hAnsi="宋体" w:cs="宋体" w:eastAsia="宋体" w:hint="default"/>
          <w:spacing w:val="-47"/>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29</w:t>
      </w:r>
      <w:r>
        <w:rPr>
          <w:rFonts w:ascii="宋体" w:hAnsi="宋体" w:cs="宋体" w:eastAsia="宋体" w:hint="default"/>
          <w:spacing w:val="-47"/>
        </w:rPr>
        <w:t> </w:t>
      </w:r>
      <w:r>
        <w:rPr>
          <w:spacing w:val="-3"/>
        </w:rPr>
        <w:t>日召开的第三届董事会第三次会议审议通过了《关于回购注销离职股权激励对象所</w:t>
      </w:r>
    </w:p>
    <w:p>
      <w:pPr>
        <w:pStyle w:val="BodyText"/>
        <w:spacing w:line="240" w:lineRule="auto" w:before="64"/>
        <w:ind w:left="154" w:right="0"/>
        <w:jc w:val="left"/>
      </w:pPr>
      <w:r>
        <w:rPr>
          <w:spacing w:val="-4"/>
        </w:rPr>
        <w:t>持已获授但尚未解锁的限制性股票的议案》，</w:t>
      </w:r>
      <w:r>
        <w:rPr>
          <w:rFonts w:ascii="宋体" w:hAnsi="宋体" w:cs="宋体" w:eastAsia="宋体" w:hint="default"/>
          <w:spacing w:val="-4"/>
        </w:rPr>
        <w:t>2018</w:t>
      </w:r>
      <w:r>
        <w:rPr>
          <w:rFonts w:ascii="宋体" w:hAnsi="宋体" w:cs="宋体" w:eastAsia="宋体" w:hint="default"/>
          <w:spacing w:val="-50"/>
        </w:rPr>
        <w:t> </w:t>
      </w:r>
      <w:r>
        <w:rPr/>
        <w:t>年</w:t>
      </w:r>
      <w:r>
        <w:rPr>
          <w:spacing w:val="-50"/>
        </w:rPr>
        <w:t> </w:t>
      </w:r>
      <w:r>
        <w:rPr>
          <w:rFonts w:ascii="宋体" w:hAnsi="宋体" w:cs="宋体" w:eastAsia="宋体" w:hint="default"/>
        </w:rPr>
        <w:t>11</w:t>
      </w:r>
      <w:r>
        <w:rPr>
          <w:rFonts w:ascii="宋体" w:hAnsi="宋体" w:cs="宋体" w:eastAsia="宋体" w:hint="default"/>
          <w:spacing w:val="-49"/>
        </w:rPr>
        <w:t> </w:t>
      </w:r>
      <w:r>
        <w:rPr/>
        <w:t>月</w:t>
      </w:r>
      <w:r>
        <w:rPr>
          <w:spacing w:val="-51"/>
        </w:rPr>
        <w:t> </w:t>
      </w:r>
      <w:r>
        <w:rPr>
          <w:rFonts w:ascii="宋体" w:hAnsi="宋体" w:cs="宋体" w:eastAsia="宋体" w:hint="default"/>
        </w:rPr>
        <w:t>15</w:t>
      </w:r>
      <w:r>
        <w:rPr>
          <w:rFonts w:ascii="宋体" w:hAnsi="宋体" w:cs="宋体" w:eastAsia="宋体" w:hint="default"/>
          <w:spacing w:val="-49"/>
        </w:rPr>
        <w:t> </w:t>
      </w:r>
      <w:r>
        <w:rPr/>
        <w:t>日公司第四次临时股东大会审议通过了上述</w:t>
      </w:r>
    </w:p>
    <w:p>
      <w:pPr>
        <w:pStyle w:val="BodyText"/>
        <w:spacing w:line="240" w:lineRule="auto" w:before="66"/>
        <w:ind w:left="154" w:right="0"/>
        <w:jc w:val="left"/>
        <w:rPr>
          <w:rFonts w:ascii="宋体" w:hAnsi="宋体" w:cs="宋体" w:eastAsia="宋体" w:hint="default"/>
        </w:rPr>
      </w:pPr>
      <w:r>
        <w:rPr/>
        <w:t>议案。经中国证券登记结算有限责任公司深圳分公司审核确认，本次限制性股票的注销事宜已经于</w:t>
      </w:r>
      <w:r>
        <w:rPr>
          <w:spacing w:val="80"/>
        </w:rPr>
        <w:t> </w:t>
      </w:r>
      <w:r>
        <w:rPr>
          <w:rFonts w:ascii="宋体" w:hAnsi="宋体" w:cs="宋体" w:eastAsia="宋体" w:hint="default"/>
        </w:rPr>
        <w:t>2018</w:t>
      </w:r>
    </w:p>
    <w:p>
      <w:pPr>
        <w:pStyle w:val="BodyText"/>
        <w:spacing w:line="240" w:lineRule="auto" w:before="66"/>
        <w:ind w:left="154" w:right="1116"/>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日完成。</w:t>
      </w:r>
    </w:p>
    <w:p>
      <w:pPr>
        <w:spacing w:line="240" w:lineRule="auto" w:before="10"/>
        <w:rPr>
          <w:rFonts w:ascii="宋体" w:hAnsi="宋体" w:cs="宋体" w:eastAsia="宋体" w:hint="default"/>
          <w:sz w:val="17"/>
          <w:szCs w:val="17"/>
        </w:rPr>
      </w:pPr>
    </w:p>
    <w:p>
      <w:pPr>
        <w:pStyle w:val="BodyText"/>
        <w:spacing w:line="297" w:lineRule="auto"/>
        <w:ind w:left="154" w:right="1023" w:firstLine="420"/>
        <w:jc w:val="left"/>
      </w:pPr>
      <w:r>
        <w:rPr>
          <w:rFonts w:ascii="宋体" w:hAnsi="宋体" w:cs="宋体" w:eastAsia="宋体" w:hint="default"/>
        </w:rPr>
        <w:t>3.2018</w:t>
      </w:r>
      <w:r>
        <w:rPr>
          <w:rFonts w:ascii="宋体" w:hAnsi="宋体" w:cs="宋体" w:eastAsia="宋体" w:hint="default"/>
          <w:spacing w:val="-50"/>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w:t>
      </w:r>
      <w:r>
        <w:rPr>
          <w:spacing w:val="-51"/>
        </w:rPr>
        <w:t> </w:t>
      </w:r>
      <w:r>
        <w:rPr>
          <w:rFonts w:ascii="宋体" w:hAnsi="宋体" w:cs="宋体" w:eastAsia="宋体" w:hint="default"/>
        </w:rPr>
        <w:t>5</w:t>
      </w:r>
      <w:r>
        <w:rPr>
          <w:rFonts w:ascii="宋体" w:hAnsi="宋体" w:cs="宋体" w:eastAsia="宋体" w:hint="default"/>
          <w:spacing w:val="-50"/>
        </w:rPr>
        <w:t> </w:t>
      </w:r>
      <w:r>
        <w:rPr>
          <w:spacing w:val="-4"/>
        </w:rPr>
        <w:t>日召开的第三届董事会第四次会议审议通过了《关于公司</w:t>
      </w:r>
      <w:r>
        <w:rPr>
          <w:spacing w:val="-50"/>
        </w:rPr>
        <w:t> </w:t>
      </w:r>
      <w:r>
        <w:rPr>
          <w:rFonts w:ascii="宋体" w:hAnsi="宋体" w:cs="宋体" w:eastAsia="宋体" w:hint="default"/>
        </w:rPr>
        <w:t>2017</w:t>
      </w:r>
      <w:r>
        <w:rPr>
          <w:rFonts w:ascii="宋体" w:hAnsi="宋体" w:cs="宋体" w:eastAsia="宋体" w:hint="default"/>
          <w:spacing w:val="-51"/>
        </w:rPr>
        <w:t> </w:t>
      </w:r>
      <w:r>
        <w:rPr/>
        <w:t>年限制性股票激励计 </w:t>
      </w:r>
      <w:r>
        <w:rPr>
          <w:spacing w:val="-3"/>
        </w:rPr>
        <w:t>划第一个解除限售期解除限售条件成就的议案》，经中国证券登记结算有限责任公司深圳分公司审核确认，</w:t>
      </w:r>
      <w:r>
        <w:rPr>
          <w:spacing w:val="-92"/>
        </w:rPr>
        <w:t> </w:t>
      </w:r>
      <w:r>
        <w:rPr>
          <w:spacing w:val="-92"/>
        </w:rPr>
      </w:r>
      <w:r>
        <w:rPr/>
        <w:t>公司</w:t>
      </w:r>
      <w:r>
        <w:rPr>
          <w:spacing w:val="-44"/>
        </w:rPr>
        <w:t> </w:t>
      </w:r>
      <w:r>
        <w:rPr>
          <w:rFonts w:ascii="宋体" w:hAnsi="宋体" w:cs="宋体" w:eastAsia="宋体" w:hint="default"/>
        </w:rPr>
        <w:t>2017</w:t>
      </w:r>
      <w:r>
        <w:rPr>
          <w:rFonts w:ascii="宋体" w:hAnsi="宋体" w:cs="宋体" w:eastAsia="宋体" w:hint="default"/>
          <w:spacing w:val="-43"/>
        </w:rPr>
        <w:t> </w:t>
      </w:r>
      <w:r>
        <w:rPr/>
        <w:t>年限制性股票激励计划首期授予股份第一个解锁期解除限售手续已于</w:t>
      </w:r>
      <w:r>
        <w:rPr>
          <w:spacing w:val="-43"/>
        </w:rPr>
        <w:t> </w:t>
      </w:r>
      <w:r>
        <w:rPr>
          <w:rFonts w:ascii="宋体" w:hAnsi="宋体" w:cs="宋体" w:eastAsia="宋体" w:hint="default"/>
        </w:rPr>
        <w:t>2018</w:t>
      </w:r>
      <w:r>
        <w:rPr>
          <w:rFonts w:ascii="宋体" w:hAnsi="宋体" w:cs="宋体" w:eastAsia="宋体" w:hint="default"/>
          <w:spacing w:val="-43"/>
        </w:rPr>
        <w:t> </w:t>
      </w:r>
      <w:r>
        <w:rPr/>
        <w:t>年</w:t>
      </w:r>
      <w:r>
        <w:rPr>
          <w:spacing w:val="-44"/>
        </w:rPr>
        <w:t> </w:t>
      </w:r>
      <w:r>
        <w:rPr>
          <w:rFonts w:ascii="宋体" w:hAnsi="宋体" w:cs="宋体" w:eastAsia="宋体" w:hint="default"/>
        </w:rPr>
        <w:t>11</w:t>
      </w:r>
      <w:r>
        <w:rPr>
          <w:rFonts w:ascii="宋体" w:hAnsi="宋体" w:cs="宋体" w:eastAsia="宋体" w:hint="default"/>
          <w:spacing w:val="-43"/>
        </w:rPr>
        <w:t> </w:t>
      </w:r>
      <w:r>
        <w:rPr/>
        <w:t>月</w:t>
      </w:r>
      <w:r>
        <w:rPr>
          <w:spacing w:val="-44"/>
        </w:rPr>
        <w:t> </w:t>
      </w:r>
      <w:r>
        <w:rPr>
          <w:rFonts w:ascii="宋体" w:hAnsi="宋体" w:cs="宋体" w:eastAsia="宋体" w:hint="default"/>
        </w:rPr>
        <w:t>7</w:t>
      </w:r>
      <w:r>
        <w:rPr>
          <w:rFonts w:ascii="宋体" w:hAnsi="宋体" w:cs="宋体" w:eastAsia="宋体" w:hint="default"/>
          <w:spacing w:val="-43"/>
        </w:rPr>
        <w:t> </w:t>
      </w:r>
      <w:r>
        <w:rPr/>
        <w:t>日办理完</w:t>
      </w:r>
    </w:p>
    <w:p>
      <w:pPr>
        <w:pStyle w:val="BodyText"/>
        <w:spacing w:line="240" w:lineRule="auto" w:before="14"/>
        <w:ind w:left="154" w:right="1116"/>
        <w:jc w:val="left"/>
      </w:pPr>
      <w:r>
        <w:rPr/>
        <w:t>毕，上市流通日为 </w:t>
      </w:r>
      <w:r>
        <w:rPr>
          <w:rFonts w:ascii="宋体" w:hAnsi="宋体" w:cs="宋体" w:eastAsia="宋体" w:hint="default"/>
        </w:rPr>
        <w:t>2018</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w:t>
      </w:r>
    </w:p>
    <w:p>
      <w:pPr>
        <w:spacing w:line="240" w:lineRule="auto" w:before="12"/>
        <w:rPr>
          <w:rFonts w:ascii="宋体" w:hAnsi="宋体" w:cs="宋体" w:eastAsia="宋体" w:hint="default"/>
          <w:sz w:val="17"/>
          <w:szCs w:val="17"/>
        </w:rPr>
      </w:pPr>
    </w:p>
    <w:p>
      <w:pPr>
        <w:pStyle w:val="BodyText"/>
        <w:spacing w:line="297" w:lineRule="auto"/>
        <w:ind w:left="154" w:right="1010" w:firstLine="420"/>
        <w:jc w:val="left"/>
      </w:pPr>
      <w:r>
        <w:rPr/>
        <w:t>公司需遵守《深圳证券交易所行业信息披露指引第</w:t>
      </w:r>
      <w:r>
        <w:rPr>
          <w:spacing w:val="-64"/>
        </w:rPr>
        <w:t> </w:t>
      </w:r>
      <w:r>
        <w:rPr>
          <w:rFonts w:ascii="宋体" w:hAnsi="宋体" w:cs="宋体" w:eastAsia="宋体" w:hint="default"/>
        </w:rPr>
        <w:t>12</w:t>
      </w:r>
      <w:r>
        <w:rPr>
          <w:rFonts w:ascii="宋体" w:hAnsi="宋体" w:cs="宋体" w:eastAsia="宋体" w:hint="default"/>
          <w:spacing w:val="-64"/>
        </w:rPr>
        <w:t> </w:t>
      </w:r>
      <w:r>
        <w:rPr/>
        <w:t>号——上市公司从事软件与信息技术服务业务》 的披露要求</w:t>
      </w:r>
    </w:p>
    <w:p>
      <w:pPr>
        <w:spacing w:line="240" w:lineRule="auto" w:before="12"/>
        <w:rPr>
          <w:rFonts w:ascii="宋体" w:hAnsi="宋体" w:cs="宋体" w:eastAsia="宋体" w:hint="default"/>
          <w:sz w:val="13"/>
          <w:szCs w:val="13"/>
        </w:rPr>
      </w:pPr>
    </w:p>
    <w:p>
      <w:pPr>
        <w:pStyle w:val="BodyText"/>
        <w:spacing w:line="297" w:lineRule="auto"/>
        <w:ind w:left="154" w:right="1117" w:firstLine="420"/>
        <w:jc w:val="left"/>
      </w:pPr>
      <w:r>
        <w:rPr/>
        <w:t>报告期内实施股权激励计提的费用为</w:t>
      </w:r>
      <w:r>
        <w:rPr>
          <w:spacing w:val="-45"/>
        </w:rPr>
        <w:t> </w:t>
      </w:r>
      <w:r>
        <w:rPr>
          <w:rFonts w:ascii="宋体" w:hAnsi="宋体" w:cs="宋体" w:eastAsia="宋体" w:hint="default"/>
        </w:rPr>
        <w:t>3149.03</w:t>
      </w:r>
      <w:r>
        <w:rPr>
          <w:rFonts w:ascii="宋体" w:hAnsi="宋体" w:cs="宋体" w:eastAsia="宋体" w:hint="default"/>
          <w:spacing w:val="-46"/>
        </w:rPr>
        <w:t> </w:t>
      </w:r>
      <w:r>
        <w:rPr>
          <w:spacing w:val="-3"/>
        </w:rPr>
        <w:t>万元，占归属于上市公司股东的净利润的</w:t>
      </w:r>
      <w:r>
        <w:rPr>
          <w:spacing w:val="-45"/>
        </w:rPr>
        <w:t> </w:t>
      </w:r>
      <w:r>
        <w:rPr>
          <w:rFonts w:ascii="宋体" w:hAnsi="宋体" w:cs="宋体" w:eastAsia="宋体" w:hint="default"/>
          <w:spacing w:val="-5"/>
        </w:rPr>
        <w:t>19.17%</w:t>
      </w:r>
      <w:r>
        <w:rPr>
          <w:spacing w:val="-5"/>
        </w:rPr>
        <w:t>，其中</w:t>
      </w:r>
      <w:r>
        <w:rPr/>
        <w:t> 核心技术人员的股权激励费用为</w:t>
      </w:r>
      <w:r>
        <w:rPr>
          <w:spacing w:val="-53"/>
        </w:rPr>
        <w:t> </w:t>
      </w:r>
      <w:r>
        <w:rPr>
          <w:rFonts w:ascii="宋体" w:hAnsi="宋体" w:cs="宋体" w:eastAsia="宋体" w:hint="default"/>
        </w:rPr>
        <w:t>607.78</w:t>
      </w:r>
      <w:r>
        <w:rPr>
          <w:rFonts w:ascii="宋体" w:hAnsi="宋体" w:cs="宋体" w:eastAsia="宋体" w:hint="default"/>
          <w:spacing w:val="-54"/>
        </w:rPr>
        <w:t> </w:t>
      </w:r>
      <w:r>
        <w:rPr/>
        <w:t>万元，占公司当期股权激励费用的比重为</w:t>
      </w:r>
      <w:r>
        <w:rPr>
          <w:spacing w:val="-53"/>
        </w:rPr>
        <w:t> </w:t>
      </w:r>
      <w:r>
        <w:rPr>
          <w:rFonts w:ascii="宋体" w:hAnsi="宋体" w:cs="宋体" w:eastAsia="宋体" w:hint="default"/>
        </w:rPr>
        <w:t>19.30%</w:t>
      </w:r>
      <w:r>
        <w:rPr/>
        <w:t>。</w:t>
      </w:r>
    </w:p>
    <w:p>
      <w:pPr>
        <w:spacing w:line="240" w:lineRule="auto" w:before="11"/>
        <w:rPr>
          <w:rFonts w:ascii="宋体" w:hAnsi="宋体" w:cs="宋体" w:eastAsia="宋体" w:hint="default"/>
          <w:sz w:val="17"/>
          <w:szCs w:val="17"/>
        </w:rPr>
      </w:pPr>
    </w:p>
    <w:p>
      <w:pPr>
        <w:pStyle w:val="Heading2"/>
        <w:spacing w:line="240" w:lineRule="auto"/>
        <w:ind w:left="154" w:right="1116"/>
        <w:jc w:val="left"/>
      </w:pPr>
      <w:bookmarkStart w:name="十五、重大关联交易" w:id="75"/>
      <w:bookmarkEnd w:id="75"/>
      <w:r>
        <w:rPr/>
      </w:r>
      <w:r>
        <w:rPr/>
        <w:t>十五、重大关联交易</w:t>
      </w:r>
    </w:p>
    <w:p>
      <w:pPr>
        <w:spacing w:line="240" w:lineRule="auto" w:before="9"/>
        <w:rPr>
          <w:rFonts w:ascii="微软雅黑" w:hAnsi="微软雅黑" w:cs="微软雅黑" w:eastAsia="微软雅黑" w:hint="default"/>
          <w:sz w:val="21"/>
          <w:szCs w:val="21"/>
        </w:rPr>
      </w:pPr>
    </w:p>
    <w:p>
      <w:pPr>
        <w:pStyle w:val="BodyText"/>
        <w:spacing w:line="456" w:lineRule="auto"/>
        <w:ind w:left="574" w:right="4662"/>
        <w:jc w:val="left"/>
        <w:rPr>
          <w:rFonts w:ascii="微软雅黑" w:hAnsi="微软雅黑" w:cs="微软雅黑" w:eastAsia="微软雅黑" w:hint="default"/>
        </w:rPr>
      </w:pPr>
      <w:bookmarkStart w:name="1、与日常经营相关的关联交易" w:id="76"/>
      <w:bookmarkEnd w:id="76"/>
      <w:r>
        <w:rPr/>
      </w:r>
      <w:r>
        <w:rPr>
          <w:rFonts w:ascii="Times New Roman" w:hAnsi="Times New Roman" w:cs="Times New Roman" w:eastAsia="Times New Roman" w:hint="default"/>
        </w:rPr>
        <w:t>1</w:t>
      </w:r>
      <w:r>
        <w:rPr>
          <w:rFonts w:ascii="微软雅黑" w:hAnsi="微软雅黑" w:cs="微软雅黑" w:eastAsia="微软雅黑" w:hint="default"/>
        </w:rPr>
        <w:t>、与日常经营相关的关联交易 </w:t>
      </w:r>
      <w:r>
        <w:rPr/>
        <w:t>公司报告期未发生与日常经营相关的关联交易。 </w:t>
      </w:r>
      <w:bookmarkStart w:name="2、资产或股权收购、出售发生的关联交易" w:id="77"/>
      <w:bookmarkEnd w:id="77"/>
      <w:r>
        <w:rPr/>
      </w:r>
      <w:r>
        <w:rPr>
          <w:rFonts w:ascii="Times New Roman" w:hAnsi="Times New Roman" w:cs="Times New Roman" w:eastAsia="Times New Roman" w:hint="default"/>
        </w:rPr>
        <w:t>2</w:t>
      </w:r>
      <w:r>
        <w:rPr>
          <w:rFonts w:ascii="微软雅黑" w:hAnsi="微软雅黑" w:cs="微软雅黑" w:eastAsia="微软雅黑" w:hint="default"/>
        </w:rPr>
        <w:t>、资产或股权收购、出售发生的关联交易</w:t>
      </w:r>
    </w:p>
    <w:p>
      <w:pPr>
        <w:pStyle w:val="BodyText"/>
        <w:spacing w:line="240" w:lineRule="auto" w:before="103"/>
        <w:ind w:left="574" w:right="1116"/>
        <w:jc w:val="left"/>
      </w:pPr>
      <w:r>
        <w:rPr/>
        <w:t>公司报告期未发生资产或股权收购、出售的关联交易。</w:t>
      </w:r>
    </w:p>
    <w:p>
      <w:pPr>
        <w:spacing w:after="0" w:line="240" w:lineRule="auto"/>
        <w:jc w:val="left"/>
        <w:sectPr>
          <w:pgSz w:w="11910" w:h="16840"/>
          <w:pgMar w:header="801" w:footer="1007" w:top="1100" w:bottom="1200" w:left="980" w:right="0"/>
        </w:sectPr>
      </w:pPr>
    </w:p>
    <w:p>
      <w:pPr>
        <w:spacing w:line="240" w:lineRule="auto" w:before="3"/>
        <w:rPr>
          <w:rFonts w:ascii="宋体" w:hAnsi="宋体" w:cs="宋体" w:eastAsia="宋体" w:hint="default"/>
          <w:sz w:val="24"/>
          <w:szCs w:val="24"/>
        </w:rPr>
      </w:pPr>
    </w:p>
    <w:p>
      <w:pPr>
        <w:pStyle w:val="BodyText"/>
        <w:spacing w:line="324" w:lineRule="exact"/>
        <w:ind w:left="674" w:right="4872"/>
        <w:jc w:val="left"/>
        <w:rPr>
          <w:rFonts w:ascii="微软雅黑" w:hAnsi="微软雅黑" w:cs="微软雅黑" w:eastAsia="微软雅黑" w:hint="default"/>
        </w:rPr>
      </w:pPr>
      <w:bookmarkStart w:name="3、共同对外投资的关联交易" w:id="78"/>
      <w:bookmarkEnd w:id="78"/>
      <w:r>
        <w:rPr/>
      </w:r>
      <w:r>
        <w:rPr>
          <w:rFonts w:ascii="Times New Roman" w:hAnsi="Times New Roman" w:cs="Times New Roman" w:eastAsia="Times New Roman" w:hint="default"/>
        </w:rPr>
        <w:t>3</w:t>
      </w:r>
      <w:r>
        <w:rPr>
          <w:rFonts w:ascii="微软雅黑" w:hAnsi="微软雅黑" w:cs="微软雅黑" w:eastAsia="微软雅黑" w:hint="default"/>
        </w:rPr>
        <w:t>、共同对外投资的关联交易</w:t>
      </w:r>
    </w:p>
    <w:p>
      <w:pPr>
        <w:spacing w:line="240" w:lineRule="auto" w:before="12"/>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276"/>
        <w:gridCol w:w="991"/>
        <w:gridCol w:w="1134"/>
        <w:gridCol w:w="1134"/>
        <w:gridCol w:w="1134"/>
        <w:gridCol w:w="1134"/>
        <w:gridCol w:w="992"/>
        <w:gridCol w:w="1136"/>
      </w:tblGrid>
      <w:tr>
        <w:trPr>
          <w:trHeight w:val="710" w:hRule="exact"/>
        </w:trPr>
        <w:tc>
          <w:tcPr>
            <w:tcW w:w="2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微软雅黑" w:hAnsi="微软雅黑" w:cs="微软雅黑" w:eastAsia="微软雅黑" w:hint="default"/>
                <w:sz w:val="11"/>
                <w:szCs w:val="11"/>
              </w:rPr>
            </w:pPr>
          </w:p>
          <w:p>
            <w:pPr>
              <w:pStyle w:val="TableParagraph"/>
              <w:spacing w:line="240" w:lineRule="auto"/>
              <w:ind w:left="6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微软雅黑" w:hAnsi="微软雅黑" w:cs="微软雅黑" w:eastAsia="微软雅黑" w:hint="default"/>
                <w:sz w:val="11"/>
                <w:szCs w:val="1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1"/>
              <w:ind w:left="291" w:right="111"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1"/>
              <w:ind w:left="111" w:right="110"/>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1"/>
              <w:ind w:left="111" w:right="110"/>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01" w:right="0" w:hanging="90"/>
              <w:jc w:val="left"/>
              <w:rPr>
                <w:rFonts w:ascii="宋体" w:hAnsi="宋体" w:cs="宋体" w:eastAsia="宋体" w:hint="default"/>
                <w:sz w:val="18"/>
                <w:szCs w:val="18"/>
              </w:rPr>
            </w:pPr>
            <w:r>
              <w:rPr>
                <w:rFonts w:ascii="宋体" w:hAnsi="宋体" w:cs="宋体" w:eastAsia="宋体" w:hint="default"/>
                <w:sz w:val="18"/>
                <w:szCs w:val="18"/>
              </w:rPr>
              <w:t>被投资企业</w:t>
            </w:r>
          </w:p>
          <w:p>
            <w:pPr>
              <w:pStyle w:val="TableParagraph"/>
              <w:spacing w:line="233" w:lineRule="exact"/>
              <w:ind w:left="201" w:right="0"/>
              <w:jc w:val="left"/>
              <w:rPr>
                <w:rFonts w:ascii="宋体" w:hAnsi="宋体" w:cs="宋体" w:eastAsia="宋体" w:hint="default"/>
                <w:sz w:val="18"/>
                <w:szCs w:val="18"/>
              </w:rPr>
            </w:pPr>
            <w:r>
              <w:rPr>
                <w:rFonts w:ascii="宋体" w:hAnsi="宋体" w:cs="宋体" w:eastAsia="宋体" w:hint="default"/>
                <w:sz w:val="18"/>
                <w:szCs w:val="18"/>
              </w:rPr>
              <w:t>的总资产</w:t>
            </w:r>
          </w:p>
          <w:p>
            <w:pPr>
              <w:pStyle w:val="TableParagraph"/>
              <w:spacing w:line="235" w:lineRule="exact"/>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被投资企</w:t>
            </w:r>
          </w:p>
          <w:p>
            <w:pPr>
              <w:pStyle w:val="TableParagraph"/>
              <w:spacing w:line="240" w:lineRule="auto"/>
              <w:ind w:left="103" w:right="11" w:firstLine="27"/>
              <w:jc w:val="left"/>
              <w:rPr>
                <w:rFonts w:ascii="宋体" w:hAnsi="宋体" w:cs="宋体" w:eastAsia="宋体" w:hint="default"/>
                <w:sz w:val="18"/>
                <w:szCs w:val="18"/>
              </w:rPr>
            </w:pPr>
            <w:r>
              <w:rPr>
                <w:rFonts w:ascii="宋体" w:hAnsi="宋体" w:cs="宋体" w:eastAsia="宋体" w:hint="default"/>
                <w:sz w:val="18"/>
                <w:szCs w:val="18"/>
              </w:rPr>
              <w:t>业的净资 </w:t>
            </w:r>
            <w:r>
              <w:rPr>
                <w:rFonts w:ascii="宋体" w:hAnsi="宋体" w:cs="宋体" w:eastAsia="宋体" w:hint="default"/>
                <w:spacing w:val="-7"/>
                <w:sz w:val="18"/>
                <w:szCs w:val="18"/>
              </w:rPr>
              <w:t>产（万元）</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03" w:right="0" w:hanging="90"/>
              <w:jc w:val="left"/>
              <w:rPr>
                <w:rFonts w:ascii="宋体" w:hAnsi="宋体" w:cs="宋体" w:eastAsia="宋体" w:hint="default"/>
                <w:sz w:val="18"/>
                <w:szCs w:val="18"/>
              </w:rPr>
            </w:pPr>
            <w:r>
              <w:rPr>
                <w:rFonts w:ascii="宋体" w:hAnsi="宋体" w:cs="宋体" w:eastAsia="宋体" w:hint="default"/>
                <w:sz w:val="18"/>
                <w:szCs w:val="18"/>
              </w:rPr>
              <w:t>被投资企业</w:t>
            </w:r>
          </w:p>
          <w:p>
            <w:pPr>
              <w:pStyle w:val="TableParagraph"/>
              <w:spacing w:line="233" w:lineRule="exact"/>
              <w:ind w:left="203" w:right="0"/>
              <w:jc w:val="left"/>
              <w:rPr>
                <w:rFonts w:ascii="宋体" w:hAnsi="宋体" w:cs="宋体" w:eastAsia="宋体" w:hint="default"/>
                <w:sz w:val="18"/>
                <w:szCs w:val="18"/>
              </w:rPr>
            </w:pPr>
            <w:r>
              <w:rPr>
                <w:rFonts w:ascii="宋体" w:hAnsi="宋体" w:cs="宋体" w:eastAsia="宋体" w:hint="default"/>
                <w:sz w:val="18"/>
                <w:szCs w:val="18"/>
              </w:rPr>
              <w:t>的净利润</w:t>
            </w:r>
          </w:p>
          <w:p>
            <w:pPr>
              <w:pStyle w:val="TableParagraph"/>
              <w:spacing w:line="235" w:lineRule="exact"/>
              <w:ind w:left="20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87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重庆极创君源股权投资基</w:t>
            </w:r>
          </w:p>
          <w:p>
            <w:pPr>
              <w:pStyle w:val="TableParagraph"/>
              <w:spacing w:line="237" w:lineRule="auto"/>
              <w:ind w:left="103" w:right="102"/>
              <w:jc w:val="left"/>
              <w:rPr>
                <w:rFonts w:ascii="宋体" w:hAnsi="宋体" w:cs="宋体" w:eastAsia="宋体" w:hint="default"/>
                <w:sz w:val="18"/>
                <w:szCs w:val="18"/>
              </w:rPr>
            </w:pPr>
            <w:r>
              <w:rPr>
                <w:rFonts w:ascii="宋体" w:hAnsi="宋体" w:cs="宋体" w:eastAsia="宋体" w:hint="default"/>
                <w:sz w:val="18"/>
                <w:szCs w:val="18"/>
              </w:rPr>
              <w:t>金管理合伙企业（有限合 </w:t>
            </w:r>
            <w:r>
              <w:rPr>
                <w:rFonts w:ascii="宋体" w:hAnsi="宋体" w:cs="宋体" w:eastAsia="宋体" w:hint="default"/>
                <w:spacing w:val="-9"/>
                <w:sz w:val="18"/>
                <w:szCs w:val="18"/>
              </w:rPr>
              <w:t>伙）；重庆天使投资基金引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导有限公司；重庆临空远 翔股权投资基金合伙企业</w:t>
            </w:r>
          </w:p>
          <w:p>
            <w:pPr>
              <w:pStyle w:val="TableParagraph"/>
              <w:spacing w:line="237" w:lineRule="auto"/>
              <w:ind w:left="103" w:right="102"/>
              <w:jc w:val="left"/>
              <w:rPr>
                <w:rFonts w:ascii="宋体" w:hAnsi="宋体" w:cs="宋体" w:eastAsia="宋体" w:hint="default"/>
                <w:sz w:val="18"/>
                <w:szCs w:val="18"/>
              </w:rPr>
            </w:pPr>
            <w:r>
              <w:rPr>
                <w:rFonts w:ascii="宋体" w:hAnsi="宋体" w:cs="宋体" w:eastAsia="宋体" w:hint="default"/>
                <w:spacing w:val="-9"/>
                <w:sz w:val="18"/>
                <w:szCs w:val="18"/>
              </w:rPr>
              <w:t>（有限合伙）；苏州极创瑾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源创业投资合伙企业（有 限合伙）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0"/>
              <w:ind w:right="0"/>
              <w:jc w:val="left"/>
              <w:rPr>
                <w:rFonts w:ascii="微软雅黑" w:hAnsi="微软雅黑" w:cs="微软雅黑" w:eastAsia="微软雅黑" w:hint="default"/>
                <w:sz w:val="9"/>
                <w:szCs w:val="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微软雅黑" w:hAnsi="微软雅黑" w:cs="微软雅黑" w:eastAsia="微软雅黑" w:hint="default"/>
                <w:sz w:val="18"/>
                <w:szCs w:val="18"/>
              </w:rPr>
            </w:pPr>
          </w:p>
          <w:p>
            <w:pPr>
              <w:pStyle w:val="TableParagraph"/>
              <w:spacing w:line="237" w:lineRule="auto"/>
              <w:ind w:left="103" w:right="119"/>
              <w:jc w:val="both"/>
              <w:rPr>
                <w:rFonts w:ascii="宋体" w:hAnsi="宋体" w:cs="宋体" w:eastAsia="宋体" w:hint="default"/>
                <w:sz w:val="18"/>
                <w:szCs w:val="18"/>
              </w:rPr>
            </w:pPr>
            <w:r>
              <w:rPr>
                <w:rFonts w:ascii="宋体" w:hAnsi="宋体" w:cs="宋体" w:eastAsia="宋体" w:hint="default"/>
                <w:sz w:val="18"/>
                <w:szCs w:val="18"/>
              </w:rPr>
              <w:t>重庆极创渝 源股权投资 基金合伙企 业（有限合 伙）</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0"/>
              <w:ind w:right="0"/>
              <w:jc w:val="left"/>
              <w:rPr>
                <w:rFonts w:ascii="微软雅黑" w:hAnsi="微软雅黑" w:cs="微软雅黑" w:eastAsia="微软雅黑" w:hint="default"/>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0"/>
              <w:ind w:right="0"/>
              <w:jc w:val="left"/>
              <w:rPr>
                <w:rFonts w:ascii="微软雅黑" w:hAnsi="微软雅黑" w:cs="微软雅黑" w:eastAsia="微软雅黑" w:hint="default"/>
                <w:sz w:val="9"/>
                <w:szCs w:val="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亿人民币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42,675.26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42,655.26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2,431.25</w:t>
            </w:r>
          </w:p>
        </w:tc>
      </w:tr>
      <w:tr>
        <w:trPr>
          <w:trHeight w:val="478" w:hRule="exact"/>
        </w:trPr>
        <w:tc>
          <w:tcPr>
            <w:tcW w:w="32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被投资企业的重大在建项目的进展情</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况（如有）</w:t>
            </w:r>
          </w:p>
        </w:tc>
        <w:tc>
          <w:tcPr>
            <w:tcW w:w="666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3"/>
        <w:rPr>
          <w:rFonts w:ascii="微软雅黑" w:hAnsi="微软雅黑" w:cs="微软雅黑" w:eastAsia="微软雅黑" w:hint="default"/>
          <w:sz w:val="6"/>
          <w:szCs w:val="6"/>
        </w:rPr>
      </w:pPr>
    </w:p>
    <w:p>
      <w:pPr>
        <w:pStyle w:val="BodyText"/>
        <w:spacing w:line="324" w:lineRule="exact"/>
        <w:ind w:left="674" w:right="4872"/>
        <w:jc w:val="left"/>
        <w:rPr>
          <w:rFonts w:ascii="微软雅黑" w:hAnsi="微软雅黑" w:cs="微软雅黑" w:eastAsia="微软雅黑" w:hint="default"/>
        </w:rPr>
      </w:pPr>
      <w:bookmarkStart w:name="4、关联债权债务往来" w:id="79"/>
      <w:bookmarkEnd w:id="79"/>
      <w:r>
        <w:rPr/>
      </w:r>
      <w:r>
        <w:rPr>
          <w:rFonts w:ascii="Times New Roman" w:hAnsi="Times New Roman" w:cs="Times New Roman" w:eastAsia="Times New Roman" w:hint="default"/>
        </w:rPr>
        <w:t>4</w:t>
      </w:r>
      <w:r>
        <w:rPr>
          <w:rFonts w:ascii="微软雅黑" w:hAnsi="微软雅黑" w:cs="微软雅黑" w:eastAsia="微软雅黑" w:hint="default"/>
        </w:rPr>
        <w:t>、关联债权债务往来</w:t>
      </w:r>
    </w:p>
    <w:p>
      <w:pPr>
        <w:spacing w:line="240" w:lineRule="auto" w:before="7"/>
        <w:rPr>
          <w:rFonts w:ascii="微软雅黑" w:hAnsi="微软雅黑" w:cs="微软雅黑" w:eastAsia="微软雅黑" w:hint="default"/>
          <w:sz w:val="20"/>
          <w:szCs w:val="20"/>
        </w:rPr>
      </w:pPr>
    </w:p>
    <w:p>
      <w:pPr>
        <w:pStyle w:val="BodyText"/>
        <w:spacing w:line="456" w:lineRule="auto"/>
        <w:ind w:left="674" w:right="6762"/>
        <w:jc w:val="left"/>
      </w:pPr>
      <w:r>
        <w:rPr/>
        <w:t>公司报告期不存在关联债权债务往来。 </w:t>
      </w:r>
      <w:bookmarkStart w:name="5、其他重大关联交易" w:id="80"/>
      <w:bookmarkEnd w:id="80"/>
      <w:r>
        <w:rPr/>
      </w:r>
      <w:r>
        <w:rPr>
          <w:rFonts w:ascii="Times New Roman" w:hAnsi="Times New Roman" w:cs="Times New Roman" w:eastAsia="Times New Roman" w:hint="default"/>
        </w:rPr>
        <w:t>5</w:t>
      </w:r>
      <w:r>
        <w:rPr>
          <w:rFonts w:ascii="微软雅黑" w:hAnsi="微软雅黑" w:cs="微软雅黑" w:eastAsia="微软雅黑" w:hint="default"/>
        </w:rPr>
        <w:t>、其他重大关联交易 </w:t>
      </w:r>
      <w:r>
        <w:rPr/>
        <w:t>公司报告期无其他重大关联交易。</w:t>
      </w:r>
    </w:p>
    <w:p>
      <w:pPr>
        <w:pStyle w:val="Heading2"/>
        <w:spacing w:line="240" w:lineRule="auto" w:before="93"/>
        <w:ind w:left="233" w:right="7112"/>
        <w:jc w:val="center"/>
      </w:pPr>
      <w:bookmarkStart w:name="十六、重大合同及其履行情况" w:id="81"/>
      <w:bookmarkEnd w:id="81"/>
      <w:r>
        <w:rPr/>
      </w:r>
      <w:r>
        <w:rPr/>
        <w:t>十六、重大合同及其履行情况</w:t>
      </w:r>
    </w:p>
    <w:p>
      <w:pPr>
        <w:spacing w:line="240" w:lineRule="auto" w:before="10"/>
        <w:rPr>
          <w:rFonts w:ascii="微软雅黑" w:hAnsi="微软雅黑" w:cs="微软雅黑" w:eastAsia="微软雅黑" w:hint="default"/>
          <w:sz w:val="21"/>
          <w:szCs w:val="21"/>
        </w:rPr>
      </w:pPr>
    </w:p>
    <w:p>
      <w:pPr>
        <w:pStyle w:val="BodyText"/>
        <w:spacing w:line="240" w:lineRule="auto"/>
        <w:ind w:left="674" w:right="4872"/>
        <w:jc w:val="left"/>
        <w:rPr>
          <w:rFonts w:ascii="微软雅黑" w:hAnsi="微软雅黑" w:cs="微软雅黑" w:eastAsia="微软雅黑" w:hint="default"/>
        </w:rPr>
      </w:pPr>
      <w:bookmarkStart w:name="1、托管、承包、租赁事项情况" w:id="82"/>
      <w:bookmarkEnd w:id="82"/>
      <w:r>
        <w:rPr/>
      </w:r>
      <w:r>
        <w:rPr>
          <w:rFonts w:ascii="Times New Roman" w:hAnsi="Times New Roman" w:cs="Times New Roman" w:eastAsia="Times New Roman" w:hint="default"/>
        </w:rPr>
        <w:t>1</w:t>
      </w:r>
      <w:r>
        <w:rPr>
          <w:rFonts w:ascii="微软雅黑" w:hAnsi="微软雅黑" w:cs="微软雅黑" w:eastAsia="微软雅黑" w:hint="default"/>
        </w:rPr>
        <w:t>、托管、承包、租赁事项情况</w:t>
      </w:r>
    </w:p>
    <w:p>
      <w:pPr>
        <w:spacing w:line="240" w:lineRule="auto" w:before="7"/>
        <w:rPr>
          <w:rFonts w:ascii="微软雅黑" w:hAnsi="微软雅黑" w:cs="微软雅黑" w:eastAsia="微软雅黑" w:hint="default"/>
          <w:sz w:val="20"/>
          <w:szCs w:val="20"/>
        </w:rPr>
      </w:pPr>
    </w:p>
    <w:p>
      <w:pPr>
        <w:pStyle w:val="Heading3"/>
        <w:spacing w:line="240" w:lineRule="auto"/>
        <w:ind w:left="676" w:right="4872"/>
        <w:jc w:val="left"/>
        <w:rPr>
          <w:b w:val="0"/>
          <w:bCs w:val="0"/>
        </w:rPr>
      </w:pPr>
      <w:bookmarkStart w:name="（1）托管情况" w:id="83"/>
      <w:bookmarkEnd w:id="83"/>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16"/>
          <w:szCs w:val="16"/>
        </w:rPr>
      </w:pPr>
    </w:p>
    <w:p>
      <w:pPr>
        <w:pStyle w:val="BodyText"/>
        <w:spacing w:line="420" w:lineRule="auto"/>
        <w:ind w:left="674"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公司报告期不存在托管情况。</w:t>
      </w:r>
    </w:p>
    <w:p>
      <w:pPr>
        <w:pStyle w:val="Heading3"/>
        <w:spacing w:line="240" w:lineRule="auto" w:before="76"/>
        <w:ind w:left="676" w:right="4872"/>
        <w:jc w:val="left"/>
        <w:rPr>
          <w:b w:val="0"/>
          <w:bCs w:val="0"/>
        </w:rPr>
      </w:pPr>
      <w:bookmarkStart w:name="（2）承包情况" w:id="84"/>
      <w:bookmarkEnd w:id="84"/>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16"/>
          <w:szCs w:val="16"/>
        </w:rPr>
      </w:pPr>
    </w:p>
    <w:p>
      <w:pPr>
        <w:pStyle w:val="BodyText"/>
        <w:spacing w:line="420" w:lineRule="auto"/>
        <w:ind w:left="674" w:right="76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公司报告期不存在承包情况。</w:t>
      </w:r>
    </w:p>
    <w:p>
      <w:pPr>
        <w:spacing w:line="429" w:lineRule="auto" w:before="75"/>
        <w:ind w:left="674" w:right="7602" w:firstLine="2"/>
        <w:jc w:val="left"/>
        <w:rPr>
          <w:rFonts w:ascii="微软雅黑" w:hAnsi="微软雅黑" w:cs="微软雅黑" w:eastAsia="微软雅黑" w:hint="default"/>
          <w:sz w:val="21"/>
          <w:szCs w:val="21"/>
        </w:rPr>
      </w:pPr>
      <w:bookmarkStart w:name="（3）租赁情况" w:id="85"/>
      <w:bookmarkEnd w:id="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公司报告期不存在租赁情况。 </w:t>
      </w:r>
      <w:bookmarkStart w:name="2、重大担保" w:id="86"/>
      <w:bookmarkEnd w:id="86"/>
      <w:r>
        <w:rPr>
          <w:rFonts w:ascii="宋体" w:hAnsi="宋体" w:cs="宋体" w:eastAsia="宋体" w:hint="default"/>
          <w:sz w:val="21"/>
          <w:szCs w:val="21"/>
        </w:rPr>
      </w:r>
      <w:r>
        <w:rPr>
          <w:rFonts w:ascii="Times New Roman" w:hAnsi="Times New Roman" w:cs="Times New Roman" w:eastAsia="Times New Roman" w:hint="default"/>
          <w:sz w:val="21"/>
          <w:szCs w:val="21"/>
        </w:rPr>
        <w:t>2</w:t>
      </w:r>
      <w:r>
        <w:rPr>
          <w:rFonts w:ascii="微软雅黑" w:hAnsi="微软雅黑" w:cs="微软雅黑" w:eastAsia="微软雅黑" w:hint="default"/>
          <w:sz w:val="21"/>
          <w:szCs w:val="21"/>
        </w:rPr>
        <w:t>、重大担保</w:t>
      </w:r>
    </w:p>
    <w:p>
      <w:pPr>
        <w:pStyle w:val="BodyText"/>
        <w:spacing w:line="240" w:lineRule="auto" w:before="134"/>
        <w:ind w:left="674" w:right="4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16"/>
          <w:szCs w:val="16"/>
        </w:rPr>
      </w:pPr>
    </w:p>
    <w:p>
      <w:pPr>
        <w:pStyle w:val="Heading3"/>
        <w:spacing w:line="240" w:lineRule="auto"/>
        <w:ind w:left="676" w:right="4872"/>
        <w:jc w:val="left"/>
        <w:rPr>
          <w:b w:val="0"/>
          <w:bCs w:val="0"/>
        </w:rPr>
      </w:pPr>
      <w:bookmarkStart w:name="（1）担保情况" w:id="87"/>
      <w:bookmarkEnd w:id="87"/>
      <w:r>
        <w:rPr>
          <w:b w:val="0"/>
          <w:bCs w:val="0"/>
        </w:rPr>
      </w:r>
      <w:r>
        <w:rPr/>
        <w:t>（</w:t>
      </w:r>
      <w:r>
        <w:rPr>
          <w:rFonts w:ascii="Times New Roman" w:hAnsi="Times New Roman" w:cs="Times New Roman" w:eastAsia="Times New Roman" w:hint="default"/>
        </w:rPr>
        <w:t>1</w:t>
      </w:r>
      <w:r>
        <w:rPr/>
        <w:t>）担保情况</w:t>
      </w:r>
      <w:r>
        <w:rPr>
          <w:b w:val="0"/>
          <w:bCs w:val="0"/>
        </w:rPr>
      </w:r>
    </w:p>
    <w:p>
      <w:pPr>
        <w:spacing w:after="0" w:line="240" w:lineRule="auto"/>
        <w:jc w:val="left"/>
        <w:sectPr>
          <w:pgSz w:w="11910" w:h="16840"/>
          <w:pgMar w:header="801" w:footer="1007" w:top="1100" w:bottom="1200" w:left="880" w:right="0"/>
        </w:sectPr>
      </w:pPr>
    </w:p>
    <w:p>
      <w:pPr>
        <w:spacing w:line="240" w:lineRule="auto" w:before="10"/>
        <w:rPr>
          <w:rFonts w:ascii="宋体" w:hAnsi="宋体" w:cs="宋体" w:eastAsia="宋体" w:hint="default"/>
          <w:b/>
          <w:bCs/>
          <w:sz w:val="18"/>
          <w:szCs w:val="18"/>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1"/>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760"/>
        <w:gridCol w:w="1025"/>
        <w:gridCol w:w="948"/>
        <w:gridCol w:w="1339"/>
        <w:gridCol w:w="1089"/>
        <w:gridCol w:w="1070"/>
        <w:gridCol w:w="1078"/>
        <w:gridCol w:w="814"/>
        <w:gridCol w:w="806"/>
      </w:tblGrid>
      <w:tr>
        <w:trPr>
          <w:trHeight w:val="407" w:hRule="exact"/>
        </w:trPr>
        <w:tc>
          <w:tcPr>
            <w:tcW w:w="992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1"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担保额度</w:t>
            </w:r>
          </w:p>
          <w:p>
            <w:pPr>
              <w:pStyle w:val="TableParagraph"/>
              <w:spacing w:line="232" w:lineRule="exact" w:before="24"/>
              <w:ind w:left="147" w:right="145"/>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54" w:right="182"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8"/>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26" w:right="13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9" w:right="0"/>
              <w:jc w:val="left"/>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32" w:lineRule="exact" w:before="24"/>
              <w:ind w:left="209" w:right="134" w:hanging="90"/>
              <w:jc w:val="left"/>
              <w:rPr>
                <w:rFonts w:ascii="宋体" w:hAnsi="宋体" w:cs="宋体" w:eastAsia="宋体" w:hint="default"/>
                <w:sz w:val="18"/>
                <w:szCs w:val="18"/>
              </w:rPr>
            </w:pPr>
            <w:r>
              <w:rPr>
                <w:rFonts w:ascii="宋体" w:hAnsi="宋体" w:cs="宋体" w:eastAsia="宋体" w:hint="default"/>
                <w:sz w:val="18"/>
                <w:szCs w:val="18"/>
              </w:rPr>
              <w:t>关联方 担保</w:t>
            </w:r>
          </w:p>
        </w:tc>
      </w:tr>
      <w:tr>
        <w:trPr>
          <w:trHeight w:val="407" w:hRule="exact"/>
        </w:trPr>
        <w:tc>
          <w:tcPr>
            <w:tcW w:w="992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0"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担保额度</w:t>
            </w:r>
          </w:p>
          <w:p>
            <w:pPr>
              <w:pStyle w:val="TableParagraph"/>
              <w:spacing w:line="232" w:lineRule="exact" w:before="24"/>
              <w:ind w:left="147" w:right="145"/>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61" w:right="17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65"/>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31" w:right="13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32" w:lineRule="exact" w:before="24"/>
              <w:ind w:left="219" w:right="125" w:hanging="90"/>
              <w:jc w:val="left"/>
              <w:rPr>
                <w:rFonts w:ascii="宋体" w:hAnsi="宋体" w:cs="宋体" w:eastAsia="宋体" w:hint="default"/>
                <w:sz w:val="18"/>
                <w:szCs w:val="18"/>
              </w:rPr>
            </w:pPr>
            <w:r>
              <w:rPr>
                <w:rFonts w:ascii="宋体" w:hAnsi="宋体" w:cs="宋体" w:eastAsia="宋体" w:hint="default"/>
                <w:sz w:val="18"/>
                <w:szCs w:val="18"/>
              </w:rPr>
              <w:t>关联方 担保</w:t>
            </w:r>
          </w:p>
        </w:tc>
      </w:tr>
      <w:tr>
        <w:trPr>
          <w:trHeight w:val="476"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15,851.55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15,694.6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z w:val="18"/>
              </w:rPr>
              <w:t>914.79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5"/>
              <w:jc w:val="right"/>
              <w:rPr>
                <w:rFonts w:ascii="Times New Roman" w:hAnsi="Times New Roman" w:cs="Times New Roman" w:eastAsia="Times New Roman" w:hint="default"/>
                <w:sz w:val="18"/>
                <w:szCs w:val="18"/>
              </w:rPr>
            </w:pPr>
            <w:r>
              <w:rPr>
                <w:rFonts w:ascii="Times New Roman"/>
                <w:sz w:val="18"/>
              </w:rPr>
              <w:t>914.79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四年</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center"/>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26,136.8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27,308.05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8"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7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453" w:right="0"/>
              <w:jc w:val="left"/>
              <w:rPr>
                <w:rFonts w:ascii="Times New Roman" w:hAnsi="Times New Roman" w:cs="Times New Roman" w:eastAsia="Times New Roman" w:hint="default"/>
                <w:sz w:val="18"/>
                <w:szCs w:val="18"/>
              </w:rPr>
            </w:pPr>
            <w:r>
              <w:rPr>
                <w:rFonts w:ascii="Times New Roman"/>
                <w:sz w:val="18"/>
              </w:rPr>
              <w:t>15,851.55</w:t>
            </w:r>
          </w:p>
        </w:tc>
        <w:tc>
          <w:tcPr>
            <w:tcW w:w="21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报告期末对子公司实际</w:t>
            </w:r>
          </w:p>
          <w:p>
            <w:pPr>
              <w:pStyle w:val="TableParagraph"/>
              <w:spacing w:line="248" w:lineRule="exact"/>
              <w:ind w:left="102" w:right="0"/>
              <w:jc w:val="left"/>
              <w:rPr>
                <w:rFonts w:ascii="宋体" w:hAnsi="宋体" w:cs="宋体" w:eastAsia="宋体" w:hint="default"/>
                <w:sz w:val="18"/>
                <w:szCs w:val="18"/>
              </w:rPr>
            </w:pPr>
            <w:r>
              <w:rPr>
                <w:rFonts w:ascii="宋体" w:hAnsi="宋体" w:cs="宋体" w:eastAsia="宋体" w:hint="default"/>
                <w:sz w:val="18"/>
                <w:szCs w:val="18"/>
              </w:rPr>
              <w:t>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15,694.6</w:t>
            </w:r>
          </w:p>
        </w:tc>
      </w:tr>
      <w:tr>
        <w:trPr>
          <w:trHeight w:val="401" w:hRule="exact"/>
        </w:trPr>
        <w:tc>
          <w:tcPr>
            <w:tcW w:w="992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10"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47" w:right="0"/>
              <w:jc w:val="left"/>
              <w:rPr>
                <w:rFonts w:ascii="宋体" w:hAnsi="宋体" w:cs="宋体" w:eastAsia="宋体" w:hint="default"/>
                <w:sz w:val="18"/>
                <w:szCs w:val="18"/>
              </w:rPr>
            </w:pPr>
            <w:r>
              <w:rPr>
                <w:rFonts w:ascii="宋体" w:hAnsi="宋体" w:cs="宋体" w:eastAsia="宋体" w:hint="default"/>
                <w:sz w:val="18"/>
                <w:szCs w:val="18"/>
              </w:rPr>
              <w:t>担保额度</w:t>
            </w:r>
          </w:p>
          <w:p>
            <w:pPr>
              <w:pStyle w:val="TableParagraph"/>
              <w:spacing w:line="240" w:lineRule="auto"/>
              <w:ind w:left="147" w:right="145"/>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63" w:right="17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38" w:right="124"/>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33" w:right="0"/>
              <w:jc w:val="left"/>
              <w:rPr>
                <w:rFonts w:ascii="宋体" w:hAnsi="宋体" w:cs="宋体" w:eastAsia="宋体" w:hint="default"/>
                <w:sz w:val="18"/>
                <w:szCs w:val="18"/>
              </w:rPr>
            </w:pPr>
            <w:r>
              <w:rPr>
                <w:rFonts w:ascii="宋体" w:hAnsi="宋体" w:cs="宋体" w:eastAsia="宋体" w:hint="default"/>
                <w:sz w:val="18"/>
                <w:szCs w:val="18"/>
              </w:rPr>
              <w:t>是否为</w:t>
            </w:r>
          </w:p>
          <w:p>
            <w:pPr>
              <w:pStyle w:val="TableParagraph"/>
              <w:spacing w:line="240" w:lineRule="auto"/>
              <w:ind w:left="223" w:right="120" w:hanging="90"/>
              <w:jc w:val="left"/>
              <w:rPr>
                <w:rFonts w:ascii="宋体" w:hAnsi="宋体" w:cs="宋体" w:eastAsia="宋体" w:hint="default"/>
                <w:sz w:val="18"/>
                <w:szCs w:val="18"/>
              </w:rPr>
            </w:pPr>
            <w:r>
              <w:rPr>
                <w:rFonts w:ascii="宋体" w:hAnsi="宋体" w:cs="宋体" w:eastAsia="宋体" w:hint="default"/>
                <w:sz w:val="18"/>
                <w:szCs w:val="18"/>
              </w:rPr>
              <w:t>关联方 担保</w:t>
            </w:r>
          </w:p>
        </w:tc>
      </w:tr>
      <w:tr>
        <w:trPr>
          <w:trHeight w:val="403" w:hRule="exact"/>
        </w:trPr>
        <w:tc>
          <w:tcPr>
            <w:tcW w:w="992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481" w:hRule="exact"/>
        </w:trPr>
        <w:tc>
          <w:tcPr>
            <w:tcW w:w="27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453" w:right="0"/>
              <w:jc w:val="left"/>
              <w:rPr>
                <w:rFonts w:ascii="Times New Roman" w:hAnsi="Times New Roman" w:cs="Times New Roman" w:eastAsia="Times New Roman" w:hint="default"/>
                <w:sz w:val="18"/>
                <w:szCs w:val="18"/>
              </w:rPr>
            </w:pPr>
            <w:r>
              <w:rPr>
                <w:rFonts w:ascii="Times New Roman"/>
                <w:sz w:val="18"/>
              </w:rPr>
              <w:t>15,851.55</w:t>
            </w:r>
          </w:p>
        </w:tc>
        <w:tc>
          <w:tcPr>
            <w:tcW w:w="21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02" w:right="0"/>
              <w:jc w:val="left"/>
              <w:rPr>
                <w:rFonts w:ascii="宋体" w:hAnsi="宋体" w:cs="宋体" w:eastAsia="宋体" w:hint="default"/>
                <w:sz w:val="18"/>
                <w:szCs w:val="18"/>
              </w:rPr>
            </w:pPr>
            <w:r>
              <w:rPr>
                <w:rFonts w:ascii="宋体" w:hAnsi="宋体" w:cs="宋体" w:eastAsia="宋体" w:hint="default"/>
                <w:sz w:val="18"/>
                <w:szCs w:val="18"/>
              </w:rPr>
              <w:t>报告期末实际担保余额</w:t>
            </w:r>
          </w:p>
          <w:p>
            <w:pPr>
              <w:pStyle w:val="TableParagraph"/>
              <w:spacing w:line="248" w:lineRule="exact"/>
              <w:ind w:left="10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15,694.6</w:t>
            </w:r>
          </w:p>
        </w:tc>
      </w:tr>
      <w:tr>
        <w:trPr>
          <w:trHeight w:val="412" w:hRule="exact"/>
        </w:trPr>
        <w:tc>
          <w:tcPr>
            <w:tcW w:w="50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8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10.51%</w:t>
            </w:r>
          </w:p>
        </w:tc>
      </w:tr>
      <w:tr>
        <w:trPr>
          <w:trHeight w:val="403" w:hRule="exact"/>
        </w:trPr>
        <w:tc>
          <w:tcPr>
            <w:tcW w:w="992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77" w:hRule="exact"/>
        </w:trPr>
        <w:tc>
          <w:tcPr>
            <w:tcW w:w="50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对未到期担保，报告期内已发生担保责任或可能承担连带清偿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责任的情况说明（如有）</w:t>
            </w:r>
          </w:p>
        </w:tc>
        <w:tc>
          <w:tcPr>
            <w:tcW w:w="48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7" w:hRule="exact"/>
        </w:trPr>
        <w:tc>
          <w:tcPr>
            <w:tcW w:w="50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line="429" w:lineRule="auto" w:before="35"/>
        <w:ind w:left="694" w:right="7077" w:firstLine="2"/>
        <w:jc w:val="left"/>
        <w:rPr>
          <w:rFonts w:ascii="微软雅黑" w:hAnsi="微软雅黑" w:cs="微软雅黑" w:eastAsia="微软雅黑" w:hint="default"/>
          <w:sz w:val="21"/>
          <w:szCs w:val="21"/>
        </w:rPr>
      </w:pPr>
      <w:bookmarkStart w:name="（2）违规对外担保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b/>
          <w:bCs/>
          <w:w w:val="99"/>
          <w:sz w:val="21"/>
          <w:szCs w:val="21"/>
        </w:rPr>
        <w:t> </w:t>
      </w:r>
      <w:r>
        <w:rPr>
          <w:rFonts w:ascii="宋体" w:hAnsi="宋体" w:cs="宋体" w:eastAsia="宋体" w:hint="default"/>
          <w:sz w:val="21"/>
          <w:szCs w:val="21"/>
        </w:rPr>
        <w:t>公司报告期无违规对外担保情况。 </w:t>
      </w:r>
      <w:bookmarkStart w:name="3、委托他人进行现金资产管理情况" w:id="89"/>
      <w:bookmarkEnd w:id="89"/>
      <w:r>
        <w:rPr>
          <w:rFonts w:ascii="宋体" w:hAnsi="宋体" w:cs="宋体" w:eastAsia="宋体" w:hint="default"/>
          <w:sz w:val="21"/>
          <w:szCs w:val="21"/>
        </w:rPr>
      </w:r>
      <w:r>
        <w:rPr>
          <w:rFonts w:ascii="Times New Roman" w:hAnsi="Times New Roman" w:cs="Times New Roman" w:eastAsia="Times New Roman" w:hint="default"/>
          <w:sz w:val="21"/>
          <w:szCs w:val="21"/>
        </w:rPr>
        <w:t>3</w:t>
      </w:r>
      <w:r>
        <w:rPr>
          <w:rFonts w:ascii="微软雅黑" w:hAnsi="微软雅黑" w:cs="微软雅黑" w:eastAsia="微软雅黑" w:hint="default"/>
          <w:sz w:val="21"/>
          <w:szCs w:val="21"/>
        </w:rPr>
        <w:t>、委托他人进行现金资产管理情况</w:t>
      </w:r>
    </w:p>
    <w:p>
      <w:pPr>
        <w:spacing w:line="420" w:lineRule="auto" w:before="133"/>
        <w:ind w:left="694" w:right="7602" w:firstLine="2"/>
        <w:jc w:val="left"/>
        <w:rPr>
          <w:rFonts w:ascii="宋体" w:hAnsi="宋体" w:cs="宋体" w:eastAsia="宋体" w:hint="default"/>
          <w:sz w:val="21"/>
          <w:szCs w:val="21"/>
        </w:rPr>
      </w:pPr>
      <w:bookmarkStart w:name="（1）委托理财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公司报告期不存在委托理财。</w:t>
      </w:r>
    </w:p>
    <w:p>
      <w:pPr>
        <w:spacing w:line="429" w:lineRule="auto" w:before="76"/>
        <w:ind w:left="694" w:right="7077" w:firstLine="2"/>
        <w:jc w:val="left"/>
        <w:rPr>
          <w:rFonts w:ascii="微软雅黑" w:hAnsi="微软雅黑" w:cs="微软雅黑" w:eastAsia="微软雅黑" w:hint="default"/>
          <w:sz w:val="21"/>
          <w:szCs w:val="21"/>
        </w:rPr>
      </w:pPr>
      <w:bookmarkStart w:name="（2）委托贷款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公司报告期不存在委托贷款。 </w:t>
      </w:r>
      <w:bookmarkStart w:name="4、其他重大合同" w:id="92"/>
      <w:bookmarkEnd w:id="92"/>
      <w:r>
        <w:rPr>
          <w:rFonts w:ascii="宋体" w:hAnsi="宋体" w:cs="宋体" w:eastAsia="宋体" w:hint="default"/>
          <w:sz w:val="21"/>
          <w:szCs w:val="21"/>
        </w:rPr>
      </w:r>
      <w:r>
        <w:rPr>
          <w:rFonts w:ascii="Times New Roman" w:hAnsi="Times New Roman" w:cs="Times New Roman" w:eastAsia="Times New Roman" w:hint="default"/>
          <w:sz w:val="21"/>
          <w:szCs w:val="21"/>
        </w:rPr>
        <w:t>4</w:t>
      </w:r>
      <w:r>
        <w:rPr>
          <w:rFonts w:ascii="微软雅黑" w:hAnsi="微软雅黑" w:cs="微软雅黑" w:eastAsia="微软雅黑" w:hint="default"/>
          <w:sz w:val="21"/>
          <w:szCs w:val="21"/>
        </w:rPr>
        <w:t>、其他重大合同</w:t>
      </w:r>
    </w:p>
    <w:p>
      <w:pPr>
        <w:pStyle w:val="BodyText"/>
        <w:spacing w:line="240" w:lineRule="auto" w:before="133"/>
        <w:ind w:left="694" w:right="7077"/>
        <w:jc w:val="left"/>
      </w:pPr>
      <w:r>
        <w:rPr/>
        <w:t>公司报告期不存在其他重大合同。</w:t>
      </w:r>
    </w:p>
    <w:p>
      <w:pPr>
        <w:spacing w:after="0" w:line="240" w:lineRule="auto"/>
        <w:jc w:val="left"/>
        <w:sectPr>
          <w:pgSz w:w="11910" w:h="16840"/>
          <w:pgMar w:header="801" w:footer="1007" w:top="1100" w:bottom="1200" w:left="860" w:right="0"/>
        </w:sectPr>
      </w:pPr>
    </w:p>
    <w:p>
      <w:pPr>
        <w:spacing w:line="240" w:lineRule="auto" w:before="9"/>
        <w:rPr>
          <w:rFonts w:ascii="宋体" w:hAnsi="宋体" w:cs="宋体" w:eastAsia="宋体" w:hint="default"/>
          <w:sz w:val="26"/>
          <w:szCs w:val="26"/>
        </w:rPr>
      </w:pPr>
    </w:p>
    <w:p>
      <w:pPr>
        <w:pStyle w:val="Heading2"/>
        <w:spacing w:line="397" w:lineRule="exact"/>
        <w:ind w:left="154" w:right="1116"/>
        <w:jc w:val="left"/>
      </w:pPr>
      <w:bookmarkStart w:name="十七、社会责任情况" w:id="93"/>
      <w:bookmarkEnd w:id="93"/>
      <w:r>
        <w:rPr/>
      </w:r>
      <w:r>
        <w:rPr/>
        <w:t>十七、社会责任情况</w:t>
      </w:r>
    </w:p>
    <w:p>
      <w:pPr>
        <w:spacing w:line="240" w:lineRule="auto" w:before="9"/>
        <w:rPr>
          <w:rFonts w:ascii="微软雅黑" w:hAnsi="微软雅黑" w:cs="微软雅黑" w:eastAsia="微软雅黑" w:hint="default"/>
          <w:sz w:val="21"/>
          <w:szCs w:val="21"/>
        </w:rPr>
      </w:pPr>
    </w:p>
    <w:p>
      <w:pPr>
        <w:pStyle w:val="BodyText"/>
        <w:spacing w:line="240" w:lineRule="auto"/>
        <w:ind w:left="574" w:right="1116"/>
        <w:jc w:val="left"/>
        <w:rPr>
          <w:rFonts w:ascii="微软雅黑" w:hAnsi="微软雅黑" w:cs="微软雅黑" w:eastAsia="微软雅黑" w:hint="default"/>
        </w:rPr>
      </w:pPr>
      <w:bookmarkStart w:name="1、履行社会责任情况" w:id="94"/>
      <w:bookmarkEnd w:id="94"/>
      <w:r>
        <w:rPr/>
      </w:r>
      <w:r>
        <w:rPr>
          <w:rFonts w:ascii="Times New Roman" w:hAnsi="Times New Roman" w:cs="Times New Roman" w:eastAsia="Times New Roman" w:hint="default"/>
        </w:rPr>
        <w:t>1</w:t>
      </w:r>
      <w:r>
        <w:rPr>
          <w:rFonts w:ascii="微软雅黑" w:hAnsi="微软雅黑" w:cs="微软雅黑" w:eastAsia="微软雅黑" w:hint="default"/>
        </w:rPr>
        <w:t>、履行社会责任情况</w:t>
      </w:r>
    </w:p>
    <w:p>
      <w:pPr>
        <w:spacing w:line="240" w:lineRule="auto" w:before="9"/>
        <w:rPr>
          <w:rFonts w:ascii="微软雅黑" w:hAnsi="微软雅黑" w:cs="微软雅黑" w:eastAsia="微软雅黑" w:hint="default"/>
          <w:sz w:val="20"/>
          <w:szCs w:val="20"/>
        </w:rPr>
      </w:pPr>
    </w:p>
    <w:p>
      <w:pPr>
        <w:pStyle w:val="BodyText"/>
        <w:spacing w:line="297" w:lineRule="auto"/>
        <w:ind w:left="154" w:right="1116" w:firstLine="420"/>
        <w:jc w:val="left"/>
      </w:pPr>
      <w:r>
        <w:rPr>
          <w:spacing w:val="-1"/>
        </w:rPr>
        <w:t>公司积极履行企业应尽的义务，承担社会责任。公司在不断为股东创造价值的同时，也积极承担对员</w:t>
      </w:r>
      <w:r>
        <w:rPr/>
        <w:t> 工、客户、社会等其他利益相关者的责任。</w:t>
      </w:r>
    </w:p>
    <w:p>
      <w:pPr>
        <w:spacing w:line="240" w:lineRule="auto" w:before="0"/>
        <w:rPr>
          <w:rFonts w:ascii="宋体" w:hAnsi="宋体" w:cs="宋体" w:eastAsia="宋体" w:hint="default"/>
          <w:sz w:val="14"/>
          <w:szCs w:val="14"/>
        </w:rPr>
      </w:pPr>
    </w:p>
    <w:p>
      <w:pPr>
        <w:pStyle w:val="BodyText"/>
        <w:spacing w:line="297" w:lineRule="auto"/>
        <w:ind w:left="154" w:right="1017" w:firstLine="420"/>
        <w:jc w:val="left"/>
      </w:pPr>
      <w:r>
        <w:rPr>
          <w:spacing w:val="-3"/>
        </w:rPr>
        <w:t>公司严格按照《公司法》、《深圳证券交易所创业板股票上市规则》、《上市公司信息披露管理办法》</w:t>
      </w:r>
      <w:r>
        <w:rPr/>
        <w:t> 等相关法律法规 的要求，及时、准确、真实、完整地进行信息披露，通过投资者电话、电子邮箱、投资</w:t>
      </w:r>
      <w:r>
        <w:rPr>
          <w:spacing w:val="-38"/>
        </w:rPr>
        <w:t> </w:t>
      </w:r>
      <w:r>
        <w:rPr>
          <w:spacing w:val="-38"/>
        </w:rPr>
      </w:r>
      <w:r>
        <w:rPr/>
        <w:t>者关系互动平台和实地调研等多种方式与投资者进行沟通交流，提高了公司的透明度和诚信度。公司非常</w:t>
      </w:r>
      <w:r>
        <w:rPr/>
        <w:t> 重视对投资者的合理回报，制定了相对稳定的利润分配政策和分红方案以回报股东。</w:t>
      </w:r>
    </w:p>
    <w:p>
      <w:pPr>
        <w:spacing w:line="240" w:lineRule="auto" w:before="0"/>
        <w:rPr>
          <w:rFonts w:ascii="宋体" w:hAnsi="宋体" w:cs="宋体" w:eastAsia="宋体" w:hint="default"/>
          <w:sz w:val="14"/>
          <w:szCs w:val="14"/>
        </w:rPr>
      </w:pPr>
    </w:p>
    <w:p>
      <w:pPr>
        <w:pStyle w:val="BodyText"/>
        <w:spacing w:line="297" w:lineRule="auto"/>
        <w:ind w:left="154" w:right="1132" w:firstLine="420"/>
        <w:jc w:val="both"/>
      </w:pPr>
      <w:r>
        <w:rPr/>
        <w:t>公司一直坚持以人为本的人才理念，实施企业人才战略，严格遵守《劳动法》、《劳动合同法》</w:t>
      </w:r>
      <w:r>
        <w:rPr>
          <w:spacing w:val="50"/>
        </w:rPr>
        <w:t> </w:t>
      </w:r>
      <w:r>
        <w:rPr/>
        <w:t>等</w:t>
      </w:r>
      <w:r>
        <w:rPr/>
        <w:t> </w:t>
      </w:r>
      <w:r>
        <w:rPr>
          <w:spacing w:val="-1"/>
        </w:rPr>
        <w:t>相关法律法规，尊重和维护员工的个人权益，切实关注员工健康、安全和满意度；通过知识技能的理论培</w:t>
      </w:r>
      <w:r>
        <w:rPr>
          <w:spacing w:val="-86"/>
        </w:rPr>
        <w:t> </w:t>
      </w:r>
      <w:r>
        <w:rPr>
          <w:spacing w:val="-86"/>
        </w:rPr>
      </w:r>
      <w:r>
        <w:rPr/>
        <w:t>训及实践操作技能培训等方式使员工得到切实的提高和发展，维护员工权益。</w:t>
      </w:r>
    </w:p>
    <w:p>
      <w:pPr>
        <w:spacing w:line="240" w:lineRule="auto" w:before="0"/>
        <w:rPr>
          <w:rFonts w:ascii="宋体" w:hAnsi="宋体" w:cs="宋体" w:eastAsia="宋体" w:hint="default"/>
          <w:sz w:val="14"/>
          <w:szCs w:val="14"/>
        </w:rPr>
      </w:pPr>
    </w:p>
    <w:p>
      <w:pPr>
        <w:pStyle w:val="BodyText"/>
        <w:spacing w:line="297" w:lineRule="auto"/>
        <w:ind w:left="154" w:right="1116" w:firstLine="420"/>
        <w:jc w:val="left"/>
      </w:pPr>
      <w:r>
        <w:rPr>
          <w:spacing w:val="-1"/>
        </w:rPr>
        <w:t>公司始终将依法经营作为公司运行的基本原则，注重企业经济效益与社会效益的同步共赢。公司严格</w:t>
      </w:r>
      <w:r>
        <w:rPr/>
        <w:t> 遵守国家法律、法规、政策的规定，始终依法经营，积极纳税，发展就业岗位，支持地方经济的发展。</w:t>
      </w:r>
    </w:p>
    <w:p>
      <w:pPr>
        <w:pStyle w:val="BodyText"/>
        <w:spacing w:line="240" w:lineRule="auto" w:before="175"/>
        <w:ind w:left="574" w:right="1116"/>
        <w:jc w:val="left"/>
        <w:rPr>
          <w:rFonts w:ascii="微软雅黑" w:hAnsi="微软雅黑" w:cs="微软雅黑" w:eastAsia="微软雅黑" w:hint="default"/>
        </w:rPr>
      </w:pPr>
      <w:bookmarkStart w:name="2、履行精准扶贫社会责任情况" w:id="95"/>
      <w:bookmarkEnd w:id="95"/>
      <w:r>
        <w:rPr/>
      </w:r>
      <w:r>
        <w:rPr>
          <w:rFonts w:ascii="Times New Roman" w:hAnsi="Times New Roman" w:cs="Times New Roman" w:eastAsia="Times New Roman" w:hint="default"/>
        </w:rPr>
        <w:t>2</w:t>
      </w:r>
      <w:r>
        <w:rPr>
          <w:rFonts w:ascii="微软雅黑" w:hAnsi="微软雅黑" w:cs="微软雅黑" w:eastAsia="微软雅黑" w:hint="default"/>
        </w:rPr>
        <w:t>、履行精准扶贫社会责任情况</w:t>
      </w:r>
    </w:p>
    <w:p>
      <w:pPr>
        <w:spacing w:line="240" w:lineRule="auto" w:before="8"/>
        <w:rPr>
          <w:rFonts w:ascii="微软雅黑" w:hAnsi="微软雅黑" w:cs="微软雅黑" w:eastAsia="微软雅黑" w:hint="default"/>
          <w:sz w:val="20"/>
          <w:szCs w:val="20"/>
        </w:rPr>
      </w:pPr>
    </w:p>
    <w:p>
      <w:pPr>
        <w:pStyle w:val="Heading3"/>
        <w:spacing w:line="240" w:lineRule="auto"/>
        <w:ind w:left="576" w:right="1116"/>
        <w:jc w:val="left"/>
        <w:rPr>
          <w:b w:val="0"/>
          <w:bCs w:val="0"/>
        </w:rPr>
      </w:pPr>
      <w:bookmarkStart w:name="精准扶贫规划" w:id="96"/>
      <w:bookmarkEnd w:id="96"/>
      <w:r>
        <w:rPr>
          <w:b w:val="0"/>
          <w:bCs w:val="0"/>
        </w:rPr>
      </w:r>
      <w:r>
        <w:rPr/>
        <w:t>精准扶贫规划</w:t>
      </w:r>
      <w:r>
        <w:rPr>
          <w:b w:val="0"/>
          <w:bCs w:val="0"/>
        </w:rPr>
      </w:r>
    </w:p>
    <w:p>
      <w:pPr>
        <w:spacing w:line="240" w:lineRule="auto" w:before="11"/>
        <w:rPr>
          <w:rFonts w:ascii="宋体" w:hAnsi="宋体" w:cs="宋体" w:eastAsia="宋体" w:hint="default"/>
          <w:b/>
          <w:bCs/>
          <w:sz w:val="17"/>
          <w:szCs w:val="17"/>
        </w:rPr>
      </w:pPr>
    </w:p>
    <w:p>
      <w:pPr>
        <w:pStyle w:val="BodyText"/>
        <w:spacing w:line="240" w:lineRule="auto"/>
        <w:ind w:left="574"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33"/>
        </w:rPr>
        <w:t> </w:t>
      </w:r>
      <w:r>
        <w:rPr/>
        <w:t>年度公司为易县紫荆关镇小学及幼儿园捐赠价值</w:t>
      </w:r>
      <w:r>
        <w:rPr>
          <w:spacing w:val="-34"/>
        </w:rPr>
        <w:t> </w:t>
      </w:r>
      <w:r>
        <w:rPr>
          <w:rFonts w:ascii="宋体" w:hAnsi="宋体" w:cs="宋体" w:eastAsia="宋体" w:hint="default"/>
        </w:rPr>
        <w:t>8000</w:t>
      </w:r>
      <w:r>
        <w:rPr>
          <w:rFonts w:ascii="宋体" w:hAnsi="宋体" w:cs="宋体" w:eastAsia="宋体" w:hint="default"/>
          <w:spacing w:val="-34"/>
        </w:rPr>
        <w:t> </w:t>
      </w:r>
      <w:r>
        <w:rPr/>
        <w:t>元的书包和价值</w:t>
      </w:r>
      <w:r>
        <w:rPr>
          <w:spacing w:val="-34"/>
        </w:rPr>
        <w:t> </w:t>
      </w:r>
      <w:r>
        <w:rPr>
          <w:rFonts w:ascii="宋体" w:hAnsi="宋体" w:cs="宋体" w:eastAsia="宋体" w:hint="default"/>
        </w:rPr>
        <w:t>3000</w:t>
      </w:r>
      <w:r>
        <w:rPr>
          <w:rFonts w:ascii="宋体" w:hAnsi="宋体" w:cs="宋体" w:eastAsia="宋体" w:hint="default"/>
          <w:spacing w:val="-33"/>
        </w:rPr>
        <w:t> </w:t>
      </w:r>
      <w:r>
        <w:rPr/>
        <w:t>元图书。</w:t>
      </w:r>
      <w:r>
        <w:rPr>
          <w:rFonts w:ascii="宋体" w:hAnsi="宋体" w:cs="宋体" w:eastAsia="宋体" w:hint="default"/>
        </w:rPr>
        <w:t>2019</w:t>
      </w:r>
      <w:r>
        <w:rPr>
          <w:rFonts w:ascii="宋体" w:hAnsi="宋体" w:cs="宋体" w:eastAsia="宋体" w:hint="default"/>
          <w:spacing w:val="-34"/>
        </w:rPr>
        <w:t> </w:t>
      </w:r>
      <w:r>
        <w:rPr/>
        <w:t>年</w:t>
      </w:r>
      <w:r>
        <w:rPr>
          <w:spacing w:val="-34"/>
        </w:rPr>
        <w:t> </w:t>
      </w:r>
      <w:r>
        <w:rPr>
          <w:rFonts w:ascii="宋体" w:hAnsi="宋体" w:cs="宋体" w:eastAsia="宋体" w:hint="default"/>
        </w:rPr>
        <w:t>3</w:t>
      </w:r>
    </w:p>
    <w:p>
      <w:pPr>
        <w:pStyle w:val="BodyText"/>
        <w:spacing w:line="297" w:lineRule="auto" w:before="66"/>
        <w:ind w:left="154" w:right="1115"/>
        <w:jc w:val="left"/>
      </w:pPr>
      <w:r>
        <w:rPr/>
        <w:t>月公司参与公益帮扶贫困村“双基”建设项目，捐助</w:t>
      </w:r>
      <w:r>
        <w:rPr>
          <w:spacing w:val="-64"/>
        </w:rPr>
        <w:t> </w:t>
      </w:r>
      <w:r>
        <w:rPr>
          <w:rFonts w:ascii="宋体" w:hAnsi="宋体" w:cs="宋体" w:eastAsia="宋体" w:hint="default"/>
        </w:rPr>
        <w:t>8</w:t>
      </w:r>
      <w:r>
        <w:rPr>
          <w:rFonts w:ascii="宋体" w:hAnsi="宋体" w:cs="宋体" w:eastAsia="宋体" w:hint="default"/>
          <w:spacing w:val="-64"/>
        </w:rPr>
        <w:t> </w:t>
      </w:r>
      <w:r>
        <w:rPr/>
        <w:t>万元，用于支持蔚县许家营村新建文化广场。后续 暂无精准扶贫计划。</w:t>
      </w:r>
    </w:p>
    <w:p>
      <w:pPr>
        <w:pStyle w:val="BodyText"/>
        <w:spacing w:line="240" w:lineRule="auto" w:before="175"/>
        <w:ind w:left="574" w:right="1116"/>
        <w:jc w:val="left"/>
        <w:rPr>
          <w:rFonts w:ascii="微软雅黑" w:hAnsi="微软雅黑" w:cs="微软雅黑" w:eastAsia="微软雅黑" w:hint="default"/>
        </w:rPr>
      </w:pPr>
      <w:bookmarkStart w:name="3、环境保护相关的情况" w:id="97"/>
      <w:bookmarkEnd w:id="97"/>
      <w:r>
        <w:rPr/>
      </w:r>
      <w:r>
        <w:rPr>
          <w:rFonts w:ascii="Times New Roman" w:hAnsi="Times New Roman" w:cs="Times New Roman" w:eastAsia="Times New Roman" w:hint="default"/>
        </w:rPr>
        <w:t>3</w:t>
      </w:r>
      <w:r>
        <w:rPr>
          <w:rFonts w:ascii="微软雅黑" w:hAnsi="微软雅黑" w:cs="微软雅黑" w:eastAsia="微软雅黑" w:hint="default"/>
        </w:rPr>
        <w:t>、环境保护相关的情况</w:t>
      </w:r>
    </w:p>
    <w:p>
      <w:pPr>
        <w:spacing w:line="240" w:lineRule="auto" w:before="8"/>
        <w:rPr>
          <w:rFonts w:ascii="微软雅黑" w:hAnsi="微软雅黑" w:cs="微软雅黑" w:eastAsia="微软雅黑" w:hint="default"/>
          <w:sz w:val="20"/>
          <w:szCs w:val="20"/>
        </w:rPr>
      </w:pPr>
    </w:p>
    <w:p>
      <w:pPr>
        <w:pStyle w:val="BodyText"/>
        <w:spacing w:line="240" w:lineRule="auto"/>
        <w:ind w:left="574" w:right="1116"/>
        <w:jc w:val="left"/>
      </w:pPr>
      <w:r>
        <w:rPr/>
        <w:t>上市公司及其子公司不属于环境保护部门公布的重点排污单位。</w:t>
      </w:r>
    </w:p>
    <w:p>
      <w:pPr>
        <w:spacing w:line="240" w:lineRule="auto" w:before="8"/>
        <w:rPr>
          <w:rFonts w:ascii="宋体" w:hAnsi="宋体" w:cs="宋体" w:eastAsia="宋体" w:hint="default"/>
          <w:sz w:val="21"/>
          <w:szCs w:val="21"/>
        </w:rPr>
      </w:pPr>
    </w:p>
    <w:p>
      <w:pPr>
        <w:pStyle w:val="Heading2"/>
        <w:spacing w:line="240" w:lineRule="auto"/>
        <w:ind w:left="154" w:right="1116"/>
        <w:jc w:val="left"/>
      </w:pPr>
      <w:bookmarkStart w:name="十八、其他重大事项的说明" w:id="98"/>
      <w:bookmarkEnd w:id="98"/>
      <w:r>
        <w:rPr/>
      </w:r>
      <w:r>
        <w:rPr/>
        <w:t>十八、其他重大事项的说明</w:t>
      </w:r>
    </w:p>
    <w:p>
      <w:pPr>
        <w:spacing w:line="240" w:lineRule="auto" w:before="13"/>
        <w:rPr>
          <w:rFonts w:ascii="微软雅黑" w:hAnsi="微软雅黑" w:cs="微软雅黑" w:eastAsia="微软雅黑" w:hint="default"/>
          <w:sz w:val="24"/>
          <w:szCs w:val="24"/>
        </w:rPr>
      </w:pPr>
    </w:p>
    <w:p>
      <w:pPr>
        <w:pStyle w:val="BodyText"/>
        <w:spacing w:line="240" w:lineRule="auto"/>
        <w:ind w:left="574" w:right="1116"/>
        <w:jc w:val="left"/>
      </w:pPr>
      <w:r>
        <w:rPr/>
        <w:t>公司报告期不存在需要说明的其他重大事项。</w:t>
      </w:r>
    </w:p>
    <w:p>
      <w:pPr>
        <w:spacing w:line="240" w:lineRule="auto" w:before="8"/>
        <w:rPr>
          <w:rFonts w:ascii="宋体" w:hAnsi="宋体" w:cs="宋体" w:eastAsia="宋体" w:hint="default"/>
          <w:sz w:val="21"/>
          <w:szCs w:val="21"/>
        </w:rPr>
      </w:pPr>
    </w:p>
    <w:p>
      <w:pPr>
        <w:pStyle w:val="Heading2"/>
        <w:spacing w:line="240" w:lineRule="auto"/>
        <w:ind w:left="154" w:right="1116"/>
        <w:jc w:val="left"/>
      </w:pPr>
      <w:bookmarkStart w:name="十九、公司子公司重大事项" w:id="99"/>
      <w:bookmarkEnd w:id="99"/>
      <w:r>
        <w:rPr/>
      </w:r>
      <w:r>
        <w:rPr/>
        <w:t>十九、公司子公司重大事项</w:t>
      </w:r>
    </w:p>
    <w:p>
      <w:pPr>
        <w:spacing w:line="240" w:lineRule="auto" w:before="13"/>
        <w:rPr>
          <w:rFonts w:ascii="微软雅黑" w:hAnsi="微软雅黑" w:cs="微软雅黑" w:eastAsia="微软雅黑" w:hint="default"/>
          <w:sz w:val="24"/>
          <w:szCs w:val="24"/>
        </w:rPr>
      </w:pPr>
    </w:p>
    <w:p>
      <w:pPr>
        <w:pStyle w:val="BodyText"/>
        <w:spacing w:line="240" w:lineRule="auto"/>
        <w:ind w:left="57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01" w:footer="1007"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441" w:lineRule="exact"/>
        <w:ind w:left="3133" w:right="0"/>
        <w:jc w:val="left"/>
        <w:rPr>
          <w:b w:val="0"/>
          <w:bCs w:val="0"/>
        </w:rPr>
      </w:pPr>
      <w:bookmarkStart w:name="第六节 股份变动及股东情况" w:id="100"/>
      <w:bookmarkEnd w:id="100"/>
      <w:r>
        <w:rPr>
          <w:b w:val="0"/>
          <w:bCs w:val="0"/>
        </w:rPr>
      </w:r>
      <w:bookmarkStart w:name="_bookmark4" w:id="101"/>
      <w:bookmarkEnd w:id="101"/>
      <w:r>
        <w:rPr>
          <w:b w:val="0"/>
          <w:bCs w:val="0"/>
        </w:rPr>
      </w:r>
      <w:r>
        <w:rPr/>
        <w:t>第六节</w:t>
      </w:r>
      <w:r>
        <w:rPr>
          <w:spacing w:val="64"/>
        </w:rPr>
        <w:t> </w:t>
      </w:r>
      <w:r>
        <w:rPr/>
        <w:t>股份变动及股东情况</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1"/>
        <w:rPr>
          <w:rFonts w:ascii="微软雅黑" w:hAnsi="微软雅黑" w:cs="微软雅黑" w:eastAsia="微软雅黑" w:hint="default"/>
          <w:b/>
          <w:bCs/>
          <w:sz w:val="29"/>
          <w:szCs w:val="29"/>
        </w:rPr>
      </w:pPr>
    </w:p>
    <w:p>
      <w:pPr>
        <w:pStyle w:val="Heading2"/>
        <w:spacing w:line="397" w:lineRule="exact"/>
        <w:ind w:left="294" w:right="8512"/>
        <w:jc w:val="center"/>
      </w:pPr>
      <w:bookmarkStart w:name="一、股份变动情况" w:id="102"/>
      <w:bookmarkEnd w:id="102"/>
      <w:r>
        <w:rPr/>
      </w:r>
      <w:r>
        <w:rPr/>
        <w:t>一、股份变动情况</w:t>
      </w:r>
    </w:p>
    <w:p>
      <w:pPr>
        <w:spacing w:line="240" w:lineRule="auto" w:before="10"/>
        <w:rPr>
          <w:rFonts w:ascii="微软雅黑" w:hAnsi="微软雅黑" w:cs="微软雅黑" w:eastAsia="微软雅黑" w:hint="default"/>
          <w:sz w:val="21"/>
          <w:szCs w:val="21"/>
        </w:rPr>
      </w:pPr>
    </w:p>
    <w:p>
      <w:pPr>
        <w:pStyle w:val="BodyText"/>
        <w:spacing w:line="240" w:lineRule="auto"/>
        <w:ind w:left="294" w:right="8335"/>
        <w:jc w:val="center"/>
        <w:rPr>
          <w:rFonts w:ascii="微软雅黑" w:hAnsi="微软雅黑" w:cs="微软雅黑" w:eastAsia="微软雅黑" w:hint="default"/>
        </w:rPr>
      </w:pPr>
      <w:bookmarkStart w:name="1、股份变动情况" w:id="103"/>
      <w:bookmarkEnd w:id="103"/>
      <w:r>
        <w:rPr/>
      </w:r>
      <w:r>
        <w:rPr>
          <w:rFonts w:ascii="Times New Roman" w:hAnsi="Times New Roman" w:cs="Times New Roman" w:eastAsia="Times New Roman" w:hint="default"/>
        </w:rPr>
        <w:t>1</w:t>
      </w:r>
      <w:r>
        <w:rPr>
          <w:rFonts w:ascii="微软雅黑" w:hAnsi="微软雅黑" w:cs="微软雅黑" w:eastAsia="微软雅黑" w:hint="default"/>
        </w:rPr>
        <w:t>、股份变动情况</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016"/>
        <w:gridCol w:w="1116"/>
        <w:gridCol w:w="862"/>
        <w:gridCol w:w="647"/>
        <w:gridCol w:w="596"/>
        <w:gridCol w:w="646"/>
        <w:gridCol w:w="1086"/>
        <w:gridCol w:w="1089"/>
        <w:gridCol w:w="1117"/>
        <w:gridCol w:w="862"/>
      </w:tblGrid>
      <w:tr>
        <w:trPr>
          <w:trHeight w:val="407" w:hRule="exact"/>
        </w:trPr>
        <w:tc>
          <w:tcPr>
            <w:tcW w:w="2016" w:type="dxa"/>
            <w:vMerge w:val="restart"/>
            <w:tcBorders>
              <w:top w:val="single" w:sz="4" w:space="0" w:color="000000"/>
              <w:left w:val="single" w:sz="4" w:space="0" w:color="000000"/>
              <w:right w:val="single" w:sz="4" w:space="0" w:color="000000"/>
            </w:tcBorders>
            <w:shd w:val="clear" w:color="auto" w:fill="D2D2D2"/>
          </w:tcPr>
          <w:p>
            <w:pP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0" w:hRule="exact"/>
        </w:trPr>
        <w:tc>
          <w:tcPr>
            <w:tcW w:w="2016" w:type="dxa"/>
            <w:vMerge/>
            <w:tcBorders>
              <w:left w:val="single" w:sz="4" w:space="0" w:color="000000"/>
              <w:bottom w:val="single" w:sz="4" w:space="0" w:color="000000"/>
              <w:right w:val="single" w:sz="4" w:space="0" w:color="000000"/>
            </w:tcBorders>
            <w:shd w:val="clear" w:color="auto" w:fill="D2D2D2"/>
          </w:tcPr>
          <w:p>
            <w:pP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38" w:right="13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40" w:lineRule="auto"/>
              <w:ind w:left="226" w:right="137" w:hanging="90"/>
              <w:jc w:val="left"/>
              <w:rPr>
                <w:rFonts w:ascii="宋体" w:hAnsi="宋体" w:cs="宋体" w:eastAsia="宋体" w:hint="default"/>
                <w:sz w:val="18"/>
                <w:szCs w:val="18"/>
              </w:rPr>
            </w:pPr>
            <w:r>
              <w:rPr>
                <w:rFonts w:ascii="宋体" w:hAnsi="宋体" w:cs="宋体" w:eastAsia="宋体" w:hint="default"/>
                <w:sz w:val="18"/>
                <w:szCs w:val="18"/>
              </w:rPr>
              <w:t>金转 股</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8"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180,817,740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44.77%</w:t>
            </w:r>
          </w:p>
        </w:tc>
        <w:tc>
          <w:tcPr>
            <w:tcW w:w="647"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-45,119,660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-45,119,660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135,698,080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33.66%</w:t>
            </w:r>
          </w:p>
        </w:tc>
      </w:tr>
      <w:tr>
        <w:trPr>
          <w:trHeight w:val="40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177,718,145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44.00%</w:t>
            </w:r>
          </w:p>
        </w:tc>
        <w:tc>
          <w:tcPr>
            <w:tcW w:w="647"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-42,020,065</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-42,020,065</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135,698,080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33.66%</w:t>
            </w:r>
          </w:p>
        </w:tc>
      </w:tr>
      <w:tr>
        <w:trPr>
          <w:trHeight w:val="40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2,349,381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0.58%</w:t>
            </w:r>
          </w:p>
        </w:tc>
        <w:tc>
          <w:tcPr>
            <w:tcW w:w="647"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-2,349,381</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-2,349,381</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175,368,764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43.42%</w:t>
            </w:r>
          </w:p>
        </w:tc>
        <w:tc>
          <w:tcPr>
            <w:tcW w:w="647"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-39,670,684</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-39,670,684</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135,698,080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33.66%</w:t>
            </w:r>
          </w:p>
        </w:tc>
      </w:tr>
      <w:tr>
        <w:trPr>
          <w:trHeight w:val="40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3,099,595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0.77%</w:t>
            </w:r>
          </w:p>
        </w:tc>
        <w:tc>
          <w:tcPr>
            <w:tcW w:w="647"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-3,099,595</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-3,099,595</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3,099,595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0.77%</w:t>
            </w:r>
          </w:p>
        </w:tc>
        <w:tc>
          <w:tcPr>
            <w:tcW w:w="647"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-3,099,595</w:t>
            </w:r>
            <w:r>
              <w:rPr>
                <w:rFonts w:ascii="Times New Roman"/>
                <w:sz w:val="18"/>
              </w:rPr>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-3,099,595</w:t>
            </w:r>
            <w:r>
              <w:rPr>
                <w:rFonts w:ascii="Times New Roman"/>
                <w:sz w:val="18"/>
              </w:rPr>
            </w:r>
          </w:p>
        </w:tc>
        <w:tc>
          <w:tcPr>
            <w:tcW w:w="111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223,060,882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55.23%</w:t>
            </w:r>
          </w:p>
        </w:tc>
        <w:tc>
          <w:tcPr>
            <w:tcW w:w="647"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44,331,885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44,331,885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267,392,767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66.34%</w:t>
            </w:r>
          </w:p>
        </w:tc>
      </w:tr>
      <w:tr>
        <w:trPr>
          <w:trHeight w:val="40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223,060,882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55.23%</w:t>
            </w:r>
          </w:p>
        </w:tc>
        <w:tc>
          <w:tcPr>
            <w:tcW w:w="647"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44,331,885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44,331,885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267,392,767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66.34%</w:t>
            </w:r>
          </w:p>
        </w:tc>
      </w:tr>
      <w:tr>
        <w:trPr>
          <w:trHeight w:val="407" w:hRule="exact"/>
        </w:trPr>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403,878,622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100.00%</w:t>
            </w:r>
          </w:p>
        </w:tc>
        <w:tc>
          <w:tcPr>
            <w:tcW w:w="647" w:type="dxa"/>
            <w:tcBorders>
              <w:top w:val="single" w:sz="4" w:space="0" w:color="000000"/>
              <w:left w:val="single" w:sz="4" w:space="0" w:color="000000"/>
              <w:bottom w:val="single" w:sz="4" w:space="0" w:color="000000"/>
              <w:right w:val="single" w:sz="4" w:space="0" w:color="000000"/>
            </w:tcBorders>
          </w:tcPr>
          <w:p>
            <w:pPr/>
          </w:p>
        </w:tc>
        <w:tc>
          <w:tcPr>
            <w:tcW w:w="59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-787,775</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-787,775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403,090,847</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7"/>
          <w:szCs w:val="7"/>
        </w:rPr>
      </w:pPr>
    </w:p>
    <w:p>
      <w:pPr>
        <w:pStyle w:val="BodyText"/>
        <w:spacing w:line="240" w:lineRule="auto" w:before="35"/>
        <w:ind w:left="734" w:right="0"/>
        <w:jc w:val="left"/>
      </w:pPr>
      <w:r>
        <w:rPr/>
        <w:t>股份变动的原因</w:t>
      </w:r>
    </w:p>
    <w:p>
      <w:pPr>
        <w:spacing w:line="240" w:lineRule="auto" w:before="12"/>
        <w:rPr>
          <w:rFonts w:ascii="宋体" w:hAnsi="宋体" w:cs="宋体" w:eastAsia="宋体" w:hint="default"/>
          <w:sz w:val="17"/>
          <w:szCs w:val="17"/>
        </w:rPr>
      </w:pPr>
    </w:p>
    <w:p>
      <w:pPr>
        <w:pStyle w:val="BodyText"/>
        <w:spacing w:line="297" w:lineRule="auto"/>
        <w:ind w:left="314" w:right="1131" w:firstLine="420"/>
        <w:jc w:val="both"/>
      </w:pPr>
      <w:r>
        <w:rPr/>
        <w:t>公司于</w:t>
      </w:r>
      <w:r>
        <w:rPr>
          <w:spacing w:val="-57"/>
        </w:rPr>
        <w:t> </w:t>
      </w:r>
      <w:r>
        <w:rPr>
          <w:rFonts w:ascii="宋体" w:hAnsi="宋体" w:cs="宋体" w:eastAsia="宋体" w:hint="default"/>
        </w:rPr>
        <w:t>2018</w:t>
      </w:r>
      <w:r>
        <w:rPr>
          <w:rFonts w:ascii="宋体" w:hAnsi="宋体" w:cs="宋体" w:eastAsia="宋体" w:hint="default"/>
          <w:spacing w:val="-58"/>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8"/>
        </w:rPr>
        <w:t> </w:t>
      </w:r>
      <w:r>
        <w:rPr>
          <w:rFonts w:ascii="宋体" w:hAnsi="宋体" w:cs="宋体" w:eastAsia="宋体" w:hint="default"/>
        </w:rPr>
        <w:t>25</w:t>
      </w:r>
      <w:r>
        <w:rPr>
          <w:rFonts w:ascii="宋体" w:hAnsi="宋体" w:cs="宋体" w:eastAsia="宋体" w:hint="default"/>
          <w:spacing w:val="-57"/>
        </w:rPr>
        <w:t> </w:t>
      </w:r>
      <w:r>
        <w:rPr/>
        <w:t>日召开的第二届董事会第三十次会议审议通过了《关于回购注销离职股权激励 </w:t>
      </w:r>
      <w:r>
        <w:rPr>
          <w:spacing w:val="-1"/>
        </w:rPr>
        <w:t>对象所持已获授但尚未解锁的限制性股票的议案》，回购注销限制性股票激励计划原激励对象已获授但尚</w:t>
      </w:r>
      <w:r>
        <w:rPr>
          <w:spacing w:val="-81"/>
        </w:rPr>
        <w:t> </w:t>
      </w:r>
      <w:r>
        <w:rPr>
          <w:spacing w:val="-81"/>
        </w:rPr>
      </w:r>
      <w:r>
        <w:rPr/>
        <w:t>未解锁的限制性股票</w:t>
      </w:r>
      <w:r>
        <w:rPr>
          <w:spacing w:val="-52"/>
        </w:rPr>
        <w:t> </w:t>
      </w:r>
      <w:r>
        <w:rPr>
          <w:rFonts w:ascii="宋体" w:hAnsi="宋体" w:cs="宋体" w:eastAsia="宋体" w:hint="default"/>
        </w:rPr>
        <w:t>257,384</w:t>
      </w:r>
      <w:r>
        <w:rPr>
          <w:rFonts w:ascii="宋体" w:hAnsi="宋体" w:cs="宋体" w:eastAsia="宋体" w:hint="default"/>
          <w:spacing w:val="-52"/>
        </w:rPr>
        <w:t> </w:t>
      </w:r>
      <w:r>
        <w:rPr>
          <w:spacing w:val="-6"/>
        </w:rPr>
        <w:t>股。公司于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24</w:t>
      </w:r>
      <w:r>
        <w:rPr>
          <w:rFonts w:ascii="宋体" w:hAnsi="宋体" w:cs="宋体" w:eastAsia="宋体" w:hint="default"/>
          <w:spacing w:val="-52"/>
        </w:rPr>
        <w:t> </w:t>
      </w:r>
      <w:r>
        <w:rPr/>
        <w:t>日在中国证券登记结算有限责任公司深圳分公司</w:t>
      </w:r>
    </w:p>
    <w:p>
      <w:pPr>
        <w:pStyle w:val="BodyText"/>
        <w:spacing w:line="240" w:lineRule="auto" w:before="15"/>
        <w:ind w:left="314" w:right="0"/>
        <w:jc w:val="left"/>
      </w:pPr>
      <w:r>
        <w:rPr/>
        <w:t>完成回购注销。本次回购注销完成后，公司股份总数由</w:t>
      </w:r>
      <w:r>
        <w:rPr>
          <w:spacing w:val="-53"/>
        </w:rPr>
        <w:t> </w:t>
      </w:r>
      <w:r>
        <w:rPr>
          <w:rFonts w:ascii="宋体" w:hAnsi="宋体" w:cs="宋体" w:eastAsia="宋体" w:hint="default"/>
        </w:rPr>
        <w:t>403,878,622</w:t>
      </w:r>
      <w:r>
        <w:rPr>
          <w:rFonts w:ascii="宋体" w:hAnsi="宋体" w:cs="宋体" w:eastAsia="宋体" w:hint="default"/>
          <w:spacing w:val="-53"/>
        </w:rPr>
        <w:t> </w:t>
      </w:r>
      <w:r>
        <w:rPr/>
        <w:t>股变更为</w:t>
      </w:r>
      <w:r>
        <w:rPr>
          <w:spacing w:val="-53"/>
        </w:rPr>
        <w:t> </w:t>
      </w:r>
      <w:r>
        <w:rPr>
          <w:rFonts w:ascii="宋体" w:hAnsi="宋体" w:cs="宋体" w:eastAsia="宋体" w:hint="default"/>
        </w:rPr>
        <w:t>403,621,238</w:t>
      </w:r>
      <w:r>
        <w:rPr>
          <w:rFonts w:ascii="宋体" w:hAnsi="宋体" w:cs="宋体" w:eastAsia="宋体" w:hint="default"/>
          <w:spacing w:val="-53"/>
        </w:rPr>
        <w:t> </w:t>
      </w:r>
      <w:r>
        <w:rPr/>
        <w:t>股。</w:t>
      </w:r>
    </w:p>
    <w:p>
      <w:pPr>
        <w:spacing w:line="240" w:lineRule="auto" w:before="12"/>
        <w:rPr>
          <w:rFonts w:ascii="宋体" w:hAnsi="宋体" w:cs="宋体" w:eastAsia="宋体" w:hint="default"/>
          <w:sz w:val="17"/>
          <w:szCs w:val="17"/>
        </w:rPr>
      </w:pPr>
    </w:p>
    <w:p>
      <w:pPr>
        <w:pStyle w:val="BodyText"/>
        <w:spacing w:line="297" w:lineRule="auto"/>
        <w:ind w:left="314" w:right="1132" w:firstLine="420"/>
        <w:jc w:val="both"/>
      </w:pPr>
      <w:r>
        <w:rPr/>
        <w:t>公司于</w:t>
      </w:r>
      <w:r>
        <w:rPr>
          <w:spacing w:val="-55"/>
        </w:rPr>
        <w:t> </w:t>
      </w:r>
      <w:r>
        <w:rPr>
          <w:rFonts w:ascii="宋体" w:hAnsi="宋体" w:cs="宋体" w:eastAsia="宋体" w:hint="default"/>
        </w:rPr>
        <w:t>2018</w:t>
      </w:r>
      <w:r>
        <w:rPr>
          <w:rFonts w:ascii="宋体" w:hAnsi="宋体" w:cs="宋体" w:eastAsia="宋体" w:hint="default"/>
          <w:spacing w:val="-57"/>
        </w:rPr>
        <w:t> </w:t>
      </w:r>
      <w:r>
        <w:rPr/>
        <w:t>年</w:t>
      </w:r>
      <w:r>
        <w:rPr>
          <w:spacing w:val="-56"/>
        </w:rPr>
        <w:t> </w:t>
      </w:r>
      <w:r>
        <w:rPr>
          <w:rFonts w:ascii="宋体" w:hAnsi="宋体" w:cs="宋体" w:eastAsia="宋体" w:hint="default"/>
        </w:rPr>
        <w:t>11</w:t>
      </w:r>
      <w:r>
        <w:rPr>
          <w:rFonts w:ascii="宋体" w:hAnsi="宋体" w:cs="宋体" w:eastAsia="宋体" w:hint="default"/>
          <w:spacing w:val="-55"/>
        </w:rPr>
        <w:t> </w:t>
      </w:r>
      <w:r>
        <w:rPr/>
        <w:t>月</w:t>
      </w:r>
      <w:r>
        <w:rPr>
          <w:spacing w:val="-56"/>
        </w:rPr>
        <w:t> </w:t>
      </w:r>
      <w:r>
        <w:rPr>
          <w:rFonts w:ascii="宋体" w:hAnsi="宋体" w:cs="宋体" w:eastAsia="宋体" w:hint="default"/>
        </w:rPr>
        <w:t>15</w:t>
      </w:r>
      <w:r>
        <w:rPr>
          <w:rFonts w:ascii="宋体" w:hAnsi="宋体" w:cs="宋体" w:eastAsia="宋体" w:hint="default"/>
          <w:spacing w:val="-56"/>
        </w:rPr>
        <w:t> </w:t>
      </w:r>
      <w:r>
        <w:rPr/>
        <w:t>日召开</w:t>
      </w:r>
      <w:r>
        <w:rPr>
          <w:spacing w:val="-56"/>
        </w:rPr>
        <w:t> </w:t>
      </w:r>
      <w:r>
        <w:rPr>
          <w:rFonts w:ascii="宋体" w:hAnsi="宋体" w:cs="宋体" w:eastAsia="宋体" w:hint="default"/>
        </w:rPr>
        <w:t>2018</w:t>
      </w:r>
      <w:r>
        <w:rPr>
          <w:rFonts w:ascii="宋体" w:hAnsi="宋体" w:cs="宋体" w:eastAsia="宋体" w:hint="default"/>
          <w:spacing w:val="-56"/>
        </w:rPr>
        <w:t> </w:t>
      </w:r>
      <w:r>
        <w:rPr/>
        <w:t>年第四次临时股东大会审议通过《关于回购注销离职股权激励对 </w:t>
      </w:r>
      <w:r>
        <w:rPr>
          <w:spacing w:val="-1"/>
        </w:rPr>
        <w:t>象所持已获授但尚未解锁的限制性股票的议案》回购注销限制性股票激励计划原激励对象已获授但尚未解</w:t>
      </w:r>
      <w:r>
        <w:rPr>
          <w:spacing w:val="-81"/>
        </w:rPr>
        <w:t> </w:t>
      </w:r>
      <w:r>
        <w:rPr>
          <w:spacing w:val="-81"/>
        </w:rPr>
      </w:r>
      <w:r>
        <w:rPr/>
        <w:t>锁的限制性股票</w:t>
      </w:r>
      <w:r>
        <w:rPr>
          <w:spacing w:val="-53"/>
        </w:rPr>
        <w:t> </w:t>
      </w:r>
      <w:r>
        <w:rPr>
          <w:rFonts w:ascii="宋体" w:hAnsi="宋体" w:cs="宋体" w:eastAsia="宋体" w:hint="default"/>
        </w:rPr>
        <w:t>530,391</w:t>
      </w:r>
      <w:r>
        <w:rPr>
          <w:rFonts w:ascii="宋体" w:hAnsi="宋体" w:cs="宋体" w:eastAsia="宋体" w:hint="default"/>
          <w:spacing w:val="-53"/>
        </w:rPr>
        <w:t> </w:t>
      </w:r>
      <w:r>
        <w:rPr>
          <w:spacing w:val="-4"/>
        </w:rPr>
        <w:t>股。公司已于</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日在中国证券登记结算有限责任公司深圳分公司完</w:t>
      </w:r>
    </w:p>
    <w:p>
      <w:pPr>
        <w:pStyle w:val="BodyText"/>
        <w:spacing w:line="444" w:lineRule="auto" w:before="15"/>
        <w:ind w:left="734" w:right="4245" w:hanging="420"/>
        <w:jc w:val="left"/>
      </w:pPr>
      <w:r>
        <w:rPr/>
        <w:t>成回购注销。公司股份总数由</w:t>
      </w:r>
      <w:r>
        <w:rPr>
          <w:spacing w:val="-53"/>
        </w:rPr>
        <w:t> </w:t>
      </w:r>
      <w:r>
        <w:rPr>
          <w:rFonts w:ascii="宋体" w:hAnsi="宋体" w:cs="宋体" w:eastAsia="宋体" w:hint="default"/>
        </w:rPr>
        <w:t>403,621,238</w:t>
      </w:r>
      <w:r>
        <w:rPr>
          <w:rFonts w:ascii="宋体" w:hAnsi="宋体" w:cs="宋体" w:eastAsia="宋体" w:hint="default"/>
          <w:spacing w:val="-53"/>
        </w:rPr>
        <w:t> </w:t>
      </w:r>
      <w:r>
        <w:rPr/>
        <w:t>股变更为</w:t>
      </w:r>
      <w:r>
        <w:rPr>
          <w:spacing w:val="-54"/>
        </w:rPr>
        <w:t> </w:t>
      </w:r>
      <w:r>
        <w:rPr>
          <w:rFonts w:ascii="宋体" w:hAnsi="宋体" w:cs="宋体" w:eastAsia="宋体" w:hint="default"/>
        </w:rPr>
        <w:t>403,090,847</w:t>
      </w:r>
      <w:r>
        <w:rPr>
          <w:rFonts w:ascii="宋体" w:hAnsi="宋体" w:cs="宋体" w:eastAsia="宋体" w:hint="default"/>
          <w:spacing w:val="-53"/>
        </w:rPr>
        <w:t> </w:t>
      </w:r>
      <w:r>
        <w:rPr/>
        <w:t>股。 股份变动的批准情况</w:t>
      </w:r>
    </w:p>
    <w:p>
      <w:pPr>
        <w:pStyle w:val="BodyText"/>
        <w:spacing w:line="420" w:lineRule="auto" w:before="56"/>
        <w:ind w:left="734" w:right="84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股份变动的过户情况</w:t>
      </w:r>
    </w:p>
    <w:p>
      <w:pPr>
        <w:pStyle w:val="BodyText"/>
        <w:spacing w:line="240" w:lineRule="auto" w:before="76"/>
        <w:ind w:left="7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01" w:footer="1007" w:top="1100" w:bottom="1200" w:left="820" w:right="0"/>
        </w:sectPr>
      </w:pPr>
    </w:p>
    <w:p>
      <w:pPr>
        <w:spacing w:line="240" w:lineRule="auto" w:before="1"/>
        <w:rPr>
          <w:rFonts w:ascii="宋体" w:hAnsi="宋体" w:cs="宋体" w:eastAsia="宋体" w:hint="default"/>
          <w:sz w:val="19"/>
          <w:szCs w:val="19"/>
        </w:rPr>
      </w:pPr>
    </w:p>
    <w:p>
      <w:pPr>
        <w:pStyle w:val="BodyText"/>
        <w:spacing w:line="240" w:lineRule="auto" w:before="35"/>
        <w:ind w:right="1016"/>
        <w:jc w:val="left"/>
      </w:pPr>
      <w:r>
        <w:rPr/>
        <w:t>股份回购的实施进展情况</w:t>
      </w:r>
    </w:p>
    <w:p>
      <w:pPr>
        <w:spacing w:line="240" w:lineRule="auto" w:before="12"/>
        <w:rPr>
          <w:rFonts w:ascii="宋体" w:hAnsi="宋体" w:cs="宋体" w:eastAsia="宋体" w:hint="default"/>
          <w:sz w:val="17"/>
          <w:szCs w:val="17"/>
        </w:rPr>
      </w:pPr>
    </w:p>
    <w:p>
      <w:pPr>
        <w:pStyle w:val="BodyText"/>
        <w:spacing w:line="420" w:lineRule="auto"/>
        <w:ind w:right="59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采用集中竞价方式减持回购股份的实施进展情况</w:t>
      </w:r>
    </w:p>
    <w:p>
      <w:pPr>
        <w:pStyle w:val="BodyText"/>
        <w:spacing w:line="240" w:lineRule="auto" w:before="77"/>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6"/>
          <w:szCs w:val="16"/>
        </w:rPr>
      </w:pPr>
    </w:p>
    <w:p>
      <w:pPr>
        <w:pStyle w:val="BodyText"/>
        <w:spacing w:line="297" w:lineRule="auto"/>
        <w:ind w:left="214" w:right="1016" w:firstLine="420"/>
        <w:jc w:val="left"/>
      </w:pPr>
      <w:r>
        <w:rPr>
          <w:spacing w:val="-1"/>
        </w:rPr>
        <w:t>股份变动对最近一年和最近一期基本每股收益和稀释每股收益、归属于公司普通股股东的每股净资产</w:t>
      </w:r>
      <w:r>
        <w:rPr/>
        <w:t> 等财务指标的影响</w:t>
      </w:r>
    </w:p>
    <w:p>
      <w:pPr>
        <w:spacing w:line="240" w:lineRule="auto" w:before="0"/>
        <w:rPr>
          <w:rFonts w:ascii="宋体" w:hAnsi="宋体" w:cs="宋体" w:eastAsia="宋体" w:hint="default"/>
          <w:sz w:val="14"/>
          <w:szCs w:val="14"/>
        </w:rPr>
      </w:pPr>
    </w:p>
    <w:p>
      <w:pPr>
        <w:pStyle w:val="BodyText"/>
        <w:spacing w:line="420"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公司认为必要或证券监管机构要求披露的其他内容</w:t>
      </w:r>
    </w:p>
    <w:p>
      <w:pPr>
        <w:pStyle w:val="BodyText"/>
        <w:spacing w:line="240" w:lineRule="auto" w:before="76"/>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2、限售股份变动情况" w:id="104"/>
      <w:bookmarkEnd w:id="104"/>
      <w:r>
        <w:rPr/>
      </w:r>
      <w:r>
        <w:rPr>
          <w:rFonts w:ascii="Times New Roman" w:hAnsi="Times New Roman" w:cs="Times New Roman" w:eastAsia="Times New Roman" w:hint="default"/>
        </w:rPr>
        <w:t>2</w:t>
      </w:r>
      <w:r>
        <w:rPr>
          <w:rFonts w:ascii="微软雅黑" w:hAnsi="微软雅黑" w:cs="微软雅黑" w:eastAsia="微软雅黑" w:hint="default"/>
        </w:rPr>
        <w:t>、限售股份变动情况</w:t>
      </w:r>
    </w:p>
    <w:p>
      <w:pPr>
        <w:spacing w:line="240" w:lineRule="auto" w:before="16"/>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959"/>
        <w:gridCol w:w="1417"/>
        <w:gridCol w:w="1418"/>
        <w:gridCol w:w="1134"/>
        <w:gridCol w:w="1417"/>
        <w:gridCol w:w="1276"/>
        <w:gridCol w:w="2233"/>
      </w:tblGrid>
      <w:tr>
        <w:trPr>
          <w:trHeight w:val="476"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本期解除限售</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本期增加限</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62"/>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71"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拟解除限售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日期</w:t>
            </w:r>
          </w:p>
        </w:tc>
      </w:tr>
      <w:tr>
        <w:trPr>
          <w:trHeight w:val="47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141,974,706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35,493,677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106,481,029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每年初按照上年末持股总</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47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14,050,000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2,891,466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11,158,534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每年初按照上年末持股总</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407"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吴安华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4,627,117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1,542,372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6,169,489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8"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耿增强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4,393,909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1,464,637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5,858,546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7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邹鹏程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863,419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45,000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818,419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每年初按照上年末持股总</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41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379,167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44,274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z w:val="18"/>
              </w:rPr>
              <w:t>334,893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2" w:right="102"/>
              <w:jc w:val="left"/>
              <w:rPr>
                <w:rFonts w:ascii="宋体" w:hAnsi="宋体" w:cs="宋体" w:eastAsia="宋体" w:hint="default"/>
                <w:sz w:val="18"/>
                <w:szCs w:val="18"/>
              </w:rPr>
            </w:pPr>
            <w:r>
              <w:rPr>
                <w:rFonts w:ascii="宋体" w:hAnsi="宋体" w:cs="宋体" w:eastAsia="宋体" w:hint="default"/>
                <w:spacing w:val="-4"/>
                <w:sz w:val="18"/>
                <w:szCs w:val="18"/>
              </w:rPr>
              <w:t>高管锁定、股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权激励限售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高管锁定部分，每年初按</w:t>
            </w:r>
          </w:p>
          <w:p>
            <w:pPr>
              <w:pStyle w:val="TableParagraph"/>
              <w:spacing w:line="235" w:lineRule="auto" w:before="3"/>
              <w:ind w:left="103" w:right="11"/>
              <w:jc w:val="left"/>
              <w:rPr>
                <w:rFonts w:ascii="宋体" w:hAnsi="宋体" w:cs="宋体" w:eastAsia="宋体" w:hint="default"/>
                <w:sz w:val="18"/>
                <w:szCs w:val="18"/>
              </w:rPr>
            </w:pPr>
            <w:r>
              <w:rPr>
                <w:rFonts w:ascii="宋体" w:hAnsi="宋体" w:cs="宋体" w:eastAsia="宋体" w:hint="default"/>
                <w:sz w:val="18"/>
                <w:szCs w:val="18"/>
              </w:rPr>
              <w:t>照上年末持股总数的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5"/>
                <w:sz w:val="18"/>
                <w:szCs w:val="18"/>
              </w:rPr>
              <w:t>解除锁定；股权激励限售，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依据公司限制性股票激励 计划相关制度，每年按比 例解锁</w:t>
            </w:r>
          </w:p>
        </w:tc>
      </w:tr>
      <w:tr>
        <w:trPr>
          <w:trHeight w:val="71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纪鹏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254,722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83,453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171,269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262"/>
              <w:jc w:val="left"/>
              <w:rPr>
                <w:rFonts w:ascii="宋体" w:hAnsi="宋体" w:cs="宋体" w:eastAsia="宋体" w:hint="default"/>
                <w:sz w:val="18"/>
                <w:szCs w:val="18"/>
              </w:rPr>
            </w:pPr>
            <w:r>
              <w:rPr>
                <w:rFonts w:ascii="宋体" w:hAnsi="宋体" w:cs="宋体" w:eastAsia="宋体" w:hint="default"/>
                <w:sz w:val="18"/>
                <w:szCs w:val="18"/>
              </w:rPr>
              <w:t>股权激励限 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依据公司限制性股票激励</w:t>
            </w:r>
          </w:p>
          <w:p>
            <w:pPr>
              <w:pStyle w:val="TableParagraph"/>
              <w:spacing w:line="240" w:lineRule="auto"/>
              <w:ind w:left="103" w:right="138"/>
              <w:jc w:val="left"/>
              <w:rPr>
                <w:rFonts w:ascii="宋体" w:hAnsi="宋体" w:cs="宋体" w:eastAsia="宋体" w:hint="default"/>
                <w:sz w:val="18"/>
                <w:szCs w:val="18"/>
              </w:rPr>
            </w:pPr>
            <w:r>
              <w:rPr>
                <w:rFonts w:ascii="宋体" w:hAnsi="宋体" w:cs="宋体" w:eastAsia="宋体" w:hint="default"/>
                <w:sz w:val="18"/>
                <w:szCs w:val="18"/>
              </w:rPr>
              <w:t>计划相关制度，每年按比 例解锁</w:t>
            </w:r>
          </w:p>
        </w:tc>
      </w:tr>
      <w:tr>
        <w:trPr>
          <w:trHeight w:val="71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凉忆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227,361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71,726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155,635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262"/>
              <w:jc w:val="left"/>
              <w:rPr>
                <w:rFonts w:ascii="宋体" w:hAnsi="宋体" w:cs="宋体" w:eastAsia="宋体" w:hint="default"/>
                <w:sz w:val="18"/>
                <w:szCs w:val="18"/>
              </w:rPr>
            </w:pPr>
            <w:r>
              <w:rPr>
                <w:rFonts w:ascii="宋体" w:hAnsi="宋体" w:cs="宋体" w:eastAsia="宋体" w:hint="default"/>
                <w:sz w:val="18"/>
                <w:szCs w:val="18"/>
              </w:rPr>
              <w:t>股权激励限 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依据公司限制性股票激励</w:t>
            </w:r>
          </w:p>
          <w:p>
            <w:pPr>
              <w:pStyle w:val="TableParagraph"/>
              <w:spacing w:line="240" w:lineRule="auto"/>
              <w:ind w:left="103" w:right="138"/>
              <w:jc w:val="left"/>
              <w:rPr>
                <w:rFonts w:ascii="宋体" w:hAnsi="宋体" w:cs="宋体" w:eastAsia="宋体" w:hint="default"/>
                <w:sz w:val="18"/>
                <w:szCs w:val="18"/>
              </w:rPr>
            </w:pPr>
            <w:r>
              <w:rPr>
                <w:rFonts w:ascii="宋体" w:hAnsi="宋体" w:cs="宋体" w:eastAsia="宋体" w:hint="default"/>
                <w:sz w:val="18"/>
                <w:szCs w:val="18"/>
              </w:rPr>
              <w:t>计划相关制度，每年按比 例解锁</w:t>
            </w:r>
          </w:p>
        </w:tc>
      </w:tr>
      <w:tr>
        <w:trPr>
          <w:trHeight w:val="71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米健雄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262"/>
              <w:jc w:val="left"/>
              <w:rPr>
                <w:rFonts w:ascii="宋体" w:hAnsi="宋体" w:cs="宋体" w:eastAsia="宋体" w:hint="default"/>
                <w:sz w:val="18"/>
                <w:szCs w:val="18"/>
              </w:rPr>
            </w:pPr>
            <w:r>
              <w:rPr>
                <w:rFonts w:ascii="宋体" w:hAnsi="宋体" w:cs="宋体" w:eastAsia="宋体" w:hint="default"/>
                <w:sz w:val="18"/>
                <w:szCs w:val="18"/>
              </w:rPr>
              <w:t>股权激励限 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依据公司限制性股票激励</w:t>
            </w:r>
          </w:p>
          <w:p>
            <w:pPr>
              <w:pStyle w:val="TableParagraph"/>
              <w:spacing w:line="240" w:lineRule="auto"/>
              <w:ind w:left="103" w:right="138"/>
              <w:jc w:val="left"/>
              <w:rPr>
                <w:rFonts w:ascii="宋体" w:hAnsi="宋体" w:cs="宋体" w:eastAsia="宋体" w:hint="default"/>
                <w:sz w:val="18"/>
                <w:szCs w:val="18"/>
              </w:rPr>
            </w:pPr>
            <w:r>
              <w:rPr>
                <w:rFonts w:ascii="宋体" w:hAnsi="宋体" w:cs="宋体" w:eastAsia="宋体" w:hint="default"/>
                <w:sz w:val="18"/>
                <w:szCs w:val="18"/>
              </w:rPr>
              <w:t>计划相关制度，每年按比 例解锁</w:t>
            </w:r>
          </w:p>
        </w:tc>
      </w:tr>
      <w:tr>
        <w:trPr>
          <w:trHeight w:val="71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袁程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154,403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55,115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99,288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2" w:right="262"/>
              <w:jc w:val="left"/>
              <w:rPr>
                <w:rFonts w:ascii="宋体" w:hAnsi="宋体" w:cs="宋体" w:eastAsia="宋体" w:hint="default"/>
                <w:sz w:val="18"/>
                <w:szCs w:val="18"/>
              </w:rPr>
            </w:pPr>
            <w:r>
              <w:rPr>
                <w:rFonts w:ascii="宋体" w:hAnsi="宋体" w:cs="宋体" w:eastAsia="宋体" w:hint="default"/>
                <w:sz w:val="18"/>
                <w:szCs w:val="18"/>
              </w:rPr>
              <w:t>股权激励限 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依据公司限制性股票激励</w:t>
            </w:r>
          </w:p>
          <w:p>
            <w:pPr>
              <w:pStyle w:val="TableParagraph"/>
              <w:spacing w:line="240" w:lineRule="auto"/>
              <w:ind w:left="103" w:right="138"/>
              <w:jc w:val="left"/>
              <w:rPr>
                <w:rFonts w:ascii="宋体" w:hAnsi="宋体" w:cs="宋体" w:eastAsia="宋体" w:hint="default"/>
                <w:sz w:val="18"/>
                <w:szCs w:val="18"/>
              </w:rPr>
            </w:pPr>
            <w:r>
              <w:rPr>
                <w:rFonts w:ascii="宋体" w:hAnsi="宋体" w:cs="宋体" w:eastAsia="宋体" w:hint="default"/>
                <w:sz w:val="18"/>
                <w:szCs w:val="18"/>
              </w:rPr>
              <w:t>计划相关制度，每年按比 例解锁</w:t>
            </w:r>
          </w:p>
        </w:tc>
      </w:tr>
      <w:tr>
        <w:trPr>
          <w:trHeight w:val="141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24"/>
              <w:jc w:val="left"/>
              <w:rPr>
                <w:rFonts w:ascii="宋体" w:hAnsi="宋体" w:cs="宋体" w:eastAsia="宋体" w:hint="default"/>
                <w:sz w:val="18"/>
                <w:szCs w:val="18"/>
              </w:rPr>
            </w:pPr>
            <w:r>
              <w:rPr>
                <w:rFonts w:ascii="宋体" w:hAnsi="宋体" w:cs="宋体" w:eastAsia="宋体" w:hint="default"/>
                <w:sz w:val="18"/>
                <w:szCs w:val="18"/>
              </w:rPr>
              <w:t>其他限售 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13,692,936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9,381,958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4,310,978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2" w:right="102"/>
              <w:jc w:val="left"/>
              <w:rPr>
                <w:rFonts w:ascii="宋体" w:hAnsi="宋体" w:cs="宋体" w:eastAsia="宋体" w:hint="default"/>
                <w:sz w:val="18"/>
                <w:szCs w:val="18"/>
              </w:rPr>
            </w:pPr>
            <w:r>
              <w:rPr>
                <w:rFonts w:ascii="宋体" w:hAnsi="宋体" w:cs="宋体" w:eastAsia="宋体" w:hint="default"/>
                <w:spacing w:val="-4"/>
                <w:sz w:val="18"/>
                <w:szCs w:val="18"/>
              </w:rPr>
              <w:t>高管锁定、股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权激励限售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高管锁定部分，按高管离</w:t>
            </w:r>
          </w:p>
          <w:p>
            <w:pPr>
              <w:pStyle w:val="TableParagraph"/>
              <w:spacing w:line="237" w:lineRule="auto" w:before="1"/>
              <w:ind w:left="103" w:right="138"/>
              <w:jc w:val="both"/>
              <w:rPr>
                <w:rFonts w:ascii="宋体" w:hAnsi="宋体" w:cs="宋体" w:eastAsia="宋体" w:hint="default"/>
                <w:sz w:val="18"/>
                <w:szCs w:val="18"/>
              </w:rPr>
            </w:pPr>
            <w:r>
              <w:rPr>
                <w:rFonts w:ascii="宋体" w:hAnsi="宋体" w:cs="宋体" w:eastAsia="宋体" w:hint="default"/>
                <w:sz w:val="18"/>
                <w:szCs w:val="18"/>
              </w:rPr>
              <w:t>职股份锁定规则要求解除 锁定；股权激励限售，依 据公司限制性股票激励计 划相关制度，每年按比例 解锁</w:t>
            </w:r>
          </w:p>
        </w:tc>
      </w:tr>
    </w:tbl>
    <w:p>
      <w:pPr>
        <w:spacing w:after="0" w:line="237" w:lineRule="auto"/>
        <w:jc w:val="both"/>
        <w:rPr>
          <w:rFonts w:ascii="宋体" w:hAnsi="宋体" w:cs="宋体" w:eastAsia="宋体" w:hint="default"/>
          <w:sz w:val="18"/>
          <w:szCs w:val="18"/>
        </w:rPr>
        <w:sectPr>
          <w:pgSz w:w="11910" w:h="16840"/>
          <w:pgMar w:header="801" w:footer="1007" w:top="1100" w:bottom="120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959"/>
        <w:gridCol w:w="1417"/>
        <w:gridCol w:w="1418"/>
        <w:gridCol w:w="1134"/>
        <w:gridCol w:w="1417"/>
        <w:gridCol w:w="1276"/>
        <w:gridCol w:w="2233"/>
      </w:tblGrid>
      <w:tr>
        <w:trPr>
          <w:trHeight w:val="476"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6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本期解除限售</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本期增加限</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售股数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62"/>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拟解除限售</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日期</w:t>
            </w:r>
          </w:p>
        </w:tc>
      </w:tr>
      <w:tr>
        <w:trPr>
          <w:trHeight w:val="408"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180,817,740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5" w:right="0"/>
              <w:jc w:val="left"/>
              <w:rPr>
                <w:rFonts w:ascii="Times New Roman" w:hAnsi="Times New Roman" w:cs="Times New Roman" w:eastAsia="Times New Roman" w:hint="default"/>
                <w:sz w:val="18"/>
                <w:szCs w:val="18"/>
              </w:rPr>
            </w:pPr>
            <w:r>
              <w:rPr>
                <w:rFonts w:ascii="Times New Roman"/>
                <w:sz w:val="18"/>
              </w:rPr>
              <w:t>48,126,669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3,007,009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135,698,080</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20"/>
          <w:szCs w:val="20"/>
        </w:rPr>
      </w:pPr>
    </w:p>
    <w:p>
      <w:pPr>
        <w:pStyle w:val="Heading2"/>
        <w:spacing w:line="397" w:lineRule="exact"/>
        <w:ind w:right="1016"/>
        <w:jc w:val="left"/>
      </w:pPr>
      <w:bookmarkStart w:name="二、证券发行与上市情况" w:id="105"/>
      <w:bookmarkEnd w:id="105"/>
      <w:r>
        <w:rPr/>
      </w:r>
      <w:r>
        <w:rPr/>
        <w:t>二、证券发行与上市情况</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报告期内证券发行（不含优先股）情况" w:id="106"/>
      <w:bookmarkEnd w:id="106"/>
      <w:r>
        <w:rPr/>
      </w:r>
      <w:r>
        <w:rPr>
          <w:rFonts w:ascii="Times New Roman" w:hAnsi="Times New Roman" w:cs="Times New Roman" w:eastAsia="Times New Roman" w:hint="default"/>
        </w:rPr>
        <w:t>1</w:t>
      </w:r>
      <w:r>
        <w:rPr>
          <w:rFonts w:ascii="微软雅黑" w:hAnsi="微软雅黑" w:cs="微软雅黑" w:eastAsia="微软雅黑" w:hint="default"/>
        </w:rPr>
        <w:t>、报告期内证券发行（不含优先股）情况</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2、公司股份总数及股东结构的变动、公司资产和负债结构的变动情况说明" w:id="107"/>
      <w:bookmarkEnd w:id="107"/>
      <w:r>
        <w:rPr/>
      </w:r>
      <w:r>
        <w:rPr>
          <w:rFonts w:ascii="Times New Roman" w:hAnsi="Times New Roman" w:cs="Times New Roman" w:eastAsia="Times New Roman" w:hint="default"/>
        </w:rPr>
        <w:t>2</w:t>
      </w:r>
      <w:r>
        <w:rPr>
          <w:rFonts w:ascii="微软雅黑" w:hAnsi="微软雅黑" w:cs="微软雅黑" w:eastAsia="微软雅黑" w:hint="default"/>
        </w:rPr>
        <w:t>、公司股份总数及股东结构的变动、公司资产和负债结构的变动情况说明</w:t>
      </w:r>
    </w:p>
    <w:p>
      <w:pPr>
        <w:spacing w:line="240" w:lineRule="auto" w:before="8"/>
        <w:rPr>
          <w:rFonts w:ascii="微软雅黑" w:hAnsi="微软雅黑" w:cs="微软雅黑" w:eastAsia="微软雅黑" w:hint="default"/>
          <w:sz w:val="20"/>
          <w:szCs w:val="20"/>
        </w:rPr>
      </w:pPr>
    </w:p>
    <w:p>
      <w:pPr>
        <w:pStyle w:val="BodyText"/>
        <w:spacing w:line="297" w:lineRule="auto"/>
        <w:ind w:left="214" w:right="1131" w:firstLine="420"/>
        <w:jc w:val="both"/>
      </w:pPr>
      <w:r>
        <w:rPr/>
        <w:t>公司于</w:t>
      </w:r>
      <w:r>
        <w:rPr>
          <w:spacing w:val="-57"/>
        </w:rPr>
        <w:t> </w:t>
      </w:r>
      <w:r>
        <w:rPr>
          <w:rFonts w:ascii="宋体" w:hAnsi="宋体" w:cs="宋体" w:eastAsia="宋体" w:hint="default"/>
        </w:rPr>
        <w:t>2018</w:t>
      </w:r>
      <w:r>
        <w:rPr>
          <w:rFonts w:ascii="宋体" w:hAnsi="宋体" w:cs="宋体" w:eastAsia="宋体" w:hint="default"/>
          <w:spacing w:val="-58"/>
        </w:rPr>
        <w:t> </w:t>
      </w:r>
      <w:r>
        <w:rPr/>
        <w:t>年</w:t>
      </w:r>
      <w:r>
        <w:rPr>
          <w:spacing w:val="-57"/>
        </w:rPr>
        <w:t> </w:t>
      </w:r>
      <w:r>
        <w:rPr>
          <w:rFonts w:ascii="宋体" w:hAnsi="宋体" w:cs="宋体" w:eastAsia="宋体" w:hint="default"/>
        </w:rPr>
        <w:t>4</w:t>
      </w:r>
      <w:r>
        <w:rPr>
          <w:rFonts w:ascii="宋体" w:hAnsi="宋体" w:cs="宋体" w:eastAsia="宋体" w:hint="default"/>
          <w:spacing w:val="-57"/>
        </w:rPr>
        <w:t> </w:t>
      </w:r>
      <w:r>
        <w:rPr/>
        <w:t>月</w:t>
      </w:r>
      <w:r>
        <w:rPr>
          <w:spacing w:val="-58"/>
        </w:rPr>
        <w:t> </w:t>
      </w:r>
      <w:r>
        <w:rPr>
          <w:rFonts w:ascii="宋体" w:hAnsi="宋体" w:cs="宋体" w:eastAsia="宋体" w:hint="default"/>
        </w:rPr>
        <w:t>25</w:t>
      </w:r>
      <w:r>
        <w:rPr>
          <w:rFonts w:ascii="宋体" w:hAnsi="宋体" w:cs="宋体" w:eastAsia="宋体" w:hint="default"/>
          <w:spacing w:val="-57"/>
        </w:rPr>
        <w:t> </w:t>
      </w:r>
      <w:r>
        <w:rPr/>
        <w:t>日召开的第二届董事会第三十次会议审议通过了《关于回购注销离职股权激励 </w:t>
      </w:r>
      <w:r>
        <w:rPr>
          <w:spacing w:val="-1"/>
        </w:rPr>
        <w:t>对象所持已获授但尚未解锁的限制性股票的议案》，回购注销限制性股票激励计划原激励对象已获授但尚</w:t>
      </w:r>
      <w:r>
        <w:rPr>
          <w:spacing w:val="-81"/>
        </w:rPr>
        <w:t> </w:t>
      </w:r>
      <w:r>
        <w:rPr>
          <w:spacing w:val="-81"/>
        </w:rPr>
      </w:r>
      <w:r>
        <w:rPr/>
        <w:t>未解锁的限制性股票</w:t>
      </w:r>
      <w:r>
        <w:rPr>
          <w:spacing w:val="-52"/>
        </w:rPr>
        <w:t> </w:t>
      </w:r>
      <w:r>
        <w:rPr>
          <w:rFonts w:ascii="宋体" w:hAnsi="宋体" w:cs="宋体" w:eastAsia="宋体" w:hint="default"/>
        </w:rPr>
        <w:t>257,384</w:t>
      </w:r>
      <w:r>
        <w:rPr>
          <w:rFonts w:ascii="宋体" w:hAnsi="宋体" w:cs="宋体" w:eastAsia="宋体" w:hint="default"/>
          <w:spacing w:val="-52"/>
        </w:rPr>
        <w:t> </w:t>
      </w:r>
      <w:r>
        <w:rPr>
          <w:spacing w:val="-6"/>
        </w:rPr>
        <w:t>股。公司于</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24</w:t>
      </w:r>
      <w:r>
        <w:rPr>
          <w:rFonts w:ascii="宋体" w:hAnsi="宋体" w:cs="宋体" w:eastAsia="宋体" w:hint="default"/>
          <w:spacing w:val="-52"/>
        </w:rPr>
        <w:t> </w:t>
      </w:r>
      <w:r>
        <w:rPr/>
        <w:t>日在中国证券登记结算有限责任公司深圳分公司</w:t>
      </w:r>
    </w:p>
    <w:p>
      <w:pPr>
        <w:pStyle w:val="BodyText"/>
        <w:spacing w:line="240" w:lineRule="auto" w:before="15"/>
        <w:ind w:left="214" w:right="1016"/>
        <w:jc w:val="left"/>
      </w:pPr>
      <w:r>
        <w:rPr/>
        <w:t>完成回购注销。本次回购注销完成后，公司股份总数由</w:t>
      </w:r>
      <w:r>
        <w:rPr>
          <w:spacing w:val="-53"/>
        </w:rPr>
        <w:t> </w:t>
      </w:r>
      <w:r>
        <w:rPr>
          <w:rFonts w:ascii="宋体" w:hAnsi="宋体" w:cs="宋体" w:eastAsia="宋体" w:hint="default"/>
        </w:rPr>
        <w:t>403,878,622</w:t>
      </w:r>
      <w:r>
        <w:rPr>
          <w:rFonts w:ascii="宋体" w:hAnsi="宋体" w:cs="宋体" w:eastAsia="宋体" w:hint="default"/>
          <w:spacing w:val="-53"/>
        </w:rPr>
        <w:t> </w:t>
      </w:r>
      <w:r>
        <w:rPr/>
        <w:t>股变更为</w:t>
      </w:r>
      <w:r>
        <w:rPr>
          <w:spacing w:val="-53"/>
        </w:rPr>
        <w:t> </w:t>
      </w:r>
      <w:r>
        <w:rPr>
          <w:rFonts w:ascii="宋体" w:hAnsi="宋体" w:cs="宋体" w:eastAsia="宋体" w:hint="default"/>
        </w:rPr>
        <w:t>403,621,238</w:t>
      </w:r>
      <w:r>
        <w:rPr>
          <w:rFonts w:ascii="宋体" w:hAnsi="宋体" w:cs="宋体" w:eastAsia="宋体" w:hint="default"/>
          <w:spacing w:val="-53"/>
        </w:rPr>
        <w:t> </w:t>
      </w:r>
      <w:r>
        <w:rPr/>
        <w:t>股。</w:t>
      </w:r>
    </w:p>
    <w:p>
      <w:pPr>
        <w:spacing w:line="240" w:lineRule="auto" w:before="10"/>
        <w:rPr>
          <w:rFonts w:ascii="宋体" w:hAnsi="宋体" w:cs="宋体" w:eastAsia="宋体" w:hint="default"/>
          <w:sz w:val="17"/>
          <w:szCs w:val="17"/>
        </w:rPr>
      </w:pPr>
    </w:p>
    <w:p>
      <w:pPr>
        <w:pStyle w:val="BodyText"/>
        <w:spacing w:line="297" w:lineRule="auto"/>
        <w:ind w:left="214" w:right="1132" w:firstLine="420"/>
        <w:jc w:val="both"/>
      </w:pPr>
      <w:r>
        <w:rPr/>
        <w:t>公司于</w:t>
      </w:r>
      <w:r>
        <w:rPr>
          <w:spacing w:val="-55"/>
        </w:rPr>
        <w:t> </w:t>
      </w:r>
      <w:r>
        <w:rPr>
          <w:rFonts w:ascii="宋体" w:hAnsi="宋体" w:cs="宋体" w:eastAsia="宋体" w:hint="default"/>
        </w:rPr>
        <w:t>2018</w:t>
      </w:r>
      <w:r>
        <w:rPr>
          <w:rFonts w:ascii="宋体" w:hAnsi="宋体" w:cs="宋体" w:eastAsia="宋体" w:hint="default"/>
          <w:spacing w:val="-57"/>
        </w:rPr>
        <w:t> </w:t>
      </w:r>
      <w:r>
        <w:rPr/>
        <w:t>年</w:t>
      </w:r>
      <w:r>
        <w:rPr>
          <w:spacing w:val="-56"/>
        </w:rPr>
        <w:t> </w:t>
      </w:r>
      <w:r>
        <w:rPr>
          <w:rFonts w:ascii="宋体" w:hAnsi="宋体" w:cs="宋体" w:eastAsia="宋体" w:hint="default"/>
        </w:rPr>
        <w:t>11</w:t>
      </w:r>
      <w:r>
        <w:rPr>
          <w:rFonts w:ascii="宋体" w:hAnsi="宋体" w:cs="宋体" w:eastAsia="宋体" w:hint="default"/>
          <w:spacing w:val="-55"/>
        </w:rPr>
        <w:t> </w:t>
      </w:r>
      <w:r>
        <w:rPr/>
        <w:t>月</w:t>
      </w:r>
      <w:r>
        <w:rPr>
          <w:spacing w:val="-56"/>
        </w:rPr>
        <w:t> </w:t>
      </w:r>
      <w:r>
        <w:rPr>
          <w:rFonts w:ascii="宋体" w:hAnsi="宋体" w:cs="宋体" w:eastAsia="宋体" w:hint="default"/>
        </w:rPr>
        <w:t>15</w:t>
      </w:r>
      <w:r>
        <w:rPr>
          <w:rFonts w:ascii="宋体" w:hAnsi="宋体" w:cs="宋体" w:eastAsia="宋体" w:hint="default"/>
          <w:spacing w:val="-56"/>
        </w:rPr>
        <w:t> </w:t>
      </w:r>
      <w:r>
        <w:rPr/>
        <w:t>日召开</w:t>
      </w:r>
      <w:r>
        <w:rPr>
          <w:spacing w:val="-56"/>
        </w:rPr>
        <w:t> </w:t>
      </w:r>
      <w:r>
        <w:rPr>
          <w:rFonts w:ascii="宋体" w:hAnsi="宋体" w:cs="宋体" w:eastAsia="宋体" w:hint="default"/>
        </w:rPr>
        <w:t>2018</w:t>
      </w:r>
      <w:r>
        <w:rPr>
          <w:rFonts w:ascii="宋体" w:hAnsi="宋体" w:cs="宋体" w:eastAsia="宋体" w:hint="default"/>
          <w:spacing w:val="-56"/>
        </w:rPr>
        <w:t> </w:t>
      </w:r>
      <w:r>
        <w:rPr/>
        <w:t>年第四次临时股东大会审议通过《关于回购注销离职股权激励对 </w:t>
      </w:r>
      <w:r>
        <w:rPr>
          <w:spacing w:val="-1"/>
        </w:rPr>
        <w:t>象所持已获授但尚未解锁的限制性股票的议案》回购注销限制性股票激励计划原激励对象已获授但尚未解</w:t>
      </w:r>
      <w:r>
        <w:rPr>
          <w:spacing w:val="-81"/>
        </w:rPr>
        <w:t> </w:t>
      </w:r>
      <w:r>
        <w:rPr>
          <w:spacing w:val="-81"/>
        </w:rPr>
      </w:r>
      <w:r>
        <w:rPr/>
        <w:t>锁的限制性股票</w:t>
      </w:r>
      <w:r>
        <w:rPr>
          <w:spacing w:val="-53"/>
        </w:rPr>
        <w:t> </w:t>
      </w:r>
      <w:r>
        <w:rPr>
          <w:rFonts w:ascii="宋体" w:hAnsi="宋体" w:cs="宋体" w:eastAsia="宋体" w:hint="default"/>
        </w:rPr>
        <w:t>530,391</w:t>
      </w:r>
      <w:r>
        <w:rPr>
          <w:rFonts w:ascii="宋体" w:hAnsi="宋体" w:cs="宋体" w:eastAsia="宋体" w:hint="default"/>
          <w:spacing w:val="-53"/>
        </w:rPr>
        <w:t> </w:t>
      </w:r>
      <w:r>
        <w:rPr>
          <w:spacing w:val="-4"/>
        </w:rPr>
        <w:t>股。公司已于</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3"/>
        </w:rPr>
        <w:t> </w:t>
      </w:r>
      <w:r>
        <w:rPr/>
        <w:t>日在中国证券登记结算有限责任公司深圳分公司完</w:t>
      </w:r>
    </w:p>
    <w:p>
      <w:pPr>
        <w:pStyle w:val="BodyText"/>
        <w:spacing w:line="240" w:lineRule="auto" w:before="14"/>
        <w:ind w:left="214" w:right="1016"/>
        <w:jc w:val="left"/>
      </w:pPr>
      <w:r>
        <w:rPr/>
        <w:t>成回购注销。公司股份总数由</w:t>
      </w:r>
      <w:r>
        <w:rPr>
          <w:spacing w:val="-53"/>
        </w:rPr>
        <w:t> </w:t>
      </w:r>
      <w:r>
        <w:rPr>
          <w:rFonts w:ascii="宋体" w:hAnsi="宋体" w:cs="宋体" w:eastAsia="宋体" w:hint="default"/>
        </w:rPr>
        <w:t>403,621,238</w:t>
      </w:r>
      <w:r>
        <w:rPr>
          <w:rFonts w:ascii="宋体" w:hAnsi="宋体" w:cs="宋体" w:eastAsia="宋体" w:hint="default"/>
          <w:spacing w:val="-53"/>
        </w:rPr>
        <w:t> </w:t>
      </w:r>
      <w:r>
        <w:rPr/>
        <w:t>股变更为</w:t>
      </w:r>
      <w:r>
        <w:rPr>
          <w:spacing w:val="-54"/>
        </w:rPr>
        <w:t> </w:t>
      </w:r>
      <w:r>
        <w:rPr>
          <w:rFonts w:ascii="宋体" w:hAnsi="宋体" w:cs="宋体" w:eastAsia="宋体" w:hint="default"/>
        </w:rPr>
        <w:t>403,090,847</w:t>
      </w:r>
      <w:r>
        <w:rPr>
          <w:rFonts w:ascii="宋体" w:hAnsi="宋体" w:cs="宋体" w:eastAsia="宋体" w:hint="default"/>
          <w:spacing w:val="-53"/>
        </w:rPr>
        <w:t> </w:t>
      </w:r>
      <w:r>
        <w:rPr/>
        <w:t>股。</w:t>
      </w:r>
    </w:p>
    <w:p>
      <w:pPr>
        <w:spacing w:line="240" w:lineRule="auto" w:before="5"/>
        <w:rPr>
          <w:rFonts w:ascii="宋体" w:hAnsi="宋体" w:cs="宋体" w:eastAsia="宋体" w:hint="default"/>
          <w:sz w:val="17"/>
          <w:szCs w:val="17"/>
        </w:rPr>
      </w:pPr>
    </w:p>
    <w:p>
      <w:pPr>
        <w:pStyle w:val="BodyText"/>
        <w:spacing w:line="240" w:lineRule="auto"/>
        <w:ind w:right="1016"/>
        <w:jc w:val="left"/>
        <w:rPr>
          <w:rFonts w:ascii="微软雅黑" w:hAnsi="微软雅黑" w:cs="微软雅黑" w:eastAsia="微软雅黑" w:hint="default"/>
        </w:rPr>
      </w:pPr>
      <w:bookmarkStart w:name="3、现存的内部职工股情况" w:id="108"/>
      <w:bookmarkEnd w:id="108"/>
      <w:r>
        <w:rPr/>
      </w:r>
      <w:r>
        <w:rPr>
          <w:rFonts w:ascii="Times New Roman" w:hAnsi="Times New Roman" w:cs="Times New Roman" w:eastAsia="Times New Roman" w:hint="default"/>
        </w:rPr>
        <w:t>3</w:t>
      </w:r>
      <w:r>
        <w:rPr>
          <w:rFonts w:ascii="微软雅黑" w:hAnsi="微软雅黑" w:cs="微软雅黑" w:eastAsia="微软雅黑" w:hint="default"/>
        </w:rPr>
        <w:t>、现存的内部职工股情况</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Heading2"/>
        <w:spacing w:line="240" w:lineRule="auto"/>
        <w:ind w:right="1016"/>
        <w:jc w:val="left"/>
      </w:pPr>
      <w:bookmarkStart w:name="三、股东和实际控制人情况" w:id="109"/>
      <w:bookmarkEnd w:id="109"/>
      <w:r>
        <w:rPr/>
      </w:r>
      <w:r>
        <w:rPr/>
        <w:t>三、股东和实际控制人情况</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公司股东数量及持股情况" w:id="110"/>
      <w:bookmarkEnd w:id="110"/>
      <w:r>
        <w:rPr/>
      </w:r>
      <w:r>
        <w:rPr>
          <w:rFonts w:ascii="Times New Roman" w:hAnsi="Times New Roman" w:cs="Times New Roman" w:eastAsia="Times New Roman" w:hint="default"/>
        </w:rPr>
        <w:t>1</w:t>
      </w:r>
      <w:r>
        <w:rPr>
          <w:rFonts w:ascii="微软雅黑" w:hAnsi="微软雅黑" w:cs="微软雅黑" w:eastAsia="微软雅黑" w:hint="default"/>
        </w:rPr>
        <w:t>、公司股东数量及持股情况</w:t>
      </w:r>
    </w:p>
    <w:p>
      <w:pPr>
        <w:spacing w:line="240" w:lineRule="auto" w:before="17"/>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280"/>
        <w:gridCol w:w="120"/>
        <w:gridCol w:w="591"/>
        <w:gridCol w:w="595"/>
        <w:gridCol w:w="735"/>
        <w:gridCol w:w="1153"/>
        <w:gridCol w:w="419"/>
        <w:gridCol w:w="571"/>
        <w:gridCol w:w="1116"/>
        <w:gridCol w:w="107"/>
        <w:gridCol w:w="919"/>
        <w:gridCol w:w="90"/>
        <w:gridCol w:w="960"/>
        <w:gridCol w:w="222"/>
        <w:gridCol w:w="978"/>
      </w:tblGrid>
      <w:tr>
        <w:trPr>
          <w:trHeight w:val="1650" w:hRule="exact"/>
        </w:trPr>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264"/>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7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43,543</w:t>
            </w:r>
          </w:p>
        </w:tc>
        <w:tc>
          <w:tcPr>
            <w:tcW w:w="13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2" w:right="315"/>
              <w:jc w:val="both"/>
              <w:rPr>
                <w:rFonts w:ascii="宋体" w:hAnsi="宋体" w:cs="宋体" w:eastAsia="宋体" w:hint="default"/>
                <w:sz w:val="18"/>
                <w:szCs w:val="18"/>
              </w:rPr>
            </w:pPr>
            <w:r>
              <w:rPr>
                <w:rFonts w:ascii="宋体" w:hAnsi="宋体" w:cs="宋体" w:eastAsia="宋体" w:hint="default"/>
                <w:sz w:val="18"/>
                <w:szCs w:val="18"/>
              </w:rPr>
              <w:t>年度报告披 露日前上一 月末普通股 股东总数</w:t>
            </w:r>
          </w:p>
        </w:tc>
        <w:tc>
          <w:tcPr>
            <w:tcW w:w="15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64" w:right="0"/>
              <w:jc w:val="left"/>
              <w:rPr>
                <w:rFonts w:ascii="Times New Roman" w:hAnsi="Times New Roman" w:cs="Times New Roman" w:eastAsia="Times New Roman" w:hint="default"/>
                <w:sz w:val="18"/>
                <w:szCs w:val="18"/>
              </w:rPr>
            </w:pPr>
            <w:r>
              <w:rPr>
                <w:rFonts w:ascii="Times New Roman"/>
                <w:sz w:val="18"/>
              </w:rPr>
              <w:t>41,318</w:t>
            </w:r>
          </w:p>
        </w:tc>
        <w:tc>
          <w:tcPr>
            <w:tcW w:w="17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30"/>
                <w:sz w:val="18"/>
                <w:szCs w:val="18"/>
              </w:rPr>
              <w:t>数（如有）（参见注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年度报告披</w:t>
            </w:r>
          </w:p>
          <w:p>
            <w:pPr>
              <w:pStyle w:val="TableParagraph"/>
              <w:spacing w:line="237" w:lineRule="auto"/>
              <w:ind w:left="103" w:right="167"/>
              <w:jc w:val="both"/>
              <w:rPr>
                <w:rFonts w:ascii="宋体" w:hAnsi="宋体" w:cs="宋体" w:eastAsia="宋体" w:hint="default"/>
                <w:sz w:val="18"/>
                <w:szCs w:val="18"/>
              </w:rPr>
            </w:pPr>
            <w:r>
              <w:rPr>
                <w:rFonts w:ascii="宋体" w:hAnsi="宋体" w:cs="宋体" w:eastAsia="宋体" w:hint="default"/>
                <w:sz w:val="18"/>
                <w:szCs w:val="18"/>
              </w:rPr>
              <w:t>露日前上一 月末表决权 恢复的优先 股股东总数</w:t>
            </w:r>
          </w:p>
          <w:p>
            <w:pPr>
              <w:pStyle w:val="TableParagraph"/>
              <w:spacing w:line="234" w:lineRule="exact" w:before="20"/>
              <w:ind w:left="103" w:right="101"/>
              <w:jc w:val="both"/>
              <w:rPr>
                <w:rFonts w:ascii="宋体" w:hAnsi="宋体" w:cs="宋体" w:eastAsia="宋体" w:hint="default"/>
                <w:sz w:val="18"/>
                <w:szCs w:val="18"/>
              </w:rPr>
            </w:pPr>
            <w:r>
              <w:rPr>
                <w:rFonts w:ascii="宋体" w:hAnsi="宋体" w:cs="宋体" w:eastAsia="宋体" w:hint="default"/>
                <w:spacing w:val="-19"/>
                <w:sz w:val="18"/>
                <w:szCs w:val="18"/>
              </w:rPr>
              <w:t>（如有）（参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856"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0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7" w:hRule="exact"/>
        </w:trPr>
        <w:tc>
          <w:tcPr>
            <w:tcW w:w="14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200" w:right="16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319" w:right="10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24"/>
              <w:ind w:left="129" w:right="12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24"/>
              <w:ind w:left="103" w:right="10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7" w:lineRule="auto" w:before="24"/>
              <w:ind w:left="147" w:right="147"/>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2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7" w:hRule="exact"/>
        </w:trPr>
        <w:tc>
          <w:tcPr>
            <w:tcW w:w="1400" w:type="dxa"/>
            <w:gridSpan w:val="2"/>
            <w:vMerge/>
            <w:tcBorders>
              <w:left w:val="single" w:sz="4" w:space="0" w:color="000000"/>
              <w:bottom w:val="single" w:sz="4" w:space="0" w:color="000000"/>
              <w:right w:val="single" w:sz="4" w:space="0" w:color="000000"/>
            </w:tcBorders>
            <w:shd w:val="clear" w:color="auto" w:fill="D2D2D2"/>
          </w:tcPr>
          <w:p>
            <w:pPr/>
          </w:p>
        </w:tc>
        <w:tc>
          <w:tcPr>
            <w:tcW w:w="1186" w:type="dxa"/>
            <w:gridSpan w:val="2"/>
            <w:vMerge/>
            <w:tcBorders>
              <w:left w:val="single" w:sz="4" w:space="0" w:color="000000"/>
              <w:bottom w:val="single" w:sz="4" w:space="0" w:color="000000"/>
              <w:right w:val="single" w:sz="4" w:space="0" w:color="000000"/>
            </w:tcBorders>
            <w:shd w:val="clear" w:color="auto" w:fill="D2D2D2"/>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990" w:type="dxa"/>
            <w:gridSpan w:val="2"/>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c>
          <w:tcPr>
            <w:tcW w:w="1026" w:type="dxa"/>
            <w:gridSpan w:val="2"/>
            <w:vMerge/>
            <w:tcBorders>
              <w:left w:val="single" w:sz="4" w:space="0" w:color="000000"/>
              <w:bottom w:val="single" w:sz="4" w:space="0" w:color="000000"/>
              <w:right w:val="single" w:sz="4" w:space="0" w:color="000000"/>
            </w:tcBorders>
            <w:shd w:val="clear" w:color="auto" w:fill="D2D2D2"/>
          </w:tcPr>
          <w:p>
            <w:pPr/>
          </w:p>
        </w:tc>
        <w:tc>
          <w:tcPr>
            <w:tcW w:w="10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7" w:hRule="exact"/>
        </w:trPr>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63"/>
              <w:jc w:val="right"/>
              <w:rPr>
                <w:rFonts w:ascii="Times New Roman" w:hAnsi="Times New Roman" w:cs="Times New Roman" w:eastAsia="Times New Roman" w:hint="default"/>
                <w:sz w:val="18"/>
                <w:szCs w:val="18"/>
              </w:rPr>
            </w:pPr>
            <w:r>
              <w:rPr>
                <w:rFonts w:ascii="Times New Roman"/>
                <w:sz w:val="18"/>
              </w:rPr>
              <w:t>35.22%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6" w:right="0"/>
              <w:jc w:val="center"/>
              <w:rPr>
                <w:rFonts w:ascii="Times New Roman" w:hAnsi="Times New Roman" w:cs="Times New Roman" w:eastAsia="Times New Roman" w:hint="default"/>
                <w:sz w:val="18"/>
                <w:szCs w:val="18"/>
              </w:rPr>
            </w:pPr>
            <w:r>
              <w:rPr>
                <w:rFonts w:ascii="Times New Roman"/>
                <w:sz w:val="18"/>
              </w:rPr>
              <w:t>141,974,706</w:t>
            </w:r>
          </w:p>
        </w:tc>
        <w:tc>
          <w:tcPr>
            <w:tcW w:w="990" w:type="dxa"/>
            <w:gridSpan w:val="2"/>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106,481,029</w:t>
            </w:r>
          </w:p>
        </w:tc>
        <w:tc>
          <w:tcPr>
            <w:tcW w:w="1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35,493,677</w:t>
            </w:r>
          </w:p>
        </w:tc>
        <w:tc>
          <w:tcPr>
            <w:tcW w:w="1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77" w:right="0"/>
              <w:jc w:val="left"/>
              <w:rPr>
                <w:rFonts w:ascii="Times New Roman" w:hAnsi="Times New Roman" w:cs="Times New Roman" w:eastAsia="Times New Roman" w:hint="default"/>
                <w:sz w:val="18"/>
                <w:szCs w:val="18"/>
              </w:rPr>
            </w:pPr>
            <w:r>
              <w:rPr>
                <w:rFonts w:ascii="Times New Roman"/>
                <w:sz w:val="18"/>
              </w:rPr>
              <w:t>68,062,570</w:t>
            </w:r>
          </w:p>
        </w:tc>
      </w:tr>
      <w:tr>
        <w:trPr>
          <w:trHeight w:val="407" w:hRule="exact"/>
        </w:trPr>
        <w:tc>
          <w:tcPr>
            <w:tcW w:w="14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越超有限公司</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63"/>
              <w:jc w:val="right"/>
              <w:rPr>
                <w:rFonts w:ascii="Times New Roman" w:hAnsi="Times New Roman" w:cs="Times New Roman" w:eastAsia="Times New Roman" w:hint="default"/>
                <w:sz w:val="18"/>
                <w:szCs w:val="18"/>
              </w:rPr>
            </w:pPr>
            <w:r>
              <w:rPr>
                <w:rFonts w:ascii="Times New Roman"/>
                <w:sz w:val="18"/>
              </w:rPr>
              <w:t>6.91%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6" w:right="0"/>
              <w:jc w:val="center"/>
              <w:rPr>
                <w:rFonts w:ascii="Times New Roman" w:hAnsi="Times New Roman" w:cs="Times New Roman" w:eastAsia="Times New Roman" w:hint="default"/>
                <w:sz w:val="18"/>
                <w:szCs w:val="18"/>
              </w:rPr>
            </w:pPr>
            <w:r>
              <w:rPr>
                <w:rFonts w:ascii="Times New Roman"/>
                <w:sz w:val="18"/>
              </w:rPr>
              <w:t>27,855,706</w:t>
            </w:r>
          </w:p>
        </w:tc>
        <w:tc>
          <w:tcPr>
            <w:tcW w:w="990" w:type="dxa"/>
            <w:gridSpan w:val="2"/>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27,855,706</w:t>
            </w:r>
          </w:p>
        </w:tc>
        <w:tc>
          <w:tcPr>
            <w:tcW w:w="105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400"/>
        <w:gridCol w:w="1186"/>
        <w:gridCol w:w="772"/>
        <w:gridCol w:w="1116"/>
        <w:gridCol w:w="990"/>
        <w:gridCol w:w="1116"/>
        <w:gridCol w:w="1026"/>
        <w:gridCol w:w="1050"/>
        <w:gridCol w:w="1200"/>
      </w:tblGrid>
      <w:tr>
        <w:trPr>
          <w:trHeight w:val="407"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center"/>
              <w:rPr>
                <w:rFonts w:ascii="Times New Roman" w:hAnsi="Times New Roman" w:cs="Times New Roman" w:eastAsia="Times New Roman" w:hint="default"/>
                <w:sz w:val="18"/>
                <w:szCs w:val="18"/>
              </w:rPr>
            </w:pPr>
            <w:r>
              <w:rPr>
                <w:rFonts w:ascii="Times New Roman"/>
                <w:sz w:val="18"/>
              </w:rPr>
              <w:t>14,662,746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-215,300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11,158,534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3,504,212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78"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大洋中科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SPC</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株式会社</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80" w:right="0"/>
              <w:jc w:val="center"/>
              <w:rPr>
                <w:rFonts w:ascii="Times New Roman" w:hAnsi="Times New Roman" w:cs="Times New Roman" w:eastAsia="Times New Roman" w:hint="default"/>
                <w:sz w:val="18"/>
                <w:szCs w:val="18"/>
              </w:rPr>
            </w:pPr>
            <w:r>
              <w:rPr>
                <w:rFonts w:ascii="Times New Roman"/>
                <w:sz w:val="18"/>
              </w:rPr>
              <w:t>8,712,323</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-6,093,118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8,712,323</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全国社保基金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一一零组合</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1.77%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0" w:right="0"/>
              <w:jc w:val="center"/>
              <w:rPr>
                <w:rFonts w:ascii="Times New Roman" w:hAnsi="Times New Roman" w:cs="Times New Roman" w:eastAsia="Times New Roman" w:hint="default"/>
                <w:sz w:val="18"/>
                <w:szCs w:val="18"/>
              </w:rPr>
            </w:pPr>
            <w:r>
              <w:rPr>
                <w:rFonts w:ascii="Times New Roman"/>
                <w:sz w:val="18"/>
              </w:rPr>
              <w:t>7,153,930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2,995,489</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7,153,930</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吴安华</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1.53%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80" w:right="0"/>
              <w:jc w:val="center"/>
              <w:rPr>
                <w:rFonts w:ascii="Times New Roman" w:hAnsi="Times New Roman" w:cs="Times New Roman" w:eastAsia="Times New Roman" w:hint="default"/>
                <w:sz w:val="18"/>
                <w:szCs w:val="18"/>
              </w:rPr>
            </w:pPr>
            <w:r>
              <w:rPr>
                <w:rFonts w:ascii="Times New Roman"/>
                <w:sz w:val="18"/>
              </w:rPr>
              <w:t>6,169,489</w:t>
            </w:r>
          </w:p>
        </w:tc>
        <w:tc>
          <w:tcPr>
            <w:tcW w:w="99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6,169,489</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耿增强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 w:right="0"/>
              <w:jc w:val="center"/>
              <w:rPr>
                <w:rFonts w:ascii="Times New Roman" w:hAnsi="Times New Roman" w:cs="Times New Roman" w:eastAsia="Times New Roman" w:hint="default"/>
                <w:sz w:val="18"/>
                <w:szCs w:val="18"/>
              </w:rPr>
            </w:pPr>
            <w:r>
              <w:rPr>
                <w:rFonts w:ascii="Times New Roman"/>
                <w:sz w:val="18"/>
              </w:rPr>
              <w:t>5,858,546</w:t>
            </w:r>
          </w:p>
        </w:tc>
        <w:tc>
          <w:tcPr>
            <w:tcW w:w="99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5,858,546</w:t>
            </w:r>
          </w:p>
        </w:tc>
        <w:tc>
          <w:tcPr>
            <w:tcW w:w="1026"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1,720,000</w:t>
            </w:r>
          </w:p>
        </w:tc>
      </w:tr>
      <w:tr>
        <w:trPr>
          <w:trHeight w:val="1411"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股份有限公司</w:t>
            </w:r>
          </w:p>
          <w:p>
            <w:pPr>
              <w:pStyle w:val="TableParagraph"/>
              <w:spacing w:line="237" w:lineRule="auto" w:before="1"/>
              <w:ind w:left="103" w:right="204"/>
              <w:jc w:val="both"/>
              <w:rPr>
                <w:rFonts w:ascii="宋体" w:hAnsi="宋体" w:cs="宋体" w:eastAsia="宋体" w:hint="default"/>
                <w:sz w:val="18"/>
                <w:szCs w:val="18"/>
              </w:rPr>
            </w:pPr>
            <w:r>
              <w:rPr>
                <w:rFonts w:ascii="宋体" w:hAnsi="宋体" w:cs="宋体" w:eastAsia="宋体" w:hint="default"/>
                <w:sz w:val="18"/>
                <w:szCs w:val="18"/>
              </w:rPr>
              <w:t>－易方达创业 板交易型开放 式指数证券投 资基金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4,578,833</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3,601,491</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4,578,833</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1410"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中国建设银行</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股份有限公司</w:t>
            </w:r>
          </w:p>
          <w:p>
            <w:pPr>
              <w:pStyle w:val="TableParagraph"/>
              <w:spacing w:line="232" w:lineRule="auto" w:before="5"/>
              <w:ind w:left="103" w:right="160"/>
              <w:jc w:val="both"/>
              <w:rPr>
                <w:rFonts w:ascii="宋体" w:hAnsi="宋体" w:cs="宋体" w:eastAsia="宋体" w:hint="default"/>
                <w:sz w:val="18"/>
                <w:szCs w:val="18"/>
              </w:rPr>
            </w:pPr>
            <w:r>
              <w:rPr>
                <w:rFonts w:ascii="宋体" w:hAnsi="宋体" w:cs="宋体" w:eastAsia="宋体" w:hint="default"/>
                <w:sz w:val="18"/>
                <w:szCs w:val="18"/>
              </w:rPr>
              <w:t>－华安创业板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交易型开放 式指数证券投 资基金</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sz w:val="18"/>
              </w:rPr>
              <w:t>3,898,578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3,898,578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3,898,578</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展讯通信（天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津）有限公司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0.92%</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80" w:right="0"/>
              <w:jc w:val="center"/>
              <w:rPr>
                <w:rFonts w:ascii="Times New Roman" w:hAnsi="Times New Roman" w:cs="Times New Roman" w:eastAsia="Times New Roman" w:hint="default"/>
                <w:sz w:val="18"/>
                <w:szCs w:val="18"/>
              </w:rPr>
            </w:pPr>
            <w:r>
              <w:rPr>
                <w:rFonts w:ascii="Times New Roman"/>
                <w:sz w:val="18"/>
              </w:rPr>
              <w:t>3,722,856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-975,100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3,722,856</w:t>
            </w:r>
          </w:p>
        </w:tc>
        <w:tc>
          <w:tcPr>
            <w:tcW w:w="105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5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w:t>
            </w:r>
          </w:p>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2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6" w:hRule="exact"/>
        </w:trPr>
        <w:tc>
          <w:tcPr>
            <w:tcW w:w="25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的说明</w:t>
            </w:r>
          </w:p>
        </w:tc>
        <w:tc>
          <w:tcPr>
            <w:tcW w:w="72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8" w:hRule="exact"/>
        </w:trPr>
        <w:tc>
          <w:tcPr>
            <w:tcW w:w="98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7" w:hRule="exact"/>
        </w:trPr>
        <w:tc>
          <w:tcPr>
            <w:tcW w:w="25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2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15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2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7" w:hRule="exact"/>
        </w:trPr>
        <w:tc>
          <w:tcPr>
            <w:tcW w:w="2585" w:type="dxa"/>
            <w:gridSpan w:val="2"/>
            <w:vMerge/>
            <w:tcBorders>
              <w:left w:val="single" w:sz="4" w:space="0" w:color="000000"/>
              <w:bottom w:val="single" w:sz="4" w:space="0" w:color="000000"/>
              <w:right w:val="single" w:sz="4" w:space="0" w:color="000000"/>
            </w:tcBorders>
            <w:shd w:val="clear" w:color="auto" w:fill="D2D2D2"/>
          </w:tcPr>
          <w:p>
            <w:pPr/>
          </w:p>
        </w:tc>
        <w:tc>
          <w:tcPr>
            <w:tcW w:w="5020" w:type="dxa"/>
            <w:gridSpan w:val="5"/>
            <w:vMerge/>
            <w:tcBorders>
              <w:left w:val="single" w:sz="4" w:space="0" w:color="000000"/>
              <w:bottom w:val="single" w:sz="4" w:space="0" w:color="000000"/>
              <w:right w:val="single" w:sz="4" w:space="0" w:color="000000"/>
            </w:tcBorders>
            <w:shd w:val="clear" w:color="auto" w:fill="D2D2D2"/>
          </w:tcPr>
          <w:p>
            <w:pP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76" w:hRule="exact"/>
        </w:trPr>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50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35,493,677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35,493,677</w:t>
            </w:r>
          </w:p>
        </w:tc>
      </w:tr>
      <w:tr>
        <w:trPr>
          <w:trHeight w:val="476" w:hRule="exact"/>
        </w:trPr>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越超有限公司</w:t>
            </w:r>
          </w:p>
        </w:tc>
        <w:tc>
          <w:tcPr>
            <w:tcW w:w="50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27,855,706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人民币普</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27,855,706</w:t>
            </w:r>
          </w:p>
        </w:tc>
      </w:tr>
      <w:tr>
        <w:trPr>
          <w:trHeight w:val="478" w:hRule="exact"/>
        </w:trPr>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大洋中科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株式会社</w:t>
            </w:r>
          </w:p>
        </w:tc>
        <w:tc>
          <w:tcPr>
            <w:tcW w:w="50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8,712,323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8,712,323</w:t>
            </w:r>
          </w:p>
        </w:tc>
      </w:tr>
      <w:tr>
        <w:trPr>
          <w:trHeight w:val="476" w:hRule="exact"/>
        </w:trPr>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全国社保基金一一零组合</w:t>
            </w:r>
          </w:p>
        </w:tc>
        <w:tc>
          <w:tcPr>
            <w:tcW w:w="50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7,153,930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人民币普</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7,153,930</w:t>
            </w:r>
          </w:p>
        </w:tc>
      </w:tr>
      <w:tr>
        <w:trPr>
          <w:trHeight w:val="710" w:hRule="exact"/>
        </w:trPr>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p>
            <w:pPr>
              <w:pStyle w:val="TableParagraph"/>
              <w:spacing w:line="240" w:lineRule="auto"/>
              <w:ind w:left="103" w:right="130"/>
              <w:jc w:val="left"/>
              <w:rPr>
                <w:rFonts w:ascii="宋体" w:hAnsi="宋体" w:cs="宋体" w:eastAsia="宋体" w:hint="default"/>
                <w:sz w:val="18"/>
                <w:szCs w:val="18"/>
              </w:rPr>
            </w:pPr>
            <w:r>
              <w:rPr>
                <w:rFonts w:ascii="宋体" w:hAnsi="宋体" w:cs="宋体" w:eastAsia="宋体" w:hint="default"/>
                <w:sz w:val="18"/>
                <w:szCs w:val="18"/>
              </w:rPr>
              <w:t>易方达创业板交易型开放式指 数证券投资基金</w:t>
            </w:r>
          </w:p>
        </w:tc>
        <w:tc>
          <w:tcPr>
            <w:tcW w:w="50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4,578,833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1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4,578,833</w:t>
            </w:r>
          </w:p>
        </w:tc>
      </w:tr>
      <w:tr>
        <w:trPr>
          <w:trHeight w:val="710" w:hRule="exact"/>
        </w:trPr>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p>
            <w:pPr>
              <w:pStyle w:val="TableParagraph"/>
              <w:spacing w:line="232" w:lineRule="exact" w:before="24"/>
              <w:ind w:left="103" w:right="221"/>
              <w:jc w:val="left"/>
              <w:rPr>
                <w:rFonts w:ascii="宋体" w:hAnsi="宋体" w:cs="宋体" w:eastAsia="宋体" w:hint="default"/>
                <w:sz w:val="18"/>
                <w:szCs w:val="18"/>
              </w:rPr>
            </w:pPr>
            <w:r>
              <w:rPr>
                <w:rFonts w:ascii="宋体" w:hAnsi="宋体" w:cs="宋体" w:eastAsia="宋体" w:hint="default"/>
                <w:sz w:val="18"/>
                <w:szCs w:val="18"/>
              </w:rPr>
              <w:t>华安创业板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交易型开放式 指数证券投资基金</w:t>
            </w:r>
          </w:p>
        </w:tc>
        <w:tc>
          <w:tcPr>
            <w:tcW w:w="50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3,898,578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15"/>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3,898,578</w:t>
            </w:r>
          </w:p>
        </w:tc>
      </w:tr>
      <w:tr>
        <w:trPr>
          <w:trHeight w:val="476" w:hRule="exact"/>
        </w:trPr>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展讯通信（天津）有限公司</w:t>
            </w:r>
          </w:p>
        </w:tc>
        <w:tc>
          <w:tcPr>
            <w:tcW w:w="50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3,722,856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人民币普</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3,722,856</w:t>
            </w:r>
          </w:p>
        </w:tc>
      </w:tr>
      <w:tr>
        <w:trPr>
          <w:trHeight w:val="478" w:hRule="exact"/>
        </w:trPr>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达孜县创达信科技有限公司</w:t>
            </w:r>
          </w:p>
        </w:tc>
        <w:tc>
          <w:tcPr>
            <w:tcW w:w="50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3,575,218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3,575,218</w:t>
            </w:r>
          </w:p>
        </w:tc>
      </w:tr>
      <w:tr>
        <w:trPr>
          <w:trHeight w:val="477" w:hRule="exact"/>
        </w:trPr>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50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3,504,212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人民币普</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3,504,212</w:t>
            </w:r>
          </w:p>
        </w:tc>
      </w:tr>
      <w:tr>
        <w:trPr>
          <w:trHeight w:val="478" w:hRule="exact"/>
        </w:trPr>
        <w:tc>
          <w:tcPr>
            <w:tcW w:w="2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达孜县创达立咨询有限公司</w:t>
            </w:r>
          </w:p>
        </w:tc>
        <w:tc>
          <w:tcPr>
            <w:tcW w:w="50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3,454,804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人民币普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3,454,804</w:t>
            </w:r>
          </w:p>
        </w:tc>
      </w:tr>
      <w:tr>
        <w:trPr>
          <w:trHeight w:val="710" w:hRule="exact"/>
        </w:trPr>
        <w:tc>
          <w:tcPr>
            <w:tcW w:w="25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间，以及前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w:t>
            </w:r>
          </w:p>
        </w:tc>
        <w:tc>
          <w:tcPr>
            <w:tcW w:w="72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585"/>
        <w:gridCol w:w="7270"/>
      </w:tblGrid>
      <w:tr>
        <w:trPr>
          <w:trHeight w:val="407"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关系或一致行动的说明</w:t>
            </w:r>
          </w:p>
        </w:tc>
        <w:tc>
          <w:tcPr>
            <w:tcW w:w="727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Times New Roman" w:hAnsi="Times New Roman" w:cs="Times New Roman" w:eastAsia="Times New Roman" w:hint="default"/>
          <w:sz w:val="8"/>
          <w:szCs w:val="8"/>
        </w:rPr>
      </w:pPr>
    </w:p>
    <w:p>
      <w:pPr>
        <w:pStyle w:val="BodyText"/>
        <w:spacing w:line="240" w:lineRule="auto" w:before="35"/>
        <w:ind w:right="1016"/>
        <w:jc w:val="left"/>
      </w:pPr>
      <w:r>
        <w:rPr/>
        <w:t>公司前</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名普通股股东、前</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名无限售条件普通股股东在报告期内未进行约定购回交易。</w:t>
      </w:r>
    </w:p>
    <w:p>
      <w:pPr>
        <w:spacing w:line="240" w:lineRule="auto" w:before="2"/>
        <w:rPr>
          <w:rFonts w:ascii="宋体" w:hAnsi="宋体" w:cs="宋体" w:eastAsia="宋体" w:hint="default"/>
          <w:sz w:val="16"/>
          <w:szCs w:val="16"/>
        </w:rPr>
      </w:pPr>
    </w:p>
    <w:p>
      <w:pPr>
        <w:pStyle w:val="BodyText"/>
        <w:spacing w:line="458" w:lineRule="auto"/>
        <w:ind w:right="7812"/>
        <w:jc w:val="left"/>
      </w:pPr>
      <w:bookmarkStart w:name="2、公司控股股东情况" w:id="111"/>
      <w:bookmarkEnd w:id="111"/>
      <w:r>
        <w:rPr/>
      </w:r>
      <w:r>
        <w:rPr>
          <w:rFonts w:ascii="Times New Roman" w:hAnsi="Times New Roman" w:cs="Times New Roman" w:eastAsia="Times New Roman" w:hint="default"/>
        </w:rPr>
        <w:t>2</w:t>
      </w:r>
      <w:r>
        <w:rPr>
          <w:rFonts w:ascii="微软雅黑" w:hAnsi="微软雅黑" w:cs="微软雅黑" w:eastAsia="微软雅黑" w:hint="default"/>
        </w:rPr>
        <w:t>、公司控股股东情况 </w:t>
      </w:r>
      <w:r>
        <w:rPr/>
        <w:t>控股股东性质：自然人控股 控股股东类型：自然人</w:t>
      </w:r>
    </w:p>
    <w:p>
      <w:pPr>
        <w:spacing w:line="240" w:lineRule="auto" w:before="12"/>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520"/>
        <w:gridCol w:w="2091"/>
        <w:gridCol w:w="4245"/>
      </w:tblGrid>
      <w:tr>
        <w:trPr>
          <w:trHeight w:val="406"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56"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8" w:hRule="exact"/>
        </w:trPr>
        <w:tc>
          <w:tcPr>
            <w:tcW w:w="3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本公司董事长、总经理</w:t>
            </w:r>
          </w:p>
        </w:tc>
      </w:tr>
      <w:tr>
        <w:trPr>
          <w:trHeight w:val="476" w:hRule="exact"/>
        </w:trPr>
        <w:tc>
          <w:tcPr>
            <w:tcW w:w="3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司的股权情况</w:t>
            </w:r>
          </w:p>
        </w:tc>
        <w:tc>
          <w:tcPr>
            <w:tcW w:w="6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7"/>
          <w:szCs w:val="7"/>
        </w:rPr>
      </w:pPr>
    </w:p>
    <w:p>
      <w:pPr>
        <w:pStyle w:val="BodyText"/>
        <w:spacing w:line="451" w:lineRule="auto" w:before="35"/>
        <w:ind w:right="7077"/>
        <w:jc w:val="left"/>
      </w:pPr>
      <w:r>
        <w:rPr/>
        <w:t>控股股东报告期内变更 公司报告期控股股东未发生变更。 </w:t>
      </w:r>
      <w:bookmarkStart w:name="3、公司实际控制人及其一致行动人" w:id="112"/>
      <w:bookmarkEnd w:id="112"/>
      <w:r>
        <w:rPr/>
      </w:r>
      <w:r>
        <w:rPr>
          <w:rFonts w:ascii="Times New Roman" w:hAnsi="Times New Roman" w:cs="Times New Roman" w:eastAsia="Times New Roman" w:hint="default"/>
        </w:rPr>
        <w:t>3</w:t>
      </w:r>
      <w:r>
        <w:rPr>
          <w:rFonts w:ascii="微软雅黑" w:hAnsi="微软雅黑" w:cs="微软雅黑" w:eastAsia="微软雅黑" w:hint="default"/>
        </w:rPr>
        <w:t>、公司实际控制人及其一致行动人 </w:t>
      </w:r>
      <w:r>
        <w:rPr/>
        <w:t>实际控制人性质：境内自然人 实际控制人类型：自然人</w:t>
      </w:r>
    </w:p>
    <w:p>
      <w:pPr>
        <w:spacing w:line="240" w:lineRule="auto" w:before="6"/>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022"/>
        <w:gridCol w:w="2907"/>
      </w:tblGrid>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3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本公司董事长、总经理</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年曾控股的境内外上</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市公司情况</w:t>
            </w:r>
          </w:p>
        </w:tc>
        <w:tc>
          <w:tcPr>
            <w:tcW w:w="73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7"/>
          <w:szCs w:val="7"/>
        </w:rPr>
      </w:pPr>
    </w:p>
    <w:p>
      <w:pPr>
        <w:pStyle w:val="BodyText"/>
        <w:spacing w:line="444" w:lineRule="auto" w:before="35"/>
        <w:ind w:right="6972"/>
        <w:jc w:val="left"/>
      </w:pPr>
      <w:r>
        <w:rPr/>
        <w:t>实际控制人报告期内变更 公司报告期实际控制人未发生变更。</w:t>
      </w:r>
    </w:p>
    <w:p>
      <w:pPr>
        <w:spacing w:after="0" w:line="444" w:lineRule="auto"/>
        <w:jc w:val="left"/>
        <w:sectPr>
          <w:pgSz w:w="11910" w:h="16840"/>
          <w:pgMar w:header="801" w:footer="1007" w:top="1100" w:bottom="1200" w:left="920" w:right="0"/>
        </w:sectPr>
      </w:pPr>
    </w:p>
    <w:p>
      <w:pPr>
        <w:spacing w:line="240" w:lineRule="auto" w:before="1"/>
        <w:rPr>
          <w:rFonts w:ascii="宋体" w:hAnsi="宋体" w:cs="宋体" w:eastAsia="宋体" w:hint="default"/>
          <w:sz w:val="19"/>
          <w:szCs w:val="19"/>
        </w:rPr>
      </w:pPr>
    </w:p>
    <w:p>
      <w:pPr>
        <w:pStyle w:val="BodyText"/>
        <w:spacing w:line="240" w:lineRule="auto" w:before="35"/>
        <w:ind w:left="574" w:right="1116"/>
        <w:jc w:val="left"/>
      </w:pPr>
      <w:r>
        <w:rPr/>
        <w:t>公司与实际控制人之间的产权及控制关系的方框图</w:t>
      </w:r>
    </w:p>
    <w:p>
      <w:pPr>
        <w:spacing w:line="240" w:lineRule="auto" w:before="13"/>
        <w:rPr>
          <w:rFonts w:ascii="宋体" w:hAnsi="宋体" w:cs="宋体" w:eastAsia="宋体" w:hint="default"/>
          <w:sz w:val="22"/>
          <w:szCs w:val="22"/>
        </w:rPr>
      </w:pPr>
    </w:p>
    <w:p>
      <w:pPr>
        <w:spacing w:line="4065" w:lineRule="exact"/>
        <w:ind w:left="1356"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1331" cy="2581275"/>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17" cstate="print"/>
                    <a:stretch>
                      <a:fillRect/>
                    </a:stretch>
                  </pic:blipFill>
                  <pic:spPr>
                    <a:xfrm>
                      <a:off x="0" y="0"/>
                      <a:ext cx="4591331" cy="2581275"/>
                    </a:xfrm>
                    <a:prstGeom prst="rect">
                      <a:avLst/>
                    </a:prstGeom>
                  </pic:spPr>
                </pic:pic>
              </a:graphicData>
            </a:graphic>
          </wp:inline>
        </w:drawing>
      </w:r>
      <w:r>
        <w:rPr>
          <w:rFonts w:ascii="宋体" w:hAnsi="宋体" w:cs="宋体" w:eastAsia="宋体" w:hint="default"/>
          <w:position w:val="-80"/>
          <w:sz w:val="20"/>
          <w:szCs w:val="20"/>
        </w:rPr>
      </w:r>
    </w:p>
    <w:p>
      <w:pPr>
        <w:pStyle w:val="BodyText"/>
        <w:spacing w:line="240" w:lineRule="auto" w:before="167"/>
        <w:ind w:left="574" w:right="1116"/>
        <w:jc w:val="left"/>
      </w:pPr>
      <w:r>
        <w:rPr/>
        <w:t>实际控制人通过信托或其他资产管理方式控制公司</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16"/>
          <w:szCs w:val="16"/>
        </w:rPr>
      </w:pPr>
    </w:p>
    <w:p>
      <w:pPr>
        <w:pStyle w:val="BodyText"/>
        <w:spacing w:line="240" w:lineRule="auto"/>
        <w:ind w:left="574" w:right="1116"/>
        <w:jc w:val="left"/>
        <w:rPr>
          <w:rFonts w:ascii="微软雅黑" w:hAnsi="微软雅黑" w:cs="微软雅黑" w:eastAsia="微软雅黑" w:hint="default"/>
        </w:rPr>
      </w:pPr>
      <w:bookmarkStart w:name="4、其他持股在10%以上的法人股东" w:id="113"/>
      <w:bookmarkEnd w:id="113"/>
      <w:r>
        <w:rPr/>
      </w:r>
      <w:r>
        <w:rPr>
          <w:rFonts w:ascii="Times New Roman" w:hAnsi="Times New Roman" w:cs="Times New Roman" w:eastAsia="Times New Roman" w:hint="default"/>
        </w:rPr>
        <w:t>4</w:t>
      </w:r>
      <w:r>
        <w:rPr>
          <w:rFonts w:ascii="微软雅黑" w:hAnsi="微软雅黑" w:cs="微软雅黑" w:eastAsia="微软雅黑" w:hint="default"/>
        </w:rPr>
        <w:t>、其他持股在</w:t>
      </w:r>
      <w:r>
        <w:rPr>
          <w:rFonts w:ascii="微软雅黑" w:hAnsi="微软雅黑" w:cs="微软雅黑" w:eastAsia="微软雅黑" w:hint="default"/>
          <w:spacing w:val="-14"/>
        </w:rPr>
        <w:t> </w:t>
      </w:r>
      <w:r>
        <w:rPr>
          <w:rFonts w:ascii="Times New Roman" w:hAnsi="Times New Roman" w:cs="Times New Roman" w:eastAsia="Times New Roman" w:hint="default"/>
        </w:rPr>
        <w:t>10%</w:t>
      </w:r>
      <w:r>
        <w:rPr>
          <w:rFonts w:ascii="微软雅黑" w:hAnsi="微软雅黑" w:cs="微软雅黑" w:eastAsia="微软雅黑" w:hint="default"/>
        </w:rPr>
        <w:t>以上的法人股东</w:t>
      </w:r>
    </w:p>
    <w:p>
      <w:pPr>
        <w:spacing w:line="240" w:lineRule="auto" w:before="7"/>
        <w:rPr>
          <w:rFonts w:ascii="微软雅黑" w:hAnsi="微软雅黑" w:cs="微软雅黑" w:eastAsia="微软雅黑" w:hint="default"/>
          <w:sz w:val="20"/>
          <w:szCs w:val="20"/>
        </w:rPr>
      </w:pPr>
    </w:p>
    <w:p>
      <w:pPr>
        <w:pStyle w:val="BodyText"/>
        <w:spacing w:line="240" w:lineRule="auto"/>
        <w:ind w:left="57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16"/>
          <w:szCs w:val="16"/>
        </w:rPr>
      </w:pPr>
    </w:p>
    <w:p>
      <w:pPr>
        <w:pStyle w:val="BodyText"/>
        <w:spacing w:line="240" w:lineRule="auto"/>
        <w:ind w:left="574" w:right="1116"/>
        <w:jc w:val="left"/>
        <w:rPr>
          <w:rFonts w:ascii="微软雅黑" w:hAnsi="微软雅黑" w:cs="微软雅黑" w:eastAsia="微软雅黑" w:hint="default"/>
        </w:rPr>
      </w:pPr>
      <w:bookmarkStart w:name="5、控股股东、实际控制人、重组方及其他承诺主体股份限制减持情况" w:id="114"/>
      <w:bookmarkEnd w:id="114"/>
      <w:r>
        <w:rPr/>
      </w:r>
      <w:r>
        <w:rPr>
          <w:rFonts w:ascii="Times New Roman" w:hAnsi="Times New Roman" w:cs="Times New Roman" w:eastAsia="Times New Roman" w:hint="default"/>
        </w:rPr>
        <w:t>5</w:t>
      </w:r>
      <w:r>
        <w:rPr>
          <w:rFonts w:ascii="微软雅黑" w:hAnsi="微软雅黑" w:cs="微软雅黑" w:eastAsia="微软雅黑" w:hint="default"/>
        </w:rPr>
        <w:t>、控股股东、实际控制人、重组方及其他承诺主体股份限制减持情况</w:t>
      </w:r>
    </w:p>
    <w:p>
      <w:pPr>
        <w:spacing w:line="240" w:lineRule="auto" w:before="7"/>
        <w:rPr>
          <w:rFonts w:ascii="微软雅黑" w:hAnsi="微软雅黑" w:cs="微软雅黑" w:eastAsia="微软雅黑" w:hint="default"/>
          <w:sz w:val="20"/>
          <w:szCs w:val="20"/>
        </w:rPr>
      </w:pPr>
    </w:p>
    <w:p>
      <w:pPr>
        <w:pStyle w:val="BodyText"/>
        <w:spacing w:line="240" w:lineRule="auto"/>
        <w:ind w:left="57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01" w:footer="1007"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441" w:lineRule="exact"/>
        <w:ind w:left="3293" w:right="1116"/>
        <w:jc w:val="left"/>
        <w:rPr>
          <w:b w:val="0"/>
          <w:bCs w:val="0"/>
        </w:rPr>
      </w:pPr>
      <w:bookmarkStart w:name="第七节 优先股相关情况" w:id="115"/>
      <w:bookmarkEnd w:id="115"/>
      <w:r>
        <w:rPr>
          <w:b w:val="0"/>
          <w:bCs w:val="0"/>
        </w:rPr>
      </w:r>
      <w:bookmarkStart w:name="_bookmark5" w:id="116"/>
      <w:bookmarkEnd w:id="116"/>
      <w:r>
        <w:rPr>
          <w:b w:val="0"/>
          <w:bCs w:val="0"/>
        </w:rPr>
      </w:r>
      <w:r>
        <w:rPr/>
        <w:t>第七节</w:t>
      </w:r>
      <w:r>
        <w:rPr>
          <w:spacing w:val="63"/>
        </w:rPr>
        <w:t> </w:t>
      </w:r>
      <w:r>
        <w:rPr/>
        <w:t>优先股相关情况</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6"/>
        <w:rPr>
          <w:rFonts w:ascii="微软雅黑" w:hAnsi="微软雅黑" w:cs="微软雅黑" w:eastAsia="微软雅黑" w:hint="default"/>
          <w:b/>
          <w:bCs/>
          <w:sz w:val="23"/>
          <w:szCs w:val="23"/>
        </w:rPr>
      </w:pPr>
    </w:p>
    <w:p>
      <w:pPr>
        <w:pStyle w:val="BodyText"/>
        <w:spacing w:line="240" w:lineRule="auto" w:before="35"/>
        <w:ind w:left="574" w:right="1116"/>
        <w:jc w:val="left"/>
      </w:pPr>
      <w:r>
        <w:rPr/>
        <w:t>报告期公司不存在优先股。</w:t>
      </w:r>
    </w:p>
    <w:p>
      <w:pPr>
        <w:spacing w:after="0" w:line="240" w:lineRule="auto"/>
        <w:jc w:val="left"/>
        <w:sectPr>
          <w:pgSz w:w="11910" w:h="16840"/>
          <w:pgMar w:header="801" w:footer="1007"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441" w:lineRule="exact"/>
        <w:ind w:left="1993" w:right="1932"/>
        <w:jc w:val="left"/>
        <w:rPr>
          <w:b w:val="0"/>
          <w:bCs w:val="0"/>
        </w:rPr>
      </w:pPr>
      <w:bookmarkStart w:name="第八节 董事、监事、高级管理人员和员工情况" w:id="117"/>
      <w:bookmarkEnd w:id="117"/>
      <w:r>
        <w:rPr>
          <w:b w:val="0"/>
          <w:bCs w:val="0"/>
        </w:rPr>
      </w:r>
      <w:bookmarkStart w:name="_bookmark6" w:id="118"/>
      <w:bookmarkEnd w:id="118"/>
      <w:r>
        <w:rPr>
          <w:b w:val="0"/>
          <w:bCs w:val="0"/>
        </w:rPr>
      </w:r>
      <w:r>
        <w:rPr/>
        <w:t>第八节</w:t>
      </w:r>
      <w:r>
        <w:rPr>
          <w:spacing w:val="60"/>
        </w:rPr>
        <w:t> </w:t>
      </w:r>
      <w:r>
        <w:rPr/>
        <w:t>董事、监事、高级管理人员和员工情况</w:t>
      </w:r>
      <w:r>
        <w:rPr>
          <w:b w:val="0"/>
          <w:bCs w:val="0"/>
        </w:rPr>
      </w:r>
    </w:p>
    <w:p>
      <w:pPr>
        <w:spacing w:line="240" w:lineRule="auto" w:before="2"/>
        <w:rPr>
          <w:rFonts w:ascii="微软雅黑" w:hAnsi="微软雅黑" w:cs="微软雅黑" w:eastAsia="微软雅黑" w:hint="default"/>
          <w:b/>
          <w:bCs/>
          <w:sz w:val="44"/>
          <w:szCs w:val="44"/>
        </w:rPr>
      </w:pPr>
    </w:p>
    <w:p>
      <w:pPr>
        <w:pStyle w:val="Heading2"/>
        <w:spacing w:line="240" w:lineRule="auto"/>
        <w:ind w:left="454" w:right="1932"/>
        <w:jc w:val="left"/>
      </w:pPr>
      <w:bookmarkStart w:name="一、董事、监事和高级管理人员持股变动" w:id="119"/>
      <w:bookmarkEnd w:id="119"/>
      <w:r>
        <w:rPr/>
      </w:r>
      <w:r>
        <w:rPr/>
        <w:t>一、董事、监事和高级管理人员持股变动</w:t>
      </w:r>
    </w:p>
    <w:p>
      <w:pPr>
        <w:spacing w:line="240" w:lineRule="auto" w:before="1"/>
        <w:rPr>
          <w:rFonts w:ascii="微软雅黑" w:hAnsi="微软雅黑" w:cs="微软雅黑" w:eastAsia="微软雅黑"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758"/>
        <w:gridCol w:w="759"/>
        <w:gridCol w:w="756"/>
        <w:gridCol w:w="756"/>
        <w:gridCol w:w="756"/>
        <w:gridCol w:w="987"/>
        <w:gridCol w:w="988"/>
        <w:gridCol w:w="1117"/>
        <w:gridCol w:w="761"/>
        <w:gridCol w:w="802"/>
        <w:gridCol w:w="757"/>
        <w:gridCol w:w="1116"/>
      </w:tblGrid>
      <w:tr>
        <w:trPr>
          <w:trHeight w:val="943" w:hRule="exact"/>
        </w:trPr>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微软雅黑" w:hAnsi="微软雅黑" w:cs="微软雅黑" w:eastAsia="微软雅黑" w:hint="default"/>
                <w:sz w:val="11"/>
                <w:szCs w:val="11"/>
              </w:rPr>
            </w:pPr>
          </w:p>
          <w:p>
            <w:pPr>
              <w:pStyle w:val="TableParagraph"/>
              <w:spacing w:line="240" w:lineRule="auto"/>
              <w:ind w:left="192" w:right="192"/>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微软雅黑" w:hAnsi="微软雅黑" w:cs="微软雅黑" w:eastAsia="微软雅黑" w:hint="default"/>
                <w:sz w:val="11"/>
                <w:szCs w:val="11"/>
              </w:rPr>
            </w:pPr>
          </w:p>
          <w:p>
            <w:pPr>
              <w:pStyle w:val="TableParagraph"/>
              <w:spacing w:line="240" w:lineRule="auto"/>
              <w:ind w:left="307" w:right="129" w:hanging="181"/>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微软雅黑" w:hAnsi="微软雅黑" w:cs="微软雅黑" w:eastAsia="微软雅黑" w:hint="default"/>
                <w:sz w:val="11"/>
                <w:szCs w:val="11"/>
              </w:rPr>
            </w:pPr>
          </w:p>
          <w:p>
            <w:pPr>
              <w:pStyle w:val="TableParagraph"/>
              <w:spacing w:line="240" w:lineRule="auto"/>
              <w:ind w:left="308" w:right="12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微软雅黑" w:hAnsi="微软雅黑" w:cs="微软雅黑" w:eastAsia="微软雅黑" w:hint="default"/>
                <w:sz w:val="11"/>
                <w:szCs w:val="11"/>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ind w:left="195" w:right="105" w:hanging="90"/>
              <w:jc w:val="left"/>
              <w:rPr>
                <w:rFonts w:ascii="宋体" w:hAnsi="宋体" w:cs="宋体" w:eastAsia="宋体" w:hint="default"/>
                <w:sz w:val="18"/>
                <w:szCs w:val="18"/>
              </w:rPr>
            </w:pPr>
            <w:r>
              <w:rPr>
                <w:rFonts w:ascii="宋体" w:hAnsi="宋体" w:cs="宋体" w:eastAsia="宋体" w:hint="default"/>
                <w:sz w:val="18"/>
                <w:szCs w:val="18"/>
              </w:rPr>
              <w:t>持股份 数量</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26" w:right="0"/>
              <w:jc w:val="left"/>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40" w:lineRule="auto"/>
              <w:ind w:left="216" w:right="125" w:hanging="90"/>
              <w:jc w:val="left"/>
              <w:rPr>
                <w:rFonts w:ascii="宋体" w:hAnsi="宋体" w:cs="宋体" w:eastAsia="宋体" w:hint="default"/>
                <w:sz w:val="18"/>
                <w:szCs w:val="18"/>
              </w:rPr>
            </w:pPr>
            <w:r>
              <w:rPr>
                <w:rFonts w:ascii="宋体" w:hAnsi="宋体" w:cs="宋体" w:eastAsia="宋体" w:hint="default"/>
                <w:sz w:val="18"/>
                <w:szCs w:val="18"/>
              </w:rPr>
              <w:t>持股份 数量</w:t>
            </w:r>
          </w:p>
          <w:p>
            <w:pPr>
              <w:pStyle w:val="TableParagraph"/>
              <w:spacing w:line="233" w:lineRule="exact"/>
              <w:ind w:left="12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3" w:right="10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微软雅黑" w:hAnsi="微软雅黑" w:cs="微软雅黑" w:eastAsia="微软雅黑" w:hint="default"/>
                <w:sz w:val="11"/>
                <w:szCs w:val="11"/>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0"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长、总 经</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141,974,706</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141,974,706</w:t>
            </w:r>
          </w:p>
        </w:tc>
      </w:tr>
      <w:tr>
        <w:trPr>
          <w:trHeight w:val="710"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邹鹏程</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1,091,226</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1,091,226</w:t>
            </w:r>
          </w:p>
        </w:tc>
      </w:tr>
      <w:tr>
        <w:trPr>
          <w:trHeight w:val="710"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2" w:lineRule="exact" w:before="24"/>
              <w:ind w:left="103" w:right="10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449,524</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446,524</w:t>
            </w:r>
          </w:p>
        </w:tc>
      </w:tr>
      <w:tr>
        <w:trPr>
          <w:trHeight w:val="117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王焕欣</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7" w:lineRule="auto" w:before="1"/>
              <w:ind w:left="103" w:right="103"/>
              <w:jc w:val="both"/>
              <w:rPr>
                <w:rFonts w:ascii="宋体" w:hAnsi="宋体" w:cs="宋体" w:eastAsia="宋体" w:hint="default"/>
                <w:sz w:val="18"/>
                <w:szCs w:val="18"/>
              </w:rPr>
            </w:pPr>
            <w:r>
              <w:rPr>
                <w:rFonts w:ascii="宋体" w:hAnsi="宋体" w:cs="宋体" w:eastAsia="宋体" w:hint="default"/>
                <w:sz w:val="18"/>
                <w:szCs w:val="18"/>
              </w:rPr>
              <w:t>财务总 监、董 事会秘 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25"/>
                <w:szCs w:val="2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9"/>
              <w:ind w:right="0"/>
              <w:jc w:val="left"/>
              <w:rPr>
                <w:rFonts w:ascii="微软雅黑" w:hAnsi="微软雅黑" w:cs="微软雅黑" w:eastAsia="微软雅黑" w:hint="default"/>
                <w:sz w:val="9"/>
                <w:szCs w:val="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9"/>
              <w:ind w:right="0"/>
              <w:jc w:val="left"/>
              <w:rPr>
                <w:rFonts w:ascii="微软雅黑" w:hAnsi="微软雅黑" w:cs="微软雅黑" w:eastAsia="微软雅黑" w:hint="default"/>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9"/>
              <w:ind w:right="0"/>
              <w:jc w:val="left"/>
              <w:rPr>
                <w:rFonts w:ascii="微软雅黑" w:hAnsi="微软雅黑" w:cs="微软雅黑" w:eastAsia="微软雅黑" w:hint="default"/>
                <w:sz w:val="9"/>
                <w:szCs w:val="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7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Times New Roman" w:hAnsi="Times New Roman" w:cs="Times New Roman" w:eastAsia="Times New Roman" w:hint="default"/>
                <w:sz w:val="18"/>
                <w:szCs w:val="18"/>
              </w:rPr>
            </w:pPr>
            <w:r>
              <w:rPr>
                <w:rFonts w:ascii="Times New Roman"/>
                <w:sz w:val="18"/>
              </w:rPr>
              <w:t>45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14,878,046</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215,300</w:t>
            </w: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14,662,746</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56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事</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44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王玥</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事</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38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事</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59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孙涛</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副总经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38</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20,000</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刘学徽</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52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z w:val="18"/>
              </w:rPr>
              <w:t>36</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季志强</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43</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r>
      <w:tr>
        <w:trPr>
          <w:trHeight w:val="710"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吴安华</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副董事</w:t>
            </w:r>
          </w:p>
          <w:p>
            <w:pPr>
              <w:pStyle w:val="TableParagraph"/>
              <w:spacing w:line="240" w:lineRule="auto"/>
              <w:ind w:left="103" w:right="103"/>
              <w:jc w:val="left"/>
              <w:rPr>
                <w:rFonts w:ascii="宋体" w:hAnsi="宋体" w:cs="宋体" w:eastAsia="宋体" w:hint="default"/>
                <w:sz w:val="18"/>
                <w:szCs w:val="18"/>
              </w:rPr>
            </w:pPr>
            <w:r>
              <w:rPr>
                <w:rFonts w:ascii="宋体" w:hAnsi="宋体" w:cs="宋体" w:eastAsia="宋体" w:hint="default"/>
                <w:sz w:val="18"/>
                <w:szCs w:val="18"/>
              </w:rPr>
              <w:t>长、副 总经理</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6,169,489</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微软雅黑" w:hAnsi="微软雅黑" w:cs="微软雅黑" w:eastAsia="微软雅黑"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6,169,489</w:t>
            </w:r>
          </w:p>
        </w:tc>
      </w:tr>
      <w:tr>
        <w:trPr>
          <w:trHeight w:val="4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耿增强</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45</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5,858,546</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5,858,546</w:t>
            </w:r>
          </w:p>
        </w:tc>
      </w:tr>
      <w:tr>
        <w:trPr>
          <w:trHeight w:val="1178"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冯娟鹃</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37" w:lineRule="auto" w:before="1"/>
              <w:ind w:left="103" w:right="103"/>
              <w:jc w:val="both"/>
              <w:rPr>
                <w:rFonts w:ascii="宋体" w:hAnsi="宋体" w:cs="宋体" w:eastAsia="宋体" w:hint="default"/>
                <w:sz w:val="18"/>
                <w:szCs w:val="18"/>
              </w:rPr>
            </w:pPr>
            <w:r>
              <w:rPr>
                <w:rFonts w:ascii="宋体" w:hAnsi="宋体" w:cs="宋体" w:eastAsia="宋体" w:hint="default"/>
                <w:sz w:val="18"/>
                <w:szCs w:val="18"/>
              </w:rPr>
              <w:t>财务总 监、董 事会秘 书</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25"/>
                <w:szCs w:val="2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微软雅黑" w:hAnsi="微软雅黑" w:cs="微软雅黑" w:eastAsia="微软雅黑"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9"/>
              <w:ind w:right="0"/>
              <w:jc w:val="left"/>
              <w:rPr>
                <w:rFonts w:ascii="微软雅黑" w:hAnsi="微软雅黑" w:cs="微软雅黑" w:eastAsia="微软雅黑" w:hint="default"/>
                <w:sz w:val="9"/>
                <w:szCs w:val="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8"/>
                <w:szCs w:val="18"/>
              </w:rPr>
            </w:pPr>
          </w:p>
          <w:p>
            <w:pPr>
              <w:pStyle w:val="TableParagraph"/>
              <w:spacing w:line="24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04</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微软雅黑" w:hAnsi="微软雅黑" w:cs="微软雅黑" w:eastAsia="微软雅黑" w:hint="default"/>
                <w:sz w:val="18"/>
                <w:szCs w:val="18"/>
              </w:rPr>
            </w:pPr>
          </w:p>
          <w:p>
            <w:pPr>
              <w:pStyle w:val="TableParagraph"/>
              <w:spacing w:line="24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9"/>
              <w:ind w:right="0"/>
              <w:jc w:val="left"/>
              <w:rPr>
                <w:rFonts w:ascii="微软雅黑" w:hAnsi="微软雅黑" w:cs="微软雅黑" w:eastAsia="微软雅黑" w:hint="default"/>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9"/>
              <w:ind w:right="0"/>
              <w:jc w:val="left"/>
              <w:rPr>
                <w:rFonts w:ascii="微软雅黑" w:hAnsi="微软雅黑" w:cs="微软雅黑" w:eastAsia="微软雅黑" w:hint="default"/>
                <w:sz w:val="9"/>
                <w:szCs w:val="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80,000</w:t>
            </w:r>
          </w:p>
        </w:tc>
      </w:tr>
      <w:tr>
        <w:trPr>
          <w:trHeight w:val="40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51</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680" w:right="0"/>
        </w:sectPr>
      </w:pPr>
    </w:p>
    <w:p>
      <w:pPr>
        <w:spacing w:line="240" w:lineRule="auto" w:before="10"/>
        <w:rPr>
          <w:rFonts w:ascii="微软雅黑" w:hAnsi="微软雅黑" w:cs="微软雅黑" w:eastAsia="微软雅黑"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758"/>
        <w:gridCol w:w="759"/>
        <w:gridCol w:w="756"/>
        <w:gridCol w:w="756"/>
        <w:gridCol w:w="756"/>
        <w:gridCol w:w="987"/>
        <w:gridCol w:w="988"/>
        <w:gridCol w:w="1117"/>
        <w:gridCol w:w="761"/>
        <w:gridCol w:w="802"/>
        <w:gridCol w:w="757"/>
        <w:gridCol w:w="1116"/>
      </w:tblGrid>
      <w:tr>
        <w:trPr>
          <w:trHeight w:val="943" w:hRule="exact"/>
        </w:trPr>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微软雅黑" w:hAnsi="微软雅黑" w:cs="微软雅黑" w:eastAsia="微软雅黑" w:hint="default"/>
                <w:sz w:val="13"/>
                <w:szCs w:val="13"/>
              </w:rPr>
            </w:pPr>
          </w:p>
          <w:p>
            <w:pPr>
              <w:pStyle w:val="TableParagraph"/>
              <w:spacing w:line="232" w:lineRule="exact"/>
              <w:ind w:left="192" w:right="192"/>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微软雅黑" w:hAnsi="微软雅黑" w:cs="微软雅黑" w:eastAsia="微软雅黑" w:hint="default"/>
                <w:sz w:val="13"/>
                <w:szCs w:val="13"/>
              </w:rPr>
            </w:pPr>
          </w:p>
          <w:p>
            <w:pPr>
              <w:pStyle w:val="TableParagraph"/>
              <w:spacing w:line="232" w:lineRule="exact"/>
              <w:ind w:left="307" w:right="129" w:hanging="181"/>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微软雅黑" w:hAnsi="微软雅黑" w:cs="微软雅黑" w:eastAsia="微软雅黑" w:hint="default"/>
                <w:sz w:val="13"/>
                <w:szCs w:val="13"/>
              </w:rPr>
            </w:pPr>
          </w:p>
          <w:p>
            <w:pPr>
              <w:pStyle w:val="TableParagraph"/>
              <w:spacing w:line="232" w:lineRule="exact"/>
              <w:ind w:left="308" w:right="12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32" w:lineRule="exact" w:before="24"/>
              <w:ind w:left="195" w:right="105" w:hanging="90"/>
              <w:jc w:val="left"/>
              <w:rPr>
                <w:rFonts w:ascii="宋体" w:hAnsi="宋体" w:cs="宋体" w:eastAsia="宋体" w:hint="default"/>
                <w:sz w:val="18"/>
                <w:szCs w:val="18"/>
              </w:rPr>
            </w:pPr>
            <w:r>
              <w:rPr>
                <w:rFonts w:ascii="宋体" w:hAnsi="宋体" w:cs="宋体" w:eastAsia="宋体" w:hint="default"/>
                <w:sz w:val="18"/>
                <w:szCs w:val="18"/>
              </w:rPr>
              <w:t>持股份 数量</w:t>
            </w:r>
          </w:p>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32" w:lineRule="exact" w:before="24"/>
              <w:ind w:left="216" w:right="125" w:hanging="90"/>
              <w:jc w:val="left"/>
              <w:rPr>
                <w:rFonts w:ascii="宋体" w:hAnsi="宋体" w:cs="宋体" w:eastAsia="宋体" w:hint="default"/>
                <w:sz w:val="18"/>
                <w:szCs w:val="18"/>
              </w:rPr>
            </w:pPr>
            <w:r>
              <w:rPr>
                <w:rFonts w:ascii="宋体" w:hAnsi="宋体" w:cs="宋体" w:eastAsia="宋体" w:hint="default"/>
                <w:sz w:val="18"/>
                <w:szCs w:val="18"/>
              </w:rPr>
              <w:t>持股份 数量</w:t>
            </w:r>
          </w:p>
          <w:p>
            <w:pPr>
              <w:pStyle w:val="TableParagraph"/>
              <w:spacing w:line="213" w:lineRule="exact"/>
              <w:ind w:left="12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103" w:right="10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8" w:hRule="exact"/>
        </w:trPr>
        <w:tc>
          <w:tcPr>
            <w:tcW w:w="758"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事</w:t>
            </w: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43"/>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唐林林</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事</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82"/>
              <w:jc w:val="right"/>
              <w:rPr>
                <w:rFonts w:ascii="宋体" w:hAnsi="宋体" w:cs="宋体" w:eastAsia="宋体" w:hint="default"/>
                <w:sz w:val="18"/>
                <w:szCs w:val="18"/>
              </w:rPr>
            </w:pPr>
            <w:r>
              <w:rPr>
                <w:rFonts w:ascii="宋体" w:hAnsi="宋体" w:cs="宋体" w:eastAsia="宋体" w:hint="default"/>
                <w:sz w:val="18"/>
                <w:szCs w:val="18"/>
              </w:rPr>
              <w:t>离任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2"/>
              <w:jc w:val="right"/>
              <w:rPr>
                <w:rFonts w:ascii="Times New Roman" w:hAnsi="Times New Roman" w:cs="Times New Roman" w:eastAsia="Times New Roman" w:hint="default"/>
                <w:sz w:val="18"/>
                <w:szCs w:val="18"/>
              </w:rPr>
            </w:pPr>
            <w:r>
              <w:rPr>
                <w:rFonts w:ascii="Times New Roman"/>
                <w:sz w:val="18"/>
              </w:rPr>
              <w:t>49</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1"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0</w:t>
            </w:r>
          </w:p>
        </w:tc>
      </w:tr>
      <w:tr>
        <w:trPr>
          <w:trHeight w:val="476" w:hRule="exact"/>
        </w:trPr>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82"/>
              <w:jc w:val="right"/>
              <w:rPr>
                <w:rFonts w:ascii="宋体" w:hAnsi="宋体" w:cs="宋体" w:eastAsia="宋体" w:hint="default"/>
                <w:sz w:val="18"/>
                <w:szCs w:val="18"/>
              </w:rPr>
            </w:pPr>
            <w:r>
              <w:rPr>
                <w:rFonts w:ascii="宋体" w:hAnsi="宋体" w:cs="宋体" w:eastAsia="宋体" w:hint="default"/>
                <w:sz w:val="18"/>
                <w:szCs w:val="18"/>
              </w:rPr>
              <w:t>离任</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z w:val="18"/>
              </w:rPr>
              <w:t>47</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2" w:lineRule="exact"/>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2"/>
              <w:jc w:val="right"/>
              <w:rPr>
                <w:rFonts w:ascii="Times New Roman" w:hAnsi="Times New Roman" w:cs="Times New Roman" w:eastAsia="Times New Roman" w:hint="default"/>
                <w:sz w:val="18"/>
                <w:szCs w:val="18"/>
              </w:rPr>
            </w:pPr>
            <w:r>
              <w:rPr>
                <w:rFonts w:ascii="Times New Roman"/>
                <w:sz w:val="18"/>
              </w:rPr>
              <w:t>--</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170,521,537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218,300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170,303,237</w:t>
            </w:r>
          </w:p>
        </w:tc>
      </w:tr>
    </w:tbl>
    <w:p>
      <w:pPr>
        <w:spacing w:line="240" w:lineRule="auto" w:before="10"/>
        <w:rPr>
          <w:rFonts w:ascii="微软雅黑" w:hAnsi="微软雅黑" w:cs="微软雅黑" w:eastAsia="微软雅黑" w:hint="default"/>
          <w:sz w:val="15"/>
          <w:szCs w:val="15"/>
        </w:rPr>
      </w:pPr>
    </w:p>
    <w:p>
      <w:pPr>
        <w:pStyle w:val="Heading2"/>
        <w:spacing w:line="397" w:lineRule="exact"/>
        <w:ind w:left="454" w:right="1932"/>
        <w:jc w:val="left"/>
      </w:pPr>
      <w:bookmarkStart w:name="二、公司董事、监事、高级管理人员变动情况" w:id="120"/>
      <w:bookmarkEnd w:id="120"/>
      <w:r>
        <w:rPr/>
      </w:r>
      <w:r>
        <w:rPr/>
        <w:t>二、公司董事、监事、高级管理人员变动情况</w:t>
      </w:r>
    </w:p>
    <w:p>
      <w:pPr>
        <w:spacing w:line="240" w:lineRule="auto" w:before="0"/>
        <w:rPr>
          <w:rFonts w:ascii="微软雅黑" w:hAnsi="微软雅黑" w:cs="微软雅黑" w:eastAsia="微软雅黑" w:hint="default"/>
          <w:sz w:val="24"/>
          <w:szCs w:val="24"/>
        </w:rPr>
      </w:pPr>
    </w:p>
    <w:tbl>
      <w:tblPr>
        <w:tblW w:w="0" w:type="auto"/>
        <w:jc w:val="left"/>
        <w:tblInd w:w="341" w:type="dxa"/>
        <w:tblLayout w:type="fixed"/>
        <w:tblCellMar>
          <w:top w:w="0" w:type="dxa"/>
          <w:left w:w="0" w:type="dxa"/>
          <w:bottom w:w="0" w:type="dxa"/>
          <w:right w:w="0" w:type="dxa"/>
        </w:tblCellMar>
        <w:tblLook w:val="01E0"/>
      </w:tblPr>
      <w:tblGrid>
        <w:gridCol w:w="1370"/>
        <w:gridCol w:w="1370"/>
        <w:gridCol w:w="1370"/>
        <w:gridCol w:w="1370"/>
        <w:gridCol w:w="4376"/>
      </w:tblGrid>
      <w:tr>
        <w:trPr>
          <w:trHeight w:val="406"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吴安华</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副董事长、副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耿增强</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冯娟鹃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董事、财务总</w:t>
            </w:r>
          </w:p>
          <w:p>
            <w:pPr>
              <w:pStyle w:val="TableParagraph"/>
              <w:spacing w:line="240" w:lineRule="auto"/>
              <w:ind w:left="103" w:right="175"/>
              <w:jc w:val="left"/>
              <w:rPr>
                <w:rFonts w:ascii="宋体" w:hAnsi="宋体" w:cs="宋体" w:eastAsia="宋体" w:hint="default"/>
                <w:sz w:val="18"/>
                <w:szCs w:val="18"/>
              </w:rPr>
            </w:pPr>
            <w:r>
              <w:rPr>
                <w:rFonts w:ascii="宋体" w:hAnsi="宋体" w:cs="宋体" w:eastAsia="宋体" w:hint="default"/>
                <w:sz w:val="18"/>
                <w:szCs w:val="18"/>
              </w:rPr>
              <w:t>监、董事会秘 书</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7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唐林林</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47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line="240" w:lineRule="auto" w:before="10"/>
        <w:rPr>
          <w:rFonts w:ascii="微软雅黑" w:hAnsi="微软雅黑" w:cs="微软雅黑" w:eastAsia="微软雅黑" w:hint="default"/>
          <w:sz w:val="15"/>
          <w:szCs w:val="15"/>
        </w:rPr>
      </w:pPr>
    </w:p>
    <w:p>
      <w:pPr>
        <w:pStyle w:val="Heading2"/>
        <w:spacing w:line="397" w:lineRule="exact"/>
        <w:ind w:left="454" w:right="1932"/>
        <w:jc w:val="left"/>
      </w:pPr>
      <w:bookmarkStart w:name="三、任职情况" w:id="121"/>
      <w:bookmarkEnd w:id="121"/>
      <w:r>
        <w:rPr/>
      </w:r>
      <w:r>
        <w:rPr/>
        <w:t>三、任职情况</w:t>
      </w:r>
    </w:p>
    <w:p>
      <w:pPr>
        <w:spacing w:line="240" w:lineRule="auto" w:before="12"/>
        <w:rPr>
          <w:rFonts w:ascii="微软雅黑" w:hAnsi="微软雅黑" w:cs="微软雅黑" w:eastAsia="微软雅黑" w:hint="default"/>
          <w:sz w:val="24"/>
          <w:szCs w:val="24"/>
        </w:rPr>
      </w:pPr>
    </w:p>
    <w:p>
      <w:pPr>
        <w:pStyle w:val="BodyText"/>
        <w:spacing w:line="444" w:lineRule="auto"/>
        <w:ind w:left="874" w:right="1932"/>
        <w:jc w:val="left"/>
      </w:pPr>
      <w:r>
        <w:rPr/>
        <w:t>公司现任董事、监事、高级管理人员专业背景、主要工作经历以及目前在公司的主要职责。 非独立董事：</w:t>
      </w:r>
    </w:p>
    <w:p>
      <w:pPr>
        <w:pStyle w:val="BodyText"/>
        <w:spacing w:line="297" w:lineRule="auto" w:before="54"/>
        <w:ind w:left="454" w:right="1119" w:firstLine="420"/>
        <w:jc w:val="left"/>
      </w:pPr>
      <w:r>
        <w:rPr>
          <w:spacing w:val="-2"/>
        </w:rPr>
        <w:t>赵鸿飞先生，</w:t>
      </w:r>
      <w:r>
        <w:rPr>
          <w:rFonts w:ascii="宋体" w:hAnsi="宋体" w:cs="宋体" w:eastAsia="宋体" w:hint="default"/>
          <w:spacing w:val="-2"/>
        </w:rPr>
        <w:t>1974</w:t>
      </w:r>
      <w:r>
        <w:rPr>
          <w:rFonts w:ascii="宋体" w:hAnsi="宋体" w:cs="宋体" w:eastAsia="宋体" w:hint="default"/>
          <w:spacing w:val="-40"/>
        </w:rPr>
        <w:t> </w:t>
      </w:r>
      <w:r>
        <w:rPr>
          <w:spacing w:val="-2"/>
        </w:rPr>
        <w:t>年出生，中国国籍，无境外永久居留权，毕业于北京理工大学计算机应用专业，工</w:t>
      </w:r>
      <w:r>
        <w:rPr/>
        <w:t> 学硕士学位</w:t>
      </w:r>
    </w:p>
    <w:p>
      <w:pPr>
        <w:spacing w:line="240" w:lineRule="auto" w:before="0"/>
        <w:rPr>
          <w:rFonts w:ascii="宋体" w:hAnsi="宋体" w:cs="宋体" w:eastAsia="宋体" w:hint="default"/>
          <w:sz w:val="14"/>
          <w:szCs w:val="14"/>
        </w:rPr>
      </w:pPr>
    </w:p>
    <w:p>
      <w:pPr>
        <w:pStyle w:val="BodyText"/>
        <w:spacing w:line="240" w:lineRule="auto"/>
        <w:ind w:left="874" w:right="0"/>
        <w:jc w:val="left"/>
        <w:rPr>
          <w:rFonts w:ascii="宋体" w:hAnsi="宋体" w:cs="宋体" w:eastAsia="宋体" w:hint="default"/>
        </w:rPr>
      </w:pPr>
      <w:r>
        <w:rPr/>
        <w:t>自</w:t>
      </w:r>
      <w:r>
        <w:rPr>
          <w:spacing w:val="-52"/>
        </w:rPr>
        <w:t> </w:t>
      </w:r>
      <w:r>
        <w:rPr>
          <w:rFonts w:ascii="宋体" w:hAnsi="宋体" w:cs="宋体" w:eastAsia="宋体" w:hint="default"/>
        </w:rPr>
        <w:t>2008</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spacing w:val="-4"/>
        </w:rPr>
        <w:t>月至今担任公司董事；自</w:t>
      </w:r>
      <w:r>
        <w:rPr>
          <w:spacing w:val="-52"/>
        </w:rPr>
        <w:t> </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spacing w:val="-4"/>
        </w:rPr>
        <w:t>月至今担任公司董事长；自</w:t>
      </w:r>
      <w:r>
        <w:rPr>
          <w:spacing w:val="-52"/>
        </w:rPr>
        <w:t> </w:t>
      </w:r>
      <w:r>
        <w:rPr>
          <w:rFonts w:ascii="宋体" w:hAnsi="宋体" w:cs="宋体" w:eastAsia="宋体" w:hint="default"/>
        </w:rPr>
        <w:t>2008</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月至</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9</w:t>
      </w:r>
    </w:p>
    <w:p>
      <w:pPr>
        <w:pStyle w:val="BodyText"/>
        <w:spacing w:line="240" w:lineRule="auto" w:before="66"/>
        <w:ind w:left="454" w:right="0"/>
        <w:jc w:val="left"/>
      </w:pPr>
      <w:r>
        <w:rPr/>
        <w:t>月担任公司总经理。自</w:t>
      </w:r>
      <w:r>
        <w:rPr>
          <w:spacing w:val="-56"/>
        </w:rPr>
        <w:t> </w:t>
      </w:r>
      <w:r>
        <w:rPr>
          <w:rFonts w:ascii="宋体" w:hAnsi="宋体" w:cs="宋体" w:eastAsia="宋体" w:hint="default"/>
        </w:rPr>
        <w:t>2006</w:t>
      </w:r>
      <w:r>
        <w:rPr>
          <w:rFonts w:ascii="宋体" w:hAnsi="宋体" w:cs="宋体" w:eastAsia="宋体" w:hint="default"/>
          <w:spacing w:val="-57"/>
        </w:rPr>
        <w:t> </w:t>
      </w:r>
      <w:r>
        <w:rPr/>
        <w:t>年</w:t>
      </w:r>
      <w:r>
        <w:rPr>
          <w:spacing w:val="-58"/>
        </w:rPr>
        <w:t> </w:t>
      </w:r>
      <w:r>
        <w:rPr>
          <w:rFonts w:ascii="宋体" w:hAnsi="宋体" w:cs="宋体" w:eastAsia="宋体" w:hint="default"/>
        </w:rPr>
        <w:t>9</w:t>
      </w:r>
      <w:r>
        <w:rPr>
          <w:rFonts w:ascii="宋体" w:hAnsi="宋体" w:cs="宋体" w:eastAsia="宋体" w:hint="default"/>
          <w:spacing w:val="-56"/>
        </w:rPr>
        <w:t> </w:t>
      </w:r>
      <w:r>
        <w:rPr/>
        <w:t>月至</w:t>
      </w:r>
      <w:r>
        <w:rPr>
          <w:spacing w:val="-57"/>
        </w:rPr>
        <w:t> </w:t>
      </w:r>
      <w:r>
        <w:rPr>
          <w:rFonts w:ascii="宋体" w:hAnsi="宋体" w:cs="宋体" w:eastAsia="宋体" w:hint="default"/>
        </w:rPr>
        <w:t>2008</w:t>
      </w:r>
      <w:r>
        <w:rPr>
          <w:rFonts w:ascii="宋体" w:hAnsi="宋体" w:cs="宋体" w:eastAsia="宋体" w:hint="default"/>
          <w:spacing w:val="-56"/>
        </w:rPr>
        <w:t> </w:t>
      </w:r>
      <w:r>
        <w:rPr/>
        <w:t>年</w:t>
      </w:r>
      <w:r>
        <w:rPr>
          <w:spacing w:val="-58"/>
        </w:rPr>
        <w:t> </w:t>
      </w:r>
      <w:r>
        <w:rPr>
          <w:rFonts w:ascii="宋体" w:hAnsi="宋体" w:cs="宋体" w:eastAsia="宋体" w:hint="default"/>
        </w:rPr>
        <w:t>2</w:t>
      </w:r>
      <w:r>
        <w:rPr>
          <w:rFonts w:ascii="宋体" w:hAnsi="宋体" w:cs="宋体" w:eastAsia="宋体" w:hint="default"/>
          <w:spacing w:val="-57"/>
        </w:rPr>
        <w:t> </w:t>
      </w:r>
      <w:r>
        <w:rPr/>
        <w:t>月，担任北京天桥北大青鸟科技股份有限公司（现已更名</w:t>
      </w:r>
    </w:p>
    <w:p>
      <w:pPr>
        <w:pStyle w:val="BodyText"/>
        <w:spacing w:line="297" w:lineRule="auto" w:before="64"/>
        <w:ind w:left="454" w:right="1122"/>
        <w:jc w:val="left"/>
      </w:pPr>
      <w:r>
        <w:rPr/>
        <w:t>为：信达地产股份有限公司）海外事业部副总经理；自</w:t>
      </w:r>
      <w:r>
        <w:rPr>
          <w:spacing w:val="-56"/>
        </w:rPr>
        <w:t> </w:t>
      </w:r>
      <w:r>
        <w:rPr>
          <w:rFonts w:ascii="宋体" w:hAnsi="宋体" w:cs="宋体" w:eastAsia="宋体" w:hint="default"/>
        </w:rPr>
        <w:t>1998</w:t>
      </w:r>
      <w:r>
        <w:rPr>
          <w:rFonts w:ascii="宋体" w:hAnsi="宋体" w:cs="宋体" w:eastAsia="宋体" w:hint="default"/>
          <w:spacing w:val="-56"/>
        </w:rPr>
        <w:t> </w:t>
      </w:r>
      <w:r>
        <w:rPr/>
        <w:t>年</w:t>
      </w:r>
      <w:r>
        <w:rPr>
          <w:spacing w:val="-57"/>
        </w:rPr>
        <w:t> </w:t>
      </w:r>
      <w:r>
        <w:rPr>
          <w:rFonts w:ascii="宋体" w:hAnsi="宋体" w:cs="宋体" w:eastAsia="宋体" w:hint="default"/>
        </w:rPr>
        <w:t>3</w:t>
      </w:r>
      <w:r>
        <w:rPr>
          <w:rFonts w:ascii="宋体" w:hAnsi="宋体" w:cs="宋体" w:eastAsia="宋体" w:hint="default"/>
          <w:spacing w:val="-56"/>
        </w:rPr>
        <w:t> </w:t>
      </w:r>
      <w:r>
        <w:rPr/>
        <w:t>月至</w:t>
      </w:r>
      <w:r>
        <w:rPr>
          <w:spacing w:val="-57"/>
        </w:rPr>
        <w:t> </w:t>
      </w:r>
      <w:r>
        <w:rPr>
          <w:rFonts w:ascii="宋体" w:hAnsi="宋体" w:cs="宋体" w:eastAsia="宋体" w:hint="default"/>
        </w:rPr>
        <w:t>2006</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月，历任恩益禧（</w:t>
      </w:r>
      <w:r>
        <w:rPr>
          <w:rFonts w:ascii="宋体" w:hAnsi="宋体" w:cs="宋体" w:eastAsia="宋体" w:hint="default"/>
        </w:rPr>
        <w:t>NEC</w:t>
      </w:r>
      <w:r>
        <w:rPr/>
        <w:t>）</w:t>
      </w:r>
      <w:r>
        <w:rPr>
          <w:rFonts w:ascii="宋体" w:hAnsi="宋体" w:cs="宋体" w:eastAsia="宋体" w:hint="default"/>
        </w:rPr>
        <w:t>- </w:t>
      </w:r>
      <w:r>
        <w:rPr/>
        <w:t>中科院软件研究所有限公司（现已更名为：日电卓越软件科技（北京）有限公司）工程师、项目经理。</w:t>
      </w:r>
    </w:p>
    <w:p>
      <w:pPr>
        <w:pStyle w:val="BodyText"/>
        <w:spacing w:line="508" w:lineRule="exact" w:before="22"/>
        <w:ind w:left="874" w:right="1119"/>
        <w:jc w:val="left"/>
      </w:pPr>
      <w:r>
        <w:rPr>
          <w:spacing w:val="-2"/>
        </w:rPr>
        <w:t>邹鹏程先生，</w:t>
      </w:r>
      <w:r>
        <w:rPr>
          <w:rFonts w:ascii="宋体" w:hAnsi="宋体" w:cs="宋体" w:eastAsia="宋体" w:hint="default"/>
          <w:spacing w:val="-2"/>
        </w:rPr>
        <w:t>1973</w:t>
      </w:r>
      <w:r>
        <w:rPr>
          <w:rFonts w:ascii="宋体" w:hAnsi="宋体" w:cs="宋体" w:eastAsia="宋体" w:hint="default"/>
          <w:spacing w:val="-40"/>
        </w:rPr>
        <w:t> </w:t>
      </w:r>
      <w:r>
        <w:rPr>
          <w:spacing w:val="-2"/>
        </w:rPr>
        <w:t>年出生，中国国籍，无境外永久居留权，毕业于清华大学自动化系，获得学士学位</w:t>
      </w:r>
      <w:r>
        <w:rPr>
          <w:spacing w:val="-103"/>
        </w:rPr>
        <w:t> </w:t>
      </w:r>
      <w:r>
        <w:rPr>
          <w:spacing w:val="-103"/>
        </w:rPr>
      </w:r>
      <w:r>
        <w:rPr/>
        <w:t>自</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9</w:t>
      </w:r>
      <w:r>
        <w:rPr>
          <w:rFonts w:ascii="宋体" w:hAnsi="宋体" w:cs="宋体" w:eastAsia="宋体" w:hint="default"/>
          <w:spacing w:val="-51"/>
        </w:rPr>
        <w:t> </w:t>
      </w:r>
      <w:r>
        <w:rPr/>
        <w:t>月至今任公司副总经理，</w:t>
      </w:r>
      <w:r>
        <w:rPr>
          <w:rFonts w:ascii="宋体" w:hAnsi="宋体" w:cs="宋体" w:eastAsia="宋体" w:hint="default"/>
        </w:rPr>
        <w:t>2008</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51"/>
        </w:rPr>
        <w:t> </w:t>
      </w:r>
      <w:r>
        <w:rPr/>
        <w:t>月至</w:t>
      </w:r>
      <w:r>
        <w:rPr>
          <w:spacing w:val="-50"/>
        </w:rPr>
        <w:t> </w:t>
      </w:r>
      <w:r>
        <w:rPr>
          <w:rFonts w:ascii="宋体" w:hAnsi="宋体" w:cs="宋体" w:eastAsia="宋体" w:hint="default"/>
        </w:rPr>
        <w:t>2011</w:t>
      </w:r>
      <w:r>
        <w:rPr>
          <w:rFonts w:ascii="宋体" w:hAnsi="宋体" w:cs="宋体" w:eastAsia="宋体" w:hint="default"/>
          <w:spacing w:val="-50"/>
        </w:rPr>
        <w:t> </w:t>
      </w:r>
      <w:r>
        <w:rPr/>
        <w:t>年</w:t>
      </w:r>
      <w:r>
        <w:rPr>
          <w:spacing w:val="-51"/>
        </w:rPr>
        <w:t> </w:t>
      </w:r>
      <w:r>
        <w:rPr>
          <w:rFonts w:ascii="宋体" w:hAnsi="宋体" w:cs="宋体" w:eastAsia="宋体" w:hint="default"/>
        </w:rPr>
        <w:t>9</w:t>
      </w:r>
      <w:r>
        <w:rPr>
          <w:rFonts w:ascii="宋体" w:hAnsi="宋体" w:cs="宋体" w:eastAsia="宋体" w:hint="default"/>
          <w:spacing w:val="-50"/>
        </w:rPr>
        <w:t> </w:t>
      </w:r>
      <w:r>
        <w:rPr/>
        <w:t>月历任本公司产品市场部总监、战略</w:t>
      </w:r>
    </w:p>
    <w:p>
      <w:pPr>
        <w:pStyle w:val="BodyText"/>
        <w:spacing w:line="269" w:lineRule="exact"/>
        <w:ind w:left="454" w:right="0"/>
        <w:jc w:val="left"/>
      </w:pPr>
      <w:r>
        <w:rPr/>
        <w:t>产品部总监，自</w:t>
      </w:r>
      <w:r>
        <w:rPr>
          <w:spacing w:val="-47"/>
        </w:rPr>
        <w:t> </w:t>
      </w:r>
      <w:r>
        <w:rPr>
          <w:rFonts w:ascii="宋体" w:hAnsi="宋体" w:cs="宋体" w:eastAsia="宋体" w:hint="default"/>
        </w:rPr>
        <w:t>2011</w:t>
      </w:r>
      <w:r>
        <w:rPr>
          <w:rFonts w:ascii="宋体" w:hAnsi="宋体" w:cs="宋体" w:eastAsia="宋体" w:hint="default"/>
          <w:spacing w:val="-48"/>
        </w:rPr>
        <w:t> </w:t>
      </w:r>
      <w:r>
        <w:rPr/>
        <w:t>年</w:t>
      </w:r>
      <w:r>
        <w:rPr>
          <w:spacing w:val="-49"/>
        </w:rPr>
        <w:t> </w:t>
      </w:r>
      <w:r>
        <w:rPr>
          <w:rFonts w:ascii="宋体" w:hAnsi="宋体" w:cs="宋体" w:eastAsia="宋体" w:hint="default"/>
        </w:rPr>
        <w:t>9</w:t>
      </w:r>
      <w:r>
        <w:rPr>
          <w:rFonts w:ascii="宋体" w:hAnsi="宋体" w:cs="宋体" w:eastAsia="宋体" w:hint="default"/>
          <w:spacing w:val="-47"/>
        </w:rPr>
        <w:t> </w:t>
      </w:r>
      <w:r>
        <w:rPr/>
        <w:t>月至</w:t>
      </w:r>
      <w:r>
        <w:rPr>
          <w:spacing w:val="-48"/>
        </w:rPr>
        <w:t> </w:t>
      </w:r>
      <w:r>
        <w:rPr>
          <w:rFonts w:ascii="宋体" w:hAnsi="宋体" w:cs="宋体" w:eastAsia="宋体" w:hint="default"/>
        </w:rPr>
        <w:t>2012</w:t>
      </w:r>
      <w:r>
        <w:rPr>
          <w:rFonts w:ascii="宋体" w:hAnsi="宋体" w:cs="宋体" w:eastAsia="宋体" w:hint="default"/>
          <w:spacing w:val="-48"/>
        </w:rPr>
        <w:t> </w:t>
      </w:r>
      <w:r>
        <w:rPr/>
        <w:t>年</w:t>
      </w:r>
      <w:r>
        <w:rPr>
          <w:spacing w:val="-48"/>
        </w:rPr>
        <w:t> </w:t>
      </w:r>
      <w:r>
        <w:rPr>
          <w:rFonts w:ascii="宋体" w:hAnsi="宋体" w:cs="宋体" w:eastAsia="宋体" w:hint="default"/>
        </w:rPr>
        <w:t>9</w:t>
      </w:r>
      <w:r>
        <w:rPr>
          <w:rFonts w:ascii="宋体" w:hAnsi="宋体" w:cs="宋体" w:eastAsia="宋体" w:hint="default"/>
          <w:spacing w:val="-47"/>
        </w:rPr>
        <w:t> </w:t>
      </w:r>
      <w:r>
        <w:rPr/>
        <w:t>月任公司高级副总裁；自</w:t>
      </w:r>
      <w:r>
        <w:rPr>
          <w:spacing w:val="-48"/>
        </w:rPr>
        <w:t> </w:t>
      </w:r>
      <w:r>
        <w:rPr>
          <w:rFonts w:ascii="宋体" w:hAnsi="宋体" w:cs="宋体" w:eastAsia="宋体" w:hint="default"/>
        </w:rPr>
        <w:t>2008</w:t>
      </w:r>
      <w:r>
        <w:rPr>
          <w:rFonts w:ascii="宋体" w:hAnsi="宋体" w:cs="宋体" w:eastAsia="宋体" w:hint="default"/>
          <w:spacing w:val="-49"/>
        </w:rPr>
        <w:t> </w:t>
      </w:r>
      <w:r>
        <w:rPr/>
        <w:t>年</w:t>
      </w:r>
      <w:r>
        <w:rPr>
          <w:spacing w:val="-48"/>
        </w:rPr>
        <w:t> </w:t>
      </w:r>
      <w:r>
        <w:rPr>
          <w:rFonts w:ascii="宋体" w:hAnsi="宋体" w:cs="宋体" w:eastAsia="宋体" w:hint="default"/>
        </w:rPr>
        <w:t>4</w:t>
      </w:r>
      <w:r>
        <w:rPr>
          <w:rFonts w:ascii="宋体" w:hAnsi="宋体" w:cs="宋体" w:eastAsia="宋体" w:hint="default"/>
          <w:spacing w:val="-47"/>
        </w:rPr>
        <w:t> </w:t>
      </w:r>
      <w:r>
        <w:rPr/>
        <w:t>月至</w:t>
      </w:r>
      <w:r>
        <w:rPr>
          <w:spacing w:val="-48"/>
        </w:rPr>
        <w:t> </w:t>
      </w:r>
      <w:r>
        <w:rPr>
          <w:rFonts w:ascii="宋体" w:hAnsi="宋体" w:cs="宋体" w:eastAsia="宋体" w:hint="default"/>
        </w:rPr>
        <w:t>2008</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7"/>
        </w:rPr>
        <w:t> </w:t>
      </w:r>
      <w:r>
        <w:rPr/>
        <w:t>月担任广州</w:t>
      </w:r>
    </w:p>
    <w:p>
      <w:pPr>
        <w:pStyle w:val="BodyText"/>
        <w:spacing w:line="240" w:lineRule="auto" w:before="66"/>
        <w:ind w:left="454" w:right="0"/>
        <w:jc w:val="left"/>
      </w:pPr>
      <w:r>
        <w:rPr/>
        <w:t>西格美信电子科技有限公司副总裁；</w:t>
      </w:r>
      <w:r>
        <w:rPr>
          <w:rFonts w:ascii="宋体" w:hAnsi="宋体" w:cs="宋体" w:eastAsia="宋体" w:hint="default"/>
        </w:rPr>
        <w:t>2002</w:t>
      </w:r>
      <w:r>
        <w:rPr>
          <w:rFonts w:ascii="宋体" w:hAnsi="宋体" w:cs="宋体" w:eastAsia="宋体" w:hint="default"/>
          <w:spacing w:val="-47"/>
        </w:rPr>
        <w:t> </w:t>
      </w:r>
      <w:r>
        <w:rPr/>
        <w:t>年</w:t>
      </w:r>
      <w:r>
        <w:rPr>
          <w:spacing w:val="-49"/>
        </w:rPr>
        <w:t> </w:t>
      </w:r>
      <w:r>
        <w:rPr>
          <w:rFonts w:ascii="宋体" w:hAnsi="宋体" w:cs="宋体" w:eastAsia="宋体" w:hint="default"/>
        </w:rPr>
        <w:t>7</w:t>
      </w:r>
      <w:r>
        <w:rPr>
          <w:rFonts w:ascii="宋体" w:hAnsi="宋体" w:cs="宋体" w:eastAsia="宋体" w:hint="default"/>
          <w:spacing w:val="-48"/>
        </w:rPr>
        <w:t> </w:t>
      </w:r>
      <w:r>
        <w:rPr/>
        <w:t>月至</w:t>
      </w:r>
      <w:r>
        <w:rPr>
          <w:spacing w:val="-49"/>
        </w:rPr>
        <w:t> </w:t>
      </w:r>
      <w:r>
        <w:rPr>
          <w:rFonts w:ascii="宋体" w:hAnsi="宋体" w:cs="宋体" w:eastAsia="宋体" w:hint="default"/>
        </w:rPr>
        <w:t>2008</w:t>
      </w:r>
      <w:r>
        <w:rPr>
          <w:rFonts w:ascii="宋体" w:hAnsi="宋体" w:cs="宋体" w:eastAsia="宋体" w:hint="default"/>
          <w:spacing w:val="-48"/>
        </w:rPr>
        <w:t> </w:t>
      </w:r>
      <w:r>
        <w:rPr/>
        <w:t>年</w:t>
      </w:r>
      <w:r>
        <w:rPr>
          <w:spacing w:val="-50"/>
        </w:rPr>
        <w:t> </w:t>
      </w:r>
      <w:r>
        <w:rPr>
          <w:rFonts w:ascii="宋体" w:hAnsi="宋体" w:cs="宋体" w:eastAsia="宋体" w:hint="default"/>
        </w:rPr>
        <w:t>3</w:t>
      </w:r>
      <w:r>
        <w:rPr>
          <w:rFonts w:ascii="宋体" w:hAnsi="宋体" w:cs="宋体" w:eastAsia="宋体" w:hint="default"/>
          <w:spacing w:val="-48"/>
        </w:rPr>
        <w:t> </w:t>
      </w:r>
      <w:r>
        <w:rPr/>
        <w:t>月担任中科红旗软件科技有限公司服务器研</w:t>
      </w:r>
    </w:p>
    <w:p>
      <w:pPr>
        <w:pStyle w:val="BodyText"/>
        <w:spacing w:line="240" w:lineRule="auto" w:before="64"/>
        <w:ind w:left="454" w:right="0"/>
        <w:jc w:val="left"/>
      </w:pPr>
      <w:r>
        <w:rPr/>
        <w:t>发部门经理；</w:t>
      </w:r>
      <w:r>
        <w:rPr>
          <w:rFonts w:ascii="宋体" w:hAnsi="宋体" w:cs="宋体" w:eastAsia="宋体" w:hint="default"/>
        </w:rPr>
        <w:t>2000</w:t>
      </w:r>
      <w:r>
        <w:rPr>
          <w:rFonts w:ascii="宋体" w:hAnsi="宋体" w:cs="宋体" w:eastAsia="宋体" w:hint="default"/>
          <w:spacing w:val="-49"/>
        </w:rPr>
        <w:t> </w:t>
      </w:r>
      <w:r>
        <w:rPr/>
        <w:t>年</w:t>
      </w:r>
      <w:r>
        <w:rPr>
          <w:spacing w:val="-50"/>
        </w:rPr>
        <w:t> </w:t>
      </w:r>
      <w:r>
        <w:rPr>
          <w:rFonts w:ascii="宋体" w:hAnsi="宋体" w:cs="宋体" w:eastAsia="宋体" w:hint="default"/>
        </w:rPr>
        <w:t>6</w:t>
      </w:r>
      <w:r>
        <w:rPr>
          <w:rFonts w:ascii="宋体" w:hAnsi="宋体" w:cs="宋体" w:eastAsia="宋体" w:hint="default"/>
          <w:spacing w:val="-49"/>
        </w:rPr>
        <w:t> </w:t>
      </w:r>
      <w:r>
        <w:rPr/>
        <w:t>月至</w:t>
      </w:r>
      <w:r>
        <w:rPr>
          <w:spacing w:val="-50"/>
        </w:rPr>
        <w:t> </w:t>
      </w:r>
      <w:r>
        <w:rPr>
          <w:rFonts w:ascii="宋体" w:hAnsi="宋体" w:cs="宋体" w:eastAsia="宋体" w:hint="default"/>
        </w:rPr>
        <w:t>2002</w:t>
      </w:r>
      <w:r>
        <w:rPr>
          <w:rFonts w:ascii="宋体" w:hAnsi="宋体" w:cs="宋体" w:eastAsia="宋体" w:hint="default"/>
          <w:spacing w:val="-49"/>
        </w:rPr>
        <w:t> </w:t>
      </w:r>
      <w:r>
        <w:rPr/>
        <w:t>年</w:t>
      </w:r>
      <w:r>
        <w:rPr>
          <w:spacing w:val="-51"/>
        </w:rPr>
        <w:t> </w:t>
      </w:r>
      <w:r>
        <w:rPr>
          <w:rFonts w:ascii="宋体" w:hAnsi="宋体" w:cs="宋体" w:eastAsia="宋体" w:hint="default"/>
        </w:rPr>
        <w:t>6</w:t>
      </w:r>
      <w:r>
        <w:rPr>
          <w:rFonts w:ascii="宋体" w:hAnsi="宋体" w:cs="宋体" w:eastAsia="宋体" w:hint="default"/>
          <w:spacing w:val="-49"/>
        </w:rPr>
        <w:t> </w:t>
      </w:r>
      <w:r>
        <w:rPr/>
        <w:t>月担任恩益禧（</w:t>
      </w:r>
      <w:r>
        <w:rPr>
          <w:rFonts w:ascii="宋体" w:hAnsi="宋体" w:cs="宋体" w:eastAsia="宋体" w:hint="default"/>
        </w:rPr>
        <w:t>NEC</w:t>
      </w:r>
      <w:r>
        <w:rPr/>
        <w:t>）</w:t>
      </w:r>
      <w:r>
        <w:rPr>
          <w:rFonts w:ascii="宋体" w:hAnsi="宋体" w:cs="宋体" w:eastAsia="宋体" w:hint="default"/>
        </w:rPr>
        <w:t>-</w:t>
      </w:r>
      <w:r>
        <w:rPr/>
        <w:t>中科院软件研究所有限公司（现已更名为：</w:t>
      </w:r>
    </w:p>
    <w:p>
      <w:pPr>
        <w:spacing w:after="0" w:line="240" w:lineRule="auto"/>
        <w:jc w:val="left"/>
        <w:sectPr>
          <w:pgSz w:w="11910" w:h="16840"/>
          <w:pgMar w:header="801" w:footer="1007" w:top="1100" w:bottom="1200" w:left="680" w:right="0"/>
        </w:sectPr>
      </w:pPr>
    </w:p>
    <w:p>
      <w:pPr>
        <w:spacing w:line="240" w:lineRule="auto" w:before="1"/>
        <w:rPr>
          <w:rFonts w:ascii="宋体" w:hAnsi="宋体" w:cs="宋体" w:eastAsia="宋体" w:hint="default"/>
          <w:sz w:val="19"/>
          <w:szCs w:val="19"/>
        </w:rPr>
      </w:pPr>
    </w:p>
    <w:p>
      <w:pPr>
        <w:pStyle w:val="BodyText"/>
        <w:spacing w:line="297" w:lineRule="auto" w:before="35"/>
        <w:ind w:left="154" w:right="1124"/>
        <w:jc w:val="left"/>
      </w:pPr>
      <w:r>
        <w:rPr>
          <w:spacing w:val="-12"/>
        </w:rPr>
        <w:t>日电卓越软件科技（北京）有限公司）项目负责经理；</w:t>
      </w:r>
      <w:r>
        <w:rPr>
          <w:rFonts w:ascii="宋体" w:hAnsi="宋体" w:cs="宋体" w:eastAsia="宋体" w:hint="default"/>
          <w:spacing w:val="-12"/>
        </w:rPr>
        <w:t>1999</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1"/>
        </w:rPr>
        <w:t> </w:t>
      </w:r>
      <w:r>
        <w:rPr/>
        <w:t>月至</w:t>
      </w:r>
      <w:r>
        <w:rPr>
          <w:spacing w:val="-53"/>
        </w:rPr>
        <w:t> </w:t>
      </w:r>
      <w:r>
        <w:rPr>
          <w:rFonts w:ascii="宋体" w:hAnsi="宋体" w:cs="宋体" w:eastAsia="宋体" w:hint="default"/>
        </w:rPr>
        <w:t>2000</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1"/>
        </w:rPr>
        <w:t> </w:t>
      </w:r>
      <w:r>
        <w:rPr>
          <w:spacing w:val="-15"/>
        </w:rPr>
        <w:t>月，担任美国</w:t>
      </w:r>
      <w:r>
        <w:rPr>
          <w:spacing w:val="-51"/>
        </w:rPr>
        <w:t> </w:t>
      </w:r>
      <w:r>
        <w:rPr>
          <w:rFonts w:ascii="宋体" w:hAnsi="宋体" w:cs="宋体" w:eastAsia="宋体" w:hint="default"/>
        </w:rPr>
        <w:t>EPIC</w:t>
      </w:r>
      <w:r>
        <w:rPr>
          <w:rFonts w:ascii="宋体" w:hAnsi="宋体" w:cs="宋体" w:eastAsia="宋体" w:hint="default"/>
          <w:spacing w:val="-52"/>
        </w:rPr>
        <w:t> </w:t>
      </w:r>
      <w:r>
        <w:rPr>
          <w:spacing w:val="-12"/>
        </w:rPr>
        <w:t>公司（</w:t>
      </w:r>
      <w:r>
        <w:rPr>
          <w:rFonts w:ascii="宋体" w:hAnsi="宋体" w:cs="宋体" w:eastAsia="宋体" w:hint="default"/>
          <w:spacing w:val="-12"/>
        </w:rPr>
        <w:t>Epic</w:t>
      </w:r>
      <w:r>
        <w:rPr>
          <w:rFonts w:ascii="宋体" w:hAnsi="宋体" w:cs="宋体" w:eastAsia="宋体" w:hint="default"/>
        </w:rPr>
        <w:t> Systems</w:t>
      </w:r>
      <w:r>
        <w:rPr>
          <w:rFonts w:ascii="宋体" w:hAnsi="宋体" w:cs="宋体" w:eastAsia="宋体" w:hint="default"/>
          <w:spacing w:val="-1"/>
        </w:rPr>
        <w:t> </w:t>
      </w:r>
      <w:r>
        <w:rPr>
          <w:rFonts w:ascii="宋体" w:hAnsi="宋体" w:cs="宋体" w:eastAsia="宋体" w:hint="default"/>
        </w:rPr>
        <w:t>Corporation</w:t>
      </w:r>
      <w:r>
        <w:rPr/>
        <w:t>）软件工程师。</w:t>
      </w:r>
    </w:p>
    <w:p>
      <w:pPr>
        <w:spacing w:line="240" w:lineRule="auto" w:before="12"/>
        <w:rPr>
          <w:rFonts w:ascii="宋体" w:hAnsi="宋体" w:cs="宋体" w:eastAsia="宋体" w:hint="default"/>
          <w:sz w:val="13"/>
          <w:szCs w:val="13"/>
        </w:rPr>
      </w:pPr>
    </w:p>
    <w:p>
      <w:pPr>
        <w:pStyle w:val="BodyText"/>
        <w:spacing w:line="240" w:lineRule="auto"/>
        <w:ind w:left="574" w:right="1116"/>
        <w:jc w:val="left"/>
      </w:pPr>
      <w:r>
        <w:rPr/>
        <w:t>杨宇欣先生，</w:t>
      </w:r>
      <w:r>
        <w:rPr>
          <w:rFonts w:ascii="宋体" w:hAnsi="宋体" w:cs="宋体" w:eastAsia="宋体" w:hint="default"/>
        </w:rPr>
        <w:t>1978</w:t>
      </w:r>
      <w:r>
        <w:rPr>
          <w:rFonts w:ascii="宋体" w:hAnsi="宋体" w:cs="宋体" w:eastAsia="宋体" w:hint="default"/>
          <w:spacing w:val="-53"/>
        </w:rPr>
        <w:t> </w:t>
      </w:r>
      <w:r>
        <w:rPr/>
        <w:t>年出生，中国国籍，无境外永久居留权，毕业于清华大学，学士学位</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t>自</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6"/>
        </w:rPr>
        <w:t> </w:t>
      </w:r>
      <w:r>
        <w:rPr/>
        <w:t>月至今担任公司副总裁。自</w:t>
      </w:r>
      <w:r>
        <w:rPr>
          <w:spacing w:val="-55"/>
        </w:rPr>
        <w:t> </w:t>
      </w:r>
      <w:r>
        <w:rPr>
          <w:rFonts w:ascii="宋体" w:hAnsi="宋体" w:cs="宋体" w:eastAsia="宋体" w:hint="default"/>
        </w:rPr>
        <w:t>2010</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5"/>
        </w:rPr>
        <w:t> </w:t>
      </w:r>
      <w:r>
        <w:rPr/>
        <w:t>月至</w:t>
      </w:r>
      <w:r>
        <w:rPr>
          <w:spacing w:val="-56"/>
        </w:rPr>
        <w:t> </w:t>
      </w:r>
      <w:r>
        <w:rPr>
          <w:rFonts w:ascii="宋体" w:hAnsi="宋体" w:cs="宋体" w:eastAsia="宋体" w:hint="default"/>
        </w:rPr>
        <w:t>2013</w:t>
      </w:r>
      <w:r>
        <w:rPr>
          <w:rFonts w:ascii="宋体" w:hAnsi="宋体" w:cs="宋体" w:eastAsia="宋体" w:hint="default"/>
          <w:spacing w:val="-57"/>
        </w:rPr>
        <w:t> </w:t>
      </w:r>
      <w:r>
        <w:rPr/>
        <w:t>年</w:t>
      </w:r>
      <w:r>
        <w:rPr>
          <w:spacing w:val="-56"/>
        </w:rPr>
        <w:t> </w:t>
      </w:r>
      <w:r>
        <w:rPr>
          <w:rFonts w:ascii="宋体" w:hAnsi="宋体" w:cs="宋体" w:eastAsia="宋体" w:hint="default"/>
        </w:rPr>
        <w:t>8</w:t>
      </w:r>
      <w:r>
        <w:rPr>
          <w:rFonts w:ascii="宋体" w:hAnsi="宋体" w:cs="宋体" w:eastAsia="宋体" w:hint="default"/>
          <w:spacing w:val="-55"/>
        </w:rPr>
        <w:t> </w:t>
      </w:r>
      <w:r>
        <w:rPr/>
        <w:t>月任广东新岸线计算机系统芯片有</w:t>
      </w:r>
    </w:p>
    <w:p>
      <w:pPr>
        <w:pStyle w:val="BodyText"/>
        <w:spacing w:line="240" w:lineRule="auto" w:before="66"/>
        <w:ind w:left="154" w:right="0"/>
        <w:jc w:val="left"/>
      </w:pPr>
      <w:r>
        <w:rPr/>
        <w:t>限公司市场营销副总裁；自</w:t>
      </w:r>
      <w:r>
        <w:rPr>
          <w:spacing w:val="-55"/>
        </w:rPr>
        <w:t> </w:t>
      </w:r>
      <w:r>
        <w:rPr>
          <w:rFonts w:ascii="宋体" w:hAnsi="宋体" w:cs="宋体" w:eastAsia="宋体" w:hint="default"/>
        </w:rPr>
        <w:t>2007</w:t>
      </w:r>
      <w:r>
        <w:rPr>
          <w:rFonts w:ascii="宋体" w:hAnsi="宋体" w:cs="宋体" w:eastAsia="宋体" w:hint="default"/>
          <w:spacing w:val="-56"/>
        </w:rPr>
        <w:t> </w:t>
      </w:r>
      <w:r>
        <w:rPr/>
        <w:t>年</w:t>
      </w:r>
      <w:r>
        <w:rPr>
          <w:spacing w:val="-57"/>
        </w:rPr>
        <w:t> </w:t>
      </w:r>
      <w:r>
        <w:rPr>
          <w:rFonts w:ascii="宋体" w:hAnsi="宋体" w:cs="宋体" w:eastAsia="宋体" w:hint="default"/>
        </w:rPr>
        <w:t>10</w:t>
      </w:r>
      <w:r>
        <w:rPr>
          <w:rFonts w:ascii="宋体" w:hAnsi="宋体" w:cs="宋体" w:eastAsia="宋体" w:hint="default"/>
          <w:spacing w:val="-55"/>
        </w:rPr>
        <w:t> </w:t>
      </w:r>
      <w:r>
        <w:rPr/>
        <w:t>月至</w:t>
      </w:r>
      <w:r>
        <w:rPr>
          <w:spacing w:val="-55"/>
        </w:rPr>
        <w:t> </w:t>
      </w:r>
      <w:r>
        <w:rPr>
          <w:rFonts w:ascii="宋体" w:hAnsi="宋体" w:cs="宋体" w:eastAsia="宋体" w:hint="default"/>
        </w:rPr>
        <w:t>2010</w:t>
      </w:r>
      <w:r>
        <w:rPr>
          <w:rFonts w:ascii="宋体" w:hAnsi="宋体" w:cs="宋体" w:eastAsia="宋体" w:hint="default"/>
          <w:spacing w:val="-57"/>
        </w:rPr>
        <w:t> </w:t>
      </w:r>
      <w:r>
        <w:rPr/>
        <w:t>年</w:t>
      </w:r>
      <w:r>
        <w:rPr>
          <w:spacing w:val="-56"/>
        </w:rPr>
        <w:t> </w:t>
      </w:r>
      <w:r>
        <w:rPr>
          <w:rFonts w:ascii="宋体" w:hAnsi="宋体" w:cs="宋体" w:eastAsia="宋体" w:hint="default"/>
        </w:rPr>
        <w:t>11</w:t>
      </w:r>
      <w:r>
        <w:rPr>
          <w:rFonts w:ascii="宋体" w:hAnsi="宋体" w:cs="宋体" w:eastAsia="宋体" w:hint="default"/>
          <w:spacing w:val="-55"/>
        </w:rPr>
        <w:t> </w:t>
      </w:r>
      <w:r>
        <w:rPr/>
        <w:t>月历任</w:t>
      </w:r>
      <w:r>
        <w:rPr>
          <w:spacing w:val="-57"/>
        </w:rPr>
        <w:t> </w:t>
      </w:r>
      <w:r>
        <w:rPr>
          <w:rFonts w:ascii="宋体" w:hAnsi="宋体" w:cs="宋体" w:eastAsia="宋体" w:hint="default"/>
        </w:rPr>
        <w:t>ARM</w:t>
      </w:r>
      <w:r>
        <w:rPr>
          <w:rFonts w:ascii="宋体" w:hAnsi="宋体" w:cs="宋体" w:eastAsia="宋体" w:hint="default"/>
          <w:spacing w:val="-55"/>
        </w:rPr>
        <w:t> </w:t>
      </w:r>
      <w:r>
        <w:rPr>
          <w:rFonts w:ascii="宋体" w:hAnsi="宋体" w:cs="宋体" w:eastAsia="宋体" w:hint="default"/>
        </w:rPr>
        <w:t>Ltd.</w:t>
      </w:r>
      <w:r>
        <w:rPr/>
        <w:t>移动市场业务发展经理、亚太区移</w:t>
      </w:r>
    </w:p>
    <w:p>
      <w:pPr>
        <w:pStyle w:val="BodyText"/>
        <w:spacing w:line="240" w:lineRule="auto" w:before="64"/>
        <w:ind w:left="154" w:right="0"/>
        <w:jc w:val="left"/>
        <w:rPr>
          <w:rFonts w:ascii="宋体" w:hAnsi="宋体" w:cs="宋体" w:eastAsia="宋体" w:hint="default"/>
        </w:rPr>
      </w:pPr>
      <w:r>
        <w:rPr/>
        <w:t>动计算市场经理</w:t>
      </w:r>
      <w:r>
        <w:rPr>
          <w:spacing w:val="-105"/>
        </w:rPr>
        <w:t>；</w:t>
      </w:r>
      <w:r>
        <w:rPr/>
        <w:t>自</w:t>
      </w:r>
      <w:r>
        <w:rPr>
          <w:spacing w:val="-55"/>
        </w:rPr>
        <w:t> </w:t>
      </w:r>
      <w:r>
        <w:rPr>
          <w:rFonts w:ascii="宋体" w:hAnsi="宋体" w:cs="宋体" w:eastAsia="宋体" w:hint="default"/>
        </w:rPr>
        <w:t>2005</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月至</w:t>
      </w:r>
      <w:r>
        <w:rPr>
          <w:spacing w:val="-55"/>
        </w:rPr>
        <w:t> </w:t>
      </w:r>
      <w:r>
        <w:rPr>
          <w:rFonts w:ascii="宋体" w:hAnsi="宋体" w:cs="宋体" w:eastAsia="宋体" w:hint="default"/>
        </w:rPr>
        <w:t>2007</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spacing w:val="-2"/>
        </w:rPr>
        <w:t>月</w:t>
      </w:r>
      <w:r>
        <w:rPr/>
        <w:t>任 </w:t>
      </w:r>
      <w:r>
        <w:rPr>
          <w:rFonts w:ascii="宋体" w:hAnsi="宋体" w:cs="宋体" w:eastAsia="宋体" w:hint="default"/>
        </w:rPr>
        <w:t>BDA</w:t>
      </w:r>
      <w:r>
        <w:rPr>
          <w:rFonts w:ascii="宋体" w:hAnsi="宋体" w:cs="宋体" w:eastAsia="宋体" w:hint="default"/>
          <w:spacing w:val="-54"/>
        </w:rPr>
        <w:t> </w:t>
      </w:r>
      <w:r>
        <w:rPr/>
        <w:t>中</w:t>
      </w:r>
      <w:r>
        <w:rPr>
          <w:spacing w:val="-2"/>
        </w:rPr>
        <w:t>国</w:t>
      </w:r>
      <w:r>
        <w:rPr/>
        <w:t>有限公司首席分析师</w:t>
      </w:r>
      <w:r>
        <w:rPr>
          <w:spacing w:val="-105"/>
        </w:rPr>
        <w:t>；</w:t>
      </w:r>
      <w:r>
        <w:rPr/>
        <w:t>自</w:t>
      </w:r>
      <w:r>
        <w:rPr>
          <w:spacing w:val="-55"/>
        </w:rPr>
        <w:t> </w:t>
      </w:r>
      <w:r>
        <w:rPr>
          <w:rFonts w:ascii="宋体" w:hAnsi="宋体" w:cs="宋体" w:eastAsia="宋体" w:hint="default"/>
        </w:rPr>
        <w:t>2002</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4"/>
        </w:rPr>
        <w:t> </w:t>
      </w:r>
      <w:r>
        <w:rPr/>
        <w:t>月至</w:t>
      </w:r>
      <w:r>
        <w:rPr>
          <w:spacing w:val="-55"/>
        </w:rPr>
        <w:t> </w:t>
      </w:r>
      <w:r>
        <w:rPr>
          <w:rFonts w:ascii="宋体" w:hAnsi="宋体" w:cs="宋体" w:eastAsia="宋体" w:hint="default"/>
        </w:rPr>
        <w:t>2005</w:t>
      </w:r>
    </w:p>
    <w:p>
      <w:pPr>
        <w:pStyle w:val="BodyText"/>
        <w:spacing w:line="240" w:lineRule="auto" w:before="66"/>
        <w:ind w:left="154" w:right="1116"/>
        <w:jc w:val="left"/>
      </w:pPr>
      <w:r>
        <w:rPr/>
        <w:t>年</w:t>
      </w:r>
      <w:r>
        <w:rPr>
          <w:spacing w:val="-55"/>
        </w:rPr>
        <w:t> </w:t>
      </w:r>
      <w:r>
        <w:rPr>
          <w:rFonts w:ascii="宋体" w:hAnsi="宋体" w:cs="宋体" w:eastAsia="宋体" w:hint="default"/>
        </w:rPr>
        <w:t>12</w:t>
      </w:r>
      <w:r>
        <w:rPr>
          <w:rFonts w:ascii="宋体" w:hAnsi="宋体" w:cs="宋体" w:eastAsia="宋体" w:hint="default"/>
          <w:spacing w:val="-54"/>
        </w:rPr>
        <w:t> </w:t>
      </w:r>
      <w:r>
        <w:rPr/>
        <w:t>月任松下电器机电（中国）有限公司高级市场开发与销售工程师。</w:t>
      </w:r>
    </w:p>
    <w:p>
      <w:pPr>
        <w:spacing w:line="240" w:lineRule="auto" w:before="12"/>
        <w:rPr>
          <w:rFonts w:ascii="宋体" w:hAnsi="宋体" w:cs="宋体" w:eastAsia="宋体" w:hint="default"/>
          <w:sz w:val="17"/>
          <w:szCs w:val="17"/>
        </w:rPr>
      </w:pPr>
    </w:p>
    <w:p>
      <w:pPr>
        <w:pStyle w:val="BodyText"/>
        <w:spacing w:line="297" w:lineRule="auto"/>
        <w:ind w:left="154" w:right="1040" w:firstLine="420"/>
        <w:jc w:val="left"/>
      </w:pPr>
      <w:r>
        <w:rPr/>
        <w:t>王焕欣女士，</w:t>
      </w:r>
      <w:r>
        <w:rPr>
          <w:rFonts w:ascii="宋体" w:hAnsi="宋体" w:cs="宋体" w:eastAsia="宋体" w:hint="default"/>
        </w:rPr>
        <w:t>1985</w:t>
      </w:r>
      <w:r>
        <w:rPr>
          <w:rFonts w:ascii="宋体" w:hAnsi="宋体" w:cs="宋体" w:eastAsia="宋体" w:hint="default"/>
          <w:spacing w:val="-53"/>
        </w:rPr>
        <w:t> </w:t>
      </w:r>
      <w:r>
        <w:rPr/>
        <w:t>年出生，中国国籍，无境外永久居留权，毕业于吉林财经大学，经济学学士学位， 中国注册会计师、国际注册内审师</w:t>
      </w:r>
    </w:p>
    <w:p>
      <w:pPr>
        <w:spacing w:line="240" w:lineRule="auto" w:before="12"/>
        <w:rPr>
          <w:rFonts w:ascii="宋体" w:hAnsi="宋体" w:cs="宋体" w:eastAsia="宋体" w:hint="default"/>
          <w:sz w:val="13"/>
          <w:szCs w:val="13"/>
        </w:rPr>
      </w:pPr>
    </w:p>
    <w:p>
      <w:pPr>
        <w:pStyle w:val="BodyText"/>
        <w:spacing w:line="240" w:lineRule="auto"/>
        <w:ind w:left="574" w:right="0"/>
        <w:jc w:val="left"/>
      </w:pP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rPr>
        <w:t>11</w:t>
      </w:r>
      <w:r>
        <w:rPr>
          <w:rFonts w:ascii="宋体" w:hAnsi="宋体" w:cs="宋体" w:eastAsia="宋体" w:hint="default"/>
          <w:spacing w:val="-49"/>
        </w:rPr>
        <w:t> </w:t>
      </w:r>
      <w:r>
        <w:rPr/>
        <w:t>月至今担任公司董事；</w:t>
      </w:r>
      <w:r>
        <w:rPr>
          <w:rFonts w:ascii="宋体" w:hAnsi="宋体" w:cs="宋体" w:eastAsia="宋体" w:hint="default"/>
        </w:rPr>
        <w:t>2018</w:t>
      </w:r>
      <w:r>
        <w:rPr>
          <w:rFonts w:ascii="宋体" w:hAnsi="宋体" w:cs="宋体" w:eastAsia="宋体" w:hint="default"/>
          <w:spacing w:val="-50"/>
        </w:rPr>
        <w:t> </w:t>
      </w:r>
      <w:r>
        <w:rPr/>
        <w:t>年</w:t>
      </w:r>
      <w:r>
        <w:rPr>
          <w:spacing w:val="-51"/>
        </w:rPr>
        <w:t> </w:t>
      </w:r>
      <w:r>
        <w:rPr>
          <w:rFonts w:ascii="宋体" w:hAnsi="宋体" w:cs="宋体" w:eastAsia="宋体" w:hint="default"/>
        </w:rPr>
        <w:t>10</w:t>
      </w:r>
      <w:r>
        <w:rPr>
          <w:rFonts w:ascii="宋体" w:hAnsi="宋体" w:cs="宋体" w:eastAsia="宋体" w:hint="default"/>
          <w:spacing w:val="-49"/>
        </w:rPr>
        <w:t> </w:t>
      </w:r>
      <w:r>
        <w:rPr/>
        <w:t>月至今担任公司董事会秘书；</w:t>
      </w:r>
      <w:r>
        <w:rPr>
          <w:rFonts w:ascii="宋体" w:hAnsi="宋体" w:cs="宋体" w:eastAsia="宋体" w:hint="default"/>
        </w:rPr>
        <w:t>2018</w:t>
      </w:r>
      <w:r>
        <w:rPr>
          <w:rFonts w:ascii="宋体" w:hAnsi="宋体" w:cs="宋体" w:eastAsia="宋体" w:hint="default"/>
          <w:spacing w:val="-50"/>
        </w:rPr>
        <w:t> </w:t>
      </w:r>
      <w:r>
        <w:rPr/>
        <w:t>年</w:t>
      </w:r>
      <w:r>
        <w:rPr>
          <w:spacing w:val="-51"/>
        </w:rPr>
        <w:t> </w:t>
      </w:r>
      <w:r>
        <w:rPr>
          <w:rFonts w:ascii="宋体" w:hAnsi="宋体" w:cs="宋体" w:eastAsia="宋体" w:hint="default"/>
        </w:rPr>
        <w:t>7</w:t>
      </w:r>
      <w:r>
        <w:rPr>
          <w:rFonts w:ascii="宋体" w:hAnsi="宋体" w:cs="宋体" w:eastAsia="宋体" w:hint="default"/>
          <w:spacing w:val="-51"/>
        </w:rPr>
        <w:t> </w:t>
      </w:r>
      <w:r>
        <w:rPr/>
        <w:t>月至今担任公司</w:t>
      </w:r>
    </w:p>
    <w:p>
      <w:pPr>
        <w:pStyle w:val="BodyText"/>
        <w:spacing w:line="240" w:lineRule="auto" w:before="66"/>
        <w:ind w:left="154" w:right="0"/>
        <w:jc w:val="left"/>
      </w:pPr>
      <w:r>
        <w:rPr/>
        <w:t>财务总监；</w:t>
      </w: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9</w:t>
      </w:r>
      <w:r>
        <w:rPr>
          <w:rFonts w:ascii="宋体" w:hAnsi="宋体" w:cs="宋体" w:eastAsia="宋体" w:hint="default"/>
          <w:spacing w:val="-45"/>
        </w:rPr>
        <w:t> </w:t>
      </w:r>
      <w:r>
        <w:rPr/>
        <w:t>月至今，担任公司战略投资部副总裁；</w:t>
      </w:r>
      <w:r>
        <w:rPr>
          <w:rFonts w:ascii="宋体" w:hAnsi="宋体" w:cs="宋体" w:eastAsia="宋体" w:hint="default"/>
        </w:rPr>
        <w:t>2012</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月至</w:t>
      </w:r>
      <w:r>
        <w:rPr>
          <w:spacing w:val="-46"/>
        </w:rPr>
        <w:t> </w:t>
      </w:r>
      <w:r>
        <w:rPr>
          <w:rFonts w:ascii="宋体" w:hAnsi="宋体" w:cs="宋体" w:eastAsia="宋体" w:hint="default"/>
        </w:rPr>
        <w:t>2016</w:t>
      </w:r>
      <w:r>
        <w:rPr>
          <w:rFonts w:ascii="宋体" w:hAnsi="宋体" w:cs="宋体" w:eastAsia="宋体" w:hint="default"/>
          <w:spacing w:val="-46"/>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t>月，担任公司审计</w:t>
      </w:r>
    </w:p>
    <w:p>
      <w:pPr>
        <w:pStyle w:val="BodyText"/>
        <w:spacing w:line="240" w:lineRule="auto" w:before="66"/>
        <w:ind w:left="154" w:right="1116"/>
        <w:jc w:val="left"/>
      </w:pPr>
      <w:r>
        <w:rPr/>
        <w:t>部总监；</w:t>
      </w:r>
      <w:r>
        <w:rPr>
          <w:rFonts w:ascii="宋体" w:hAnsi="宋体" w:cs="宋体" w:eastAsia="宋体" w:hint="default"/>
        </w:rPr>
        <w:t>2007</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月至</w:t>
      </w:r>
      <w:r>
        <w:rPr>
          <w:spacing w:val="-55"/>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3"/>
        </w:rPr>
        <w:t> </w:t>
      </w:r>
      <w:r>
        <w:rPr/>
        <w:t>月，历任致同会计师事务所初级审计师、高级审计师、项目经理。</w:t>
      </w:r>
    </w:p>
    <w:p>
      <w:pPr>
        <w:spacing w:line="240" w:lineRule="auto" w:before="10"/>
        <w:rPr>
          <w:rFonts w:ascii="宋体" w:hAnsi="宋体" w:cs="宋体" w:eastAsia="宋体" w:hint="default"/>
          <w:sz w:val="17"/>
          <w:szCs w:val="17"/>
        </w:rPr>
      </w:pPr>
    </w:p>
    <w:p>
      <w:pPr>
        <w:pStyle w:val="BodyText"/>
        <w:spacing w:line="297" w:lineRule="auto"/>
        <w:ind w:left="154" w:right="1119" w:firstLine="420"/>
        <w:jc w:val="left"/>
      </w:pPr>
      <w:r>
        <w:rPr>
          <w:spacing w:val="-2"/>
        </w:rPr>
        <w:t>陈晓华先生，</w:t>
      </w:r>
      <w:r>
        <w:rPr>
          <w:rFonts w:ascii="宋体" w:hAnsi="宋体" w:cs="宋体" w:eastAsia="宋体" w:hint="default"/>
          <w:spacing w:val="-2"/>
        </w:rPr>
        <w:t>1974</w:t>
      </w:r>
      <w:r>
        <w:rPr>
          <w:rFonts w:ascii="宋体" w:hAnsi="宋体" w:cs="宋体" w:eastAsia="宋体" w:hint="default"/>
          <w:spacing w:val="-40"/>
        </w:rPr>
        <w:t> </w:t>
      </w:r>
      <w:r>
        <w:rPr>
          <w:spacing w:val="-2"/>
        </w:rPr>
        <w:t>年出生，中国国籍，无境外永久居留权，毕业于清华大学应用电子技术专业，学士</w:t>
      </w:r>
      <w:r>
        <w:rPr/>
        <w:t> 学位</w:t>
      </w:r>
    </w:p>
    <w:p>
      <w:pPr>
        <w:spacing w:line="240" w:lineRule="auto" w:before="0"/>
        <w:rPr>
          <w:rFonts w:ascii="宋体" w:hAnsi="宋体" w:cs="宋体" w:eastAsia="宋体" w:hint="default"/>
          <w:sz w:val="14"/>
          <w:szCs w:val="14"/>
        </w:rPr>
      </w:pPr>
    </w:p>
    <w:p>
      <w:pPr>
        <w:pStyle w:val="BodyText"/>
        <w:spacing w:line="240" w:lineRule="auto"/>
        <w:ind w:left="574" w:right="0"/>
        <w:jc w:val="left"/>
      </w:pPr>
      <w:r>
        <w:rPr/>
        <w:t>自</w:t>
      </w:r>
      <w:r>
        <w:rPr>
          <w:spacing w:val="-59"/>
        </w:rPr>
        <w:t> </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月至今担任公司董事，现任北京凯普林光电科技股份有限公司、北京凯普林激光科技有</w:t>
      </w:r>
    </w:p>
    <w:p>
      <w:pPr>
        <w:pStyle w:val="BodyText"/>
        <w:spacing w:line="240" w:lineRule="auto" w:before="64"/>
        <w:ind w:left="154" w:right="0"/>
        <w:jc w:val="left"/>
      </w:pPr>
      <w:r>
        <w:rPr/>
        <w:t>限公司董事长兼总经理、芯荣半导体有限公司董事。自</w:t>
      </w:r>
      <w:r>
        <w:rPr>
          <w:spacing w:val="-32"/>
        </w:rPr>
        <w:t> </w:t>
      </w:r>
      <w:r>
        <w:rPr>
          <w:rFonts w:ascii="宋体" w:hAnsi="宋体" w:cs="宋体" w:eastAsia="宋体" w:hint="default"/>
        </w:rPr>
        <w:t>2003</w:t>
      </w:r>
      <w:r>
        <w:rPr>
          <w:rFonts w:ascii="宋体" w:hAnsi="宋体" w:cs="宋体" w:eastAsia="宋体" w:hint="default"/>
          <w:spacing w:val="-33"/>
        </w:rPr>
        <w:t> </w:t>
      </w:r>
      <w:r>
        <w:rPr/>
        <w:t>年</w:t>
      </w:r>
      <w:r>
        <w:rPr>
          <w:spacing w:val="-33"/>
        </w:rPr>
        <w:t> </w:t>
      </w:r>
      <w:r>
        <w:rPr>
          <w:rFonts w:ascii="宋体" w:hAnsi="宋体" w:cs="宋体" w:eastAsia="宋体" w:hint="default"/>
        </w:rPr>
        <w:t>3</w:t>
      </w:r>
      <w:r>
        <w:rPr>
          <w:rFonts w:ascii="宋体" w:hAnsi="宋体" w:cs="宋体" w:eastAsia="宋体" w:hint="default"/>
          <w:spacing w:val="-33"/>
        </w:rPr>
        <w:t> </w:t>
      </w:r>
      <w:r>
        <w:rPr/>
        <w:t>月至今担任北京凯普林光电科技股份有</w:t>
      </w:r>
    </w:p>
    <w:p>
      <w:pPr>
        <w:pStyle w:val="BodyText"/>
        <w:spacing w:line="240" w:lineRule="auto" w:before="66"/>
        <w:ind w:left="154" w:right="0"/>
        <w:jc w:val="left"/>
      </w:pPr>
      <w:r>
        <w:rPr/>
        <w:t>限公司总经理，自</w:t>
      </w:r>
      <w:r>
        <w:rPr>
          <w:spacing w:val="-55"/>
        </w:rPr>
        <w:t> </w:t>
      </w:r>
      <w:r>
        <w:rPr>
          <w:rFonts w:ascii="宋体" w:hAnsi="宋体" w:cs="宋体" w:eastAsia="宋体" w:hint="default"/>
        </w:rPr>
        <w:t>2001</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月至</w:t>
      </w:r>
      <w:r>
        <w:rPr>
          <w:spacing w:val="-56"/>
        </w:rPr>
        <w:t> </w:t>
      </w:r>
      <w:r>
        <w:rPr>
          <w:rFonts w:ascii="宋体" w:hAnsi="宋体" w:cs="宋体" w:eastAsia="宋体" w:hint="default"/>
        </w:rPr>
        <w:t>2003</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5"/>
        </w:rPr>
        <w:t> </w:t>
      </w:r>
      <w:r>
        <w:rPr/>
        <w:t>月担任北京巨创光电科技有限公司副总经理；自</w:t>
      </w:r>
      <w:r>
        <w:rPr>
          <w:spacing w:val="-55"/>
        </w:rPr>
        <w:t> </w:t>
      </w:r>
      <w:r>
        <w:rPr>
          <w:rFonts w:ascii="宋体" w:hAnsi="宋体" w:cs="宋体" w:eastAsia="宋体" w:hint="default"/>
        </w:rPr>
        <w:t>1998</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66"/>
        <w:ind w:left="154" w:right="1116"/>
        <w:jc w:val="left"/>
      </w:pPr>
      <w:r>
        <w:rPr/>
        <w:t>至</w:t>
      </w:r>
      <w:r>
        <w:rPr>
          <w:spacing w:val="-53"/>
        </w:rPr>
        <w:t> </w:t>
      </w:r>
      <w:r>
        <w:rPr>
          <w:rFonts w:ascii="宋体" w:hAnsi="宋体" w:cs="宋体" w:eastAsia="宋体" w:hint="default"/>
        </w:rPr>
        <w:t>2001</w:t>
      </w:r>
      <w:r>
        <w:rPr>
          <w:rFonts w:ascii="宋体" w:hAnsi="宋体" w:cs="宋体" w:eastAsia="宋体" w:hint="default"/>
          <w:spacing w:val="-52"/>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月担任北京超讯通科技发展有限公司总经理。</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邓锋先生，</w:t>
      </w:r>
      <w:r>
        <w:rPr>
          <w:rFonts w:ascii="宋体" w:hAnsi="宋体" w:cs="宋体" w:eastAsia="宋体" w:hint="default"/>
        </w:rPr>
        <w:t>1963</w:t>
      </w:r>
      <w:r>
        <w:rPr>
          <w:rFonts w:ascii="宋体" w:hAnsi="宋体" w:cs="宋体" w:eastAsia="宋体" w:hint="default"/>
          <w:spacing w:val="-55"/>
        </w:rPr>
        <w:t> </w:t>
      </w:r>
      <w:r>
        <w:rPr/>
        <w:t>年出生，美国国籍。毕业于宾夕法尼亚沃顿商学院，工商管理硕士</w:t>
      </w:r>
    </w:p>
    <w:p>
      <w:pPr>
        <w:spacing w:line="240" w:lineRule="auto" w:before="12"/>
        <w:rPr>
          <w:rFonts w:ascii="宋体" w:hAnsi="宋体" w:cs="宋体" w:eastAsia="宋体" w:hint="default"/>
          <w:sz w:val="17"/>
          <w:szCs w:val="17"/>
        </w:rPr>
      </w:pPr>
    </w:p>
    <w:p>
      <w:pPr>
        <w:pStyle w:val="BodyText"/>
        <w:spacing w:line="297" w:lineRule="auto"/>
        <w:ind w:left="154" w:right="1013" w:firstLine="420"/>
        <w:jc w:val="left"/>
      </w:pPr>
      <w:r>
        <w:rPr/>
        <w:t>自</w:t>
      </w:r>
      <w:r>
        <w:rPr>
          <w:spacing w:val="-58"/>
        </w:rPr>
        <w:t> </w:t>
      </w:r>
      <w:r>
        <w:rPr>
          <w:rFonts w:ascii="宋体" w:hAnsi="宋体" w:cs="宋体" w:eastAsia="宋体" w:hint="default"/>
        </w:rPr>
        <w:t>2016</w:t>
      </w:r>
      <w:r>
        <w:rPr>
          <w:rFonts w:ascii="宋体" w:hAnsi="宋体" w:cs="宋体" w:eastAsia="宋体" w:hint="default"/>
          <w:spacing w:val="-59"/>
        </w:rPr>
        <w:t> </w:t>
      </w:r>
      <w:r>
        <w:rPr/>
        <w:t>年</w:t>
      </w:r>
      <w:r>
        <w:rPr>
          <w:spacing w:val="-60"/>
        </w:rPr>
        <w:t> </w:t>
      </w:r>
      <w:r>
        <w:rPr>
          <w:rFonts w:ascii="宋体" w:hAnsi="宋体" w:cs="宋体" w:eastAsia="宋体" w:hint="default"/>
        </w:rPr>
        <w:t>5</w:t>
      </w:r>
      <w:r>
        <w:rPr>
          <w:rFonts w:ascii="宋体" w:hAnsi="宋体" w:cs="宋体" w:eastAsia="宋体" w:hint="default"/>
          <w:spacing w:val="-59"/>
        </w:rPr>
        <w:t> </w:t>
      </w:r>
      <w:r>
        <w:rPr/>
        <w:t>月至今担任公司董事。邓锋先生为北极光创投旗下多支美元及人民币基金的创始合伙人、 北极光投资顾问（北京）有限公司董事总经理。</w:t>
      </w:r>
      <w:r>
        <w:rPr>
          <w:rFonts w:ascii="宋体" w:hAnsi="宋体" w:cs="宋体" w:eastAsia="宋体" w:hint="default"/>
        </w:rPr>
        <w:t>2005</w:t>
      </w:r>
      <w:r>
        <w:rPr>
          <w:rFonts w:ascii="宋体" w:hAnsi="宋体" w:cs="宋体" w:eastAsia="宋体" w:hint="default"/>
          <w:spacing w:val="-43"/>
        </w:rPr>
        <w:t> </w:t>
      </w:r>
      <w:r>
        <w:rPr/>
        <w:t>年</w:t>
      </w:r>
      <w:r>
        <w:rPr>
          <w:spacing w:val="-44"/>
        </w:rPr>
        <w:t> </w:t>
      </w:r>
      <w:r>
        <w:rPr>
          <w:rFonts w:ascii="宋体" w:hAnsi="宋体" w:cs="宋体" w:eastAsia="宋体" w:hint="default"/>
        </w:rPr>
        <w:t>11</w:t>
      </w:r>
      <w:r>
        <w:rPr>
          <w:rFonts w:ascii="宋体" w:hAnsi="宋体" w:cs="宋体" w:eastAsia="宋体" w:hint="default"/>
          <w:spacing w:val="-43"/>
        </w:rPr>
        <w:t> </w:t>
      </w:r>
      <w:r>
        <w:rPr/>
        <w:t>月至今，担任北极光投资顾问（北京）有限公 司创始人、董事总经理；</w:t>
      </w:r>
      <w:r>
        <w:rPr>
          <w:rFonts w:ascii="宋体" w:hAnsi="宋体" w:cs="宋体" w:eastAsia="宋体" w:hint="default"/>
        </w:rPr>
        <w:t>2004</w:t>
      </w:r>
      <w:r>
        <w:rPr>
          <w:rFonts w:ascii="宋体" w:hAnsi="宋体" w:cs="宋体" w:eastAsia="宋体" w:hint="default"/>
          <w:spacing w:val="-49"/>
        </w:rPr>
        <w:t> </w:t>
      </w:r>
      <w:r>
        <w:rPr/>
        <w:t>年</w:t>
      </w:r>
      <w:r>
        <w:rPr>
          <w:spacing w:val="-50"/>
        </w:rPr>
        <w:t> </w:t>
      </w:r>
      <w:r>
        <w:rPr>
          <w:rFonts w:ascii="宋体" w:hAnsi="宋体" w:cs="宋体" w:eastAsia="宋体" w:hint="default"/>
        </w:rPr>
        <w:t>2</w:t>
      </w:r>
      <w:r>
        <w:rPr>
          <w:rFonts w:ascii="宋体" w:hAnsi="宋体" w:cs="宋体" w:eastAsia="宋体" w:hint="default"/>
          <w:spacing w:val="-49"/>
        </w:rPr>
        <w:t> </w:t>
      </w:r>
      <w:r>
        <w:rPr/>
        <w:t>月至</w:t>
      </w:r>
      <w:r>
        <w:rPr>
          <w:spacing w:val="-50"/>
        </w:rPr>
        <w:t> </w:t>
      </w:r>
      <w:r>
        <w:rPr>
          <w:rFonts w:ascii="宋体" w:hAnsi="宋体" w:cs="宋体" w:eastAsia="宋体" w:hint="default"/>
        </w:rPr>
        <w:t>2005</w:t>
      </w:r>
      <w:r>
        <w:rPr>
          <w:rFonts w:ascii="宋体" w:hAnsi="宋体" w:cs="宋体" w:eastAsia="宋体" w:hint="default"/>
          <w:spacing w:val="-49"/>
        </w:rPr>
        <w:t> </w:t>
      </w:r>
      <w:r>
        <w:rPr/>
        <w:t>年</w:t>
      </w:r>
      <w:r>
        <w:rPr>
          <w:spacing w:val="-51"/>
        </w:rPr>
        <w:t> </w:t>
      </w:r>
      <w:r>
        <w:rPr>
          <w:rFonts w:ascii="宋体" w:hAnsi="宋体" w:cs="宋体" w:eastAsia="宋体" w:hint="default"/>
        </w:rPr>
        <w:t>2</w:t>
      </w:r>
      <w:r>
        <w:rPr>
          <w:rFonts w:ascii="宋体" w:hAnsi="宋体" w:cs="宋体" w:eastAsia="宋体" w:hint="default"/>
          <w:spacing w:val="-49"/>
        </w:rPr>
        <w:t> </w:t>
      </w:r>
      <w:r>
        <w:rPr/>
        <w:t>月，就职于瞻博网络（</w:t>
      </w:r>
      <w:r>
        <w:rPr>
          <w:rFonts w:ascii="宋体" w:hAnsi="宋体" w:cs="宋体" w:eastAsia="宋体" w:hint="default"/>
        </w:rPr>
        <w:t>Juniper</w:t>
      </w:r>
      <w:r>
        <w:rPr>
          <w:rFonts w:ascii="宋体" w:hAnsi="宋体" w:cs="宋体" w:eastAsia="宋体" w:hint="default"/>
          <w:spacing w:val="-1"/>
        </w:rPr>
        <w:t> </w:t>
      </w:r>
      <w:r>
        <w:rPr>
          <w:rFonts w:ascii="宋体" w:hAnsi="宋体" w:cs="宋体" w:eastAsia="宋体" w:hint="default"/>
        </w:rPr>
        <w:t>Networks</w:t>
      </w:r>
      <w:r>
        <w:rPr/>
        <w:t>），任公司战</w:t>
      </w:r>
    </w:p>
    <w:p>
      <w:pPr>
        <w:pStyle w:val="BodyText"/>
        <w:spacing w:line="240" w:lineRule="auto" w:before="14"/>
        <w:ind w:left="154" w:right="0"/>
        <w:jc w:val="left"/>
      </w:pPr>
      <w:r>
        <w:rPr/>
        <w:t>略副总裁；</w:t>
      </w:r>
      <w:r>
        <w:rPr>
          <w:rFonts w:ascii="宋体" w:hAnsi="宋体" w:cs="宋体" w:eastAsia="宋体" w:hint="default"/>
        </w:rPr>
        <w:t>1997</w:t>
      </w:r>
      <w:r>
        <w:rPr>
          <w:rFonts w:ascii="宋体" w:hAnsi="宋体" w:cs="宋体" w:eastAsia="宋体" w:hint="default"/>
          <w:spacing w:val="-49"/>
        </w:rPr>
        <w:t> </w:t>
      </w:r>
      <w:r>
        <w:rPr/>
        <w:t>年</w:t>
      </w:r>
      <w:r>
        <w:rPr>
          <w:spacing w:val="-50"/>
        </w:rPr>
        <w:t> </w:t>
      </w:r>
      <w:r>
        <w:rPr>
          <w:rFonts w:ascii="宋体" w:hAnsi="宋体" w:cs="宋体" w:eastAsia="宋体" w:hint="default"/>
        </w:rPr>
        <w:t>10</w:t>
      </w:r>
      <w:r>
        <w:rPr>
          <w:rFonts w:ascii="宋体" w:hAnsi="宋体" w:cs="宋体" w:eastAsia="宋体" w:hint="default"/>
          <w:spacing w:val="-49"/>
        </w:rPr>
        <w:t> </w:t>
      </w:r>
      <w:r>
        <w:rPr/>
        <w:t>月至</w:t>
      </w:r>
      <w:r>
        <w:rPr>
          <w:spacing w:val="-50"/>
        </w:rPr>
        <w:t> </w:t>
      </w:r>
      <w:r>
        <w:rPr>
          <w:rFonts w:ascii="宋体" w:hAnsi="宋体" w:cs="宋体" w:eastAsia="宋体" w:hint="default"/>
        </w:rPr>
        <w:t>2004</w:t>
      </w:r>
      <w:r>
        <w:rPr>
          <w:rFonts w:ascii="宋体" w:hAnsi="宋体" w:cs="宋体" w:eastAsia="宋体" w:hint="default"/>
          <w:spacing w:val="-49"/>
        </w:rPr>
        <w:t> </w:t>
      </w:r>
      <w:r>
        <w:rPr/>
        <w:t>年</w:t>
      </w:r>
      <w:r>
        <w:rPr>
          <w:spacing w:val="-50"/>
        </w:rPr>
        <w:t> </w:t>
      </w:r>
      <w:r>
        <w:rPr>
          <w:rFonts w:ascii="宋体" w:hAnsi="宋体" w:cs="宋体" w:eastAsia="宋体" w:hint="default"/>
        </w:rPr>
        <w:t>2</w:t>
      </w:r>
      <w:r>
        <w:rPr>
          <w:rFonts w:ascii="宋体" w:hAnsi="宋体" w:cs="宋体" w:eastAsia="宋体" w:hint="default"/>
          <w:spacing w:val="-51"/>
        </w:rPr>
        <w:t> </w:t>
      </w:r>
      <w:r>
        <w:rPr/>
        <w:t>月，就职于网屏技术公司（</w:t>
      </w:r>
      <w:r>
        <w:rPr>
          <w:rFonts w:ascii="宋体" w:hAnsi="宋体" w:cs="宋体" w:eastAsia="宋体" w:hint="default"/>
        </w:rPr>
        <w:t>NetScreen</w:t>
      </w:r>
      <w:r>
        <w:rPr/>
        <w:t>），任公司工程副总裁、首席</w:t>
      </w:r>
    </w:p>
    <w:p>
      <w:pPr>
        <w:pStyle w:val="BodyText"/>
        <w:spacing w:line="444" w:lineRule="auto" w:before="66"/>
        <w:ind w:left="574" w:right="2413" w:hanging="420"/>
        <w:jc w:val="left"/>
      </w:pPr>
      <w:r>
        <w:rPr/>
        <w:t>策略官和董事会成员；</w:t>
      </w:r>
      <w:r>
        <w:rPr>
          <w:rFonts w:ascii="宋体" w:hAnsi="宋体" w:cs="宋体" w:eastAsia="宋体" w:hint="default"/>
        </w:rPr>
        <w:t>1993</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月至</w:t>
      </w:r>
      <w:r>
        <w:rPr>
          <w:spacing w:val="-54"/>
        </w:rPr>
        <w:t> </w:t>
      </w:r>
      <w:r>
        <w:rPr>
          <w:rFonts w:ascii="宋体" w:hAnsi="宋体" w:cs="宋体" w:eastAsia="宋体" w:hint="default"/>
        </w:rPr>
        <w:t>1997</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月，就职于英特尔（</w:t>
      </w:r>
      <w:r>
        <w:rPr>
          <w:rFonts w:ascii="宋体" w:hAnsi="宋体" w:cs="宋体" w:eastAsia="宋体" w:hint="default"/>
        </w:rPr>
        <w:t>Intel</w:t>
      </w:r>
      <w:r>
        <w:rPr/>
        <w:t>），任架构师。 独立董事：</w:t>
      </w:r>
    </w:p>
    <w:p>
      <w:pPr>
        <w:pStyle w:val="BodyText"/>
        <w:spacing w:line="240" w:lineRule="auto" w:before="54"/>
        <w:ind w:left="574" w:right="0"/>
        <w:jc w:val="left"/>
      </w:pPr>
      <w:r>
        <w:rPr>
          <w:spacing w:val="-4"/>
        </w:rPr>
        <w:t>许亮先生，</w:t>
      </w:r>
      <w:r>
        <w:rPr>
          <w:rFonts w:ascii="宋体" w:hAnsi="宋体" w:cs="宋体" w:eastAsia="宋体" w:hint="default"/>
          <w:spacing w:val="-4"/>
        </w:rPr>
        <w:t>1975</w:t>
      </w:r>
      <w:r>
        <w:rPr>
          <w:rFonts w:ascii="宋体" w:hAnsi="宋体" w:cs="宋体" w:eastAsia="宋体" w:hint="default"/>
          <w:spacing w:val="-45"/>
        </w:rPr>
        <w:t> </w:t>
      </w:r>
      <w:r>
        <w:rPr>
          <w:spacing w:val="-4"/>
        </w:rPr>
        <w:t>年出生，中国国籍，无境外永久居留权，毕业于哈佛商学院，获得工商管理硕士学位。</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t>自</w:t>
      </w:r>
      <w:r>
        <w:rPr>
          <w:spacing w:val="-32"/>
        </w:rPr>
        <w:t> </w:t>
      </w:r>
      <w:r>
        <w:rPr>
          <w:rFonts w:ascii="宋体" w:hAnsi="宋体" w:cs="宋体" w:eastAsia="宋体" w:hint="default"/>
        </w:rPr>
        <w:t>2015</w:t>
      </w:r>
      <w:r>
        <w:rPr>
          <w:rFonts w:ascii="宋体" w:hAnsi="宋体" w:cs="宋体" w:eastAsia="宋体" w:hint="default"/>
          <w:spacing w:val="-32"/>
        </w:rPr>
        <w:t> </w:t>
      </w:r>
      <w:r>
        <w:rPr/>
        <w:t>年</w:t>
      </w:r>
      <w:r>
        <w:rPr>
          <w:spacing w:val="-33"/>
        </w:rPr>
        <w:t> </w:t>
      </w:r>
      <w:r>
        <w:rPr>
          <w:rFonts w:ascii="宋体" w:hAnsi="宋体" w:cs="宋体" w:eastAsia="宋体" w:hint="default"/>
        </w:rPr>
        <w:t>3</w:t>
      </w:r>
      <w:r>
        <w:rPr>
          <w:rFonts w:ascii="宋体" w:hAnsi="宋体" w:cs="宋体" w:eastAsia="宋体" w:hint="default"/>
          <w:spacing w:val="-32"/>
        </w:rPr>
        <w:t> </w:t>
      </w:r>
      <w:r>
        <w:rPr/>
        <w:t>月至今担任公司独立董事，现任光影工场文化传播有限公司董事长兼总经理、北京合一</w:t>
      </w:r>
    </w:p>
    <w:p>
      <w:pPr>
        <w:pStyle w:val="BodyText"/>
        <w:spacing w:line="240" w:lineRule="auto" w:before="66"/>
        <w:ind w:left="154" w:right="0"/>
        <w:jc w:val="left"/>
      </w:pPr>
      <w:r>
        <w:rPr/>
        <w:t>科文投资管理有限公司总经理。自</w:t>
      </w:r>
      <w:r>
        <w:rPr>
          <w:spacing w:val="-50"/>
        </w:rPr>
        <w:t> </w:t>
      </w:r>
      <w:r>
        <w:rPr>
          <w:rFonts w:ascii="宋体" w:hAnsi="宋体" w:cs="宋体" w:eastAsia="宋体" w:hint="default"/>
        </w:rPr>
        <w:t>2010</w:t>
      </w:r>
      <w:r>
        <w:rPr>
          <w:rFonts w:ascii="宋体" w:hAnsi="宋体" w:cs="宋体" w:eastAsia="宋体" w:hint="default"/>
          <w:spacing w:val="-50"/>
        </w:rPr>
        <w:t> </w:t>
      </w:r>
      <w:r>
        <w:rPr/>
        <w:t>年</w:t>
      </w:r>
      <w:r>
        <w:rPr>
          <w:spacing w:val="-51"/>
        </w:rPr>
        <w:t> </w:t>
      </w:r>
      <w:r>
        <w:rPr>
          <w:rFonts w:ascii="宋体" w:hAnsi="宋体" w:cs="宋体" w:eastAsia="宋体" w:hint="default"/>
        </w:rPr>
        <w:t>6</w:t>
      </w:r>
      <w:r>
        <w:rPr>
          <w:rFonts w:ascii="宋体" w:hAnsi="宋体" w:cs="宋体" w:eastAsia="宋体" w:hint="default"/>
          <w:spacing w:val="-49"/>
        </w:rPr>
        <w:t> </w:t>
      </w:r>
      <w:r>
        <w:rPr/>
        <w:t>月至</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1"/>
        </w:rPr>
        <w:t> </w:t>
      </w:r>
      <w:r>
        <w:rPr>
          <w:rFonts w:ascii="宋体" w:hAnsi="宋体" w:cs="宋体" w:eastAsia="宋体" w:hint="default"/>
        </w:rPr>
        <w:t>6</w:t>
      </w:r>
      <w:r>
        <w:rPr>
          <w:rFonts w:ascii="宋体" w:hAnsi="宋体" w:cs="宋体" w:eastAsia="宋体" w:hint="default"/>
          <w:spacing w:val="-51"/>
        </w:rPr>
        <w:t> </w:t>
      </w:r>
      <w:r>
        <w:rPr/>
        <w:t>月，担任</w:t>
      </w:r>
      <w:r>
        <w:rPr>
          <w:spacing w:val="-50"/>
        </w:rPr>
        <w:t> </w:t>
      </w:r>
      <w:r>
        <w:rPr>
          <w:rFonts w:ascii="宋体" w:hAnsi="宋体" w:cs="宋体" w:eastAsia="宋体" w:hint="default"/>
        </w:rPr>
        <w:t>Bona</w:t>
      </w:r>
      <w:r>
        <w:rPr>
          <w:rFonts w:ascii="宋体" w:hAnsi="宋体" w:cs="宋体" w:eastAsia="宋体" w:hint="default"/>
          <w:spacing w:val="-1"/>
        </w:rPr>
        <w:t> </w:t>
      </w:r>
      <w:r>
        <w:rPr>
          <w:rFonts w:ascii="宋体" w:hAnsi="宋体" w:cs="宋体" w:eastAsia="宋体" w:hint="default"/>
        </w:rPr>
        <w:t>Film</w:t>
      </w:r>
      <w:r>
        <w:rPr>
          <w:rFonts w:ascii="宋体" w:hAnsi="宋体" w:cs="宋体" w:eastAsia="宋体" w:hint="default"/>
          <w:spacing w:val="-1"/>
        </w:rPr>
        <w:t> </w:t>
      </w:r>
      <w:r>
        <w:rPr>
          <w:rFonts w:ascii="宋体" w:hAnsi="宋体" w:cs="宋体" w:eastAsia="宋体" w:hint="default"/>
        </w:rPr>
        <w:t>Group</w:t>
      </w:r>
      <w:r>
        <w:rPr>
          <w:rFonts w:ascii="宋体" w:hAnsi="宋体" w:cs="宋体" w:eastAsia="宋体" w:hint="default"/>
          <w:spacing w:val="-1"/>
        </w:rPr>
        <w:t> </w:t>
      </w:r>
      <w:r>
        <w:rPr>
          <w:rFonts w:ascii="宋体" w:hAnsi="宋体" w:cs="宋体" w:eastAsia="宋体" w:hint="default"/>
        </w:rPr>
        <w:t>Ltd</w:t>
      </w:r>
      <w:r>
        <w:rPr/>
        <w:t>（博纳影业集</w:t>
      </w:r>
    </w:p>
    <w:p>
      <w:pPr>
        <w:pStyle w:val="BodyText"/>
        <w:spacing w:line="240" w:lineRule="auto" w:before="64"/>
        <w:ind w:left="154" w:right="0"/>
        <w:jc w:val="left"/>
      </w:pPr>
      <w:r>
        <w:rPr/>
        <w:t>团）副总裁、首席财务官；自</w:t>
      </w:r>
      <w:r>
        <w:rPr>
          <w:spacing w:val="-44"/>
        </w:rPr>
        <w:t> </w:t>
      </w:r>
      <w:r>
        <w:rPr>
          <w:rFonts w:ascii="宋体" w:hAnsi="宋体" w:cs="宋体" w:eastAsia="宋体" w:hint="default"/>
        </w:rPr>
        <w:t>2006</w:t>
      </w:r>
      <w:r>
        <w:rPr>
          <w:rFonts w:ascii="宋体" w:hAnsi="宋体" w:cs="宋体" w:eastAsia="宋体" w:hint="default"/>
          <w:spacing w:val="-45"/>
        </w:rPr>
        <w:t> </w:t>
      </w:r>
      <w:r>
        <w:rPr/>
        <w:t>年</w:t>
      </w:r>
      <w:r>
        <w:rPr>
          <w:spacing w:val="-44"/>
        </w:rPr>
        <w:t> </w:t>
      </w:r>
      <w:r>
        <w:rPr>
          <w:rFonts w:ascii="宋体" w:hAnsi="宋体" w:cs="宋体" w:eastAsia="宋体" w:hint="default"/>
        </w:rPr>
        <w:t>11</w:t>
      </w:r>
      <w:r>
        <w:rPr>
          <w:rFonts w:ascii="宋体" w:hAnsi="宋体" w:cs="宋体" w:eastAsia="宋体" w:hint="default"/>
          <w:spacing w:val="-43"/>
        </w:rPr>
        <w:t> </w:t>
      </w:r>
      <w:r>
        <w:rPr/>
        <w:t>月至</w:t>
      </w:r>
      <w:r>
        <w:rPr>
          <w:spacing w:val="-44"/>
        </w:rPr>
        <w:t> </w:t>
      </w:r>
      <w:r>
        <w:rPr>
          <w:rFonts w:ascii="宋体" w:hAnsi="宋体" w:cs="宋体" w:eastAsia="宋体" w:hint="default"/>
        </w:rPr>
        <w:t>2010</w:t>
      </w:r>
      <w:r>
        <w:rPr>
          <w:rFonts w:ascii="宋体" w:hAnsi="宋体" w:cs="宋体" w:eastAsia="宋体" w:hint="default"/>
          <w:spacing w:val="-43"/>
        </w:rPr>
        <w:t> </w:t>
      </w:r>
      <w:r>
        <w:rPr/>
        <w:t>年</w:t>
      </w:r>
      <w:r>
        <w:rPr>
          <w:spacing w:val="-44"/>
        </w:rPr>
        <w:t> </w:t>
      </w:r>
      <w:r>
        <w:rPr>
          <w:rFonts w:ascii="宋体" w:hAnsi="宋体" w:cs="宋体" w:eastAsia="宋体" w:hint="default"/>
        </w:rPr>
        <w:t>6</w:t>
      </w:r>
      <w:r>
        <w:rPr>
          <w:rFonts w:ascii="宋体" w:hAnsi="宋体" w:cs="宋体" w:eastAsia="宋体" w:hint="default"/>
          <w:spacing w:val="-43"/>
        </w:rPr>
        <w:t> </w:t>
      </w:r>
      <w:r>
        <w:rPr/>
        <w:t>月，担任北京永新视博数字电视技术有限公司执</w:t>
      </w:r>
    </w:p>
    <w:p>
      <w:pPr>
        <w:pStyle w:val="BodyText"/>
        <w:spacing w:line="240" w:lineRule="auto" w:before="66"/>
        <w:ind w:left="154" w:right="0"/>
        <w:jc w:val="left"/>
        <w:rPr>
          <w:rFonts w:ascii="宋体" w:hAnsi="宋体" w:cs="宋体" w:eastAsia="宋体" w:hint="default"/>
        </w:rPr>
      </w:pPr>
      <w:r>
        <w:rPr>
          <w:spacing w:val="-10"/>
        </w:rPr>
        <w:t>行副总裁、首席财务官；自</w:t>
      </w:r>
      <w:r>
        <w:rPr>
          <w:spacing w:val="-52"/>
        </w:rPr>
        <w:t> </w:t>
      </w:r>
      <w:r>
        <w:rPr>
          <w:rFonts w:ascii="宋体" w:hAnsi="宋体" w:cs="宋体" w:eastAsia="宋体" w:hint="default"/>
        </w:rPr>
        <w:t>2005</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t>月至</w:t>
      </w:r>
      <w:r>
        <w:rPr>
          <w:spacing w:val="-53"/>
        </w:rPr>
        <w:t> </w:t>
      </w:r>
      <w:r>
        <w:rPr>
          <w:rFonts w:ascii="宋体" w:hAnsi="宋体" w:cs="宋体" w:eastAsia="宋体" w:hint="default"/>
        </w:rPr>
        <w:t>2006</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2"/>
        </w:rPr>
        <w:t> </w:t>
      </w:r>
      <w:r>
        <w:rPr>
          <w:spacing w:val="-7"/>
        </w:rPr>
        <w:t>月，担任鼎晖中国风险投资基金（</w:t>
      </w:r>
      <w:r>
        <w:rPr>
          <w:rFonts w:ascii="宋体" w:hAnsi="宋体" w:cs="宋体" w:eastAsia="宋体" w:hint="default"/>
          <w:spacing w:val="-7"/>
        </w:rPr>
        <w:t>CDH</w:t>
      </w:r>
      <w:r>
        <w:rPr>
          <w:rFonts w:ascii="宋体" w:hAnsi="宋体" w:cs="宋体" w:eastAsia="宋体" w:hint="default"/>
          <w:spacing w:val="-53"/>
        </w:rPr>
        <w:t> </w:t>
      </w:r>
      <w:r>
        <w:rPr>
          <w:rFonts w:ascii="宋体" w:hAnsi="宋体" w:cs="宋体" w:eastAsia="宋体" w:hint="default"/>
        </w:rPr>
        <w:t>China</w:t>
      </w:r>
      <w:r>
        <w:rPr>
          <w:rFonts w:ascii="宋体" w:hAnsi="宋体" w:cs="宋体" w:eastAsia="宋体" w:hint="default"/>
          <w:spacing w:val="-52"/>
        </w:rPr>
        <w:t> </w:t>
      </w:r>
      <w:r>
        <w:rPr>
          <w:rFonts w:ascii="宋体" w:hAnsi="宋体" w:cs="宋体" w:eastAsia="宋体" w:hint="default"/>
        </w:rPr>
        <w:t>Venture</w:t>
      </w:r>
    </w:p>
    <w:p>
      <w:pPr>
        <w:pStyle w:val="BodyText"/>
        <w:spacing w:line="297" w:lineRule="auto" w:before="66"/>
        <w:ind w:left="154" w:right="1024"/>
        <w:jc w:val="left"/>
      </w:pPr>
      <w:r>
        <w:rPr>
          <w:rFonts w:ascii="宋体" w:hAnsi="宋体" w:cs="宋体" w:eastAsia="宋体" w:hint="default"/>
        </w:rPr>
        <w:t>Capital</w:t>
      </w:r>
      <w:r>
        <w:rPr>
          <w:rFonts w:ascii="宋体" w:hAnsi="宋体" w:cs="宋体" w:eastAsia="宋体" w:hint="default"/>
          <w:spacing w:val="-52"/>
        </w:rPr>
        <w:t> </w:t>
      </w:r>
      <w:r>
        <w:rPr>
          <w:rFonts w:ascii="宋体" w:hAnsi="宋体" w:cs="宋体" w:eastAsia="宋体" w:hint="default"/>
          <w:spacing w:val="-12"/>
        </w:rPr>
        <w:t>Fund</w:t>
      </w:r>
      <w:r>
        <w:rPr>
          <w:spacing w:val="-12"/>
        </w:rPr>
        <w:t>）助理副总裁；自</w:t>
      </w:r>
      <w:r>
        <w:rPr>
          <w:spacing w:val="-53"/>
        </w:rPr>
        <w:t> </w:t>
      </w:r>
      <w:r>
        <w:rPr>
          <w:rFonts w:ascii="宋体" w:hAnsi="宋体" w:cs="宋体" w:eastAsia="宋体" w:hint="default"/>
        </w:rPr>
        <w:t>2003</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2"/>
        </w:rPr>
        <w:t> </w:t>
      </w:r>
      <w:r>
        <w:rPr/>
        <w:t>月至</w:t>
      </w:r>
      <w:r>
        <w:rPr>
          <w:spacing w:val="-53"/>
        </w:rPr>
        <w:t> </w:t>
      </w:r>
      <w:r>
        <w:rPr>
          <w:rFonts w:ascii="宋体" w:hAnsi="宋体" w:cs="宋体" w:eastAsia="宋体" w:hint="default"/>
        </w:rPr>
        <w:t>2005</w:t>
      </w:r>
      <w:r>
        <w:rPr>
          <w:rFonts w:ascii="宋体" w:hAnsi="宋体" w:cs="宋体" w:eastAsia="宋体" w:hint="default"/>
          <w:spacing w:val="-54"/>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spacing w:val="-8"/>
        </w:rPr>
        <w:t>月，历任英特尔中国有限公司（</w:t>
      </w:r>
      <w:r>
        <w:rPr>
          <w:rFonts w:ascii="宋体" w:hAnsi="宋体" w:cs="宋体" w:eastAsia="宋体" w:hint="default"/>
          <w:spacing w:val="-8"/>
        </w:rPr>
        <w:t>Intel</w:t>
      </w:r>
      <w:r>
        <w:rPr>
          <w:rFonts w:ascii="宋体" w:hAnsi="宋体" w:cs="宋体" w:eastAsia="宋体" w:hint="default"/>
          <w:spacing w:val="-52"/>
        </w:rPr>
        <w:t> </w:t>
      </w:r>
      <w:r>
        <w:rPr>
          <w:rFonts w:ascii="宋体" w:hAnsi="宋体" w:cs="宋体" w:eastAsia="宋体" w:hint="default"/>
        </w:rPr>
        <w:t>China</w:t>
      </w:r>
      <w:r>
        <w:rPr>
          <w:rFonts w:ascii="宋体" w:hAnsi="宋体" w:cs="宋体" w:eastAsia="宋体" w:hint="default"/>
          <w:spacing w:val="-53"/>
        </w:rPr>
        <w:t> </w:t>
      </w:r>
      <w:r>
        <w:rPr>
          <w:rFonts w:ascii="宋体" w:hAnsi="宋体" w:cs="宋体" w:eastAsia="宋体" w:hint="default"/>
        </w:rPr>
        <w:t>Ltd.</w:t>
      </w:r>
      <w:r>
        <w:rPr/>
        <w:t>） 高级财务分析师、战略项目经理。</w:t>
      </w:r>
    </w:p>
    <w:p>
      <w:pPr>
        <w:spacing w:line="240" w:lineRule="auto" w:before="0"/>
        <w:rPr>
          <w:rFonts w:ascii="宋体" w:hAnsi="宋体" w:cs="宋体" w:eastAsia="宋体" w:hint="default"/>
          <w:sz w:val="14"/>
          <w:szCs w:val="14"/>
        </w:rPr>
      </w:pPr>
    </w:p>
    <w:p>
      <w:pPr>
        <w:pStyle w:val="BodyText"/>
        <w:spacing w:line="444" w:lineRule="auto"/>
        <w:ind w:left="574" w:right="2092"/>
        <w:jc w:val="left"/>
      </w:pPr>
      <w:r>
        <w:rPr/>
        <w:t>王玥先生，</w:t>
      </w:r>
      <w:r>
        <w:rPr>
          <w:rFonts w:ascii="宋体" w:hAnsi="宋体" w:cs="宋体" w:eastAsia="宋体" w:hint="default"/>
        </w:rPr>
        <w:t>1981</w:t>
      </w:r>
      <w:r>
        <w:rPr>
          <w:rFonts w:ascii="宋体" w:hAnsi="宋体" w:cs="宋体" w:eastAsia="宋体" w:hint="default"/>
          <w:spacing w:val="-55"/>
        </w:rPr>
        <w:t> </w:t>
      </w:r>
      <w:r>
        <w:rPr/>
        <w:t>年出生，中国国籍，无境外永久居留权，毕业于北京交通大学，学士学位 自</w:t>
      </w:r>
      <w:r>
        <w:rPr>
          <w:spacing w:val="-53"/>
        </w:rPr>
        <w:t> </w:t>
      </w:r>
      <w:r>
        <w:rPr>
          <w:rFonts w:ascii="宋体" w:hAnsi="宋体" w:cs="宋体" w:eastAsia="宋体" w:hint="default"/>
        </w:rPr>
        <w:t>2005</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月至今历任天职国际会计师事务所审计员、项目经理、合伙人。</w:t>
      </w:r>
    </w:p>
    <w:p>
      <w:pPr>
        <w:spacing w:after="0" w:line="444" w:lineRule="auto"/>
        <w:jc w:val="left"/>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40" w:lineRule="auto" w:before="35"/>
        <w:ind w:right="1016"/>
        <w:jc w:val="left"/>
      </w:pPr>
      <w:r>
        <w:rPr/>
        <w:t>程丽女士，</w:t>
      </w:r>
      <w:r>
        <w:rPr>
          <w:rFonts w:ascii="宋体" w:hAnsi="宋体" w:cs="宋体" w:eastAsia="宋体" w:hint="default"/>
        </w:rPr>
        <w:t>1960</w:t>
      </w:r>
      <w:r>
        <w:rPr>
          <w:rFonts w:ascii="宋体" w:hAnsi="宋体" w:cs="宋体" w:eastAsia="宋体" w:hint="default"/>
          <w:spacing w:val="-55"/>
        </w:rPr>
        <w:t> </w:t>
      </w:r>
      <w:r>
        <w:rPr/>
        <w:t>年出生，中国国际，无境外永久居留权，毕业于日本专修大学法学系，硕士学位。</w:t>
      </w:r>
    </w:p>
    <w:p>
      <w:pPr>
        <w:spacing w:line="240" w:lineRule="auto" w:before="12"/>
        <w:rPr>
          <w:rFonts w:ascii="宋体" w:hAnsi="宋体" w:cs="宋体" w:eastAsia="宋体" w:hint="default"/>
          <w:sz w:val="17"/>
          <w:szCs w:val="17"/>
        </w:rPr>
      </w:pPr>
    </w:p>
    <w:p>
      <w:pPr>
        <w:pStyle w:val="BodyText"/>
        <w:spacing w:line="297" w:lineRule="auto"/>
        <w:ind w:left="214" w:right="1121" w:firstLine="420"/>
        <w:jc w:val="left"/>
      </w:pPr>
      <w:r>
        <w:rPr>
          <w:rFonts w:ascii="宋体" w:hAnsi="宋体" w:cs="宋体" w:eastAsia="宋体" w:hint="default"/>
        </w:rPr>
        <w:t>1995</w:t>
      </w:r>
      <w:r>
        <w:rPr>
          <w:rFonts w:ascii="宋体" w:hAnsi="宋体" w:cs="宋体" w:eastAsia="宋体" w:hint="default"/>
          <w:spacing w:val="-46"/>
        </w:rPr>
        <w:t> </w:t>
      </w:r>
      <w:r>
        <w:rPr>
          <w:spacing w:val="-3"/>
        </w:rPr>
        <w:t>年至今，加入北京市通商律师事务所担任合伙人；自</w:t>
      </w:r>
      <w:r>
        <w:rPr>
          <w:spacing w:val="-47"/>
        </w:rPr>
        <w:t> </w:t>
      </w:r>
      <w:r>
        <w:rPr>
          <w:rFonts w:ascii="宋体" w:hAnsi="宋体" w:cs="宋体" w:eastAsia="宋体" w:hint="default"/>
        </w:rPr>
        <w:t>1992</w:t>
      </w:r>
      <w:r>
        <w:rPr>
          <w:rFonts w:ascii="宋体" w:hAnsi="宋体" w:cs="宋体" w:eastAsia="宋体" w:hint="default"/>
          <w:spacing w:val="-49"/>
        </w:rPr>
        <w:t> </w:t>
      </w:r>
      <w:r>
        <w:rPr/>
        <w:t>年至</w:t>
      </w:r>
      <w:r>
        <w:rPr>
          <w:spacing w:val="-50"/>
        </w:rPr>
        <w:t> </w:t>
      </w:r>
      <w:r>
        <w:rPr>
          <w:rFonts w:ascii="宋体" w:hAnsi="宋体" w:cs="宋体" w:eastAsia="宋体" w:hint="default"/>
        </w:rPr>
        <w:t>1993</w:t>
      </w:r>
      <w:r>
        <w:rPr>
          <w:rFonts w:ascii="宋体" w:hAnsi="宋体" w:cs="宋体" w:eastAsia="宋体" w:hint="default"/>
          <w:spacing w:val="-47"/>
        </w:rPr>
        <w:t> </w:t>
      </w:r>
      <w:r>
        <w:rPr>
          <w:spacing w:val="-3"/>
        </w:rPr>
        <w:t>年，曾在日中投资贸易促进</w:t>
      </w:r>
      <w:r>
        <w:rPr/>
        <w:t> 协会和小松律师事务所工作和进修。</w:t>
      </w:r>
    </w:p>
    <w:p>
      <w:pPr>
        <w:spacing w:line="240" w:lineRule="auto" w:before="1"/>
        <w:rPr>
          <w:rFonts w:ascii="宋体" w:hAnsi="宋体" w:cs="宋体" w:eastAsia="宋体" w:hint="default"/>
          <w:sz w:val="14"/>
          <w:szCs w:val="14"/>
        </w:rPr>
      </w:pPr>
    </w:p>
    <w:p>
      <w:pPr>
        <w:pStyle w:val="BodyText"/>
        <w:spacing w:line="240" w:lineRule="auto"/>
        <w:ind w:right="1016"/>
        <w:jc w:val="left"/>
      </w:pPr>
      <w:r>
        <w:rPr/>
        <w:t>非董事的高级管理人员</w:t>
      </w:r>
    </w:p>
    <w:p>
      <w:pPr>
        <w:spacing w:line="240" w:lineRule="auto" w:before="12"/>
        <w:rPr>
          <w:rFonts w:ascii="宋体" w:hAnsi="宋体" w:cs="宋体" w:eastAsia="宋体" w:hint="default"/>
          <w:sz w:val="17"/>
          <w:szCs w:val="17"/>
        </w:rPr>
      </w:pPr>
    </w:p>
    <w:p>
      <w:pPr>
        <w:pStyle w:val="BodyText"/>
        <w:spacing w:line="240" w:lineRule="auto"/>
        <w:ind w:right="1016"/>
        <w:jc w:val="left"/>
      </w:pPr>
      <w:r>
        <w:rPr/>
        <w:t>孙涛女士，</w:t>
      </w:r>
      <w:r>
        <w:rPr>
          <w:rFonts w:ascii="宋体" w:hAnsi="宋体" w:cs="宋体" w:eastAsia="宋体" w:hint="default"/>
        </w:rPr>
        <w:t>1981</w:t>
      </w:r>
      <w:r>
        <w:rPr>
          <w:rFonts w:ascii="宋体" w:hAnsi="宋体" w:cs="宋体" w:eastAsia="宋体" w:hint="default"/>
          <w:spacing w:val="-55"/>
        </w:rPr>
        <w:t> </w:t>
      </w:r>
      <w:r>
        <w:rPr/>
        <w:t>年出生，中国国籍，无境外永久居留权，上海财经大学，学士学位。</w:t>
      </w:r>
    </w:p>
    <w:p>
      <w:pPr>
        <w:spacing w:line="240" w:lineRule="auto" w:before="10"/>
        <w:rPr>
          <w:rFonts w:ascii="宋体" w:hAnsi="宋体" w:cs="宋体" w:eastAsia="宋体" w:hint="default"/>
          <w:sz w:val="17"/>
          <w:szCs w:val="17"/>
        </w:rPr>
      </w:pPr>
    </w:p>
    <w:p>
      <w:pPr>
        <w:pStyle w:val="BodyText"/>
        <w:spacing w:line="297" w:lineRule="auto"/>
        <w:ind w:left="214" w:right="1023" w:firstLine="420"/>
        <w:jc w:val="left"/>
      </w:pP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8</w:t>
      </w:r>
      <w:r>
        <w:rPr>
          <w:rFonts w:ascii="宋体" w:hAnsi="宋体" w:cs="宋体" w:eastAsia="宋体" w:hint="default"/>
          <w:spacing w:val="-45"/>
        </w:rPr>
        <w:t> </w:t>
      </w:r>
      <w:r>
        <w:rPr/>
        <w:t>月至今</w:t>
      </w:r>
      <w:r>
        <w:rPr>
          <w:spacing w:val="-1"/>
        </w:rPr>
        <w:t> </w:t>
      </w:r>
      <w:r>
        <w:rPr/>
        <w:t>，任中科创达软件股份有限公司人力资源副总裁；</w:t>
      </w:r>
      <w:r>
        <w:rPr>
          <w:rFonts w:ascii="宋体" w:hAnsi="宋体" w:cs="宋体" w:eastAsia="宋体" w:hint="default"/>
        </w:rPr>
        <w:t>2005</w:t>
      </w:r>
      <w:r>
        <w:rPr>
          <w:rFonts w:ascii="宋体" w:hAnsi="宋体" w:cs="宋体" w:eastAsia="宋体" w:hint="default"/>
          <w:spacing w:val="-45"/>
        </w:rPr>
        <w:t> </w:t>
      </w:r>
      <w:r>
        <w:rPr/>
        <w:t>年</w:t>
      </w:r>
      <w:r>
        <w:rPr>
          <w:spacing w:val="-46"/>
        </w:rPr>
        <w:t> </w:t>
      </w:r>
      <w:r>
        <w:rPr>
          <w:rFonts w:ascii="宋体" w:hAnsi="宋体" w:cs="宋体" w:eastAsia="宋体" w:hint="default"/>
        </w:rPr>
        <w:t>3</w:t>
      </w:r>
      <w:r>
        <w:rPr>
          <w:rFonts w:ascii="宋体" w:hAnsi="宋体" w:cs="宋体" w:eastAsia="宋体" w:hint="default"/>
          <w:spacing w:val="-45"/>
        </w:rPr>
        <w:t> </w:t>
      </w:r>
      <w:r>
        <w:rPr/>
        <w:t>月至</w:t>
      </w:r>
      <w:r>
        <w:rPr>
          <w:spacing w:val="-46"/>
        </w:rPr>
        <w:t> </w:t>
      </w:r>
      <w:r>
        <w:rPr>
          <w:rFonts w:ascii="宋体" w:hAnsi="宋体" w:cs="宋体" w:eastAsia="宋体" w:hint="default"/>
        </w:rPr>
        <w:t>2017</w:t>
      </w:r>
      <w:r>
        <w:rPr>
          <w:rFonts w:ascii="宋体" w:hAnsi="宋体" w:cs="宋体" w:eastAsia="宋体" w:hint="default"/>
          <w:spacing w:val="-45"/>
        </w:rPr>
        <w:t> </w:t>
      </w:r>
      <w:r>
        <w:rPr/>
        <w:t>年</w:t>
      </w:r>
      <w:r>
        <w:rPr>
          <w:spacing w:val="-46"/>
        </w:rPr>
        <w:t> </w:t>
      </w:r>
      <w:r>
        <w:rPr>
          <w:rFonts w:ascii="宋体" w:hAnsi="宋体" w:cs="宋体" w:eastAsia="宋体" w:hint="default"/>
        </w:rPr>
        <w:t>7</w:t>
      </w:r>
      <w:r>
        <w:rPr>
          <w:rFonts w:ascii="宋体" w:hAnsi="宋体" w:cs="宋体" w:eastAsia="宋体" w:hint="default"/>
          <w:spacing w:val="-45"/>
        </w:rPr>
        <w:t> </w:t>
      </w:r>
      <w:r>
        <w:rPr/>
        <w:t>月，历 </w:t>
      </w:r>
      <w:r>
        <w:rPr>
          <w:spacing w:val="-3"/>
        </w:rPr>
        <w:t>任思源集团营销管理中心高级主管、总部企业发展部经理、企发中心运营部高级经理、济南公司综合总监、</w:t>
      </w:r>
      <w:r>
        <w:rPr>
          <w:spacing w:val="-90"/>
        </w:rPr>
        <w:t> </w:t>
      </w:r>
      <w:r>
        <w:rPr>
          <w:spacing w:val="-90"/>
        </w:rPr>
      </w:r>
      <w:r>
        <w:rPr>
          <w:spacing w:val="-3"/>
        </w:rPr>
        <w:t>总部人力资源中心总监、总部人力资源中心副总经理、理想控股科技业务板块人力资源中心常务副总经理；</w:t>
      </w:r>
      <w:r>
        <w:rPr>
          <w:spacing w:val="-92"/>
        </w:rPr>
        <w:t> </w:t>
      </w:r>
      <w:r>
        <w:rPr>
          <w:spacing w:val="-92"/>
        </w:rPr>
      </w:r>
      <w:r>
        <w:rPr>
          <w:rFonts w:ascii="宋体" w:hAnsi="宋体" w:cs="宋体" w:eastAsia="宋体" w:hint="default"/>
        </w:rPr>
        <w:t>2004</w:t>
      </w:r>
      <w:r>
        <w:rPr>
          <w:rFonts w:ascii="宋体" w:hAnsi="宋体" w:cs="宋体" w:eastAsia="宋体" w:hint="default"/>
          <w:spacing w:val="-48"/>
        </w:rPr>
        <w:t> </w:t>
      </w:r>
      <w:r>
        <w:rPr/>
        <w:t>年</w:t>
      </w:r>
      <w:r>
        <w:rPr>
          <w:spacing w:val="-47"/>
        </w:rPr>
        <w:t> </w:t>
      </w:r>
      <w:r>
        <w:rPr>
          <w:rFonts w:ascii="宋体" w:hAnsi="宋体" w:cs="宋体" w:eastAsia="宋体" w:hint="default"/>
        </w:rPr>
        <w:t>7</w:t>
      </w:r>
      <w:r>
        <w:rPr>
          <w:rFonts w:ascii="宋体" w:hAnsi="宋体" w:cs="宋体" w:eastAsia="宋体" w:hint="default"/>
          <w:spacing w:val="-47"/>
        </w:rPr>
        <w:t> </w:t>
      </w:r>
      <w:r>
        <w:rPr/>
        <w:t>月至</w:t>
      </w:r>
      <w:r>
        <w:rPr>
          <w:spacing w:val="-48"/>
        </w:rPr>
        <w:t> </w:t>
      </w:r>
      <w:r>
        <w:rPr>
          <w:rFonts w:ascii="宋体" w:hAnsi="宋体" w:cs="宋体" w:eastAsia="宋体" w:hint="default"/>
        </w:rPr>
        <w:t>2005</w:t>
      </w:r>
      <w:r>
        <w:rPr>
          <w:rFonts w:ascii="宋体" w:hAnsi="宋体" w:cs="宋体" w:eastAsia="宋体" w:hint="default"/>
          <w:spacing w:val="-48"/>
        </w:rPr>
        <w:t> </w:t>
      </w:r>
      <w:r>
        <w:rPr/>
        <w:t>年</w:t>
      </w:r>
      <w:r>
        <w:rPr>
          <w:spacing w:val="-49"/>
        </w:rPr>
        <w:t> </w:t>
      </w:r>
      <w:r>
        <w:rPr>
          <w:rFonts w:ascii="宋体" w:hAnsi="宋体" w:cs="宋体" w:eastAsia="宋体" w:hint="default"/>
        </w:rPr>
        <w:t>2</w:t>
      </w:r>
      <w:r>
        <w:rPr>
          <w:rFonts w:ascii="宋体" w:hAnsi="宋体" w:cs="宋体" w:eastAsia="宋体" w:hint="default"/>
          <w:spacing w:val="-48"/>
        </w:rPr>
        <w:t> </w:t>
      </w:r>
      <w:r>
        <w:rPr/>
        <w:t>月，任江苏新苏武打印设备有限公司协调员；</w:t>
      </w:r>
      <w:r>
        <w:rPr>
          <w:rFonts w:ascii="宋体" w:hAnsi="宋体" w:cs="宋体" w:eastAsia="宋体" w:hint="default"/>
        </w:rPr>
        <w:t>2004</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7"/>
        </w:rPr>
        <w:t> </w:t>
      </w:r>
      <w:r>
        <w:rPr/>
        <w:t>月至</w:t>
      </w:r>
      <w:r>
        <w:rPr>
          <w:spacing w:val="-48"/>
        </w:rPr>
        <w:t> </w:t>
      </w:r>
      <w:r>
        <w:rPr>
          <w:rFonts w:ascii="宋体" w:hAnsi="宋体" w:cs="宋体" w:eastAsia="宋体" w:hint="default"/>
        </w:rPr>
        <w:t>2004</w:t>
      </w:r>
      <w:r>
        <w:rPr>
          <w:rFonts w:ascii="宋体" w:hAnsi="宋体" w:cs="宋体" w:eastAsia="宋体" w:hint="default"/>
          <w:spacing w:val="-48"/>
        </w:rPr>
        <w:t> </w:t>
      </w:r>
      <w:r>
        <w:rPr/>
        <w:t>年</w:t>
      </w:r>
      <w:r>
        <w:rPr>
          <w:spacing w:val="-49"/>
        </w:rPr>
        <w:t> </w:t>
      </w:r>
      <w:r>
        <w:rPr>
          <w:rFonts w:ascii="宋体" w:hAnsi="宋体" w:cs="宋体" w:eastAsia="宋体" w:hint="default"/>
        </w:rPr>
        <w:t>6</w:t>
      </w:r>
      <w:r>
        <w:rPr>
          <w:rFonts w:ascii="宋体" w:hAnsi="宋体" w:cs="宋体" w:eastAsia="宋体" w:hint="default"/>
          <w:spacing w:val="-48"/>
        </w:rPr>
        <w:t> </w:t>
      </w:r>
      <w:r>
        <w:rPr/>
        <w:t>月，任职 于南京石林集团财务部。</w:t>
      </w:r>
    </w:p>
    <w:p>
      <w:pPr>
        <w:spacing w:line="240" w:lineRule="auto" w:before="0"/>
        <w:rPr>
          <w:rFonts w:ascii="宋体" w:hAnsi="宋体" w:cs="宋体" w:eastAsia="宋体" w:hint="default"/>
          <w:sz w:val="14"/>
          <w:szCs w:val="14"/>
        </w:rPr>
      </w:pPr>
    </w:p>
    <w:p>
      <w:pPr>
        <w:pStyle w:val="BodyText"/>
        <w:spacing w:line="240" w:lineRule="auto"/>
        <w:ind w:right="1016"/>
        <w:jc w:val="left"/>
      </w:pPr>
      <w:r>
        <w:rPr/>
        <w:t>监事：</w:t>
      </w:r>
    </w:p>
    <w:p>
      <w:pPr>
        <w:spacing w:line="240" w:lineRule="auto" w:before="12"/>
        <w:rPr>
          <w:rFonts w:ascii="宋体" w:hAnsi="宋体" w:cs="宋体" w:eastAsia="宋体" w:hint="default"/>
          <w:sz w:val="17"/>
          <w:szCs w:val="17"/>
        </w:rPr>
      </w:pPr>
    </w:p>
    <w:p>
      <w:pPr>
        <w:pStyle w:val="BodyText"/>
        <w:spacing w:line="297" w:lineRule="auto"/>
        <w:ind w:left="214" w:right="1116" w:firstLine="420"/>
        <w:jc w:val="left"/>
      </w:pPr>
      <w:r>
        <w:rPr/>
        <w:t>刘学徽先生，</w:t>
      </w:r>
      <w:r>
        <w:rPr>
          <w:rFonts w:ascii="宋体" w:hAnsi="宋体" w:cs="宋体" w:eastAsia="宋体" w:hint="default"/>
        </w:rPr>
        <w:t>1967 </w:t>
      </w:r>
      <w:r>
        <w:rPr/>
        <w:t>年出生，中国国籍，无境外永久居留权，毕业于北京大学光华管理学院，</w:t>
      </w:r>
      <w:r>
        <w:rPr>
          <w:rFonts w:ascii="宋体" w:hAnsi="宋体" w:cs="宋体" w:eastAsia="宋体" w:hint="default"/>
        </w:rPr>
        <w:t>EMBA</w:t>
      </w:r>
      <w:r>
        <w:rPr>
          <w:rFonts w:ascii="宋体" w:hAnsi="宋体" w:cs="宋体" w:eastAsia="宋体" w:hint="default"/>
          <w:spacing w:val="-24"/>
        </w:rPr>
        <w:t> </w:t>
      </w:r>
      <w:r>
        <w:rPr/>
        <w:t>学 位。</w:t>
      </w:r>
    </w:p>
    <w:p>
      <w:pPr>
        <w:spacing w:line="240" w:lineRule="auto" w:before="0"/>
        <w:rPr>
          <w:rFonts w:ascii="宋体" w:hAnsi="宋体" w:cs="宋体" w:eastAsia="宋体" w:hint="default"/>
          <w:sz w:val="14"/>
          <w:szCs w:val="14"/>
        </w:rPr>
      </w:pPr>
    </w:p>
    <w:p>
      <w:pPr>
        <w:pStyle w:val="BodyText"/>
        <w:spacing w:line="240" w:lineRule="auto"/>
        <w:ind w:right="0"/>
        <w:jc w:val="left"/>
      </w:pPr>
      <w:r>
        <w:rPr/>
        <w:t>自</w:t>
      </w:r>
      <w:r>
        <w:rPr>
          <w:spacing w:val="-51"/>
        </w:rPr>
        <w:t> </w:t>
      </w:r>
      <w:r>
        <w:rPr>
          <w:rFonts w:ascii="宋体" w:hAnsi="宋体" w:cs="宋体" w:eastAsia="宋体" w:hint="default"/>
        </w:rPr>
        <w:t>2013</w:t>
      </w:r>
      <w:r>
        <w:rPr>
          <w:rFonts w:ascii="宋体" w:hAnsi="宋体" w:cs="宋体" w:eastAsia="宋体" w:hint="default"/>
          <w:spacing w:val="-52"/>
        </w:rPr>
        <w:t> </w:t>
      </w:r>
      <w:r>
        <w:rPr/>
        <w:t>年</w:t>
      </w:r>
      <w:r>
        <w:rPr>
          <w:spacing w:val="-53"/>
        </w:rPr>
        <w:t> </w:t>
      </w:r>
      <w:r>
        <w:rPr>
          <w:rFonts w:ascii="宋体" w:hAnsi="宋体" w:cs="宋体" w:eastAsia="宋体" w:hint="default"/>
        </w:rPr>
        <w:t>2</w:t>
      </w:r>
      <w:r>
        <w:rPr>
          <w:rFonts w:ascii="宋体" w:hAnsi="宋体" w:cs="宋体" w:eastAsia="宋体" w:hint="default"/>
          <w:spacing w:val="-52"/>
        </w:rPr>
        <w:t> </w:t>
      </w:r>
      <w:r>
        <w:rPr>
          <w:spacing w:val="-6"/>
        </w:rPr>
        <w:t>月至今担任公司监事，</w:t>
      </w:r>
      <w:r>
        <w:rPr>
          <w:rFonts w:ascii="宋体" w:hAnsi="宋体" w:cs="宋体" w:eastAsia="宋体" w:hint="default"/>
          <w:spacing w:val="-6"/>
        </w:rPr>
        <w:t>2002</w:t>
      </w:r>
      <w:r>
        <w:rPr>
          <w:rFonts w:ascii="宋体" w:hAnsi="宋体" w:cs="宋体" w:eastAsia="宋体" w:hint="default"/>
          <w:spacing w:val="-51"/>
        </w:rPr>
        <w:t> </w:t>
      </w:r>
      <w:r>
        <w:rPr/>
        <w:t>年</w:t>
      </w:r>
      <w:r>
        <w:rPr>
          <w:spacing w:val="-52"/>
        </w:rPr>
        <w:t> </w:t>
      </w:r>
      <w:r>
        <w:rPr>
          <w:rFonts w:ascii="宋体" w:hAnsi="宋体" w:cs="宋体" w:eastAsia="宋体" w:hint="default"/>
        </w:rPr>
        <w:t>9</w:t>
      </w:r>
      <w:r>
        <w:rPr>
          <w:rFonts w:ascii="宋体" w:hAnsi="宋体" w:cs="宋体" w:eastAsia="宋体" w:hint="default"/>
          <w:spacing w:val="-51"/>
        </w:rPr>
        <w:t> </w:t>
      </w:r>
      <w:r>
        <w:rPr/>
        <w:t>月至今历任高通无线半导体技术有限公司资深市场经理、</w:t>
      </w:r>
    </w:p>
    <w:p>
      <w:pPr>
        <w:pStyle w:val="BodyText"/>
        <w:spacing w:line="240" w:lineRule="auto" w:before="66"/>
        <w:ind w:left="214" w:right="1016"/>
        <w:jc w:val="left"/>
      </w:pPr>
      <w:r>
        <w:rPr/>
        <w:t>产品市场总监；</w:t>
      </w:r>
      <w:r>
        <w:rPr>
          <w:rFonts w:ascii="宋体" w:hAnsi="宋体" w:cs="宋体" w:eastAsia="宋体" w:hint="default"/>
        </w:rPr>
        <w:t>2000</w:t>
      </w:r>
      <w:r>
        <w:rPr>
          <w:rFonts w:ascii="宋体" w:hAnsi="宋体" w:cs="宋体" w:eastAsia="宋体" w:hint="default"/>
          <w:spacing w:val="-57"/>
        </w:rPr>
        <w:t> </w:t>
      </w:r>
      <w:r>
        <w:rPr/>
        <w:t>年</w:t>
      </w:r>
      <w:r>
        <w:rPr>
          <w:spacing w:val="-58"/>
        </w:rPr>
        <w:t> </w:t>
      </w:r>
      <w:r>
        <w:rPr>
          <w:rFonts w:ascii="宋体" w:hAnsi="宋体" w:cs="宋体" w:eastAsia="宋体" w:hint="default"/>
        </w:rPr>
        <w:t>2</w:t>
      </w:r>
      <w:r>
        <w:rPr>
          <w:rFonts w:ascii="宋体" w:hAnsi="宋体" w:cs="宋体" w:eastAsia="宋体" w:hint="default"/>
          <w:spacing w:val="-56"/>
        </w:rPr>
        <w:t> </w:t>
      </w:r>
      <w:r>
        <w:rPr/>
        <w:t>月至</w:t>
      </w:r>
      <w:r>
        <w:rPr>
          <w:spacing w:val="-58"/>
        </w:rPr>
        <w:t> </w:t>
      </w:r>
      <w:r>
        <w:rPr>
          <w:rFonts w:ascii="宋体" w:hAnsi="宋体" w:cs="宋体" w:eastAsia="宋体" w:hint="default"/>
        </w:rPr>
        <w:t>2002</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6"/>
        </w:rPr>
        <w:t> </w:t>
      </w:r>
      <w:r>
        <w:rPr/>
        <w:t>月担任太阳计算机系统（中国）有限公司高级销售经理；</w:t>
      </w:r>
      <w:r>
        <w:rPr>
          <w:rFonts w:ascii="宋体" w:hAnsi="宋体" w:cs="宋体" w:eastAsia="宋体" w:hint="default"/>
        </w:rPr>
        <w:t>1996</w:t>
      </w:r>
      <w:r>
        <w:rPr>
          <w:rFonts w:ascii="宋体" w:hAnsi="宋体" w:cs="宋体" w:eastAsia="宋体" w:hint="default"/>
          <w:spacing w:val="-57"/>
        </w:rPr>
        <w:t> </w:t>
      </w:r>
      <w:r>
        <w:rPr/>
        <w:t>年</w:t>
      </w:r>
    </w:p>
    <w:p>
      <w:pPr>
        <w:pStyle w:val="BodyText"/>
        <w:spacing w:line="297" w:lineRule="auto" w:before="64"/>
        <w:ind w:left="214" w:right="1016"/>
        <w:jc w:val="left"/>
      </w:pPr>
      <w:r>
        <w:rPr>
          <w:rFonts w:ascii="宋体" w:hAnsi="宋体" w:cs="宋体" w:eastAsia="宋体" w:hint="default"/>
        </w:rPr>
        <w:t>4</w:t>
      </w:r>
      <w:r>
        <w:rPr>
          <w:rFonts w:ascii="宋体" w:hAnsi="宋体" w:cs="宋体" w:eastAsia="宋体" w:hint="default"/>
          <w:spacing w:val="-55"/>
        </w:rPr>
        <w:t> </w:t>
      </w:r>
      <w:r>
        <w:rPr/>
        <w:t>月至</w:t>
      </w:r>
      <w:r>
        <w:rPr>
          <w:spacing w:val="-56"/>
        </w:rPr>
        <w:t> </w:t>
      </w:r>
      <w:r>
        <w:rPr>
          <w:rFonts w:ascii="宋体" w:hAnsi="宋体" w:cs="宋体" w:eastAsia="宋体" w:hint="default"/>
        </w:rPr>
        <w:t>2000</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月担任德州仪器（中国）有限公司销售经理；</w:t>
      </w:r>
      <w:r>
        <w:rPr>
          <w:rFonts w:ascii="宋体" w:hAnsi="宋体" w:cs="宋体" w:eastAsia="宋体" w:hint="default"/>
        </w:rPr>
        <w:t>1993</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月至</w:t>
      </w:r>
      <w:r>
        <w:rPr>
          <w:spacing w:val="-56"/>
        </w:rPr>
        <w:t> </w:t>
      </w:r>
      <w:r>
        <w:rPr>
          <w:rFonts w:ascii="宋体" w:hAnsi="宋体" w:cs="宋体" w:eastAsia="宋体" w:hint="default"/>
        </w:rPr>
        <w:t>1996</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5"/>
        </w:rPr>
        <w:t> </w:t>
      </w:r>
      <w:r>
        <w:rPr/>
        <w:t>月担任铁道科学研 究院通信信号研究所工程师。</w:t>
      </w:r>
    </w:p>
    <w:p>
      <w:pPr>
        <w:spacing w:line="240" w:lineRule="auto" w:before="1"/>
        <w:rPr>
          <w:rFonts w:ascii="宋体" w:hAnsi="宋体" w:cs="宋体" w:eastAsia="宋体" w:hint="default"/>
          <w:sz w:val="14"/>
          <w:szCs w:val="14"/>
        </w:rPr>
      </w:pPr>
    </w:p>
    <w:p>
      <w:pPr>
        <w:pStyle w:val="BodyText"/>
        <w:spacing w:line="297" w:lineRule="auto"/>
        <w:ind w:left="214" w:right="1119" w:firstLine="420"/>
        <w:jc w:val="left"/>
      </w:pPr>
      <w:r>
        <w:rPr>
          <w:spacing w:val="-2"/>
        </w:rPr>
        <w:t>季志强先生，</w:t>
      </w:r>
      <w:r>
        <w:rPr>
          <w:rFonts w:ascii="宋体" w:hAnsi="宋体" w:cs="宋体" w:eastAsia="宋体" w:hint="default"/>
          <w:spacing w:val="-2"/>
        </w:rPr>
        <w:t>1976</w:t>
      </w:r>
      <w:r>
        <w:rPr>
          <w:rFonts w:ascii="宋体" w:hAnsi="宋体" w:cs="宋体" w:eastAsia="宋体" w:hint="default"/>
          <w:spacing w:val="-40"/>
        </w:rPr>
        <w:t> </w:t>
      </w:r>
      <w:r>
        <w:rPr>
          <w:spacing w:val="-2"/>
        </w:rPr>
        <w:t>年出生，中国国籍，无境外永久居留权，毕业于北京科技大学信息工程学院，硕士</w:t>
      </w:r>
      <w:r>
        <w:rPr/>
        <w:t> 学位。</w:t>
      </w:r>
    </w:p>
    <w:p>
      <w:pPr>
        <w:pStyle w:val="BodyText"/>
        <w:spacing w:line="508" w:lineRule="exact" w:before="22"/>
        <w:ind w:right="1042"/>
        <w:jc w:val="left"/>
      </w:pP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月至今担任公司项目经理；自</w:t>
      </w:r>
      <w:r>
        <w:rPr>
          <w:spacing w:val="-53"/>
        </w:rPr>
        <w:t> </w:t>
      </w:r>
      <w:r>
        <w:rPr>
          <w:rFonts w:ascii="宋体" w:hAnsi="宋体" w:cs="宋体" w:eastAsia="宋体" w:hint="default"/>
        </w:rPr>
        <w:t>2000</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月至</w:t>
      </w:r>
      <w:r>
        <w:rPr>
          <w:spacing w:val="-55"/>
        </w:rPr>
        <w:t> </w:t>
      </w:r>
      <w:r>
        <w:rPr>
          <w:rFonts w:ascii="宋体" w:hAnsi="宋体" w:cs="宋体" w:eastAsia="宋体" w:hint="default"/>
        </w:rPr>
        <w:t>2009</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月担任</w:t>
      </w:r>
      <w:r>
        <w:rPr>
          <w:spacing w:val="-2"/>
        </w:rPr>
        <w:t> </w:t>
      </w:r>
      <w:r>
        <w:rPr>
          <w:rFonts w:ascii="宋体" w:hAnsi="宋体" w:cs="宋体" w:eastAsia="宋体" w:hint="default"/>
        </w:rPr>
        <w:t>NECAS</w:t>
      </w:r>
      <w:r>
        <w:rPr>
          <w:rFonts w:ascii="宋体" w:hAnsi="宋体" w:cs="宋体" w:eastAsia="宋体" w:hint="default"/>
          <w:spacing w:val="-53"/>
        </w:rPr>
        <w:t> </w:t>
      </w:r>
      <w:r>
        <w:rPr/>
        <w:t>研发经理。 王晶女士，</w:t>
      </w:r>
      <w:r>
        <w:rPr>
          <w:rFonts w:ascii="宋体" w:hAnsi="宋体" w:cs="宋体" w:eastAsia="宋体" w:hint="default"/>
        </w:rPr>
        <w:t>1983</w:t>
      </w:r>
      <w:r>
        <w:rPr>
          <w:rFonts w:ascii="宋体" w:hAnsi="宋体" w:cs="宋体" w:eastAsia="宋体" w:hint="default"/>
          <w:spacing w:val="-55"/>
        </w:rPr>
        <w:t> </w:t>
      </w:r>
      <w:r>
        <w:rPr/>
        <w:t>年出生，中国国籍，无境外永久居留权，毕业于福州大学法律硕士专业，硕士学位。 自</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月至今担任本公司职工代表监事，</w:t>
      </w:r>
      <w:r>
        <w:rPr>
          <w:spacing w:val="-25"/>
        </w:rPr>
        <w:t> </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spacing w:val="-3"/>
        </w:rPr>
        <w:t>月至今历任本公司法务专员、法务主管、法</w:t>
      </w:r>
    </w:p>
    <w:p>
      <w:pPr>
        <w:pStyle w:val="BodyText"/>
        <w:spacing w:line="444" w:lineRule="auto"/>
        <w:ind w:right="2784" w:hanging="420"/>
        <w:jc w:val="left"/>
      </w:pPr>
      <w:r>
        <w:rPr/>
        <w:t>务总监；自</w:t>
      </w:r>
      <w:r>
        <w:rPr>
          <w:spacing w:val="-53"/>
        </w:rPr>
        <w:t> </w:t>
      </w:r>
      <w:r>
        <w:rPr>
          <w:rFonts w:ascii="宋体" w:hAnsi="宋体" w:cs="宋体" w:eastAsia="宋体" w:hint="default"/>
        </w:rPr>
        <w:t>2009</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月至</w:t>
      </w:r>
      <w:r>
        <w:rPr>
          <w:spacing w:val="-54"/>
        </w:rPr>
        <w:t> </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4"/>
        </w:rPr>
        <w:t> </w:t>
      </w:r>
      <w:r>
        <w:rPr/>
        <w:t>月担任北京超星数图信息技术有限公司法务专员。 在股东单位任职情况</w:t>
      </w:r>
    </w:p>
    <w:p>
      <w:pPr>
        <w:pStyle w:val="BodyText"/>
        <w:spacing w:line="420" w:lineRule="auto" w:before="55"/>
        <w:ind w:right="84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在其他单位任职情况</w:t>
      </w:r>
    </w:p>
    <w:p>
      <w:pPr>
        <w:pStyle w:val="BodyText"/>
        <w:spacing w:line="240" w:lineRule="auto" w:before="76"/>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368"/>
        <w:gridCol w:w="3154"/>
        <w:gridCol w:w="1094"/>
        <w:gridCol w:w="1232"/>
        <w:gridCol w:w="1364"/>
        <w:gridCol w:w="1643"/>
      </w:tblGrid>
      <w:tr>
        <w:trPr>
          <w:trHeight w:val="71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81" w:right="0"/>
              <w:jc w:val="left"/>
              <w:rPr>
                <w:rFonts w:ascii="宋体" w:hAnsi="宋体" w:cs="宋体" w:eastAsia="宋体" w:hint="default"/>
                <w:sz w:val="18"/>
                <w:szCs w:val="18"/>
              </w:rPr>
            </w:pPr>
            <w:r>
              <w:rPr>
                <w:rFonts w:ascii="宋体" w:hAnsi="宋体" w:cs="宋体" w:eastAsia="宋体" w:hint="default"/>
                <w:sz w:val="18"/>
                <w:szCs w:val="18"/>
              </w:rPr>
              <w:t>在其他单</w:t>
            </w:r>
          </w:p>
          <w:p>
            <w:pPr>
              <w:pStyle w:val="TableParagraph"/>
              <w:spacing w:line="232" w:lineRule="exact" w:before="24"/>
              <w:ind w:left="361" w:right="181" w:hanging="180"/>
              <w:jc w:val="left"/>
              <w:rPr>
                <w:rFonts w:ascii="宋体" w:hAnsi="宋体" w:cs="宋体" w:eastAsia="宋体" w:hint="default"/>
                <w:sz w:val="18"/>
                <w:szCs w:val="18"/>
              </w:rPr>
            </w:pPr>
            <w:r>
              <w:rPr>
                <w:rFonts w:ascii="宋体" w:hAnsi="宋体" w:cs="宋体" w:eastAsia="宋体" w:hint="default"/>
                <w:sz w:val="18"/>
                <w:szCs w:val="18"/>
              </w:rPr>
              <w:t>位担任的 职务</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430" w:right="25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75" w:right="1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安谋科技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北京零号元素科技有限公司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368"/>
        <w:gridCol w:w="3154"/>
        <w:gridCol w:w="1094"/>
        <w:gridCol w:w="1232"/>
        <w:gridCol w:w="1364"/>
        <w:gridCol w:w="1643"/>
      </w:tblGrid>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81" w:right="0"/>
              <w:jc w:val="left"/>
              <w:rPr>
                <w:rFonts w:ascii="宋体" w:hAnsi="宋体" w:cs="宋体" w:eastAsia="宋体" w:hint="default"/>
                <w:sz w:val="18"/>
                <w:szCs w:val="18"/>
              </w:rPr>
            </w:pPr>
            <w:r>
              <w:rPr>
                <w:rFonts w:ascii="宋体" w:hAnsi="宋体" w:cs="宋体" w:eastAsia="宋体" w:hint="default"/>
                <w:sz w:val="18"/>
                <w:szCs w:val="18"/>
              </w:rPr>
              <w:t>在其他单</w:t>
            </w:r>
          </w:p>
          <w:p>
            <w:pPr>
              <w:pStyle w:val="TableParagraph"/>
              <w:spacing w:line="232" w:lineRule="exact" w:before="24"/>
              <w:ind w:left="361" w:right="181" w:hanging="180"/>
              <w:jc w:val="left"/>
              <w:rPr>
                <w:rFonts w:ascii="宋体" w:hAnsi="宋体" w:cs="宋体" w:eastAsia="宋体" w:hint="default"/>
                <w:sz w:val="18"/>
                <w:szCs w:val="18"/>
              </w:rPr>
            </w:pPr>
            <w:r>
              <w:rPr>
                <w:rFonts w:ascii="宋体" w:hAnsi="宋体" w:cs="宋体" w:eastAsia="宋体" w:hint="default"/>
                <w:sz w:val="18"/>
                <w:szCs w:val="18"/>
              </w:rPr>
              <w:t>位担任的 职务</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430" w:right="25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75" w:right="1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北京华晟天翔科技信息咨询有限公司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北京云创远景软件有限责任公司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深圳市魔蛋科技有限公司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上海安牡信息技术有限公司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北京安创空间科技有限公司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南京安创空间科技有限公司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合肥安创空间信息技术有限公司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兼总经理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重庆安创空间信息技术有限公司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兼总经理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上海谋创信息技术有限公司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上海安创空间企业发展有限公司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北京安创加速器科技有限公司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深圳市安创空间科技有限公司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深圳羚羊极速科技有限公司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深圳进化动力数码科技有限公司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北京云创远景软件有限责任公司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杭州格像科技有限公司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邹鹏程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BELLUS 3D,</w:t>
            </w:r>
            <w:r>
              <w:rPr>
                <w:rFonts w:ascii="Times New Roman"/>
                <w:spacing w:val="-3"/>
                <w:sz w:val="18"/>
              </w:rPr>
              <w:t> </w:t>
            </w:r>
            <w:r>
              <w:rPr>
                <w:rFonts w:ascii="Times New Roman"/>
                <w:sz w:val="18"/>
              </w:rPr>
              <w:t>INC.</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北极光投资顾问（北京）有限公司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董事兼总</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苏州同源创业投资管理有限公司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兼总经理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苏州尚源创业投资管理有限公司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苏州松源创业投资管理有限公司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苏州工业园区极创君源创业投资管理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兼总经理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东软集团股份有限公司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苏州无双医疗设备有限公司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广州兰晟健智医药科技有限公司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西安介仁医疗信息技术有限公司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368"/>
        <w:gridCol w:w="3154"/>
        <w:gridCol w:w="1094"/>
        <w:gridCol w:w="1232"/>
        <w:gridCol w:w="1364"/>
        <w:gridCol w:w="1643"/>
      </w:tblGrid>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81" w:right="0"/>
              <w:jc w:val="left"/>
              <w:rPr>
                <w:rFonts w:ascii="宋体" w:hAnsi="宋体" w:cs="宋体" w:eastAsia="宋体" w:hint="default"/>
                <w:sz w:val="18"/>
                <w:szCs w:val="18"/>
              </w:rPr>
            </w:pPr>
            <w:r>
              <w:rPr>
                <w:rFonts w:ascii="宋体" w:hAnsi="宋体" w:cs="宋体" w:eastAsia="宋体" w:hint="default"/>
                <w:sz w:val="18"/>
                <w:szCs w:val="18"/>
              </w:rPr>
              <w:t>在其他单</w:t>
            </w:r>
          </w:p>
          <w:p>
            <w:pPr>
              <w:pStyle w:val="TableParagraph"/>
              <w:spacing w:line="232" w:lineRule="exact" w:before="24"/>
              <w:ind w:left="361" w:right="181" w:hanging="180"/>
              <w:jc w:val="left"/>
              <w:rPr>
                <w:rFonts w:ascii="宋体" w:hAnsi="宋体" w:cs="宋体" w:eastAsia="宋体" w:hint="default"/>
                <w:sz w:val="18"/>
                <w:szCs w:val="18"/>
              </w:rPr>
            </w:pPr>
            <w:r>
              <w:rPr>
                <w:rFonts w:ascii="宋体" w:hAnsi="宋体" w:cs="宋体" w:eastAsia="宋体" w:hint="default"/>
                <w:sz w:val="18"/>
                <w:szCs w:val="18"/>
              </w:rPr>
              <w:t>位担任的 职务</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430" w:right="25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75" w:right="1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卡尤迪生物科技（北京）有限公司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北京小熊快跑科技有限公司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浙江云开亚美医药科技股份有限公司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北京大清生物技术股份有限公司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北京微步在线科技有限公司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二零二零（北京）医疗科技有限公司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南京智精灵教育科技有限公司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西安翼展电子科技有限公司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艾比玛特医药科技（上海）有限公司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影领科技（北京）有限公司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深圳中正信息科技有限公司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山石网科通信技术股份有限公司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上海奕瑞光电子科技股份有限公司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上海摩象网络科技有限公司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苏州鑫康合生物医药科技有限公司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北京博昊云天科技有限公司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上海艾棣生物科技有限公司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康朴生物医药技术（上海）有限公司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上海忤合医疗科技有限公司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麒麟合盛网络技术股份有限公司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丹诺医药（苏州）有限公司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上海怡道生物科技有限公司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北京凯普林光电科技股份有限公司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董事长、总</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天津凯普林光电科技有限公司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天津凯普林激光科技有限公司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江苏芯荣半导体有限公司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山东芯荣微电子股份有限公司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368"/>
        <w:gridCol w:w="3154"/>
        <w:gridCol w:w="1094"/>
        <w:gridCol w:w="1232"/>
        <w:gridCol w:w="1364"/>
        <w:gridCol w:w="1643"/>
      </w:tblGrid>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81" w:right="0"/>
              <w:jc w:val="left"/>
              <w:rPr>
                <w:rFonts w:ascii="宋体" w:hAnsi="宋体" w:cs="宋体" w:eastAsia="宋体" w:hint="default"/>
                <w:sz w:val="18"/>
                <w:szCs w:val="18"/>
              </w:rPr>
            </w:pPr>
            <w:r>
              <w:rPr>
                <w:rFonts w:ascii="宋体" w:hAnsi="宋体" w:cs="宋体" w:eastAsia="宋体" w:hint="default"/>
                <w:sz w:val="18"/>
                <w:szCs w:val="18"/>
              </w:rPr>
              <w:t>在其他单</w:t>
            </w:r>
          </w:p>
          <w:p>
            <w:pPr>
              <w:pStyle w:val="TableParagraph"/>
              <w:spacing w:line="232" w:lineRule="exact" w:before="24"/>
              <w:ind w:left="361" w:right="181" w:hanging="180"/>
              <w:jc w:val="left"/>
              <w:rPr>
                <w:rFonts w:ascii="宋体" w:hAnsi="宋体" w:cs="宋体" w:eastAsia="宋体" w:hint="default"/>
                <w:sz w:val="18"/>
                <w:szCs w:val="18"/>
              </w:rPr>
            </w:pPr>
            <w:r>
              <w:rPr>
                <w:rFonts w:ascii="宋体" w:hAnsi="宋体" w:cs="宋体" w:eastAsia="宋体" w:hint="default"/>
                <w:sz w:val="18"/>
                <w:szCs w:val="18"/>
              </w:rPr>
              <w:t>位担任的 职务</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430" w:right="25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75" w:right="1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武汉洛芙科技股份有限公司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北京兰萱之家老年看护服务有限公司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北京合一科文投资管理有限公司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天津合一科文投资管理有限公司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159"/>
              <w:jc w:val="left"/>
              <w:rPr>
                <w:rFonts w:ascii="宋体" w:hAnsi="宋体" w:cs="宋体" w:eastAsia="宋体" w:hint="default"/>
                <w:sz w:val="18"/>
                <w:szCs w:val="18"/>
              </w:rPr>
            </w:pPr>
            <w:r>
              <w:rPr>
                <w:rFonts w:ascii="宋体" w:hAnsi="宋体" w:cs="宋体" w:eastAsia="宋体" w:hint="default"/>
                <w:sz w:val="18"/>
                <w:szCs w:val="18"/>
              </w:rPr>
              <w:t>苏州合一科文投资合伙企业（有限合 伙）</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执行事务</w:t>
            </w:r>
          </w:p>
          <w:p>
            <w:pPr>
              <w:pStyle w:val="TableParagraph"/>
              <w:spacing w:line="240" w:lineRule="auto"/>
              <w:ind w:left="101" w:right="260"/>
              <w:jc w:val="left"/>
              <w:rPr>
                <w:rFonts w:ascii="宋体" w:hAnsi="宋体" w:cs="宋体" w:eastAsia="宋体" w:hint="default"/>
                <w:sz w:val="18"/>
                <w:szCs w:val="18"/>
              </w:rPr>
            </w:pPr>
            <w:r>
              <w:rPr>
                <w:rFonts w:ascii="宋体" w:hAnsi="宋体" w:cs="宋体" w:eastAsia="宋体" w:hint="default"/>
                <w:sz w:val="18"/>
                <w:szCs w:val="18"/>
              </w:rPr>
              <w:t>合伙人委 派代表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159"/>
              <w:jc w:val="left"/>
              <w:rPr>
                <w:rFonts w:ascii="宋体" w:hAnsi="宋体" w:cs="宋体" w:eastAsia="宋体" w:hint="default"/>
                <w:sz w:val="18"/>
                <w:szCs w:val="18"/>
              </w:rPr>
            </w:pPr>
            <w:r>
              <w:rPr>
                <w:rFonts w:ascii="宋体" w:hAnsi="宋体" w:cs="宋体" w:eastAsia="宋体" w:hint="default"/>
                <w:sz w:val="18"/>
                <w:szCs w:val="18"/>
              </w:rPr>
              <w:t>宁波合一科文投资合伙企业（有限合 伙）</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执行事务</w:t>
            </w:r>
          </w:p>
          <w:p>
            <w:pPr>
              <w:pStyle w:val="TableParagraph"/>
              <w:spacing w:line="240" w:lineRule="auto"/>
              <w:ind w:left="101" w:right="260"/>
              <w:jc w:val="left"/>
              <w:rPr>
                <w:rFonts w:ascii="宋体" w:hAnsi="宋体" w:cs="宋体" w:eastAsia="宋体" w:hint="default"/>
                <w:sz w:val="18"/>
                <w:szCs w:val="18"/>
              </w:rPr>
            </w:pPr>
            <w:r>
              <w:rPr>
                <w:rFonts w:ascii="宋体" w:hAnsi="宋体" w:cs="宋体" w:eastAsia="宋体" w:hint="default"/>
                <w:sz w:val="18"/>
                <w:szCs w:val="18"/>
              </w:rPr>
              <w:t>合伙人委 派代表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宁波合一科文投资管理有限公司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left="103" w:right="0"/>
              <w:jc w:val="left"/>
              <w:rPr>
                <w:rFonts w:ascii="宋体" w:hAnsi="宋体" w:cs="宋体" w:eastAsia="宋体" w:hint="default"/>
                <w:sz w:val="18"/>
                <w:szCs w:val="18"/>
              </w:rPr>
            </w:pPr>
            <w:r>
              <w:rPr>
                <w:rFonts w:ascii="宋体" w:hAnsi="宋体" w:cs="宋体" w:eastAsia="宋体" w:hint="default"/>
                <w:sz w:val="18"/>
                <w:szCs w:val="18"/>
              </w:rPr>
              <w:t>上海合一科文创业投资管理合伙企业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执行事务</w:t>
            </w:r>
          </w:p>
          <w:p>
            <w:pPr>
              <w:pStyle w:val="TableParagraph"/>
              <w:spacing w:line="232" w:lineRule="exact" w:before="24"/>
              <w:ind w:left="101" w:right="260"/>
              <w:jc w:val="left"/>
              <w:rPr>
                <w:rFonts w:ascii="宋体" w:hAnsi="宋体" w:cs="宋体" w:eastAsia="宋体" w:hint="default"/>
                <w:sz w:val="18"/>
                <w:szCs w:val="18"/>
              </w:rPr>
            </w:pPr>
            <w:r>
              <w:rPr>
                <w:rFonts w:ascii="宋体" w:hAnsi="宋体" w:cs="宋体" w:eastAsia="宋体" w:hint="default"/>
                <w:sz w:val="18"/>
                <w:szCs w:val="18"/>
              </w:rPr>
              <w:t>合伙人委 派代表</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财知（天津）文化科技有限公司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无锡许亮影视文化工作室</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诺德基金管理有限公司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上海嘉龙日日煮信息科技有限公司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光影工场文化传播有限公司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董事长、总</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北京基因映画影业有限公司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视知（北京）传媒科技有限公司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嘉兴晓视界投资管理有限公司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北京秀兜网络技术有限公司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北京二只考拉文化传媒有限公司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北京费米子信息技术有限公司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北京远程视界眼科医院管理有限公司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江苏文创投资有限公司（在注销中）</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湖南知了青年文化有限公司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麒麟合盛网络技术股份有限公司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北京天汉文化发展有限公司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上海乐将影业有限公司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上海米赢文化发展有限公司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368"/>
        <w:gridCol w:w="3154"/>
        <w:gridCol w:w="1094"/>
        <w:gridCol w:w="1232"/>
        <w:gridCol w:w="1364"/>
        <w:gridCol w:w="1643"/>
      </w:tblGrid>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81" w:right="0"/>
              <w:jc w:val="left"/>
              <w:rPr>
                <w:rFonts w:ascii="宋体" w:hAnsi="宋体" w:cs="宋体" w:eastAsia="宋体" w:hint="default"/>
                <w:sz w:val="18"/>
                <w:szCs w:val="18"/>
              </w:rPr>
            </w:pPr>
            <w:r>
              <w:rPr>
                <w:rFonts w:ascii="宋体" w:hAnsi="宋体" w:cs="宋体" w:eastAsia="宋体" w:hint="default"/>
                <w:sz w:val="18"/>
                <w:szCs w:val="18"/>
              </w:rPr>
              <w:t>在其他单</w:t>
            </w:r>
          </w:p>
          <w:p>
            <w:pPr>
              <w:pStyle w:val="TableParagraph"/>
              <w:spacing w:line="232" w:lineRule="exact" w:before="24"/>
              <w:ind w:left="361" w:right="181" w:hanging="180"/>
              <w:jc w:val="left"/>
              <w:rPr>
                <w:rFonts w:ascii="宋体" w:hAnsi="宋体" w:cs="宋体" w:eastAsia="宋体" w:hint="default"/>
                <w:sz w:val="18"/>
                <w:szCs w:val="18"/>
              </w:rPr>
            </w:pPr>
            <w:r>
              <w:rPr>
                <w:rFonts w:ascii="宋体" w:hAnsi="宋体" w:cs="宋体" w:eastAsia="宋体" w:hint="default"/>
                <w:sz w:val="18"/>
                <w:szCs w:val="18"/>
              </w:rPr>
              <w:t>位担任的 职务</w:t>
            </w:r>
          </w:p>
        </w:tc>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430" w:right="25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275" w:right="185"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北京金甲壳虫环境科技股份有限公司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王玥</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北京创财云信息科技有限公司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王玥</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北京创财智能科技有限公司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5"/>
                <w:sz w:val="18"/>
                <w:szCs w:val="18"/>
              </w:rPr>
              <w:t>董事长、经</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中国神威集团有限公司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刘学徽</w:t>
            </w:r>
          </w:p>
        </w:tc>
        <w:tc>
          <w:tcPr>
            <w:tcW w:w="3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德信软件</w:t>
            </w:r>
            <w:r>
              <w:rPr>
                <w:rFonts w:ascii="Times New Roman" w:hAnsi="Times New Roman" w:cs="Times New Roman" w:eastAsia="Times New Roman" w:hint="default"/>
                <w:sz w:val="18"/>
                <w:szCs w:val="18"/>
              </w:rPr>
              <w:t>(</w:t>
            </w: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Times New Roman" w:hAnsi="Times New Roman" w:cs="Times New Roman" w:eastAsia="Times New Roman" w:hint="default"/>
          <w:sz w:val="8"/>
          <w:szCs w:val="8"/>
        </w:rPr>
      </w:pPr>
    </w:p>
    <w:p>
      <w:pPr>
        <w:pStyle w:val="BodyText"/>
        <w:spacing w:line="240" w:lineRule="auto" w:before="35"/>
        <w:ind w:right="1016"/>
        <w:jc w:val="left"/>
      </w:pPr>
      <w:r>
        <w:rPr/>
        <w:t>公司现任及报告期内离任董事、监事和高级管理人员近三年证券监管机构处罚的情况</w:t>
      </w:r>
    </w:p>
    <w:p>
      <w:pPr>
        <w:spacing w:line="240" w:lineRule="auto" w:before="12"/>
        <w:rPr>
          <w:rFonts w:ascii="宋体" w:hAnsi="宋体" w:cs="宋体" w:eastAsia="宋体" w:hint="default"/>
          <w:sz w:val="17"/>
          <w:szCs w:val="17"/>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Heading2"/>
        <w:spacing w:line="240" w:lineRule="auto"/>
        <w:ind w:right="0"/>
        <w:jc w:val="both"/>
      </w:pPr>
      <w:bookmarkStart w:name="四、董事、监事、高级管理人员报酬情况" w:id="122"/>
      <w:bookmarkEnd w:id="122"/>
      <w:r>
        <w:rPr/>
      </w:r>
      <w:r>
        <w:rPr/>
        <w:t>四、董事、监事、高级管理人员报酬情况</w:t>
      </w:r>
    </w:p>
    <w:p>
      <w:pPr>
        <w:pStyle w:val="BodyText"/>
        <w:spacing w:line="510" w:lineRule="atLeast" w:before="191"/>
        <w:ind w:right="1017"/>
        <w:jc w:val="left"/>
      </w:pPr>
      <w:r>
        <w:rPr/>
        <w:t>董事、监事、高级管理人员报酬的决策程序、确定依据、实际支付情况 </w:t>
      </w:r>
      <w:r>
        <w:rPr>
          <w:spacing w:val="-3"/>
        </w:rPr>
        <w:t>在公司担任行政职务的董事、监事，高级管理人员的报酬由公司支付。不在公司担任行政职务的董事、</w:t>
      </w:r>
    </w:p>
    <w:p>
      <w:pPr>
        <w:pStyle w:val="BodyText"/>
        <w:spacing w:line="297" w:lineRule="auto" w:before="64"/>
        <w:ind w:left="214" w:right="1110"/>
        <w:jc w:val="both"/>
      </w:pPr>
      <w:r>
        <w:rPr>
          <w:spacing w:val="-1"/>
        </w:rPr>
        <w:t>监事，公司不支付报酬。兼任公司高级管理人员的公司董事，按其所任岗位职务的薪酬制度领取报酬。董</w:t>
      </w:r>
      <w:r>
        <w:rPr>
          <w:spacing w:val="-85"/>
        </w:rPr>
        <w:t> </w:t>
      </w:r>
      <w:r>
        <w:rPr>
          <w:spacing w:val="-85"/>
        </w:rPr>
      </w:r>
      <w:r>
        <w:rPr>
          <w:spacing w:val="-1"/>
        </w:rPr>
        <w:t>事报酬由董事会根据薪酬与考核委员会的提议，拟定报酬计划，制订预案报股东大会批准。高级管理人员</w:t>
      </w:r>
      <w:r>
        <w:rPr>
          <w:spacing w:val="-83"/>
        </w:rPr>
        <w:t> </w:t>
      </w:r>
      <w:r>
        <w:rPr>
          <w:spacing w:val="-83"/>
        </w:rPr>
      </w:r>
      <w:r>
        <w:rPr/>
        <w:t>报酬由薪酬与考核委员会提议，拟定报酬计划，报董事会批准。本报告期，在公司担任行政职务的董事、 </w:t>
      </w:r>
      <w:r>
        <w:rPr>
          <w:spacing w:val="-1"/>
        </w:rPr>
        <w:t>监事，高级管理人员的报酬，及独立董事津贴已由公司支付完毕。全体董事、监事、高级管理人员实际获</w:t>
      </w:r>
      <w:r>
        <w:rPr>
          <w:spacing w:val="-82"/>
        </w:rPr>
        <w:t> </w:t>
      </w:r>
      <w:r>
        <w:rPr>
          <w:spacing w:val="-82"/>
        </w:rPr>
      </w:r>
      <w:r>
        <w:rPr/>
        <w:t>得的报酬合计为</w:t>
      </w:r>
      <w:r>
        <w:rPr>
          <w:spacing w:val="-52"/>
        </w:rPr>
        <w:t> </w:t>
      </w:r>
      <w:r>
        <w:rPr>
          <w:rFonts w:ascii="宋体" w:hAnsi="宋体" w:cs="宋体" w:eastAsia="宋体" w:hint="default"/>
        </w:rPr>
        <w:t>634.75</w:t>
      </w:r>
      <w:r>
        <w:rPr>
          <w:rFonts w:ascii="宋体" w:hAnsi="宋体" w:cs="宋体" w:eastAsia="宋体" w:hint="default"/>
          <w:spacing w:val="-54"/>
        </w:rPr>
        <w:t> </w:t>
      </w:r>
      <w:r>
        <w:rPr/>
        <w:t>万元人民币。</w:t>
      </w:r>
    </w:p>
    <w:p>
      <w:pPr>
        <w:spacing w:line="240" w:lineRule="auto" w:before="0"/>
        <w:rPr>
          <w:rFonts w:ascii="宋体" w:hAnsi="宋体" w:cs="宋体" w:eastAsia="宋体" w:hint="default"/>
          <w:sz w:val="14"/>
          <w:szCs w:val="14"/>
        </w:rPr>
      </w:pPr>
    </w:p>
    <w:p>
      <w:pPr>
        <w:pStyle w:val="BodyText"/>
        <w:spacing w:line="240" w:lineRule="auto"/>
        <w:ind w:right="1016"/>
        <w:jc w:val="left"/>
      </w:pPr>
      <w:r>
        <w:rPr/>
        <w:t>公司报告期内董事、监事和高级管理人员报酬情况</w:t>
      </w:r>
    </w:p>
    <w:p>
      <w:pPr>
        <w:spacing w:line="240" w:lineRule="auto" w:before="3"/>
        <w:rPr>
          <w:rFonts w:ascii="宋体" w:hAnsi="宋体" w:cs="宋体" w:eastAsia="宋体" w:hint="default"/>
          <w:sz w:val="18"/>
          <w:szCs w:val="18"/>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410"/>
        <w:gridCol w:w="1408"/>
        <w:gridCol w:w="1409"/>
        <w:gridCol w:w="1406"/>
        <w:gridCol w:w="1408"/>
        <w:gridCol w:w="1407"/>
        <w:gridCol w:w="1408"/>
      </w:tblGrid>
      <w:tr>
        <w:trPr>
          <w:trHeight w:val="476"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38"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从公司获得的</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税前报酬总额</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是否在公司关</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联方获取报酬</w:t>
            </w:r>
          </w:p>
        </w:tc>
      </w:tr>
      <w:tr>
        <w:trPr>
          <w:trHeight w:val="408"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赵鸿飞</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董事长、总经</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66.36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邹鹏程</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10"/>
                <w:sz w:val="18"/>
                <w:szCs w:val="18"/>
              </w:rPr>
              <w:t>董事、副总经理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58.8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10"/>
                <w:sz w:val="18"/>
                <w:szCs w:val="18"/>
              </w:rPr>
              <w:t>董事、副总经理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50.16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王焕欣</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董事、财务总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监、董事会秘书</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王玥</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孙涛</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28.26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季志强</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35.9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邓锋</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410"/>
        <w:gridCol w:w="1408"/>
        <w:gridCol w:w="1409"/>
        <w:gridCol w:w="1406"/>
        <w:gridCol w:w="1408"/>
        <w:gridCol w:w="1407"/>
        <w:gridCol w:w="1408"/>
      </w:tblGrid>
      <w:tr>
        <w:trPr>
          <w:trHeight w:val="476"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519"/>
              <w:jc w:val="right"/>
              <w:rPr>
                <w:rFonts w:ascii="宋体" w:hAnsi="宋体" w:cs="宋体" w:eastAsia="宋体" w:hint="default"/>
                <w:sz w:val="18"/>
                <w:szCs w:val="18"/>
              </w:rPr>
            </w:pPr>
            <w:r>
              <w:rPr>
                <w:rFonts w:ascii="宋体" w:hAnsi="宋体" w:cs="宋体" w:eastAsia="宋体" w:hint="default"/>
                <w:sz w:val="18"/>
                <w:szCs w:val="18"/>
              </w:rPr>
              <w:t>姓名</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38"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从公司获得的</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税前报酬总额</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是否在公司关</w:t>
            </w:r>
          </w:p>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联方获取报酬</w:t>
            </w:r>
          </w:p>
        </w:tc>
      </w:tr>
      <w:tr>
        <w:trPr>
          <w:trHeight w:val="408"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陈晓华</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刘学徽</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吴安华</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副董事长、副总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52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56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耿增强</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冯娟鹃</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董事、董事会秘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书、财务总监</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44.93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唐林林</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4.67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4.67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王琰</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9"/>
              <w:jc w:val="right"/>
              <w:rPr>
                <w:rFonts w:ascii="宋体" w:hAnsi="宋体" w:cs="宋体" w:eastAsia="宋体" w:hint="default"/>
                <w:sz w:val="18"/>
                <w:szCs w:val="18"/>
              </w:rPr>
            </w:pPr>
            <w:r>
              <w:rPr>
                <w:rFonts w:ascii="宋体" w:hAnsi="宋体" w:cs="宋体" w:eastAsia="宋体" w:hint="default"/>
                <w:sz w:val="18"/>
                <w:szCs w:val="18"/>
              </w:rPr>
              <w:t>合计</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634.75</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7"/>
          <w:szCs w:val="7"/>
        </w:rPr>
      </w:pPr>
    </w:p>
    <w:p>
      <w:pPr>
        <w:pStyle w:val="BodyText"/>
        <w:spacing w:line="240" w:lineRule="auto" w:before="35"/>
        <w:ind w:right="1016"/>
        <w:jc w:val="left"/>
      </w:pPr>
      <w:r>
        <w:rPr/>
        <w:t>公司董事、高级管理人员报告期内被授予的股权激励情况</w:t>
      </w:r>
    </w:p>
    <w:p>
      <w:pPr>
        <w:spacing w:line="240" w:lineRule="auto" w:before="10"/>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892"/>
        <w:gridCol w:w="898"/>
        <w:gridCol w:w="896"/>
        <w:gridCol w:w="895"/>
        <w:gridCol w:w="898"/>
        <w:gridCol w:w="895"/>
        <w:gridCol w:w="896"/>
        <w:gridCol w:w="897"/>
        <w:gridCol w:w="895"/>
        <w:gridCol w:w="896"/>
        <w:gridCol w:w="896"/>
      </w:tblGrid>
      <w:tr>
        <w:trPr>
          <w:trHeight w:val="1410" w:hRule="exact"/>
        </w:trPr>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72" w:right="173"/>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71" w:right="173"/>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73" w:right="0"/>
              <w:jc w:val="both"/>
              <w:rPr>
                <w:rFonts w:ascii="宋体" w:hAnsi="宋体" w:cs="宋体" w:eastAsia="宋体" w:hint="default"/>
                <w:sz w:val="18"/>
                <w:szCs w:val="18"/>
              </w:rPr>
            </w:pPr>
            <w:r>
              <w:rPr>
                <w:rFonts w:ascii="宋体" w:hAnsi="宋体" w:cs="宋体" w:eastAsia="宋体" w:hint="default"/>
                <w:sz w:val="18"/>
                <w:szCs w:val="18"/>
              </w:rPr>
              <w:t>报告期</w:t>
            </w:r>
          </w:p>
          <w:p>
            <w:pPr>
              <w:pStyle w:val="TableParagraph"/>
              <w:spacing w:line="235" w:lineRule="auto" w:before="3"/>
              <w:ind w:left="148" w:right="147" w:firstLine="25"/>
              <w:jc w:val="both"/>
              <w:rPr>
                <w:rFonts w:ascii="宋体" w:hAnsi="宋体" w:cs="宋体" w:eastAsia="宋体" w:hint="default"/>
                <w:sz w:val="18"/>
                <w:szCs w:val="18"/>
              </w:rPr>
            </w:pPr>
            <w:r>
              <w:rPr>
                <w:rFonts w:ascii="宋体" w:hAnsi="宋体" w:cs="宋体" w:eastAsia="宋体" w:hint="default"/>
                <w:sz w:val="18"/>
                <w:szCs w:val="18"/>
              </w:rPr>
              <w:t>内已行 权股数 行权价 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72" w:right="170"/>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232" w:lineRule="exact" w:before="2"/>
              <w:ind w:left="262" w:right="237" w:hanging="26"/>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72" w:right="173"/>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72" w:right="172"/>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172" w:right="170"/>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auto" w:before="91"/>
              <w:ind w:left="147" w:right="147" w:firstLine="25"/>
              <w:jc w:val="both"/>
              <w:rPr>
                <w:rFonts w:ascii="宋体" w:hAnsi="宋体" w:cs="宋体" w:eastAsia="宋体" w:hint="default"/>
                <w:sz w:val="18"/>
                <w:szCs w:val="18"/>
              </w:rPr>
            </w:pPr>
            <w:r>
              <w:rPr>
                <w:rFonts w:ascii="宋体" w:hAnsi="宋体" w:cs="宋体" w:eastAsia="宋体" w:hint="default"/>
                <w:sz w:val="18"/>
                <w:szCs w:val="18"/>
              </w:rPr>
              <w:t>限制性 股票的 授予价 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72" w:right="173"/>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r>
      <w:tr>
        <w:trPr>
          <w:trHeight w:val="478"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董事、副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164,167</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70,357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79" w:right="0"/>
              <w:jc w:val="left"/>
              <w:rPr>
                <w:rFonts w:ascii="Times New Roman" w:hAnsi="Times New Roman" w:cs="Times New Roman" w:eastAsia="Times New Roman" w:hint="default"/>
                <w:sz w:val="18"/>
                <w:szCs w:val="18"/>
              </w:rPr>
            </w:pPr>
            <w:r>
              <w:rPr>
                <w:rFonts w:ascii="Times New Roman"/>
                <w:sz w:val="18"/>
              </w:rPr>
              <w:t>21.87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93,810</w:t>
            </w:r>
          </w:p>
        </w:tc>
      </w:tr>
      <w:tr>
        <w:trPr>
          <w:trHeight w:val="476"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杨宇欣</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董事、副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215,000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64,500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79" w:right="0"/>
              <w:jc w:val="left"/>
              <w:rPr>
                <w:rFonts w:ascii="Times New Roman" w:hAnsi="Times New Roman" w:cs="Times New Roman" w:eastAsia="Times New Roman" w:hint="default"/>
                <w:sz w:val="18"/>
                <w:szCs w:val="18"/>
              </w:rPr>
            </w:pPr>
            <w:r>
              <w:rPr>
                <w:rFonts w:ascii="Times New Roman"/>
                <w:sz w:val="18"/>
              </w:rPr>
              <w:t>13.59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150,500</w:t>
            </w:r>
          </w:p>
        </w:tc>
      </w:tr>
      <w:tr>
        <w:trPr>
          <w:trHeight w:val="478"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孙涛</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副总经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20,000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6,000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379" w:right="0"/>
              <w:jc w:val="left"/>
              <w:rPr>
                <w:rFonts w:ascii="Times New Roman" w:hAnsi="Times New Roman" w:cs="Times New Roman" w:eastAsia="Times New Roman" w:hint="default"/>
                <w:sz w:val="18"/>
                <w:szCs w:val="18"/>
              </w:rPr>
            </w:pPr>
            <w:r>
              <w:rPr>
                <w:rFonts w:ascii="Times New Roman"/>
                <w:sz w:val="18"/>
              </w:rPr>
              <w:t>13.59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14,000</w:t>
            </w:r>
          </w:p>
        </w:tc>
      </w:tr>
      <w:tr>
        <w:trPr>
          <w:trHeight w:val="407" w:hRule="exact"/>
        </w:trPr>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399,167</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140,857</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382" w:right="0"/>
              <w:jc w:val="left"/>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258,310</w:t>
            </w:r>
          </w:p>
        </w:tc>
      </w:tr>
      <w:tr>
        <w:trPr>
          <w:trHeight w:val="710" w:hRule="exact"/>
        </w:trPr>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3" w:right="101"/>
              <w:jc w:val="left"/>
              <w:rPr>
                <w:rFonts w:ascii="宋体" w:hAnsi="宋体" w:cs="宋体" w:eastAsia="宋体" w:hint="default"/>
                <w:sz w:val="18"/>
                <w:szCs w:val="18"/>
              </w:rPr>
            </w:pPr>
            <w:r>
              <w:rPr>
                <w:rFonts w:ascii="宋体" w:hAnsi="宋体" w:cs="宋体" w:eastAsia="宋体" w:hint="default"/>
                <w:spacing w:val="-12"/>
                <w:sz w:val="18"/>
                <w:szCs w:val="18"/>
              </w:rPr>
              <w:t>备注（如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w:t>
            </w:r>
          </w:p>
        </w:tc>
        <w:tc>
          <w:tcPr>
            <w:tcW w:w="896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杨宇欣期初持有股票数量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164,167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股为公司实施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年权益分派，以资本公积金向全体股东每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p>
          <w:p>
            <w:pPr>
              <w:pStyle w:val="TableParagraph"/>
              <w:spacing w:line="232" w:lineRule="exact" w:before="17"/>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29.087280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股的转增后股份数量，限制性股票的授予价格为相应除权后价格。报告期内可行权股数已扣除董监高 锁定部分。</w:t>
            </w:r>
          </w:p>
        </w:tc>
      </w:tr>
    </w:tbl>
    <w:p>
      <w:pPr>
        <w:spacing w:line="240" w:lineRule="auto" w:before="7"/>
        <w:rPr>
          <w:rFonts w:ascii="宋体" w:hAnsi="宋体" w:cs="宋体" w:eastAsia="宋体" w:hint="default"/>
          <w:sz w:val="20"/>
          <w:szCs w:val="20"/>
        </w:rPr>
      </w:pPr>
    </w:p>
    <w:p>
      <w:pPr>
        <w:pStyle w:val="Heading2"/>
        <w:spacing w:line="397" w:lineRule="exact"/>
        <w:ind w:right="1016"/>
        <w:jc w:val="left"/>
      </w:pPr>
      <w:bookmarkStart w:name="五、公司员工情况" w:id="123"/>
      <w:bookmarkEnd w:id="123"/>
      <w:r>
        <w:rPr/>
      </w:r>
      <w:r>
        <w:rPr/>
        <w:t>五、公司员工情况</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员工数量、专业构成及教育程度" w:id="124"/>
      <w:bookmarkEnd w:id="124"/>
      <w:r>
        <w:rPr/>
      </w:r>
      <w:r>
        <w:rPr>
          <w:rFonts w:ascii="Times New Roman" w:hAnsi="Times New Roman" w:cs="Times New Roman" w:eastAsia="Times New Roman" w:hint="default"/>
        </w:rPr>
        <w:t>1</w:t>
      </w:r>
      <w:r>
        <w:rPr>
          <w:rFonts w:ascii="微软雅黑" w:hAnsi="微软雅黑" w:cs="微软雅黑" w:eastAsia="微软雅黑" w:hint="default"/>
        </w:rPr>
        <w:t>、员工数量、专业构成及教育程度</w:t>
      </w:r>
    </w:p>
    <w:p>
      <w:pPr>
        <w:spacing w:line="240" w:lineRule="auto" w:before="13"/>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474</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2,925</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3,399</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3,497</w:t>
            </w:r>
          </w:p>
        </w:tc>
      </w:tr>
      <w:tr>
        <w:trPr>
          <w:trHeight w:val="412"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center"/>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微软雅黑" w:hAnsi="微软雅黑" w:cs="微软雅黑" w:eastAsia="微软雅黑"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38</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3,017</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48</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296</w:t>
            </w:r>
          </w:p>
        </w:tc>
      </w:tr>
      <w:tr>
        <w:trPr>
          <w:trHeight w:val="412"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3,399</w:t>
            </w:r>
          </w:p>
        </w:tc>
      </w:tr>
      <w:tr>
        <w:trPr>
          <w:trHeight w:val="403"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博士及以上学历</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硕士学历</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484</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2,629</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本科以下学历</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284</w:t>
            </w: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3,399</w:t>
            </w:r>
          </w:p>
        </w:tc>
      </w:tr>
    </w:tbl>
    <w:p>
      <w:pPr>
        <w:spacing w:line="240" w:lineRule="auto" w:before="13"/>
        <w:rPr>
          <w:rFonts w:ascii="微软雅黑" w:hAnsi="微软雅黑" w:cs="微软雅黑" w:eastAsia="微软雅黑" w:hint="default"/>
          <w:sz w:val="6"/>
          <w:szCs w:val="6"/>
        </w:rPr>
      </w:pPr>
    </w:p>
    <w:p>
      <w:pPr>
        <w:pStyle w:val="BodyText"/>
        <w:spacing w:line="324" w:lineRule="exact"/>
        <w:ind w:right="1016"/>
        <w:jc w:val="left"/>
        <w:rPr>
          <w:rFonts w:ascii="微软雅黑" w:hAnsi="微软雅黑" w:cs="微软雅黑" w:eastAsia="微软雅黑" w:hint="default"/>
        </w:rPr>
      </w:pPr>
      <w:bookmarkStart w:name="2、薪酬政策" w:id="125"/>
      <w:bookmarkEnd w:id="125"/>
      <w:r>
        <w:rPr/>
      </w:r>
      <w:r>
        <w:rPr>
          <w:rFonts w:ascii="Times New Roman" w:hAnsi="Times New Roman" w:cs="Times New Roman" w:eastAsia="Times New Roman" w:hint="default"/>
        </w:rPr>
        <w:t>2</w:t>
      </w:r>
      <w:r>
        <w:rPr>
          <w:rFonts w:ascii="微软雅黑" w:hAnsi="微软雅黑" w:cs="微软雅黑" w:eastAsia="微软雅黑" w:hint="default"/>
        </w:rPr>
        <w:t>、薪酬政策</w:t>
      </w:r>
    </w:p>
    <w:p>
      <w:pPr>
        <w:spacing w:line="240" w:lineRule="auto" w:before="7"/>
        <w:rPr>
          <w:rFonts w:ascii="微软雅黑" w:hAnsi="微软雅黑" w:cs="微软雅黑" w:eastAsia="微软雅黑" w:hint="default"/>
          <w:sz w:val="20"/>
          <w:szCs w:val="20"/>
        </w:rPr>
      </w:pPr>
    </w:p>
    <w:p>
      <w:pPr>
        <w:pStyle w:val="BodyText"/>
        <w:spacing w:line="297" w:lineRule="auto"/>
        <w:ind w:left="214" w:right="1131" w:firstLine="420"/>
        <w:jc w:val="both"/>
      </w:pPr>
      <w:r>
        <w:rPr>
          <w:spacing w:val="-1"/>
        </w:rPr>
        <w:t>公司薪酬政策的宗旨在于将员工利益与公司业务发展与股东利益有效结合，吸引、保留和激励关键人</w:t>
      </w:r>
      <w:r>
        <w:rPr/>
        <w:t> </w:t>
      </w:r>
      <w:r>
        <w:rPr>
          <w:spacing w:val="-1"/>
        </w:rPr>
        <w:t>才。责任、能力和贡献是公司的价值分配依据，将总薪酬水平和对组织的价值及绩效有效链接。薪酬与福</w:t>
      </w:r>
      <w:r>
        <w:rPr>
          <w:spacing w:val="-85"/>
        </w:rPr>
        <w:t> </w:t>
      </w:r>
      <w:r>
        <w:rPr>
          <w:spacing w:val="-85"/>
        </w:rPr>
      </w:r>
      <w:r>
        <w:rPr>
          <w:spacing w:val="-1"/>
        </w:rPr>
        <w:t>利是公司价值分配及员工综合获得的重要组成部分。公司建立了成长性的工资体系，将结合公司经营状况</w:t>
      </w:r>
      <w:r>
        <w:rPr>
          <w:spacing w:val="-81"/>
        </w:rPr>
        <w:t> </w:t>
      </w:r>
      <w:r>
        <w:rPr>
          <w:spacing w:val="-81"/>
        </w:rPr>
      </w:r>
      <w:r>
        <w:rPr>
          <w:spacing w:val="-1"/>
        </w:rPr>
        <w:t>与市场薪酬状况进行调节和改善，同时倡导向“团结奋斗者”倾斜的薪酬理念，依据对组织的价值，并结</w:t>
      </w:r>
      <w:r>
        <w:rPr>
          <w:spacing w:val="-83"/>
        </w:rPr>
        <w:t> </w:t>
      </w:r>
      <w:r>
        <w:rPr>
          <w:spacing w:val="-83"/>
        </w:rPr>
      </w:r>
      <w:r>
        <w:rPr>
          <w:spacing w:val="-1"/>
        </w:rPr>
        <w:t>合市场调查数据设计和调整工资架构体系。公司的福利体系以国家基本社会保障制度为基础，同时提供补</w:t>
      </w:r>
      <w:r>
        <w:rPr>
          <w:spacing w:val="-81"/>
        </w:rPr>
        <w:t> </w:t>
      </w:r>
      <w:r>
        <w:rPr>
          <w:spacing w:val="-81"/>
        </w:rPr>
      </w:r>
      <w:r>
        <w:rPr>
          <w:spacing w:val="-1"/>
        </w:rPr>
        <w:t>充商业保险、补充医疗保险补贴、礼金、抚慰金、午餐、误餐补贴及交通补贴等补充福利，为员工提供丰</w:t>
      </w:r>
      <w:r>
        <w:rPr>
          <w:spacing w:val="-82"/>
        </w:rPr>
        <w:t> </w:t>
      </w:r>
      <w:r>
        <w:rPr>
          <w:spacing w:val="-82"/>
        </w:rPr>
      </w:r>
      <w:r>
        <w:rPr>
          <w:spacing w:val="-1"/>
        </w:rPr>
        <w:t>富、完备的福利保障。公司通过实施购房无息贷款制度与员工持股计划，保留核心员工，为构建全面薪酬</w:t>
      </w:r>
      <w:r>
        <w:rPr>
          <w:spacing w:val="-86"/>
        </w:rPr>
        <w:t> </w:t>
      </w:r>
      <w:r>
        <w:rPr>
          <w:spacing w:val="-86"/>
        </w:rPr>
      </w:r>
      <w:r>
        <w:rPr/>
        <w:t>体系，持续加强人力资源管理能力，同时为公司业务的稳健发展提供了持续、稳定的人才保证。</w:t>
      </w:r>
    </w:p>
    <w:p>
      <w:pPr>
        <w:spacing w:line="240" w:lineRule="auto" w:before="12"/>
        <w:rPr>
          <w:rFonts w:ascii="宋体" w:hAnsi="宋体" w:cs="宋体" w:eastAsia="宋体" w:hint="default"/>
          <w:sz w:val="13"/>
          <w:szCs w:val="13"/>
        </w:rPr>
      </w:pPr>
    </w:p>
    <w:p>
      <w:pPr>
        <w:pStyle w:val="BodyText"/>
        <w:spacing w:line="297" w:lineRule="auto"/>
        <w:ind w:left="214" w:right="1010" w:firstLine="420"/>
        <w:jc w:val="left"/>
      </w:pPr>
      <w:r>
        <w:rPr/>
        <w:t>公司需遵守《深圳证券交易所行业信息披露指引第</w:t>
      </w:r>
      <w:r>
        <w:rPr>
          <w:spacing w:val="-64"/>
        </w:rPr>
        <w:t> </w:t>
      </w:r>
      <w:r>
        <w:rPr>
          <w:rFonts w:ascii="宋体" w:hAnsi="宋体" w:cs="宋体" w:eastAsia="宋体" w:hint="default"/>
        </w:rPr>
        <w:t>12</w:t>
      </w:r>
      <w:r>
        <w:rPr>
          <w:rFonts w:ascii="宋体" w:hAnsi="宋体" w:cs="宋体" w:eastAsia="宋体" w:hint="default"/>
          <w:spacing w:val="-64"/>
        </w:rPr>
        <w:t> </w:t>
      </w:r>
      <w:r>
        <w:rPr/>
        <w:t>号——上市公司从事软件与信息技术服务业务》 的披露要求</w:t>
      </w:r>
    </w:p>
    <w:p>
      <w:pPr>
        <w:spacing w:line="240" w:lineRule="auto" w:before="0"/>
        <w:rPr>
          <w:rFonts w:ascii="宋体" w:hAnsi="宋体" w:cs="宋体" w:eastAsia="宋体" w:hint="default"/>
          <w:sz w:val="14"/>
          <w:szCs w:val="14"/>
        </w:rPr>
      </w:pPr>
    </w:p>
    <w:p>
      <w:pPr>
        <w:pStyle w:val="BodyText"/>
        <w:spacing w:line="297" w:lineRule="auto"/>
        <w:ind w:left="214" w:right="1130" w:firstLine="420"/>
        <w:jc w:val="both"/>
      </w:pPr>
      <w:r>
        <w:rPr/>
        <w:t>报告期内计入营业成本部分的职工薪酬总额为</w:t>
      </w:r>
      <w:r>
        <w:rPr>
          <w:spacing w:val="-47"/>
        </w:rPr>
        <w:t> </w:t>
      </w:r>
      <w:r>
        <w:rPr>
          <w:rFonts w:ascii="宋体" w:hAnsi="宋体" w:cs="宋体" w:eastAsia="宋体" w:hint="default"/>
        </w:rPr>
        <w:t>39,304.10</w:t>
      </w:r>
      <w:r>
        <w:rPr>
          <w:rFonts w:ascii="宋体" w:hAnsi="宋体" w:cs="宋体" w:eastAsia="宋体" w:hint="default"/>
          <w:spacing w:val="-47"/>
        </w:rPr>
        <w:t> </w:t>
      </w:r>
      <w:r>
        <w:rPr>
          <w:spacing w:val="-4"/>
        </w:rPr>
        <w:t>万元，占公司营业成本总额的</w:t>
      </w:r>
      <w:r>
        <w:rPr>
          <w:spacing w:val="-47"/>
        </w:rPr>
        <w:t> </w:t>
      </w:r>
      <w:r>
        <w:rPr>
          <w:rFonts w:ascii="宋体" w:hAnsi="宋体" w:cs="宋体" w:eastAsia="宋体" w:hint="default"/>
          <w:spacing w:val="-5"/>
        </w:rPr>
        <w:t>46.04%</w:t>
      </w:r>
      <w:r>
        <w:rPr>
          <w:spacing w:val="-5"/>
        </w:rPr>
        <w:t>；公司</w:t>
      </w:r>
      <w:r>
        <w:rPr/>
        <w:t> 利润对职工薪酬总额变化的敏感性低；核心技术人员占比约为</w:t>
      </w:r>
      <w:r>
        <w:rPr>
          <w:spacing w:val="-57"/>
        </w:rPr>
        <w:t> </w:t>
      </w:r>
      <w:r>
        <w:rPr>
          <w:rFonts w:ascii="宋体" w:hAnsi="宋体" w:cs="宋体" w:eastAsia="宋体" w:hint="default"/>
          <w:spacing w:val="-4"/>
        </w:rPr>
        <w:t>5%</w:t>
      </w:r>
      <w:r>
        <w:rPr>
          <w:spacing w:val="-4"/>
        </w:rPr>
        <w:t>，薪酬占比约为</w:t>
      </w:r>
      <w:r>
        <w:rPr>
          <w:spacing w:val="-57"/>
        </w:rPr>
        <w:t> </w:t>
      </w:r>
      <w:r>
        <w:rPr>
          <w:rFonts w:ascii="宋体" w:hAnsi="宋体" w:cs="宋体" w:eastAsia="宋体" w:hint="default"/>
          <w:spacing w:val="-4"/>
        </w:rPr>
        <w:t>10%</w:t>
      </w:r>
      <w:r>
        <w:rPr>
          <w:spacing w:val="-4"/>
        </w:rPr>
        <w:t>，</w:t>
      </w:r>
      <w:r>
        <w:rPr>
          <w:rFonts w:ascii="宋体" w:hAnsi="宋体" w:cs="宋体" w:eastAsia="宋体" w:hint="default"/>
          <w:spacing w:val="-4"/>
        </w:rPr>
        <w:t>2018</w:t>
      </w:r>
      <w:r>
        <w:rPr>
          <w:rFonts w:ascii="宋体" w:hAnsi="宋体" w:cs="宋体" w:eastAsia="宋体" w:hint="default"/>
          <w:spacing w:val="-58"/>
        </w:rPr>
        <w:t> </w:t>
      </w:r>
      <w:r>
        <w:rPr/>
        <w:t>年核心人员离 职率为</w:t>
      </w:r>
      <w:r>
        <w:rPr>
          <w:spacing w:val="-52"/>
        </w:rPr>
        <w:t> </w:t>
      </w:r>
      <w:r>
        <w:rPr>
          <w:rFonts w:ascii="宋体" w:hAnsi="宋体" w:cs="宋体" w:eastAsia="宋体" w:hint="default"/>
        </w:rPr>
        <w:t>4%</w:t>
      </w:r>
      <w:r>
        <w:rPr/>
        <w:t>。</w:t>
      </w:r>
    </w:p>
    <w:p>
      <w:pPr>
        <w:pStyle w:val="BodyText"/>
        <w:spacing w:line="240" w:lineRule="auto" w:before="176"/>
        <w:ind w:right="1016"/>
        <w:jc w:val="left"/>
        <w:rPr>
          <w:rFonts w:ascii="微软雅黑" w:hAnsi="微软雅黑" w:cs="微软雅黑" w:eastAsia="微软雅黑" w:hint="default"/>
        </w:rPr>
      </w:pPr>
      <w:bookmarkStart w:name="3、培训计划" w:id="126"/>
      <w:bookmarkEnd w:id="126"/>
      <w:r>
        <w:rPr/>
      </w:r>
      <w:r>
        <w:rPr>
          <w:rFonts w:ascii="Times New Roman" w:hAnsi="Times New Roman" w:cs="Times New Roman" w:eastAsia="Times New Roman" w:hint="default"/>
        </w:rPr>
        <w:t>3</w:t>
      </w:r>
      <w:r>
        <w:rPr>
          <w:rFonts w:ascii="微软雅黑" w:hAnsi="微软雅黑" w:cs="微软雅黑" w:eastAsia="微软雅黑" w:hint="default"/>
        </w:rPr>
        <w:t>、培训计划</w:t>
      </w:r>
    </w:p>
    <w:p>
      <w:pPr>
        <w:spacing w:line="240" w:lineRule="auto" w:before="7"/>
        <w:rPr>
          <w:rFonts w:ascii="微软雅黑" w:hAnsi="微软雅黑" w:cs="微软雅黑" w:eastAsia="微软雅黑" w:hint="default"/>
          <w:sz w:val="20"/>
          <w:szCs w:val="20"/>
        </w:rPr>
      </w:pPr>
    </w:p>
    <w:p>
      <w:pPr>
        <w:pStyle w:val="BodyText"/>
        <w:spacing w:line="297" w:lineRule="auto"/>
        <w:ind w:left="214" w:right="1023" w:firstLine="821"/>
        <w:jc w:val="left"/>
      </w:pPr>
      <w:r>
        <w:rPr/>
        <w:t>公司注重员工的发展和成长，推广“导师制”、职位体系评估，为员工融入与发展提供了基础， 员工可依据自身特长、职业兴趣以及公司需求，选择适合的职业发展方向和机会。为促进员工职业能力的 持续提升，公司建立并不断建设中高层与一线经理“领导力”的培养体系，为员工制定系统的人力资源管 理策略，通过特定人才发展项目提供多元化的能力培训和进修机会，包括课堂学习、线上、在岗培训、外 </w:t>
      </w:r>
      <w:r>
        <w:rPr>
          <w:spacing w:val="-3"/>
        </w:rPr>
        <w:t>派培训、项目实践和导师辅导等多种学习形式。同时，针对全体员工设定了基于文化价值、个人发展能力、</w:t>
      </w:r>
      <w:r>
        <w:rPr>
          <w:spacing w:val="-96"/>
        </w:rPr>
        <w:t> </w:t>
      </w:r>
      <w:r>
        <w:rPr>
          <w:spacing w:val="-96"/>
        </w:rPr>
      </w:r>
      <w:r>
        <w:rPr/>
        <w:t>自我觉察与技术发展的分享课程，为员工提供全面的成长支持、公平的职位晋升和发展空间。</w:t>
      </w:r>
    </w:p>
    <w:p>
      <w:pPr>
        <w:spacing w:after="0" w:line="297" w:lineRule="auto"/>
        <w:jc w:val="left"/>
        <w:sectPr>
          <w:pgSz w:w="11910" w:h="16840"/>
          <w:pgMar w:header="801" w:footer="1007" w:top="1100" w:bottom="1200" w:left="920" w:right="0"/>
        </w:sectPr>
      </w:pPr>
    </w:p>
    <w:p>
      <w:pPr>
        <w:spacing w:line="240" w:lineRule="auto" w:before="3"/>
        <w:rPr>
          <w:rFonts w:ascii="宋体" w:hAnsi="宋体" w:cs="宋体" w:eastAsia="宋体" w:hint="default"/>
          <w:sz w:val="24"/>
          <w:szCs w:val="24"/>
        </w:rPr>
      </w:pPr>
    </w:p>
    <w:p>
      <w:pPr>
        <w:pStyle w:val="BodyText"/>
        <w:spacing w:line="324" w:lineRule="exact"/>
        <w:ind w:left="574" w:right="1116"/>
        <w:jc w:val="left"/>
        <w:rPr>
          <w:rFonts w:ascii="微软雅黑" w:hAnsi="微软雅黑" w:cs="微软雅黑" w:eastAsia="微软雅黑" w:hint="default"/>
        </w:rPr>
      </w:pPr>
      <w:bookmarkStart w:name="4、劳务外包情况" w:id="127"/>
      <w:bookmarkEnd w:id="127"/>
      <w:r>
        <w:rPr/>
      </w:r>
      <w:r>
        <w:rPr>
          <w:rFonts w:ascii="Times New Roman" w:hAnsi="Times New Roman" w:cs="Times New Roman" w:eastAsia="Times New Roman" w:hint="default"/>
        </w:rPr>
        <w:t>4</w:t>
      </w:r>
      <w:r>
        <w:rPr>
          <w:rFonts w:ascii="微软雅黑" w:hAnsi="微软雅黑" w:cs="微软雅黑" w:eastAsia="微软雅黑" w:hint="default"/>
        </w:rPr>
        <w:t>、劳务外包情况</w:t>
      </w:r>
    </w:p>
    <w:p>
      <w:pPr>
        <w:spacing w:line="240" w:lineRule="auto" w:before="7"/>
        <w:rPr>
          <w:rFonts w:ascii="微软雅黑" w:hAnsi="微软雅黑" w:cs="微软雅黑" w:eastAsia="微软雅黑" w:hint="default"/>
          <w:sz w:val="20"/>
          <w:szCs w:val="20"/>
        </w:rPr>
      </w:pPr>
    </w:p>
    <w:p>
      <w:pPr>
        <w:pStyle w:val="BodyText"/>
        <w:spacing w:line="240" w:lineRule="auto"/>
        <w:ind w:left="574" w:right="11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01" w:footer="1007"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441" w:lineRule="exact"/>
        <w:ind w:right="3772"/>
        <w:jc w:val="center"/>
        <w:rPr>
          <w:b w:val="0"/>
          <w:bCs w:val="0"/>
        </w:rPr>
      </w:pPr>
      <w:bookmarkStart w:name="第九节 公司治理" w:id="128"/>
      <w:bookmarkEnd w:id="128"/>
      <w:r>
        <w:rPr>
          <w:b w:val="0"/>
          <w:bCs w:val="0"/>
        </w:rPr>
      </w:r>
      <w:bookmarkStart w:name="_bookmark7" w:id="129"/>
      <w:bookmarkEnd w:id="129"/>
      <w:r>
        <w:rPr>
          <w:b w:val="0"/>
          <w:bCs w:val="0"/>
        </w:rPr>
      </w:r>
      <w:r>
        <w:rPr/>
        <w:t>第九节</w:t>
      </w:r>
      <w:r>
        <w:rPr>
          <w:spacing w:val="64"/>
        </w:rPr>
        <w:t> </w:t>
      </w:r>
      <w:r>
        <w:rPr/>
        <w:t>公司治理</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1"/>
        <w:rPr>
          <w:rFonts w:ascii="微软雅黑" w:hAnsi="微软雅黑" w:cs="微软雅黑" w:eastAsia="微软雅黑" w:hint="default"/>
          <w:b/>
          <w:bCs/>
          <w:sz w:val="29"/>
          <w:szCs w:val="29"/>
        </w:rPr>
      </w:pPr>
    </w:p>
    <w:p>
      <w:pPr>
        <w:pStyle w:val="Heading2"/>
        <w:spacing w:line="397" w:lineRule="exact"/>
        <w:ind w:left="154" w:right="0"/>
        <w:jc w:val="both"/>
      </w:pPr>
      <w:bookmarkStart w:name="一、公司治理的基本状况" w:id="130"/>
      <w:bookmarkEnd w:id="130"/>
      <w:r>
        <w:rPr/>
      </w:r>
      <w:r>
        <w:rPr/>
        <w:t>一、公司治理的基本状况</w:t>
      </w:r>
    </w:p>
    <w:p>
      <w:pPr>
        <w:spacing w:line="240" w:lineRule="auto" w:before="13"/>
        <w:rPr>
          <w:rFonts w:ascii="微软雅黑" w:hAnsi="微软雅黑" w:cs="微软雅黑" w:eastAsia="微软雅黑" w:hint="default"/>
          <w:sz w:val="24"/>
          <w:szCs w:val="24"/>
        </w:rPr>
      </w:pPr>
    </w:p>
    <w:p>
      <w:pPr>
        <w:pStyle w:val="BodyText"/>
        <w:spacing w:line="297" w:lineRule="auto"/>
        <w:ind w:left="154" w:right="1131" w:firstLine="420"/>
        <w:jc w:val="both"/>
      </w:pPr>
      <w:r>
        <w:rPr>
          <w:spacing w:val="-1"/>
        </w:rPr>
        <w:t>报告期内，公司严格按照《公司法》、《证券法》、《上市公司治理准则》、《深圳证券交易所创业</w:t>
      </w:r>
      <w:r>
        <w:rPr/>
        <w:t> </w:t>
      </w:r>
      <w:r>
        <w:rPr>
          <w:spacing w:val="-1"/>
        </w:rPr>
        <w:t>板股票上市规则》、《深圳证券交易所创业板上市公司规范运作指引》等法律、法规和中国证监会有关法</w:t>
      </w:r>
      <w:r>
        <w:rPr>
          <w:spacing w:val="-82"/>
        </w:rPr>
        <w:t> </w:t>
      </w:r>
      <w:r>
        <w:rPr>
          <w:spacing w:val="-82"/>
        </w:rPr>
      </w:r>
      <w:r>
        <w:rPr>
          <w:spacing w:val="-1"/>
        </w:rPr>
        <w:t>律法规等要求，结合本公司的具体情况，不断完善公司的法人治理结构，建立健全公司内部管理和控制制</w:t>
      </w:r>
      <w:r>
        <w:rPr>
          <w:spacing w:val="-83"/>
        </w:rPr>
        <w:t> </w:t>
      </w:r>
      <w:r>
        <w:rPr>
          <w:spacing w:val="-83"/>
        </w:rPr>
      </w:r>
      <w:r>
        <w:rPr/>
        <w:t>度，持续深入开展公司治理活动，促进公司规范运作。</w:t>
      </w:r>
    </w:p>
    <w:p>
      <w:pPr>
        <w:pStyle w:val="BodyText"/>
        <w:spacing w:line="508" w:lineRule="exact" w:before="21"/>
        <w:ind w:left="574" w:right="1116"/>
        <w:jc w:val="left"/>
      </w:pPr>
      <w:r>
        <w:rPr>
          <w:rFonts w:ascii="宋体" w:hAnsi="宋体" w:cs="宋体" w:eastAsia="宋体" w:hint="default"/>
        </w:rPr>
        <w:t>1</w:t>
      </w:r>
      <w:r>
        <w:rPr/>
        <w:t>、关于股东与股东大会 </w:t>
      </w:r>
      <w:r>
        <w:rPr>
          <w:spacing w:val="-1"/>
        </w:rPr>
        <w:t>公司严格按照《公司法》、《公司章程》、《上市公司股东大会规则》等相关法律、法规和规范性文</w:t>
      </w:r>
    </w:p>
    <w:p>
      <w:pPr>
        <w:pStyle w:val="BodyText"/>
        <w:spacing w:line="297" w:lineRule="auto"/>
        <w:ind w:left="154" w:right="1133"/>
        <w:jc w:val="both"/>
      </w:pPr>
      <w:r>
        <w:rPr>
          <w:spacing w:val="-1"/>
        </w:rPr>
        <w:t>件的要求召开股东大会，规范股东大会的召集、召开及表决程序，确保所有股东享有平等的股东地位、平</w:t>
      </w:r>
      <w:r>
        <w:rPr>
          <w:spacing w:val="-85"/>
        </w:rPr>
        <w:t> </w:t>
      </w:r>
      <w:r>
        <w:rPr>
          <w:spacing w:val="-85"/>
        </w:rPr>
      </w:r>
      <w:r>
        <w:rPr>
          <w:spacing w:val="-1"/>
        </w:rPr>
        <w:t>等的股东权利，并承担相应的义务，充分保护股东的合法权益，让中小投资者充分行使自己的权利；通过</w:t>
      </w:r>
      <w:r>
        <w:rPr>
          <w:spacing w:val="-86"/>
        </w:rPr>
        <w:t> </w:t>
      </w:r>
      <w:r>
        <w:rPr>
          <w:spacing w:val="-86"/>
        </w:rPr>
      </w:r>
      <w:r>
        <w:rPr/>
        <w:t>聘请律师出席见证，保证了会议的召集、召开和表决程序的合法性。</w:t>
      </w:r>
    </w:p>
    <w:p>
      <w:pPr>
        <w:pStyle w:val="BodyText"/>
        <w:spacing w:line="508" w:lineRule="exact" w:before="22"/>
        <w:ind w:left="574" w:right="1116"/>
        <w:jc w:val="left"/>
      </w:pPr>
      <w:r>
        <w:rPr>
          <w:rFonts w:ascii="宋体" w:hAnsi="宋体" w:cs="宋体" w:eastAsia="宋体" w:hint="default"/>
        </w:rPr>
        <w:t>2</w:t>
      </w:r>
      <w:r>
        <w:rPr/>
        <w:t>、关于公司与实际控制人 </w:t>
      </w:r>
      <w:r>
        <w:rPr>
          <w:spacing w:val="-1"/>
        </w:rPr>
        <w:t>公司按照《公司法》、《证券法》、《公司章程》及证券监管部门的有关规定正确处理与实际控制人</w:t>
      </w:r>
    </w:p>
    <w:p>
      <w:pPr>
        <w:pStyle w:val="BodyText"/>
        <w:spacing w:line="297" w:lineRule="auto"/>
        <w:ind w:left="154" w:right="1131"/>
        <w:jc w:val="both"/>
      </w:pPr>
      <w:r>
        <w:rPr>
          <w:spacing w:val="-1"/>
        </w:rPr>
        <w:t>的关系。本公司实际控制人依法行使其权利并承担相应义务，无占用公司资金、越权行使职权的情形，公</w:t>
      </w:r>
      <w:r>
        <w:rPr>
          <w:spacing w:val="-85"/>
        </w:rPr>
        <w:t> </w:t>
      </w:r>
      <w:r>
        <w:rPr>
          <w:spacing w:val="-85"/>
        </w:rPr>
      </w:r>
      <w:r>
        <w:rPr>
          <w:spacing w:val="-1"/>
        </w:rPr>
        <w:t>司不存在向实际控制人提供担保和财务资助的情形。本公司具有自主经营能力，在业务、人员、资金、财</w:t>
      </w:r>
      <w:r>
        <w:rPr>
          <w:spacing w:val="-83"/>
        </w:rPr>
        <w:t> </w:t>
      </w:r>
      <w:r>
        <w:rPr>
          <w:spacing w:val="-83"/>
        </w:rPr>
      </w:r>
      <w:r>
        <w:rPr>
          <w:spacing w:val="-1"/>
        </w:rPr>
        <w:t>务等方面均独立于控股股东，公司董事会、监事会和内部机构能够按照各自的议事规则和规章制度独立运</w:t>
      </w:r>
      <w:r>
        <w:rPr>
          <w:spacing w:val="-81"/>
        </w:rPr>
        <w:t> </w:t>
      </w:r>
      <w:r>
        <w:rPr>
          <w:spacing w:val="-81"/>
        </w:rPr>
      </w:r>
      <w:r>
        <w:rPr/>
        <w:t>作，各司其职。</w:t>
      </w:r>
    </w:p>
    <w:p>
      <w:pPr>
        <w:spacing w:line="240" w:lineRule="auto" w:before="0"/>
        <w:rPr>
          <w:rFonts w:ascii="宋体" w:hAnsi="宋体" w:cs="宋体" w:eastAsia="宋体" w:hint="default"/>
          <w:sz w:val="14"/>
          <w:szCs w:val="14"/>
        </w:rPr>
      </w:pPr>
    </w:p>
    <w:p>
      <w:pPr>
        <w:pStyle w:val="BodyText"/>
        <w:spacing w:line="240" w:lineRule="auto"/>
        <w:ind w:left="574" w:right="1116"/>
        <w:jc w:val="left"/>
      </w:pPr>
      <w:r>
        <w:rPr>
          <w:rFonts w:ascii="宋体" w:hAnsi="宋体" w:cs="宋体" w:eastAsia="宋体" w:hint="default"/>
        </w:rPr>
        <w:t>3</w:t>
      </w:r>
      <w:r>
        <w:rPr/>
        <w:t>、关于董事与董事会</w:t>
      </w:r>
    </w:p>
    <w:p>
      <w:pPr>
        <w:spacing w:line="240" w:lineRule="auto" w:before="12"/>
        <w:rPr>
          <w:rFonts w:ascii="宋体" w:hAnsi="宋体" w:cs="宋体" w:eastAsia="宋体" w:hint="default"/>
          <w:sz w:val="17"/>
          <w:szCs w:val="17"/>
        </w:rPr>
      </w:pPr>
    </w:p>
    <w:p>
      <w:pPr>
        <w:pStyle w:val="BodyText"/>
        <w:spacing w:line="240" w:lineRule="auto"/>
        <w:ind w:left="574" w:right="0"/>
        <w:jc w:val="left"/>
      </w:pPr>
      <w:r>
        <w:rPr/>
        <w:t>公司第二届董事会由</w:t>
      </w:r>
      <w:r>
        <w:rPr>
          <w:spacing w:val="-47"/>
        </w:rPr>
        <w:t> </w:t>
      </w:r>
      <w:r>
        <w:rPr>
          <w:rFonts w:ascii="宋体" w:hAnsi="宋体" w:cs="宋体" w:eastAsia="宋体" w:hint="default"/>
        </w:rPr>
        <w:t>9</w:t>
      </w:r>
      <w:r>
        <w:rPr>
          <w:rFonts w:ascii="宋体" w:hAnsi="宋体" w:cs="宋体" w:eastAsia="宋体" w:hint="default"/>
          <w:spacing w:val="-48"/>
        </w:rPr>
        <w:t> </w:t>
      </w:r>
      <w:r>
        <w:rPr>
          <w:spacing w:val="-4"/>
        </w:rPr>
        <w:t>名董事组成，董事会人数及人员构成均符合法律、法规和《公司章程》的规定。</w:t>
      </w:r>
    </w:p>
    <w:p>
      <w:pPr>
        <w:pStyle w:val="BodyText"/>
        <w:spacing w:line="297" w:lineRule="auto" w:before="64"/>
        <w:ind w:left="154" w:right="1023"/>
        <w:jc w:val="left"/>
      </w:pPr>
      <w:r>
        <w:rPr/>
        <w:t>公司依法选聘</w:t>
      </w:r>
      <w:r>
        <w:rPr>
          <w:spacing w:val="-47"/>
        </w:rPr>
        <w:t> </w:t>
      </w:r>
      <w:r>
        <w:rPr>
          <w:rFonts w:ascii="宋体" w:hAnsi="宋体" w:cs="宋体" w:eastAsia="宋体" w:hint="default"/>
        </w:rPr>
        <w:t>3</w:t>
      </w:r>
      <w:r>
        <w:rPr>
          <w:rFonts w:ascii="宋体" w:hAnsi="宋体" w:cs="宋体" w:eastAsia="宋体" w:hint="default"/>
          <w:spacing w:val="-47"/>
        </w:rPr>
        <w:t> </w:t>
      </w:r>
      <w:r>
        <w:rPr/>
        <w:t>名独立董事，其中</w:t>
      </w:r>
      <w:r>
        <w:rPr>
          <w:spacing w:val="-48"/>
        </w:rPr>
        <w:t> </w:t>
      </w:r>
      <w:r>
        <w:rPr>
          <w:rFonts w:ascii="宋体" w:hAnsi="宋体" w:cs="宋体" w:eastAsia="宋体" w:hint="default"/>
        </w:rPr>
        <w:t>1</w:t>
      </w:r>
      <w:r>
        <w:rPr>
          <w:rFonts w:ascii="宋体" w:hAnsi="宋体" w:cs="宋体" w:eastAsia="宋体" w:hint="default"/>
          <w:spacing w:val="-47"/>
        </w:rPr>
        <w:t> </w:t>
      </w:r>
      <w:r>
        <w:rPr/>
        <w:t>名为会计专业人士，</w:t>
      </w:r>
      <w:r>
        <w:rPr>
          <w:rFonts w:ascii="宋体" w:hAnsi="宋体" w:cs="宋体" w:eastAsia="宋体" w:hint="default"/>
        </w:rPr>
        <w:t>1</w:t>
      </w:r>
      <w:r>
        <w:rPr>
          <w:rFonts w:ascii="宋体" w:hAnsi="宋体" w:cs="宋体" w:eastAsia="宋体" w:hint="default"/>
          <w:spacing w:val="-47"/>
        </w:rPr>
        <w:t> </w:t>
      </w:r>
      <w:r>
        <w:rPr/>
        <w:t>名为法律专业人士，符合中国证监会《关于在 </w:t>
      </w:r>
      <w:r>
        <w:rPr>
          <w:spacing w:val="-3"/>
        </w:rPr>
        <w:t>上市公司建立独立董事制度的指导意见》的要求。董事会下设战略、审计、薪酬与考核、提名四个委员会，</w:t>
      </w:r>
      <w:r>
        <w:rPr>
          <w:spacing w:val="-94"/>
        </w:rPr>
        <w:t> </w:t>
      </w:r>
      <w:r>
        <w:rPr>
          <w:spacing w:val="-94"/>
        </w:rPr>
      </w:r>
      <w:r>
        <w:rPr/>
        <w:t>制订了相应的议事规则。公司董事严格按照《董事会议事规则》、《独立董事工作制度》及各委员会工作</w:t>
      </w:r>
      <w:r>
        <w:rPr/>
        <w:t> 规则等规章制度开展工作，勤勉尽责，确保董事会的有效运作和科学决策。</w:t>
      </w:r>
    </w:p>
    <w:p>
      <w:pPr>
        <w:spacing w:line="240" w:lineRule="auto" w:before="0"/>
        <w:rPr>
          <w:rFonts w:ascii="宋体" w:hAnsi="宋体" w:cs="宋体" w:eastAsia="宋体" w:hint="default"/>
          <w:sz w:val="14"/>
          <w:szCs w:val="14"/>
        </w:rPr>
      </w:pPr>
    </w:p>
    <w:p>
      <w:pPr>
        <w:pStyle w:val="BodyText"/>
        <w:spacing w:line="240" w:lineRule="auto"/>
        <w:ind w:left="574" w:right="1116"/>
        <w:jc w:val="left"/>
      </w:pPr>
      <w:r>
        <w:rPr>
          <w:rFonts w:ascii="宋体" w:hAnsi="宋体" w:cs="宋体" w:eastAsia="宋体" w:hint="default"/>
        </w:rPr>
        <w:t>4</w:t>
      </w:r>
      <w:r>
        <w:rPr/>
        <w:t>、关于监事与监事会</w:t>
      </w:r>
    </w:p>
    <w:p>
      <w:pPr>
        <w:spacing w:line="240" w:lineRule="auto" w:before="12"/>
        <w:rPr>
          <w:rFonts w:ascii="宋体" w:hAnsi="宋体" w:cs="宋体" w:eastAsia="宋体" w:hint="default"/>
          <w:sz w:val="17"/>
          <w:szCs w:val="17"/>
        </w:rPr>
      </w:pPr>
    </w:p>
    <w:p>
      <w:pPr>
        <w:pStyle w:val="BodyText"/>
        <w:spacing w:line="297" w:lineRule="auto"/>
        <w:ind w:left="154" w:right="1132" w:firstLine="420"/>
        <w:jc w:val="both"/>
      </w:pPr>
      <w:r>
        <w:rPr/>
        <w:t>公司监事会设监事</w:t>
      </w:r>
      <w:r>
        <w:rPr>
          <w:spacing w:val="-60"/>
        </w:rPr>
        <w:t> </w:t>
      </w:r>
      <w:r>
        <w:rPr>
          <w:rFonts w:ascii="宋体" w:hAnsi="宋体" w:cs="宋体" w:eastAsia="宋体" w:hint="default"/>
        </w:rPr>
        <w:t>3</w:t>
      </w:r>
      <w:r>
        <w:rPr>
          <w:rFonts w:ascii="宋体" w:hAnsi="宋体" w:cs="宋体" w:eastAsia="宋体" w:hint="default"/>
          <w:spacing w:val="-60"/>
        </w:rPr>
        <w:t> </w:t>
      </w:r>
      <w:r>
        <w:rPr/>
        <w:t>名，其中职工监事</w:t>
      </w:r>
      <w:r>
        <w:rPr>
          <w:spacing w:val="-60"/>
        </w:rPr>
        <w:t> </w:t>
      </w:r>
      <w:r>
        <w:rPr>
          <w:rFonts w:ascii="宋体" w:hAnsi="宋体" w:cs="宋体" w:eastAsia="宋体" w:hint="default"/>
        </w:rPr>
        <w:t>1</w:t>
      </w:r>
      <w:r>
        <w:rPr>
          <w:rFonts w:ascii="宋体" w:hAnsi="宋体" w:cs="宋体" w:eastAsia="宋体" w:hint="default"/>
          <w:spacing w:val="-60"/>
        </w:rPr>
        <w:t> </w:t>
      </w:r>
      <w:r>
        <w:rPr/>
        <w:t>名，监事会的人数和构成符合法律、法规的要求。各位监事 </w:t>
      </w:r>
      <w:r>
        <w:rPr>
          <w:spacing w:val="-1"/>
        </w:rPr>
        <w:t>严格按照《公司法》、《公司章程》及本议事规则的规定履行职责，对全体股东负责，对公司财务以及公</w:t>
      </w:r>
      <w:r>
        <w:rPr>
          <w:spacing w:val="-85"/>
        </w:rPr>
        <w:t> </w:t>
      </w:r>
      <w:r>
        <w:rPr>
          <w:spacing w:val="-85"/>
        </w:rPr>
      </w:r>
      <w:r>
        <w:rPr/>
        <w:t>司董事、总经理及其他高级管理人员履行职责的合法合规性进行监督，维护公司及股东的合法权益。</w:t>
      </w:r>
    </w:p>
    <w:p>
      <w:pPr>
        <w:pStyle w:val="BodyText"/>
        <w:spacing w:line="508" w:lineRule="exact" w:before="23"/>
        <w:ind w:left="574" w:right="1116"/>
        <w:jc w:val="left"/>
      </w:pPr>
      <w:r>
        <w:rPr>
          <w:rFonts w:ascii="宋体" w:hAnsi="宋体" w:cs="宋体" w:eastAsia="宋体" w:hint="default"/>
        </w:rPr>
        <w:t>5</w:t>
      </w:r>
      <w:r>
        <w:rPr/>
        <w:t>、内部审计制度的建立与执行 </w:t>
      </w:r>
      <w:r>
        <w:rPr>
          <w:spacing w:val="-6"/>
        </w:rPr>
        <w:t>为规范经营管理，控制风险，保证经营业务活动的正常开展，公司根据《公司法》、《证券法》、《企</w:t>
      </w:r>
    </w:p>
    <w:p>
      <w:pPr>
        <w:pStyle w:val="BodyText"/>
        <w:spacing w:line="269" w:lineRule="exact"/>
        <w:ind w:left="154" w:right="0"/>
        <w:jc w:val="both"/>
      </w:pPr>
      <w:r>
        <w:rPr/>
        <w:t>业内部控制基本规范》等相关法律法规、规范性文件和公司规章制度有关规定和要求，结合公司的实际情</w:t>
      </w:r>
    </w:p>
    <w:p>
      <w:pPr>
        <w:spacing w:after="0" w:line="269" w:lineRule="exact"/>
        <w:jc w:val="both"/>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97" w:lineRule="auto" w:before="35"/>
        <w:ind w:left="214" w:right="1023"/>
        <w:jc w:val="left"/>
      </w:pPr>
      <w:r>
        <w:rPr/>
        <w:t>况、自身特点和管理需要，制定了贯穿于公司经营管理各层面、各环节的内部控制体系，并不断完善。通 </w:t>
      </w:r>
      <w:r>
        <w:rPr>
          <w:spacing w:val="-3"/>
        </w:rPr>
        <w:t>过对公司各项治理制度的规范和落实，公司的治理水平不断提高，有效地保证了公司各项经营目标的实现。</w:t>
      </w:r>
    </w:p>
    <w:p>
      <w:pPr>
        <w:spacing w:line="240" w:lineRule="auto" w:before="12"/>
        <w:rPr>
          <w:rFonts w:ascii="宋体" w:hAnsi="宋体" w:cs="宋体" w:eastAsia="宋体" w:hint="default"/>
          <w:sz w:val="13"/>
          <w:szCs w:val="13"/>
        </w:rPr>
      </w:pPr>
    </w:p>
    <w:p>
      <w:pPr>
        <w:pStyle w:val="BodyText"/>
        <w:spacing w:line="297" w:lineRule="auto"/>
        <w:ind w:left="214" w:right="1023" w:firstLine="420"/>
        <w:jc w:val="left"/>
      </w:pPr>
      <w:r>
        <w:rPr/>
        <w:t>公司董事会下设审计委员会，主要负责公司内部审计与外部审计之间进行沟通，并监督公司内部审计 </w:t>
      </w:r>
      <w:r>
        <w:rPr>
          <w:spacing w:val="-3"/>
        </w:rPr>
        <w:t>制度的实施，审查公司内部控制制度的执行情况，审查公司的财务信息等。审计委员会下设独立的审计部，</w:t>
      </w:r>
      <w:r>
        <w:rPr>
          <w:spacing w:val="-90"/>
        </w:rPr>
        <w:t> </w:t>
      </w:r>
      <w:r>
        <w:rPr>
          <w:spacing w:val="-90"/>
        </w:rPr>
      </w:r>
      <w:r>
        <w:rPr/>
        <w:t>审计部直接对审计委员会负责及报告工作。</w:t>
      </w:r>
    </w:p>
    <w:p>
      <w:pPr>
        <w:pStyle w:val="BodyText"/>
        <w:spacing w:line="508" w:lineRule="exact" w:before="21"/>
        <w:ind w:right="1016"/>
        <w:jc w:val="left"/>
      </w:pPr>
      <w:r>
        <w:rPr>
          <w:rFonts w:ascii="宋体" w:hAnsi="宋体" w:cs="宋体" w:eastAsia="宋体" w:hint="default"/>
        </w:rPr>
        <w:t>6</w:t>
      </w:r>
      <w:r>
        <w:rPr/>
        <w:t>、关于信息披露与透明度 </w:t>
      </w:r>
      <w:r>
        <w:rPr>
          <w:spacing w:val="-1"/>
        </w:rPr>
        <w:t>公司根据《深圳证券交易所股票上市规则》、《公司章程》、《信息披露管理制度》等规定，认真履</w:t>
      </w:r>
    </w:p>
    <w:p>
      <w:pPr>
        <w:pStyle w:val="BodyText"/>
        <w:spacing w:line="297" w:lineRule="auto"/>
        <w:ind w:left="214" w:right="1131"/>
        <w:jc w:val="both"/>
      </w:pPr>
      <w:r>
        <w:rPr>
          <w:spacing w:val="-1"/>
        </w:rPr>
        <w:t>行信息披露义务，真实、准确、及时、完整地披露信息，确保公司所有股东公平的获得公司相关信息。公</w:t>
      </w:r>
      <w:r>
        <w:rPr>
          <w:spacing w:val="-83"/>
        </w:rPr>
        <w:t> </w:t>
      </w:r>
      <w:r>
        <w:rPr>
          <w:spacing w:val="-83"/>
        </w:rPr>
      </w:r>
      <w:r>
        <w:rPr/>
        <w:t>司指定《证券时报》、《证券日报》、巨潮资讯网</w:t>
      </w:r>
      <w:r>
        <w:rPr>
          <w:spacing w:val="-65"/>
        </w:rPr>
        <w:t> </w:t>
      </w:r>
      <w:r>
        <w:rPr>
          <w:rFonts w:ascii="宋体" w:hAnsi="宋体" w:cs="宋体" w:eastAsia="宋体" w:hint="default"/>
        </w:rPr>
        <w:t>http</w:t>
      </w:r>
      <w:r>
        <w:rPr/>
        <w:t>：</w:t>
      </w:r>
      <w:hyperlink r:id="rId11">
        <w:r>
          <w:rPr>
            <w:rFonts w:ascii="宋体" w:hAnsi="宋体" w:cs="宋体" w:eastAsia="宋体" w:hint="default"/>
          </w:rPr>
          <w:t>//www.cninfo.com.cn</w:t>
        </w:r>
      </w:hyperlink>
      <w:r>
        <w:rPr>
          <w:rFonts w:ascii="宋体" w:hAnsi="宋体" w:cs="宋体" w:eastAsia="宋体" w:hint="default"/>
          <w:spacing w:val="-65"/>
        </w:rPr>
        <w:t> </w:t>
      </w:r>
      <w:r>
        <w:rPr/>
        <w:t>为公司信息披露的报纸和 </w:t>
      </w:r>
      <w:r>
        <w:rPr>
          <w:spacing w:val="-1"/>
        </w:rPr>
        <w:t>网站，同时还通过投资者来访接待、公司网站信息发布、电话专线、回答投资者提问等方式保持与投资者</w:t>
      </w:r>
      <w:r>
        <w:rPr>
          <w:spacing w:val="-86"/>
        </w:rPr>
        <w:t> </w:t>
      </w:r>
      <w:r>
        <w:rPr>
          <w:spacing w:val="-86"/>
        </w:rPr>
      </w:r>
      <w:r>
        <w:rPr/>
        <w:t>的良好沟通和信息透明度。</w:t>
      </w:r>
    </w:p>
    <w:p>
      <w:pPr>
        <w:pStyle w:val="BodyText"/>
        <w:spacing w:line="508" w:lineRule="exact" w:before="22"/>
        <w:ind w:right="1016"/>
        <w:jc w:val="left"/>
      </w:pPr>
      <w:r>
        <w:rPr>
          <w:rFonts w:ascii="宋体" w:hAnsi="宋体" w:cs="宋体" w:eastAsia="宋体" w:hint="default"/>
        </w:rPr>
        <w:t>7</w:t>
      </w:r>
      <w:r>
        <w:rPr/>
        <w:t>、关于相关利益者 </w:t>
      </w:r>
      <w:r>
        <w:rPr>
          <w:spacing w:val="-1"/>
        </w:rPr>
        <w:t>公司充分尊重和维护利益相关者的合法权益，实现股东、职工和社会等各方面利益的协调平衡，重视</w:t>
      </w:r>
    </w:p>
    <w:p>
      <w:pPr>
        <w:pStyle w:val="BodyText"/>
        <w:spacing w:line="444" w:lineRule="auto"/>
        <w:ind w:right="1932" w:hanging="420"/>
        <w:jc w:val="left"/>
      </w:pPr>
      <w:r>
        <w:rPr/>
        <w:t>公司的社会责任，与利益相关者积极沟通、合作，共同推动公司持续、健康地发展。 公司治理的实际状况与中国证监会发布的有关上市公司治理的规范性文件是否存在重大差异</w:t>
      </w:r>
    </w:p>
    <w:p>
      <w:pPr>
        <w:pStyle w:val="BodyText"/>
        <w:spacing w:line="444" w:lineRule="auto" w:before="54"/>
        <w:ind w:right="1932"/>
        <w:jc w:val="left"/>
      </w:pPr>
      <w:r>
        <w:rPr/>
        <w:t>□ 是 √ 否 公司治理的实际状况与中国证监会发布的有关上市公司治理的规范性文件不存在重大差异。</w:t>
      </w:r>
    </w:p>
    <w:p>
      <w:pPr>
        <w:pStyle w:val="Heading2"/>
        <w:spacing w:line="240" w:lineRule="auto" w:before="105"/>
        <w:ind w:right="0"/>
        <w:jc w:val="both"/>
      </w:pPr>
      <w:bookmarkStart w:name="二、公司相对于控股股东在业务、人员、资产、机构、财务等方面的独立情况" w:id="131"/>
      <w:bookmarkEnd w:id="131"/>
      <w:r>
        <w:rPr/>
      </w:r>
      <w:r>
        <w:rPr/>
        <w:t>二、公司相对于控股股东在业务、人员、资产、机构、财务等方面的独立情况</w:t>
      </w:r>
    </w:p>
    <w:p>
      <w:pPr>
        <w:spacing w:line="240" w:lineRule="auto" w:before="12"/>
        <w:rPr>
          <w:rFonts w:ascii="微软雅黑" w:hAnsi="微软雅黑" w:cs="微软雅黑" w:eastAsia="微软雅黑" w:hint="default"/>
          <w:sz w:val="24"/>
          <w:szCs w:val="24"/>
        </w:rPr>
      </w:pPr>
    </w:p>
    <w:p>
      <w:pPr>
        <w:pStyle w:val="BodyText"/>
        <w:spacing w:line="297" w:lineRule="auto"/>
        <w:ind w:left="214" w:right="1016" w:firstLine="420"/>
        <w:jc w:val="left"/>
      </w:pPr>
      <w:r>
        <w:rPr>
          <w:spacing w:val="-1"/>
        </w:rPr>
        <w:t>公司自成立及上市以来严格按照《公司法》、《证券法》等有关法律法规及《公司章程》的相关要求</w:t>
      </w:r>
      <w:r>
        <w:rPr/>
        <w:t> 规范运作，在业务、资产、人员、机构和财务等方面独立于公司控股股东。</w:t>
      </w:r>
    </w:p>
    <w:p>
      <w:pPr>
        <w:spacing w:line="240" w:lineRule="auto" w:before="10"/>
        <w:rPr>
          <w:rFonts w:ascii="宋体" w:hAnsi="宋体" w:cs="宋体" w:eastAsia="宋体" w:hint="default"/>
          <w:sz w:val="17"/>
          <w:szCs w:val="17"/>
        </w:rPr>
      </w:pPr>
    </w:p>
    <w:p>
      <w:pPr>
        <w:pStyle w:val="Heading2"/>
        <w:spacing w:line="240" w:lineRule="auto"/>
        <w:ind w:right="0"/>
        <w:jc w:val="both"/>
      </w:pPr>
      <w:bookmarkStart w:name="三、同业竞争情况" w:id="132"/>
      <w:bookmarkEnd w:id="132"/>
      <w:r>
        <w:rPr/>
      </w:r>
      <w:r>
        <w:rPr/>
        <w:t>三、同业竞争情况</w:t>
      </w:r>
    </w:p>
    <w:p>
      <w:pPr>
        <w:spacing w:line="240" w:lineRule="auto" w:before="13"/>
        <w:rPr>
          <w:rFonts w:ascii="微软雅黑" w:hAnsi="微软雅黑" w:cs="微软雅黑" w:eastAsia="微软雅黑" w:hint="default"/>
          <w:sz w:val="24"/>
          <w:szCs w:val="24"/>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6"/>
        <w:rPr>
          <w:rFonts w:ascii="宋体" w:hAnsi="宋体" w:cs="宋体" w:eastAsia="宋体" w:hint="default"/>
          <w:sz w:val="20"/>
          <w:szCs w:val="20"/>
        </w:rPr>
      </w:pPr>
    </w:p>
    <w:p>
      <w:pPr>
        <w:pStyle w:val="Heading2"/>
        <w:spacing w:line="240" w:lineRule="auto"/>
        <w:ind w:right="0"/>
        <w:jc w:val="both"/>
      </w:pPr>
      <w:bookmarkStart w:name="四、报告期内召开的年度股东大会和临时股东大会的有关情况" w:id="133"/>
      <w:bookmarkEnd w:id="133"/>
      <w:r>
        <w:rPr/>
      </w:r>
      <w:r>
        <w:rPr/>
        <w:t>四、报告期内召开的年度股东大会和临时股东大会的有关情况</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本报告期股东大会情况" w:id="134"/>
      <w:bookmarkEnd w:id="134"/>
      <w:r>
        <w:rPr/>
      </w:r>
      <w:r>
        <w:rPr>
          <w:rFonts w:ascii="Times New Roman" w:hAnsi="Times New Roman" w:cs="Times New Roman" w:eastAsia="Times New Roman" w:hint="default"/>
        </w:rPr>
        <w:t>1</w:t>
      </w:r>
      <w:r>
        <w:rPr>
          <w:rFonts w:ascii="微软雅黑" w:hAnsi="微软雅黑" w:cs="微软雅黑" w:eastAsia="微软雅黑" w:hint="default"/>
        </w:rPr>
        <w:t>、本报告期股东大会情况</w:t>
      </w:r>
    </w:p>
    <w:p>
      <w:pPr>
        <w:spacing w:line="240" w:lineRule="auto" w:before="12"/>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644"/>
        <w:gridCol w:w="1642"/>
        <w:gridCol w:w="1643"/>
        <w:gridCol w:w="1642"/>
        <w:gridCol w:w="1642"/>
        <w:gridCol w:w="1643"/>
      </w:tblGrid>
      <w:tr>
        <w:trPr>
          <w:trHeight w:val="406"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55"/>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5"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时股东大会决议</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4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53.37%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Times New Roman"/>
                <w:sz w:val="18"/>
              </w:rPr>
              <w:t>2018-002</w:t>
            </w:r>
          </w:p>
        </w:tc>
      </w:tr>
      <w:tr>
        <w:trPr>
          <w:trHeight w:val="476"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时股东大会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4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57.38%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2018-021</w:t>
            </w:r>
          </w:p>
        </w:tc>
      </w:tr>
      <w:tr>
        <w:trPr>
          <w:trHeight w:val="40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46"/>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55.74%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公告编号：</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微软雅黑" w:hAnsi="微软雅黑" w:cs="微软雅黑" w:eastAsia="微软雅黑"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644"/>
        <w:gridCol w:w="1642"/>
        <w:gridCol w:w="1643"/>
        <w:gridCol w:w="1642"/>
        <w:gridCol w:w="1642"/>
        <w:gridCol w:w="1643"/>
      </w:tblGrid>
      <w:tr>
        <w:trPr>
          <w:trHeight w:val="407" w:hRule="exact"/>
        </w:trPr>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5"/>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大会</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2018-040</w:t>
            </w:r>
          </w:p>
        </w:tc>
      </w:tr>
      <w:tr>
        <w:trPr>
          <w:trHeight w:val="478"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时股东大会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4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56.61%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9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22"/>
              <w:ind w:left="103" w:right="0"/>
              <w:jc w:val="left"/>
              <w:rPr>
                <w:rFonts w:ascii="Times New Roman" w:hAnsi="Times New Roman" w:cs="Times New Roman" w:eastAsia="Times New Roman" w:hint="default"/>
                <w:sz w:val="18"/>
                <w:szCs w:val="18"/>
              </w:rPr>
            </w:pPr>
            <w:r>
              <w:rPr>
                <w:rFonts w:ascii="Times New Roman"/>
                <w:sz w:val="18"/>
              </w:rPr>
              <w:t>2018-052</w:t>
            </w:r>
          </w:p>
        </w:tc>
      </w:tr>
      <w:tr>
        <w:trPr>
          <w:trHeight w:val="477" w:hRule="exact"/>
        </w:trPr>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时股东大会</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4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44.50%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24"/>
              <w:ind w:left="103" w:right="0"/>
              <w:jc w:val="left"/>
              <w:rPr>
                <w:rFonts w:ascii="Times New Roman" w:hAnsi="Times New Roman" w:cs="Times New Roman" w:eastAsia="Times New Roman" w:hint="default"/>
                <w:sz w:val="18"/>
                <w:szCs w:val="18"/>
              </w:rPr>
            </w:pPr>
            <w:r>
              <w:rPr>
                <w:rFonts w:ascii="Times New Roman"/>
                <w:sz w:val="18"/>
              </w:rPr>
              <w:t>2018-082</w:t>
            </w:r>
          </w:p>
        </w:tc>
      </w:tr>
    </w:tbl>
    <w:p>
      <w:pPr>
        <w:spacing w:line="240" w:lineRule="auto" w:before="13"/>
        <w:rPr>
          <w:rFonts w:ascii="微软雅黑" w:hAnsi="微软雅黑" w:cs="微软雅黑" w:eastAsia="微软雅黑" w:hint="default"/>
          <w:sz w:val="6"/>
          <w:szCs w:val="6"/>
        </w:rPr>
      </w:pPr>
    </w:p>
    <w:p>
      <w:pPr>
        <w:pStyle w:val="BodyText"/>
        <w:spacing w:line="324" w:lineRule="exact"/>
        <w:ind w:right="1016"/>
        <w:jc w:val="left"/>
        <w:rPr>
          <w:rFonts w:ascii="微软雅黑" w:hAnsi="微软雅黑" w:cs="微软雅黑" w:eastAsia="微软雅黑" w:hint="default"/>
        </w:rPr>
      </w:pPr>
      <w:bookmarkStart w:name="2、表决权恢复的优先股股东请求召开临时股东大会" w:id="135"/>
      <w:bookmarkEnd w:id="135"/>
      <w:r>
        <w:rPr/>
      </w:r>
      <w:r>
        <w:rPr>
          <w:rFonts w:ascii="Times New Roman" w:hAnsi="Times New Roman" w:cs="Times New Roman" w:eastAsia="Times New Roman" w:hint="default"/>
        </w:rPr>
        <w:t>2</w:t>
      </w:r>
      <w:r>
        <w:rPr>
          <w:rFonts w:ascii="微软雅黑" w:hAnsi="微软雅黑" w:cs="微软雅黑" w:eastAsia="微软雅黑" w:hint="default"/>
        </w:rPr>
        <w:t>、表决权恢复的优先股股东请求召开临时股东大会</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5"/>
        <w:rPr>
          <w:rFonts w:ascii="宋体" w:hAnsi="宋体" w:cs="宋体" w:eastAsia="宋体" w:hint="default"/>
          <w:sz w:val="20"/>
          <w:szCs w:val="20"/>
        </w:rPr>
      </w:pPr>
    </w:p>
    <w:p>
      <w:pPr>
        <w:pStyle w:val="Heading2"/>
        <w:spacing w:line="240" w:lineRule="auto"/>
        <w:ind w:left="193" w:right="5992"/>
        <w:jc w:val="center"/>
      </w:pPr>
      <w:bookmarkStart w:name="五、报告期内独立董事履行职责的情况" w:id="136"/>
      <w:bookmarkEnd w:id="136"/>
      <w:r>
        <w:rPr/>
      </w:r>
      <w:r>
        <w:rPr/>
        <w:t>五、报告期内独立董事履行职责的情况</w:t>
      </w:r>
    </w:p>
    <w:p>
      <w:pPr>
        <w:spacing w:line="240" w:lineRule="auto" w:before="10"/>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独立董事出席董事会及股东大会的情况" w:id="137"/>
      <w:bookmarkEnd w:id="137"/>
      <w:r>
        <w:rPr/>
      </w:r>
      <w:r>
        <w:rPr>
          <w:rFonts w:ascii="Times New Roman" w:hAnsi="Times New Roman" w:cs="Times New Roman" w:eastAsia="Times New Roman" w:hint="default"/>
        </w:rPr>
        <w:t>1</w:t>
      </w:r>
      <w:r>
        <w:rPr>
          <w:rFonts w:ascii="微软雅黑" w:hAnsi="微软雅黑" w:cs="微软雅黑" w:eastAsia="微软雅黑" w:hint="default"/>
        </w:rPr>
        <w:t>、独立董事出席董事会及股东大会的情况</w:t>
      </w:r>
    </w:p>
    <w:p>
      <w:pPr>
        <w:spacing w:line="240" w:lineRule="auto" w:before="12"/>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1468"/>
        <w:gridCol w:w="1199"/>
        <w:gridCol w:w="1198"/>
        <w:gridCol w:w="1198"/>
        <w:gridCol w:w="1199"/>
        <w:gridCol w:w="1198"/>
        <w:gridCol w:w="1198"/>
        <w:gridCol w:w="1199"/>
      </w:tblGrid>
      <w:tr>
        <w:trPr>
          <w:trHeight w:val="407" w:hRule="exact"/>
        </w:trPr>
        <w:tc>
          <w:tcPr>
            <w:tcW w:w="985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944" w:hRule="exact"/>
        </w:trPr>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143" w:right="143"/>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234" w:right="142"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143" w:right="143"/>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233" w:right="143"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413" w:right="142"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是否连续两</w:t>
            </w:r>
          </w:p>
          <w:p>
            <w:pPr>
              <w:pStyle w:val="TableParagraph"/>
              <w:spacing w:line="237" w:lineRule="auto"/>
              <w:ind w:left="143" w:right="143"/>
              <w:jc w:val="center"/>
              <w:rPr>
                <w:rFonts w:ascii="宋体" w:hAnsi="宋体" w:cs="宋体" w:eastAsia="宋体" w:hint="default"/>
                <w:sz w:val="18"/>
                <w:szCs w:val="18"/>
              </w:rPr>
            </w:pPr>
            <w:r>
              <w:rPr>
                <w:rFonts w:ascii="宋体" w:hAnsi="宋体" w:cs="宋体" w:eastAsia="宋体" w:hint="default"/>
                <w:sz w:val="18"/>
                <w:szCs w:val="18"/>
              </w:rPr>
              <w:t>次未亲自参 加董事会会 议</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1"/>
                <w:szCs w:val="11"/>
              </w:rPr>
            </w:pPr>
          </w:p>
          <w:p>
            <w:pPr>
              <w:pStyle w:val="TableParagraph"/>
              <w:spacing w:line="240" w:lineRule="auto"/>
              <w:ind w:left="324" w:right="143"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许亮</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2</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王玥</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1</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程丽</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r>
        <w:trPr>
          <w:trHeight w:val="407"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唐林林</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王涌</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1"/>
        <w:rPr>
          <w:rFonts w:ascii="微软雅黑" w:hAnsi="微软雅黑" w:cs="微软雅黑" w:eastAsia="微软雅黑" w:hint="default"/>
          <w:sz w:val="5"/>
          <w:szCs w:val="5"/>
        </w:rPr>
      </w:pPr>
    </w:p>
    <w:p>
      <w:pPr>
        <w:pStyle w:val="BodyText"/>
        <w:spacing w:line="444" w:lineRule="auto" w:before="35"/>
        <w:ind w:right="7182"/>
        <w:jc w:val="left"/>
      </w:pPr>
      <w:r>
        <w:rPr/>
        <w:t>连续两次未亲自出席董事会的说明 不适用</w:t>
      </w:r>
    </w:p>
    <w:p>
      <w:pPr>
        <w:pStyle w:val="BodyText"/>
        <w:spacing w:line="240" w:lineRule="auto" w:before="47"/>
        <w:ind w:right="1016"/>
        <w:jc w:val="left"/>
        <w:rPr>
          <w:rFonts w:ascii="微软雅黑" w:hAnsi="微软雅黑" w:cs="微软雅黑" w:eastAsia="微软雅黑" w:hint="default"/>
        </w:rPr>
      </w:pPr>
      <w:bookmarkStart w:name="2、独立董事对公司有关事项提出异议的情况" w:id="138"/>
      <w:bookmarkEnd w:id="138"/>
      <w:r>
        <w:rPr/>
      </w:r>
      <w:r>
        <w:rPr>
          <w:rFonts w:ascii="Times New Roman" w:hAnsi="Times New Roman" w:cs="Times New Roman" w:eastAsia="Times New Roman" w:hint="default"/>
        </w:rPr>
        <w:t>2</w:t>
      </w:r>
      <w:r>
        <w:rPr>
          <w:rFonts w:ascii="微软雅黑" w:hAnsi="微软雅黑" w:cs="微软雅黑" w:eastAsia="微软雅黑" w:hint="default"/>
        </w:rPr>
        <w:t>、独立董事对公司有关事项提出异议的情况</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r>
        <w:rPr/>
        <w:t>独立董事对公司有关事项是否提出异议</w:t>
      </w:r>
    </w:p>
    <w:p>
      <w:pPr>
        <w:spacing w:line="240" w:lineRule="auto" w:before="10"/>
        <w:rPr>
          <w:rFonts w:ascii="宋体" w:hAnsi="宋体" w:cs="宋体" w:eastAsia="宋体" w:hint="default"/>
          <w:sz w:val="17"/>
          <w:szCs w:val="17"/>
        </w:rPr>
      </w:pPr>
    </w:p>
    <w:p>
      <w:pPr>
        <w:pStyle w:val="BodyText"/>
        <w:spacing w:line="429" w:lineRule="auto"/>
        <w:ind w:right="5922"/>
        <w:jc w:val="left"/>
        <w:rPr>
          <w:rFonts w:ascii="微软雅黑" w:hAnsi="微软雅黑" w:cs="微软雅黑" w:eastAsia="微软雅黑"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 </w:t>
      </w:r>
      <w:bookmarkStart w:name="3、独立董事履行职责的其他说明" w:id="139"/>
      <w:bookmarkEnd w:id="139"/>
      <w:r>
        <w:rPr/>
      </w:r>
      <w:r>
        <w:rPr>
          <w:rFonts w:ascii="Times New Roman" w:hAnsi="Times New Roman" w:cs="Times New Roman" w:eastAsia="Times New Roman" w:hint="default"/>
        </w:rPr>
        <w:t>3</w:t>
      </w:r>
      <w:r>
        <w:rPr>
          <w:rFonts w:ascii="微软雅黑" w:hAnsi="微软雅黑" w:cs="微软雅黑" w:eastAsia="微软雅黑" w:hint="default"/>
        </w:rPr>
        <w:t>、独立董事履行职责的其他说明</w:t>
      </w:r>
    </w:p>
    <w:p>
      <w:pPr>
        <w:pStyle w:val="BodyText"/>
        <w:spacing w:line="240" w:lineRule="auto" w:before="133"/>
        <w:ind w:right="1016"/>
        <w:jc w:val="left"/>
      </w:pPr>
      <w:r>
        <w:rPr/>
        <w:t>独立董事对公司有关建议是否被采纳</w:t>
      </w:r>
    </w:p>
    <w:p>
      <w:pPr>
        <w:spacing w:line="240" w:lineRule="auto" w:before="12"/>
        <w:rPr>
          <w:rFonts w:ascii="宋体" w:hAnsi="宋体" w:cs="宋体" w:eastAsia="宋体" w:hint="default"/>
          <w:sz w:val="17"/>
          <w:szCs w:val="17"/>
        </w:rPr>
      </w:pPr>
    </w:p>
    <w:p>
      <w:pPr>
        <w:pStyle w:val="BodyText"/>
        <w:spacing w:line="420" w:lineRule="auto"/>
        <w:ind w:right="57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独立董事对公司有关建议被采纳或未被采纳的说明</w:t>
      </w:r>
    </w:p>
    <w:p>
      <w:pPr>
        <w:spacing w:after="0" w:line="420" w:lineRule="auto"/>
        <w:jc w:val="left"/>
        <w:sectPr>
          <w:pgSz w:w="11910" w:h="16840"/>
          <w:pgMar w:header="801" w:footer="1007" w:top="1100" w:bottom="1200" w:left="920" w:right="0"/>
        </w:sectPr>
      </w:pPr>
    </w:p>
    <w:p>
      <w:pPr>
        <w:spacing w:line="240" w:lineRule="auto" w:before="1"/>
        <w:rPr>
          <w:rFonts w:ascii="宋体" w:hAnsi="宋体" w:cs="宋体" w:eastAsia="宋体" w:hint="default"/>
          <w:sz w:val="19"/>
          <w:szCs w:val="19"/>
        </w:rPr>
      </w:pPr>
    </w:p>
    <w:p>
      <w:pPr>
        <w:pStyle w:val="BodyText"/>
        <w:spacing w:line="297" w:lineRule="auto" w:before="35"/>
        <w:ind w:left="154" w:right="1132" w:firstLine="420"/>
        <w:jc w:val="both"/>
      </w:pPr>
      <w:r>
        <w:rPr>
          <w:spacing w:val="-1"/>
        </w:rPr>
        <w:t>报告期内，独立董事严格按照《公司章程》、《独立董事工作制度》等的相关规定勤勉履行职责，忠</w:t>
      </w:r>
      <w:r>
        <w:rPr/>
        <w:t> </w:t>
      </w:r>
      <w:r>
        <w:rPr>
          <w:spacing w:val="-1"/>
        </w:rPr>
        <w:t>实履行职务，积极参加历次董事会，审议各项议案。通过出席董事会、现场办公等方式，深入了解公司经</w:t>
      </w:r>
      <w:r>
        <w:rPr>
          <w:spacing w:val="-83"/>
        </w:rPr>
        <w:t> </w:t>
      </w:r>
      <w:r>
        <w:rPr>
          <w:spacing w:val="-83"/>
        </w:rPr>
      </w:r>
      <w:r>
        <w:rPr>
          <w:spacing w:val="-1"/>
        </w:rPr>
        <w:t>营状况和内部控制的建设及董事会各项决议执行情况，并利用自已的专业优势为公司经营和发展提出了合</w:t>
      </w:r>
      <w:r>
        <w:rPr>
          <w:spacing w:val="-81"/>
        </w:rPr>
        <w:t> </w:t>
      </w:r>
      <w:r>
        <w:rPr>
          <w:spacing w:val="-81"/>
        </w:rPr>
      </w:r>
      <w:r>
        <w:rPr>
          <w:spacing w:val="-1"/>
        </w:rPr>
        <w:t>理化的意见和建议，对公司利润分配、续聘审计机构等相关事项发表了客观、公正的独立意见，对董事会</w:t>
      </w:r>
      <w:r>
        <w:rPr>
          <w:spacing w:val="-86"/>
        </w:rPr>
        <w:t> </w:t>
      </w:r>
      <w:r>
        <w:rPr>
          <w:spacing w:val="-86"/>
        </w:rPr>
      </w:r>
      <w:r>
        <w:rPr/>
        <w:t>决策的公正、公平及保护中小投资者利益起到了积极作用。</w:t>
      </w:r>
    </w:p>
    <w:p>
      <w:pPr>
        <w:spacing w:line="240" w:lineRule="auto" w:before="10"/>
        <w:rPr>
          <w:rFonts w:ascii="宋体" w:hAnsi="宋体" w:cs="宋体" w:eastAsia="宋体" w:hint="default"/>
          <w:sz w:val="17"/>
          <w:szCs w:val="17"/>
        </w:rPr>
      </w:pPr>
    </w:p>
    <w:p>
      <w:pPr>
        <w:pStyle w:val="Heading2"/>
        <w:spacing w:line="240" w:lineRule="auto"/>
        <w:ind w:left="154" w:right="0"/>
        <w:jc w:val="both"/>
      </w:pPr>
      <w:bookmarkStart w:name="六、董事会下设专门委员会在报告期内履行职责情况" w:id="140"/>
      <w:bookmarkEnd w:id="140"/>
      <w:r>
        <w:rPr/>
      </w:r>
      <w:r>
        <w:rPr/>
        <w:t>六、董事会下设专门委员会在报告期内履行职责情况</w:t>
      </w:r>
    </w:p>
    <w:p>
      <w:pPr>
        <w:spacing w:line="240" w:lineRule="auto" w:before="13"/>
        <w:rPr>
          <w:rFonts w:ascii="微软雅黑" w:hAnsi="微软雅黑" w:cs="微软雅黑" w:eastAsia="微软雅黑" w:hint="default"/>
          <w:sz w:val="24"/>
          <w:szCs w:val="24"/>
        </w:rPr>
      </w:pPr>
    </w:p>
    <w:p>
      <w:pPr>
        <w:pStyle w:val="BodyText"/>
        <w:spacing w:line="297" w:lineRule="auto"/>
        <w:ind w:left="154" w:right="1111" w:firstLine="420"/>
        <w:jc w:val="both"/>
      </w:pPr>
      <w:r>
        <w:rPr>
          <w:spacing w:val="-1"/>
        </w:rPr>
        <w:t>为进一步完善公司法人治理结构，促进公司董事会科学、高效决策以及建立对公司管理层绩效评价机</w:t>
      </w:r>
      <w:r>
        <w:rPr/>
        <w:t> </w:t>
      </w:r>
      <w:r>
        <w:rPr>
          <w:spacing w:val="-1"/>
        </w:rPr>
        <w:t>制和激励机制，参照《上市公司治理准则》及《公司章程》等有关规定，公司董事会设立战略委员会、审</w:t>
      </w:r>
      <w:r>
        <w:rPr>
          <w:spacing w:val="-85"/>
        </w:rPr>
        <w:t> </w:t>
      </w:r>
      <w:r>
        <w:rPr>
          <w:spacing w:val="-85"/>
        </w:rPr>
      </w:r>
      <w:r>
        <w:rPr/>
        <w:t>计委员会、提名委员会、薪酬与考核委员会四个董事会下设委员会，报告期内，各委员会履职情况如下：</w:t>
      </w:r>
    </w:p>
    <w:p>
      <w:pPr>
        <w:pStyle w:val="BodyText"/>
        <w:spacing w:line="508" w:lineRule="exact" w:before="22"/>
        <w:ind w:left="574" w:right="1116"/>
        <w:jc w:val="left"/>
      </w:pPr>
      <w:r>
        <w:rPr>
          <w:rFonts w:ascii="宋体" w:hAnsi="宋体" w:cs="宋体" w:eastAsia="宋体" w:hint="default"/>
        </w:rPr>
        <w:t>1</w:t>
      </w:r>
      <w:r>
        <w:rPr/>
        <w:t>、审计委员会履职情况 </w:t>
      </w:r>
      <w:r>
        <w:rPr>
          <w:spacing w:val="-1"/>
        </w:rPr>
        <w:t>报告期内，审计委员会根据《公司章程》、《董事会审计委员会工作制度》等相关要求，积极履行职</w:t>
      </w:r>
    </w:p>
    <w:p>
      <w:pPr>
        <w:pStyle w:val="BodyText"/>
        <w:spacing w:line="297" w:lineRule="auto"/>
        <w:ind w:left="154" w:right="1131"/>
        <w:jc w:val="both"/>
      </w:pPr>
      <w:r>
        <w:rPr/>
        <w:t>责，审计委员会共召开</w:t>
      </w:r>
      <w:r>
        <w:rPr>
          <w:spacing w:val="-64"/>
        </w:rPr>
        <w:t> </w:t>
      </w:r>
      <w:r>
        <w:rPr>
          <w:rFonts w:ascii="宋体" w:hAnsi="宋体" w:cs="宋体" w:eastAsia="宋体" w:hint="default"/>
        </w:rPr>
        <w:t>5</w:t>
      </w:r>
      <w:r>
        <w:rPr>
          <w:rFonts w:ascii="宋体" w:hAnsi="宋体" w:cs="宋体" w:eastAsia="宋体" w:hint="default"/>
          <w:spacing w:val="-64"/>
        </w:rPr>
        <w:t> </w:t>
      </w:r>
      <w:r>
        <w:rPr/>
        <w:t>次会议。对公司财务报告和内控情况进行了监控，制定年度审计计划并对年度审 </w:t>
      </w:r>
      <w:r>
        <w:rPr>
          <w:spacing w:val="-1"/>
        </w:rPr>
        <w:t>计工作进行安排，在审计过程中与相关人员进行有效沟通，同时，审议公司内审部提交的年度审计计划及</w:t>
      </w:r>
      <w:r>
        <w:rPr>
          <w:spacing w:val="-83"/>
        </w:rPr>
        <w:t> </w:t>
      </w:r>
      <w:r>
        <w:rPr>
          <w:spacing w:val="-83"/>
        </w:rPr>
      </w:r>
      <w:r>
        <w:rPr/>
        <w:t>总结，切实履行了审计委员会的工作职责。</w:t>
      </w:r>
    </w:p>
    <w:p>
      <w:pPr>
        <w:pStyle w:val="BodyText"/>
        <w:spacing w:line="508" w:lineRule="exact" w:before="21"/>
        <w:ind w:left="574" w:right="1118"/>
        <w:jc w:val="left"/>
      </w:pPr>
      <w:r>
        <w:rPr>
          <w:rFonts w:ascii="宋体" w:hAnsi="宋体" w:cs="宋体" w:eastAsia="宋体" w:hint="default"/>
        </w:rPr>
        <w:t>2</w:t>
      </w:r>
      <w:r>
        <w:rPr/>
        <w:t>、战略委员会履职情况 报告期内，战略委员会按照《公司章程》、《董事会战略委员会工作制度》等相关要求，共召开</w:t>
      </w:r>
      <w:r>
        <w:rPr>
          <w:spacing w:val="-66"/>
        </w:rPr>
        <w:t> </w:t>
      </w:r>
      <w:r>
        <w:rPr>
          <w:rFonts w:ascii="宋体" w:hAnsi="宋体" w:cs="宋体" w:eastAsia="宋体" w:hint="default"/>
        </w:rPr>
        <w:t>2</w:t>
      </w:r>
      <w:r>
        <w:rPr>
          <w:rFonts w:ascii="宋体" w:hAnsi="宋体" w:cs="宋体" w:eastAsia="宋体" w:hint="default"/>
          <w:spacing w:val="-65"/>
        </w:rPr>
        <w:t> </w:t>
      </w:r>
      <w:r>
        <w:rPr/>
        <w:t>次</w:t>
      </w:r>
    </w:p>
    <w:p>
      <w:pPr>
        <w:pStyle w:val="BodyText"/>
        <w:spacing w:line="297" w:lineRule="auto"/>
        <w:ind w:left="154" w:right="1116"/>
        <w:jc w:val="left"/>
      </w:pPr>
      <w:r>
        <w:rPr>
          <w:spacing w:val="-1"/>
        </w:rPr>
        <w:t>会议，对公司终止公开发行可转换公司债券事项并撤回申请文件事项进行审议，进一步提高公司战略决策</w:t>
      </w:r>
      <w:r>
        <w:rPr>
          <w:spacing w:val="-81"/>
        </w:rPr>
        <w:t> </w:t>
      </w:r>
      <w:r>
        <w:rPr>
          <w:spacing w:val="-81"/>
        </w:rPr>
      </w:r>
      <w:r>
        <w:rPr/>
        <w:t>的合理性和科学性。</w:t>
      </w:r>
    </w:p>
    <w:p>
      <w:pPr>
        <w:pStyle w:val="BodyText"/>
        <w:spacing w:line="508" w:lineRule="exact" w:before="22"/>
        <w:ind w:left="574" w:right="1017"/>
        <w:jc w:val="left"/>
      </w:pPr>
      <w:r>
        <w:rPr>
          <w:rFonts w:ascii="宋体" w:hAnsi="宋体" w:cs="宋体" w:eastAsia="宋体" w:hint="default"/>
        </w:rPr>
        <w:t>3</w:t>
      </w:r>
      <w:r>
        <w:rPr/>
        <w:t>、薪酬与考核委员会履职情况 </w:t>
      </w:r>
      <w:r>
        <w:rPr>
          <w:spacing w:val="-3"/>
        </w:rPr>
        <w:t>报告期内，薪酬与考核委员会按照《公司章程》、《董事会薪酬与考核委员会工作制度》等相关要求，</w:t>
      </w:r>
    </w:p>
    <w:p>
      <w:pPr>
        <w:pStyle w:val="BodyText"/>
        <w:spacing w:line="297" w:lineRule="auto"/>
        <w:ind w:left="154" w:right="1115"/>
        <w:jc w:val="left"/>
      </w:pPr>
      <w:r>
        <w:rPr/>
        <w:t>共召开</w:t>
      </w:r>
      <w:r>
        <w:rPr>
          <w:spacing w:val="-64"/>
        </w:rPr>
        <w:t> </w:t>
      </w:r>
      <w:r>
        <w:rPr>
          <w:rFonts w:ascii="宋体" w:hAnsi="宋体" w:cs="宋体" w:eastAsia="宋体" w:hint="default"/>
        </w:rPr>
        <w:t>3</w:t>
      </w:r>
      <w:r>
        <w:rPr>
          <w:rFonts w:ascii="宋体" w:hAnsi="宋体" w:cs="宋体" w:eastAsia="宋体" w:hint="default"/>
          <w:spacing w:val="-64"/>
        </w:rPr>
        <w:t> </w:t>
      </w:r>
      <w:r>
        <w:rPr/>
        <w:t>次会议，对公司薪酬及绩效考核情况进行监督，审查限制性股票激励计划满足解除限售条件等事 项，促进公司在规范运作的基础上，进一步提高在薪酬考核方面的科学性。</w:t>
      </w:r>
    </w:p>
    <w:p>
      <w:pPr>
        <w:pStyle w:val="BodyText"/>
        <w:spacing w:line="508" w:lineRule="exact" w:before="22"/>
        <w:ind w:left="574" w:right="1118"/>
        <w:jc w:val="left"/>
      </w:pPr>
      <w:r>
        <w:rPr>
          <w:rFonts w:ascii="宋体" w:hAnsi="宋体" w:cs="宋体" w:eastAsia="宋体" w:hint="default"/>
        </w:rPr>
        <w:t>4</w:t>
      </w:r>
      <w:r>
        <w:rPr/>
        <w:t>、提名委员会履职情况 报告期内，提名委员会按照《公司章程》、《董事会提名委员会工作制度》等相关要求，共召开</w:t>
      </w:r>
      <w:r>
        <w:rPr>
          <w:spacing w:val="-66"/>
        </w:rPr>
        <w:t> </w:t>
      </w:r>
      <w:r>
        <w:rPr>
          <w:rFonts w:ascii="宋体" w:hAnsi="宋体" w:cs="宋体" w:eastAsia="宋体" w:hint="default"/>
        </w:rPr>
        <w:t>3</w:t>
      </w:r>
      <w:r>
        <w:rPr>
          <w:rFonts w:ascii="宋体" w:hAnsi="宋体" w:cs="宋体" w:eastAsia="宋体" w:hint="default"/>
          <w:spacing w:val="-65"/>
        </w:rPr>
        <w:t> </w:t>
      </w:r>
      <w:r>
        <w:rPr/>
        <w:t>次</w:t>
      </w:r>
    </w:p>
    <w:p>
      <w:pPr>
        <w:pStyle w:val="BodyText"/>
        <w:spacing w:line="297" w:lineRule="auto"/>
        <w:ind w:left="154" w:right="1023"/>
        <w:jc w:val="left"/>
      </w:pPr>
      <w:r>
        <w:rPr>
          <w:spacing w:val="-3"/>
        </w:rPr>
        <w:t>会议，对公司董事会换届，增补董事、聘任董事会秘书的人员资格及高级管理人员提名进行了认真的审查，</w:t>
      </w:r>
      <w:r>
        <w:rPr>
          <w:spacing w:val="-90"/>
        </w:rPr>
        <w:t> </w:t>
      </w:r>
      <w:r>
        <w:rPr>
          <w:spacing w:val="-90"/>
        </w:rPr>
      </w:r>
      <w:r>
        <w:rPr/>
        <w:t>未发现《公司法》及相关法律法规规定禁止担任上市公司董事、高级管理人员的情形。</w:t>
      </w:r>
    </w:p>
    <w:p>
      <w:pPr>
        <w:spacing w:line="240" w:lineRule="auto" w:before="11"/>
        <w:rPr>
          <w:rFonts w:ascii="宋体" w:hAnsi="宋体" w:cs="宋体" w:eastAsia="宋体" w:hint="default"/>
          <w:sz w:val="17"/>
          <w:szCs w:val="17"/>
        </w:rPr>
      </w:pPr>
    </w:p>
    <w:p>
      <w:pPr>
        <w:pStyle w:val="Heading2"/>
        <w:spacing w:line="240" w:lineRule="auto"/>
        <w:ind w:left="154" w:right="0"/>
        <w:jc w:val="both"/>
      </w:pPr>
      <w:bookmarkStart w:name="七、监事会工作情况" w:id="141"/>
      <w:bookmarkEnd w:id="141"/>
      <w:r>
        <w:rPr/>
      </w:r>
      <w:r>
        <w:rPr/>
        <w:t>七、监事会工作情况</w:t>
      </w:r>
    </w:p>
    <w:p>
      <w:pPr>
        <w:spacing w:line="240" w:lineRule="auto" w:before="12"/>
        <w:rPr>
          <w:rFonts w:ascii="微软雅黑" w:hAnsi="微软雅黑" w:cs="微软雅黑" w:eastAsia="微软雅黑" w:hint="default"/>
          <w:sz w:val="24"/>
          <w:szCs w:val="24"/>
        </w:rPr>
      </w:pPr>
    </w:p>
    <w:p>
      <w:pPr>
        <w:pStyle w:val="BodyText"/>
        <w:spacing w:line="240" w:lineRule="auto"/>
        <w:ind w:left="574" w:right="1116"/>
        <w:jc w:val="left"/>
      </w:pPr>
      <w:r>
        <w:rPr/>
        <w:t>监事会在报告期内的监督活动中发现公司是否存在风险</w:t>
      </w:r>
    </w:p>
    <w:p>
      <w:pPr>
        <w:spacing w:line="240" w:lineRule="auto" w:before="12"/>
        <w:rPr>
          <w:rFonts w:ascii="宋体" w:hAnsi="宋体" w:cs="宋体" w:eastAsia="宋体" w:hint="default"/>
          <w:sz w:val="17"/>
          <w:szCs w:val="17"/>
        </w:rPr>
      </w:pPr>
    </w:p>
    <w:p>
      <w:pPr>
        <w:pStyle w:val="BodyText"/>
        <w:spacing w:line="420" w:lineRule="auto"/>
        <w:ind w:left="574" w:right="63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公司监事会对报告期内的监督事项无异议。</w:t>
      </w:r>
    </w:p>
    <w:p>
      <w:pPr>
        <w:spacing w:after="0" w:line="420" w:lineRule="auto"/>
        <w:jc w:val="left"/>
        <w:sectPr>
          <w:pgSz w:w="11910" w:h="16840"/>
          <w:pgMar w:header="801" w:footer="1007" w:top="1100" w:bottom="1200" w:left="980" w:right="0"/>
        </w:sectPr>
      </w:pPr>
    </w:p>
    <w:p>
      <w:pPr>
        <w:spacing w:line="240" w:lineRule="auto" w:before="9"/>
        <w:rPr>
          <w:rFonts w:ascii="宋体" w:hAnsi="宋体" w:cs="宋体" w:eastAsia="宋体" w:hint="default"/>
          <w:sz w:val="26"/>
          <w:szCs w:val="26"/>
        </w:rPr>
      </w:pPr>
    </w:p>
    <w:p>
      <w:pPr>
        <w:pStyle w:val="Heading2"/>
        <w:spacing w:line="397" w:lineRule="exact"/>
        <w:ind w:right="1016"/>
        <w:jc w:val="left"/>
      </w:pPr>
      <w:bookmarkStart w:name="八、高级管理人员的考评及激励情况" w:id="142"/>
      <w:bookmarkEnd w:id="142"/>
      <w:r>
        <w:rPr/>
      </w:r>
      <w:r>
        <w:rPr/>
        <w:t>八、高级管理人员的考评及激励情况</w:t>
      </w:r>
    </w:p>
    <w:p>
      <w:pPr>
        <w:spacing w:line="240" w:lineRule="auto" w:before="12"/>
        <w:rPr>
          <w:rFonts w:ascii="微软雅黑" w:hAnsi="微软雅黑" w:cs="微软雅黑" w:eastAsia="微软雅黑" w:hint="default"/>
          <w:sz w:val="24"/>
          <w:szCs w:val="24"/>
        </w:rPr>
      </w:pPr>
    </w:p>
    <w:p>
      <w:pPr>
        <w:pStyle w:val="BodyText"/>
        <w:spacing w:line="297" w:lineRule="auto"/>
        <w:ind w:left="214" w:right="1131" w:firstLine="420"/>
        <w:jc w:val="both"/>
      </w:pPr>
      <w:r>
        <w:rPr>
          <w:spacing w:val="-1"/>
        </w:rPr>
        <w:t>公司采用高级管理人员的薪酬与公司业绩挂钩的绩效考核与激励约束机制，公司高级管理人员实行基</w:t>
      </w:r>
      <w:r>
        <w:rPr/>
        <w:t> </w:t>
      </w:r>
      <w:r>
        <w:rPr>
          <w:spacing w:val="-1"/>
        </w:rPr>
        <w:t>本年薪和年终绩效考核相结合的薪酬制度；年末根据公司年度经营目标完成情况以及高级管理人员的工作</w:t>
      </w:r>
      <w:r>
        <w:rPr>
          <w:spacing w:val="-81"/>
        </w:rPr>
        <w:t> </w:t>
      </w:r>
      <w:r>
        <w:rPr>
          <w:spacing w:val="-81"/>
        </w:rPr>
      </w:r>
      <w:r>
        <w:rPr>
          <w:spacing w:val="-1"/>
        </w:rPr>
        <w:t>业绩，由董事会薪酬与考核委员会对高级管理人员进行年度绩效考核，并监督薪酬制度执行情况。公司则</w:t>
      </w:r>
      <w:r>
        <w:rPr>
          <w:spacing w:val="-83"/>
        </w:rPr>
        <w:t> </w:t>
      </w:r>
      <w:r>
        <w:rPr>
          <w:spacing w:val="-83"/>
        </w:rPr>
      </w:r>
      <w:r>
        <w:rPr>
          <w:spacing w:val="-1"/>
        </w:rPr>
        <w:t>根据绩效考核结果兑现其绩效年薪，并进行奖惩。同时对核心经营团队采取长期激励措施，通过对组织单</w:t>
      </w:r>
      <w:r>
        <w:rPr>
          <w:spacing w:val="-83"/>
        </w:rPr>
        <w:t> </w:t>
      </w:r>
      <w:r>
        <w:rPr>
          <w:spacing w:val="-83"/>
        </w:rPr>
      </w:r>
      <w:r>
        <w:rPr/>
        <w:t>元经营效益结果考核，实现公司与核心经营团队经营效益的分享。</w:t>
      </w:r>
    </w:p>
    <w:p>
      <w:pPr>
        <w:spacing w:line="240" w:lineRule="auto" w:before="11"/>
        <w:rPr>
          <w:rFonts w:ascii="宋体" w:hAnsi="宋体" w:cs="宋体" w:eastAsia="宋体" w:hint="default"/>
          <w:sz w:val="17"/>
          <w:szCs w:val="17"/>
        </w:rPr>
      </w:pPr>
    </w:p>
    <w:p>
      <w:pPr>
        <w:pStyle w:val="Heading2"/>
        <w:spacing w:line="240" w:lineRule="auto"/>
        <w:ind w:right="1016"/>
        <w:jc w:val="left"/>
      </w:pPr>
      <w:bookmarkStart w:name="九、内部控制评价报告" w:id="143"/>
      <w:bookmarkEnd w:id="143"/>
      <w:r>
        <w:rPr/>
      </w:r>
      <w:r>
        <w:rPr/>
        <w:t>九、内部控制评价报告</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报告期内发现的内部控制重大缺陷的具体情况" w:id="144"/>
      <w:bookmarkEnd w:id="144"/>
      <w:r>
        <w:rPr/>
      </w:r>
      <w:r>
        <w:rPr>
          <w:rFonts w:ascii="Times New Roman" w:hAnsi="Times New Roman" w:cs="Times New Roman" w:eastAsia="Times New Roman" w:hint="default"/>
        </w:rPr>
        <w:t>1</w:t>
      </w:r>
      <w:r>
        <w:rPr>
          <w:rFonts w:ascii="微软雅黑" w:hAnsi="微软雅黑" w:cs="微软雅黑" w:eastAsia="微软雅黑" w:hint="default"/>
        </w:rPr>
        <w:t>、报告期内发现的内部控制重大缺陷的具体情况</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2、内控自我评价报告" w:id="145"/>
      <w:bookmarkEnd w:id="145"/>
      <w:r>
        <w:rPr/>
      </w:r>
      <w:r>
        <w:rPr>
          <w:rFonts w:ascii="Times New Roman" w:hAnsi="Times New Roman" w:cs="Times New Roman" w:eastAsia="Times New Roman" w:hint="default"/>
        </w:rPr>
        <w:t>2</w:t>
      </w:r>
      <w:r>
        <w:rPr>
          <w:rFonts w:ascii="微软雅黑" w:hAnsi="微软雅黑" w:cs="微软雅黑" w:eastAsia="微软雅黑" w:hint="default"/>
        </w:rPr>
        <w:t>、内控自我评价报告</w:t>
      </w:r>
    </w:p>
    <w:p>
      <w:pPr>
        <w:spacing w:line="240" w:lineRule="auto" w:before="12"/>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291"/>
        <w:gridCol w:w="3422"/>
        <w:gridCol w:w="3143"/>
      </w:tblGrid>
      <w:tr>
        <w:trPr>
          <w:trHeight w:val="408"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http</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《内部控制自我评价报告》</w:t>
            </w:r>
          </w:p>
        </w:tc>
      </w:tr>
      <w:tr>
        <w:trPr>
          <w:trHeight w:val="476"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财务报表资产总额的比例</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78"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7" w:hRule="exact"/>
        </w:trPr>
        <w:tc>
          <w:tcPr>
            <w:tcW w:w="9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679"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1"/>
              <w:ind w:right="0"/>
              <w:jc w:val="left"/>
              <w:rPr>
                <w:rFonts w:ascii="微软雅黑" w:hAnsi="微软雅黑" w:cs="微软雅黑" w:eastAsia="微软雅黑"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）重大缺陷：一项内部控制缺陷单独</w:t>
            </w:r>
          </w:p>
          <w:p>
            <w:pPr>
              <w:pStyle w:val="TableParagraph"/>
              <w:spacing w:line="237" w:lineRule="auto" w:before="1"/>
              <w:ind w:left="103" w:right="66"/>
              <w:jc w:val="left"/>
              <w:rPr>
                <w:rFonts w:ascii="宋体" w:hAnsi="宋体" w:cs="宋体" w:eastAsia="宋体" w:hint="default"/>
                <w:sz w:val="18"/>
                <w:szCs w:val="18"/>
              </w:rPr>
            </w:pPr>
            <w:r>
              <w:rPr>
                <w:rFonts w:ascii="宋体" w:hAnsi="宋体" w:cs="宋体" w:eastAsia="宋体" w:hint="default"/>
                <w:sz w:val="18"/>
                <w:szCs w:val="18"/>
              </w:rPr>
              <w:t>或连同其他缺陷具备合理可能性导致不 </w:t>
            </w:r>
            <w:r>
              <w:rPr>
                <w:rFonts w:ascii="宋体" w:hAnsi="宋体" w:cs="宋体" w:eastAsia="宋体" w:hint="default"/>
                <w:spacing w:val="-2"/>
                <w:sz w:val="18"/>
                <w:szCs w:val="18"/>
              </w:rPr>
              <w:t>能及时防止、发现并纠正财务报表中的重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大错报。如：公司董事、监事和高级管理</w:t>
            </w:r>
            <w:r>
              <w:rPr>
                <w:rFonts w:ascii="宋体" w:hAnsi="宋体" w:cs="宋体" w:eastAsia="宋体" w:hint="default"/>
                <w:sz w:val="18"/>
                <w:szCs w:val="18"/>
              </w:rPr>
              <w:t> </w:t>
            </w:r>
            <w:r>
              <w:rPr>
                <w:rFonts w:ascii="宋体" w:hAnsi="宋体" w:cs="宋体" w:eastAsia="宋体" w:hint="default"/>
                <w:spacing w:val="-2"/>
                <w:sz w:val="18"/>
                <w:szCs w:val="18"/>
              </w:rPr>
              <w:t>人员的舞弊行为；注册会计师发现的却未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被公司内部控制识别的当期财务报告中 </w:t>
            </w:r>
            <w:r>
              <w:rPr>
                <w:rFonts w:ascii="宋体" w:hAnsi="宋体" w:cs="宋体" w:eastAsia="宋体" w:hint="default"/>
                <w:spacing w:val="-2"/>
                <w:sz w:val="18"/>
                <w:szCs w:val="18"/>
              </w:rPr>
              <w:t>的重大错报；审计委员会和审计部门对公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司的对外财务报告和财务报告内部控制 </w:t>
            </w:r>
            <w:r>
              <w:rPr>
                <w:rFonts w:ascii="宋体" w:hAnsi="宋体" w:cs="宋体" w:eastAsia="宋体" w:hint="default"/>
                <w:spacing w:val="-7"/>
                <w:sz w:val="18"/>
                <w:szCs w:val="18"/>
              </w:rPr>
              <w:t>监督无效。（</w:t>
            </w:r>
            <w:r>
              <w:rPr>
                <w:rFonts w:ascii="宋体" w:hAnsi="宋体" w:cs="宋体" w:eastAsia="宋体" w:hint="default"/>
                <w:spacing w:val="-7"/>
                <w:sz w:val="18"/>
                <w:szCs w:val="18"/>
              </w:rPr>
              <w:t>2</w:t>
            </w:r>
            <w:r>
              <w:rPr>
                <w:rFonts w:ascii="宋体" w:hAnsi="宋体" w:cs="宋体" w:eastAsia="宋体" w:hint="default"/>
                <w:spacing w:val="-7"/>
                <w:sz w:val="18"/>
                <w:szCs w:val="18"/>
              </w:rPr>
              <w:t>）重要缺陷：内部控制缺陷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单独或连同其他缺陷具备合理可能性导 致不能及时防止或发现并纠正财务报告 </w:t>
            </w:r>
            <w:r>
              <w:rPr>
                <w:rFonts w:ascii="宋体" w:hAnsi="宋体" w:cs="宋体" w:eastAsia="宋体" w:hint="default"/>
                <w:spacing w:val="-2"/>
                <w:sz w:val="18"/>
                <w:szCs w:val="18"/>
              </w:rPr>
              <w:t>中虽然未达到和超过重要性水平，但仍应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引起董事会和管理层重视的错报。如：未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依照公认会计准则选择和应用会计政策； </w:t>
            </w:r>
            <w:r>
              <w:rPr>
                <w:rFonts w:ascii="宋体" w:hAnsi="宋体" w:cs="宋体" w:eastAsia="宋体" w:hint="default"/>
                <w:spacing w:val="-2"/>
                <w:sz w:val="18"/>
                <w:szCs w:val="18"/>
              </w:rPr>
              <w:t>未建立反舞弊程序和控制措施；重要信息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泄露并对公司业务运作带来重大损失；对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于期末财务报告过程的控制不能合理保 证编制的财务报表达到真实、准确的目 </w:t>
            </w:r>
            <w:r>
              <w:rPr>
                <w:rFonts w:ascii="宋体" w:hAnsi="宋体" w:cs="宋体" w:eastAsia="宋体" w:hint="default"/>
                <w:spacing w:val="-7"/>
                <w:sz w:val="18"/>
                <w:szCs w:val="18"/>
              </w:rPr>
              <w:t>标。（</w:t>
            </w:r>
            <w:r>
              <w:rPr>
                <w:rFonts w:ascii="宋体" w:hAnsi="宋体" w:cs="宋体" w:eastAsia="宋体" w:hint="default"/>
                <w:spacing w:val="-7"/>
                <w:sz w:val="18"/>
                <w:szCs w:val="18"/>
              </w:rPr>
              <w:t>3</w:t>
            </w:r>
            <w:r>
              <w:rPr>
                <w:rFonts w:ascii="宋体" w:hAnsi="宋体" w:cs="宋体" w:eastAsia="宋体" w:hint="default"/>
                <w:spacing w:val="-7"/>
                <w:sz w:val="18"/>
                <w:szCs w:val="18"/>
              </w:rPr>
              <w:t>）一般缺陷：不构成重大缺陷和重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要的财务报告内部控制缺陷。</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ind w:right="0"/>
              <w:jc w:val="left"/>
              <w:rPr>
                <w:rFonts w:ascii="微软雅黑" w:hAnsi="微软雅黑" w:cs="微软雅黑" w:eastAsia="微软雅黑" w:hint="default"/>
                <w:sz w:val="18"/>
                <w:szCs w:val="18"/>
              </w:rPr>
            </w:pPr>
          </w:p>
          <w:p>
            <w:pPr>
              <w:pStyle w:val="TableParagraph"/>
              <w:spacing w:line="240" w:lineRule="auto" w:before="12"/>
              <w:ind w:right="0"/>
              <w:jc w:val="left"/>
              <w:rPr>
                <w:rFonts w:ascii="微软雅黑" w:hAnsi="微软雅黑" w:cs="微软雅黑" w:eastAsia="微软雅黑" w:hint="default"/>
                <w:sz w:val="9"/>
                <w:szCs w:val="9"/>
              </w:rPr>
            </w:pP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）重大缺陷：违反国家法律法规或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规范性文件；重要业务缺乏制度控制 或系统性失效，且缺乏有效的补偿性 控制；内部控制评价的结果特别是重 大缺陷未得到有效整改；其他对公司 </w:t>
            </w:r>
            <w:r>
              <w:rPr>
                <w:rFonts w:ascii="宋体" w:hAnsi="宋体" w:cs="宋体" w:eastAsia="宋体" w:hint="default"/>
                <w:spacing w:val="-6"/>
                <w:sz w:val="18"/>
                <w:szCs w:val="18"/>
              </w:rPr>
              <w:t>产生重大负面影响的情形。（</w:t>
            </w:r>
            <w:r>
              <w:rPr>
                <w:rFonts w:ascii="宋体" w:hAnsi="宋体" w:cs="宋体" w:eastAsia="宋体" w:hint="default"/>
                <w:spacing w:val="-6"/>
                <w:sz w:val="18"/>
                <w:szCs w:val="18"/>
              </w:rPr>
              <w:t>2</w:t>
            </w:r>
            <w:r>
              <w:rPr>
                <w:rFonts w:ascii="宋体" w:hAnsi="宋体" w:cs="宋体" w:eastAsia="宋体" w:hint="default"/>
                <w:spacing w:val="-6"/>
                <w:sz w:val="18"/>
                <w:szCs w:val="18"/>
              </w:rPr>
              <w:t>）重要</w:t>
            </w:r>
            <w:r>
              <w:rPr>
                <w:rFonts w:ascii="宋体" w:hAnsi="宋体" w:cs="宋体" w:eastAsia="宋体" w:hint="default"/>
                <w:spacing w:val="-78"/>
                <w:sz w:val="18"/>
                <w:szCs w:val="18"/>
              </w:rPr>
              <w:t> </w:t>
            </w:r>
            <w:r>
              <w:rPr>
                <w:rFonts w:ascii="宋体" w:hAnsi="宋体" w:cs="宋体" w:eastAsia="宋体" w:hint="default"/>
                <w:spacing w:val="-3"/>
                <w:sz w:val="18"/>
                <w:szCs w:val="18"/>
              </w:rPr>
              <w:t>缺陷：重要业务制度或系统存在缺陷；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内部控制评价的结果特别是重要缺陷 未得到整改；其他对公司产生较大负 </w:t>
            </w:r>
            <w:r>
              <w:rPr>
                <w:rFonts w:ascii="宋体" w:hAnsi="宋体" w:cs="宋体" w:eastAsia="宋体" w:hint="default"/>
                <w:spacing w:val="-6"/>
                <w:sz w:val="18"/>
                <w:szCs w:val="18"/>
              </w:rPr>
              <w:t>面影响的情形。（</w:t>
            </w:r>
            <w:r>
              <w:rPr>
                <w:rFonts w:ascii="宋体" w:hAnsi="宋体" w:cs="宋体" w:eastAsia="宋体" w:hint="default"/>
                <w:spacing w:val="-6"/>
                <w:sz w:val="18"/>
                <w:szCs w:val="18"/>
              </w:rPr>
              <w:t>3</w:t>
            </w:r>
            <w:r>
              <w:rPr>
                <w:rFonts w:ascii="宋体" w:hAnsi="宋体" w:cs="宋体" w:eastAsia="宋体" w:hint="default"/>
                <w:spacing w:val="-6"/>
                <w:sz w:val="18"/>
                <w:szCs w:val="18"/>
              </w:rPr>
              <w:t>）一般缺陷：决策</w:t>
            </w:r>
            <w:r>
              <w:rPr>
                <w:rFonts w:ascii="宋体" w:hAnsi="宋体" w:cs="宋体" w:eastAsia="宋体" w:hint="default"/>
                <w:spacing w:val="-78"/>
                <w:sz w:val="18"/>
                <w:szCs w:val="18"/>
              </w:rPr>
              <w:t> </w:t>
            </w:r>
            <w:r>
              <w:rPr>
                <w:rFonts w:ascii="宋体" w:hAnsi="宋体" w:cs="宋体" w:eastAsia="宋体" w:hint="default"/>
                <w:sz w:val="18"/>
                <w:szCs w:val="18"/>
              </w:rPr>
              <w:t>程序效率不高；一般业务制度或系统 存在缺陷；一般缺陷未得到整改；其 他对公司产生负面影响的情形。</w:t>
            </w:r>
          </w:p>
        </w:tc>
      </w:tr>
      <w:tr>
        <w:trPr>
          <w:trHeight w:val="944"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微软雅黑" w:hAnsi="微软雅黑" w:cs="微软雅黑" w:eastAsia="微软雅黑"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）重大缺陷：潜在错报金额大于最近</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一个会计年度公司合并报表净利润的</w:t>
            </w:r>
            <w:r>
              <w:rPr>
                <w:rFonts w:ascii="宋体" w:hAnsi="宋体" w:cs="宋体" w:eastAsia="宋体" w:hint="default"/>
                <w:spacing w:val="-46"/>
                <w:sz w:val="18"/>
                <w:szCs w:val="18"/>
              </w:rPr>
              <w:t> </w:t>
            </w:r>
            <w:r>
              <w:rPr>
                <w:rFonts w:ascii="宋体" w:hAnsi="宋体" w:cs="宋体" w:eastAsia="宋体" w:hint="default"/>
                <w:sz w:val="18"/>
                <w:szCs w:val="18"/>
              </w:rPr>
              <w:t>5%</w:t>
            </w:r>
          </w:p>
          <w:p>
            <w:pPr>
              <w:pStyle w:val="TableParagraph"/>
              <w:spacing w:line="240" w:lineRule="auto"/>
              <w:ind w:left="103" w:right="156"/>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pacing w:val="-6"/>
                <w:sz w:val="18"/>
                <w:szCs w:val="18"/>
              </w:rPr>
              <w:t>万元。（</w:t>
            </w:r>
            <w:r>
              <w:rPr>
                <w:rFonts w:ascii="宋体" w:hAnsi="宋体" w:cs="宋体" w:eastAsia="宋体" w:hint="default"/>
                <w:spacing w:val="-6"/>
                <w:sz w:val="18"/>
                <w:szCs w:val="18"/>
              </w:rPr>
              <w:t>2</w:t>
            </w:r>
            <w:r>
              <w:rPr>
                <w:rFonts w:ascii="宋体" w:hAnsi="宋体" w:cs="宋体" w:eastAsia="宋体" w:hint="default"/>
                <w:spacing w:val="-6"/>
                <w:sz w:val="18"/>
                <w:szCs w:val="18"/>
              </w:rPr>
              <w:t>）重要缺陷：潜在错报</w:t>
            </w:r>
            <w:r>
              <w:rPr>
                <w:rFonts w:ascii="宋体" w:hAnsi="宋体" w:cs="宋体" w:eastAsia="宋体" w:hint="default"/>
                <w:sz w:val="18"/>
                <w:szCs w:val="18"/>
              </w:rPr>
              <w:t> 金额介于最近一个会计年度公司合并报</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）重大缺陷：直接损失≥资产净额</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165"/>
                <w:sz w:val="18"/>
                <w:szCs w:val="18"/>
              </w:rPr>
              <w:t>。</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75"/>
                <w:sz w:val="18"/>
                <w:szCs w:val="18"/>
              </w:rPr>
              <w:t>）</w:t>
            </w:r>
            <w:r>
              <w:rPr>
                <w:rFonts w:ascii="宋体" w:hAnsi="宋体" w:cs="宋体" w:eastAsia="宋体" w:hint="default"/>
                <w:sz w:val="18"/>
                <w:szCs w:val="18"/>
              </w:rPr>
              <w:t>重要缺陷</w:t>
            </w:r>
            <w:r>
              <w:rPr>
                <w:rFonts w:ascii="宋体" w:hAnsi="宋体" w:cs="宋体" w:eastAsia="宋体" w:hint="default"/>
                <w:spacing w:val="-75"/>
                <w:sz w:val="18"/>
                <w:szCs w:val="18"/>
              </w:rPr>
              <w:t>：</w:t>
            </w:r>
            <w:r>
              <w:rPr>
                <w:rFonts w:ascii="宋体" w:hAnsi="宋体" w:cs="宋体" w:eastAsia="宋体" w:hint="default"/>
                <w:sz w:val="18"/>
                <w:szCs w:val="18"/>
              </w:rPr>
              <w:t>资产净额的</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ind w:left="103" w:right="12"/>
              <w:jc w:val="left"/>
              <w:rPr>
                <w:rFonts w:ascii="宋体" w:hAnsi="宋体" w:cs="宋体" w:eastAsia="宋体" w:hint="default"/>
                <w:sz w:val="18"/>
                <w:szCs w:val="18"/>
              </w:rPr>
            </w:pPr>
            <w:r>
              <w:rPr>
                <w:rFonts w:ascii="宋体" w:hAnsi="宋体" w:cs="宋体" w:eastAsia="宋体" w:hint="default"/>
                <w:sz w:val="18"/>
                <w:szCs w:val="18"/>
              </w:rPr>
              <w:t>≤直接损失＜资产净额的</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）一 般缺陷</w:t>
            </w:r>
            <w:r>
              <w:rPr>
                <w:rFonts w:ascii="宋体" w:hAnsi="宋体" w:cs="宋体" w:eastAsia="宋体" w:hint="default"/>
                <w:spacing w:val="-89"/>
                <w:sz w:val="18"/>
                <w:szCs w:val="18"/>
              </w:rPr>
              <w:t>：</w:t>
            </w:r>
            <w:r>
              <w:rPr>
                <w:rFonts w:ascii="宋体" w:hAnsi="宋体" w:cs="宋体" w:eastAsia="宋体" w:hint="default"/>
                <w:sz w:val="18"/>
                <w:szCs w:val="18"/>
              </w:rPr>
              <w:t>直接损失＜资产净额的</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10"/>
        <w:rPr>
          <w:rFonts w:ascii="微软雅黑" w:hAnsi="微软雅黑" w:cs="微软雅黑" w:eastAsia="微软雅黑"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3291"/>
        <w:gridCol w:w="3422"/>
        <w:gridCol w:w="3143"/>
      </w:tblGrid>
      <w:tr>
        <w:trPr>
          <w:trHeight w:val="943"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表净利润的</w:t>
            </w:r>
            <w:r>
              <w:rPr>
                <w:rFonts w:ascii="宋体" w:hAnsi="宋体" w:cs="宋体" w:eastAsia="宋体" w:hint="default"/>
                <w:spacing w:val="-54"/>
                <w:sz w:val="18"/>
                <w:szCs w:val="18"/>
              </w:rPr>
              <w:t> </w:t>
            </w:r>
            <w:r>
              <w:rPr>
                <w:rFonts w:ascii="宋体" w:hAnsi="宋体" w:cs="宋体" w:eastAsia="宋体" w:hint="default"/>
                <w:sz w:val="18"/>
                <w:szCs w:val="18"/>
              </w:rPr>
              <w:t>1%-5%</w:t>
            </w:r>
            <w:r>
              <w:rPr>
                <w:rFonts w:ascii="宋体" w:hAnsi="宋体" w:cs="宋体" w:eastAsia="宋体" w:hint="default"/>
                <w:sz w:val="18"/>
                <w:szCs w:val="18"/>
              </w:rPr>
              <w:t>或</w:t>
            </w:r>
            <w:r>
              <w:rPr>
                <w:rFonts w:ascii="宋体" w:hAnsi="宋体" w:cs="宋体" w:eastAsia="宋体" w:hint="default"/>
                <w:spacing w:val="-54"/>
                <w:sz w:val="18"/>
                <w:szCs w:val="18"/>
              </w:rPr>
              <w:t> </w:t>
            </w:r>
            <w:r>
              <w:rPr>
                <w:rFonts w:ascii="宋体" w:hAnsi="宋体" w:cs="宋体" w:eastAsia="宋体" w:hint="default"/>
                <w:sz w:val="18"/>
                <w:szCs w:val="18"/>
              </w:rPr>
              <w:t>200</w:t>
            </w:r>
            <w:r>
              <w:rPr>
                <w:rFonts w:ascii="宋体" w:hAnsi="宋体" w:cs="宋体" w:eastAsia="宋体" w:hint="default"/>
                <w:spacing w:val="-54"/>
                <w:sz w:val="18"/>
                <w:szCs w:val="18"/>
              </w:rPr>
              <w:t> </w:t>
            </w:r>
            <w:r>
              <w:rPr>
                <w:rFonts w:ascii="宋体" w:hAnsi="宋体" w:cs="宋体" w:eastAsia="宋体" w:hint="default"/>
                <w:sz w:val="18"/>
                <w:szCs w:val="18"/>
              </w:rPr>
              <w:t>万元</w:t>
            </w:r>
            <w:r>
              <w:rPr>
                <w:rFonts w:ascii="宋体" w:hAnsi="宋体" w:cs="宋体" w:eastAsia="宋体" w:hint="default"/>
                <w:sz w:val="18"/>
                <w:szCs w:val="18"/>
              </w:rPr>
              <w:t>-1000</w:t>
            </w:r>
            <w:r>
              <w:rPr>
                <w:rFonts w:ascii="宋体" w:hAnsi="宋体" w:cs="宋体" w:eastAsia="宋体" w:hint="default"/>
                <w:spacing w:val="-54"/>
                <w:sz w:val="18"/>
                <w:szCs w:val="18"/>
              </w:rPr>
              <w:t> </w:t>
            </w:r>
            <w:r>
              <w:rPr>
                <w:rFonts w:ascii="宋体" w:hAnsi="宋体" w:cs="宋体" w:eastAsia="宋体" w:hint="default"/>
                <w:sz w:val="18"/>
                <w:szCs w:val="18"/>
              </w:rPr>
              <w:t>万元。</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）一般缺陷：潜在错报金额小于最近 一个会计年度公司合并报表净利润的</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3143"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0"/>
        <w:rPr>
          <w:rFonts w:ascii="微软雅黑" w:hAnsi="微软雅黑" w:cs="微软雅黑" w:eastAsia="微软雅黑" w:hint="default"/>
          <w:sz w:val="15"/>
          <w:szCs w:val="15"/>
        </w:rPr>
      </w:pPr>
    </w:p>
    <w:p>
      <w:pPr>
        <w:pStyle w:val="Heading2"/>
        <w:spacing w:line="397" w:lineRule="exact"/>
        <w:ind w:right="1016"/>
        <w:jc w:val="left"/>
      </w:pPr>
      <w:bookmarkStart w:name="十、内部控制审计报告或鉴证报告" w:id="146"/>
      <w:bookmarkEnd w:id="146"/>
      <w:r>
        <w:rPr/>
      </w:r>
      <w:r>
        <w:rPr/>
        <w:t>十、内部控制审计报告或鉴证报告</w:t>
      </w:r>
    </w:p>
    <w:p>
      <w:pPr>
        <w:spacing w:line="240" w:lineRule="auto" w:before="13"/>
        <w:rPr>
          <w:rFonts w:ascii="微软雅黑" w:hAnsi="微软雅黑" w:cs="微软雅黑" w:eastAsia="微软雅黑" w:hint="default"/>
          <w:sz w:val="24"/>
          <w:szCs w:val="24"/>
        </w:rPr>
      </w:pPr>
    </w:p>
    <w:p>
      <w:pPr>
        <w:pStyle w:val="BodyText"/>
        <w:spacing w:line="240" w:lineRule="auto"/>
        <w:ind w:right="1016"/>
        <w:jc w:val="left"/>
      </w:pPr>
      <w:r>
        <w:rPr/>
        <w:t>内部控制鉴证报告</w:t>
      </w:r>
    </w:p>
    <w:p>
      <w:pPr>
        <w:spacing w:line="240" w:lineRule="auto" w:before="8"/>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742"/>
        <w:gridCol w:w="7113"/>
      </w:tblGrid>
      <w:tr>
        <w:trPr>
          <w:trHeight w:val="407" w:hRule="exact"/>
        </w:trPr>
        <w:tc>
          <w:tcPr>
            <w:tcW w:w="9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76" w:hRule="exact"/>
        </w:trPr>
        <w:tc>
          <w:tcPr>
            <w:tcW w:w="9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我们认为，中科创达公司于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日在所有重大方面有效地保持了按照《企业内部控制基本规范》建立的与财务</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报表相关的内部控制。</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8"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http</w:t>
            </w:r>
            <w:r>
              <w:rPr>
                <w:rFonts w:ascii="宋体" w:hAnsi="宋体" w:cs="宋体" w:eastAsia="宋体" w:hint="default"/>
                <w:sz w:val="18"/>
                <w:szCs w:val="18"/>
              </w:rPr>
              <w:t>：</w:t>
            </w:r>
            <w:r>
              <w:rPr>
                <w:rFonts w:ascii="Times New Roman" w:hAnsi="Times New Roman" w:cs="Times New Roman" w:eastAsia="Times New Roman" w:hint="default"/>
                <w:sz w:val="18"/>
                <w:szCs w:val="18"/>
              </w:rPr>
              <w:t>//</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《内部控制自我评价报告的审核评价意见》</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7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会计师事务所是否出具非标准意见的内部控制鉴证报告</w:t>
      </w:r>
    </w:p>
    <w:p>
      <w:pPr>
        <w:spacing w:line="240" w:lineRule="auto" w:before="12"/>
        <w:rPr>
          <w:rFonts w:ascii="宋体" w:hAnsi="宋体" w:cs="宋体" w:eastAsia="宋体" w:hint="default"/>
          <w:sz w:val="17"/>
          <w:szCs w:val="17"/>
        </w:rPr>
      </w:pPr>
    </w:p>
    <w:p>
      <w:pPr>
        <w:pStyle w:val="BodyText"/>
        <w:spacing w:line="420" w:lineRule="auto"/>
        <w:ind w:right="31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会计师事务所出具的内部控制鉴证报告与董事会的自我评价报告意见是否一致</w:t>
      </w:r>
    </w:p>
    <w:p>
      <w:pPr>
        <w:pStyle w:val="BodyText"/>
        <w:spacing w:line="240" w:lineRule="auto" w:before="75"/>
        <w:ind w:right="10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40" w:lineRule="auto"/>
        <w:jc w:val="left"/>
        <w:sectPr>
          <w:pgSz w:w="11910" w:h="16840"/>
          <w:pgMar w:header="801" w:footer="1007" w:top="1100" w:bottom="120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441" w:lineRule="exact"/>
        <w:ind w:left="3134" w:right="1116"/>
        <w:jc w:val="left"/>
        <w:rPr>
          <w:b w:val="0"/>
          <w:bCs w:val="0"/>
        </w:rPr>
      </w:pPr>
      <w:bookmarkStart w:name="第十节 公司债券相关情况" w:id="147"/>
      <w:bookmarkEnd w:id="147"/>
      <w:r>
        <w:rPr>
          <w:b w:val="0"/>
          <w:bCs w:val="0"/>
        </w:rPr>
      </w:r>
      <w:bookmarkStart w:name="_bookmark8" w:id="148"/>
      <w:bookmarkEnd w:id="148"/>
      <w:r>
        <w:rPr>
          <w:b w:val="0"/>
          <w:bCs w:val="0"/>
        </w:rPr>
      </w:r>
      <w:r>
        <w:rPr/>
        <w:t>第十节</w:t>
      </w:r>
      <w:r>
        <w:rPr>
          <w:spacing w:val="63"/>
        </w:rPr>
        <w:t> </w:t>
      </w:r>
      <w:r>
        <w:rPr/>
        <w:t>公司债券相关情况</w:t>
      </w:r>
      <w:r>
        <w:rPr>
          <w:b w:val="0"/>
          <w:bCs w:val="0"/>
        </w:rPr>
      </w:r>
    </w:p>
    <w:p>
      <w:pPr>
        <w:spacing w:line="240" w:lineRule="auto" w:before="7"/>
        <w:rPr>
          <w:rFonts w:ascii="微软雅黑" w:hAnsi="微软雅黑" w:cs="微软雅黑" w:eastAsia="微软雅黑" w:hint="default"/>
          <w:b/>
          <w:bCs/>
          <w:sz w:val="45"/>
          <w:szCs w:val="45"/>
        </w:rPr>
      </w:pPr>
    </w:p>
    <w:p>
      <w:pPr>
        <w:pStyle w:val="BodyText"/>
        <w:spacing w:line="297" w:lineRule="auto"/>
        <w:ind w:left="154" w:right="1116" w:firstLine="420"/>
        <w:jc w:val="left"/>
      </w:pPr>
      <w:r>
        <w:rPr>
          <w:spacing w:val="-1"/>
        </w:rPr>
        <w:t>公司是否存在公开发行并在证券交易所上市，且在年度报告批准报出日未到期或到期未能全额兑付的</w:t>
      </w:r>
      <w:r>
        <w:rPr/>
        <w:t> 公司债券</w:t>
      </w:r>
    </w:p>
    <w:p>
      <w:pPr>
        <w:spacing w:line="240" w:lineRule="auto" w:before="0"/>
        <w:rPr>
          <w:rFonts w:ascii="宋体" w:hAnsi="宋体" w:cs="宋体" w:eastAsia="宋体" w:hint="default"/>
          <w:sz w:val="14"/>
          <w:szCs w:val="14"/>
        </w:rPr>
      </w:pPr>
    </w:p>
    <w:p>
      <w:pPr>
        <w:pStyle w:val="BodyText"/>
        <w:spacing w:line="240" w:lineRule="auto"/>
        <w:ind w:left="574" w:right="1116"/>
        <w:jc w:val="left"/>
      </w:pPr>
      <w:r>
        <w:rPr/>
        <w:t>否</w:t>
      </w:r>
    </w:p>
    <w:p>
      <w:pPr>
        <w:spacing w:after="0" w:line="240" w:lineRule="auto"/>
        <w:jc w:val="left"/>
        <w:sectPr>
          <w:pgSz w:w="11910" w:h="16840"/>
          <w:pgMar w:header="801" w:footer="1007"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1"/>
        <w:spacing w:line="441" w:lineRule="exact"/>
        <w:ind w:left="193" w:right="1108"/>
        <w:jc w:val="center"/>
        <w:rPr>
          <w:b w:val="0"/>
          <w:bCs w:val="0"/>
        </w:rPr>
      </w:pPr>
      <w:bookmarkStart w:name="第十一节 财务报告" w:id="149"/>
      <w:bookmarkEnd w:id="149"/>
      <w:r>
        <w:rPr>
          <w:b w:val="0"/>
          <w:bCs w:val="0"/>
        </w:rPr>
      </w:r>
      <w:bookmarkStart w:name="_bookmark9" w:id="150"/>
      <w:bookmarkEnd w:id="150"/>
      <w:r>
        <w:rPr>
          <w:b w:val="0"/>
          <w:bCs w:val="0"/>
        </w:rPr>
      </w:r>
      <w:r>
        <w:rPr/>
        <w:t>第十一节</w:t>
      </w:r>
      <w:r>
        <w:rPr>
          <w:spacing w:val="62"/>
        </w:rPr>
        <w:t> </w:t>
      </w:r>
      <w:r>
        <w:rPr/>
        <w:t>财务报告</w:t>
      </w:r>
      <w:r>
        <w:rPr>
          <w:b w:val="0"/>
          <w:bCs w:val="0"/>
        </w:rPr>
      </w:r>
    </w:p>
    <w:p>
      <w:pPr>
        <w:spacing w:line="240" w:lineRule="auto" w:before="0"/>
        <w:rPr>
          <w:rFonts w:ascii="微软雅黑" w:hAnsi="微软雅黑" w:cs="微软雅黑" w:eastAsia="微软雅黑" w:hint="default"/>
          <w:b/>
          <w:bCs/>
          <w:sz w:val="20"/>
          <w:szCs w:val="20"/>
        </w:rPr>
      </w:pPr>
    </w:p>
    <w:p>
      <w:pPr>
        <w:spacing w:line="240" w:lineRule="auto" w:before="1"/>
        <w:rPr>
          <w:rFonts w:ascii="微软雅黑" w:hAnsi="微软雅黑" w:cs="微软雅黑" w:eastAsia="微软雅黑" w:hint="default"/>
          <w:b/>
          <w:bCs/>
          <w:sz w:val="29"/>
          <w:szCs w:val="29"/>
        </w:rPr>
      </w:pPr>
    </w:p>
    <w:p>
      <w:pPr>
        <w:pStyle w:val="Heading2"/>
        <w:spacing w:line="397" w:lineRule="exact"/>
        <w:ind w:right="1016"/>
        <w:jc w:val="left"/>
      </w:pPr>
      <w:bookmarkStart w:name="一、审计报告" w:id="151"/>
      <w:bookmarkEnd w:id="151"/>
      <w:r>
        <w:rPr/>
      </w:r>
      <w:r>
        <w:rPr/>
        <w:t>一、审计报告</w:t>
      </w:r>
    </w:p>
    <w:p>
      <w:pPr>
        <w:spacing w:line="240" w:lineRule="auto" w:before="1"/>
        <w:rPr>
          <w:rFonts w:ascii="微软雅黑" w:hAnsi="微软雅黑" w:cs="微软雅黑" w:eastAsia="微软雅黑"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927"/>
        <w:gridCol w:w="4929"/>
      </w:tblGrid>
      <w:tr>
        <w:trPr>
          <w:trHeight w:val="407"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亚会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7" w:hRule="exact"/>
        </w:trPr>
        <w:tc>
          <w:tcPr>
            <w:tcW w:w="4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李万军、蔡中伏</w:t>
            </w:r>
          </w:p>
        </w:tc>
      </w:tr>
    </w:tbl>
    <w:p>
      <w:pPr>
        <w:spacing w:line="240" w:lineRule="auto" w:before="0"/>
        <w:rPr>
          <w:rFonts w:ascii="微软雅黑" w:hAnsi="微软雅黑" w:cs="微软雅黑" w:eastAsia="微软雅黑" w:hint="default"/>
          <w:sz w:val="20"/>
          <w:szCs w:val="20"/>
        </w:rPr>
      </w:pPr>
    </w:p>
    <w:p>
      <w:pPr>
        <w:spacing w:line="240" w:lineRule="auto" w:before="17"/>
        <w:rPr>
          <w:rFonts w:ascii="微软雅黑" w:hAnsi="微软雅黑" w:cs="微软雅黑" w:eastAsia="微软雅黑" w:hint="default"/>
          <w:sz w:val="12"/>
          <w:szCs w:val="12"/>
        </w:rPr>
      </w:pPr>
    </w:p>
    <w:p>
      <w:pPr>
        <w:spacing w:before="0"/>
        <w:ind w:left="193" w:right="110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11"/>
          <w:szCs w:val="11"/>
        </w:rPr>
      </w:pPr>
    </w:p>
    <w:p>
      <w:pPr>
        <w:pStyle w:val="BodyText"/>
        <w:spacing w:line="323" w:lineRule="exact"/>
        <w:ind w:right="1016"/>
        <w:jc w:val="left"/>
        <w:rPr>
          <w:rFonts w:ascii="微软雅黑" w:hAnsi="微软雅黑" w:cs="微软雅黑" w:eastAsia="微软雅黑" w:hint="default"/>
        </w:rPr>
      </w:pPr>
      <w:bookmarkStart w:name="一、审计意见" w:id="152"/>
      <w:bookmarkEnd w:id="152"/>
      <w:r>
        <w:rPr/>
      </w:r>
      <w:r>
        <w:rPr>
          <w:rFonts w:ascii="微软雅黑" w:hAnsi="微软雅黑" w:cs="微软雅黑" w:eastAsia="微软雅黑" w:hint="default"/>
        </w:rPr>
        <w:t>一、审计意见</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t>我们审计了中科创达软件股份有限公司（以下简称中科创达公司）的财务报表，包括 </w:t>
      </w:r>
      <w:r>
        <w:rPr>
          <w:rFonts w:ascii="宋体" w:hAnsi="宋体" w:cs="宋体" w:eastAsia="宋体" w:hint="default"/>
        </w:rPr>
        <w:t>2018 </w:t>
      </w:r>
      <w:r>
        <w:rPr/>
        <w:t>年 </w:t>
      </w:r>
      <w:r>
        <w:rPr>
          <w:rFonts w:ascii="宋体" w:hAnsi="宋体" w:cs="宋体" w:eastAsia="宋体" w:hint="default"/>
        </w:rPr>
        <w:t>12</w:t>
      </w:r>
      <w:r>
        <w:rPr>
          <w:rFonts w:ascii="宋体" w:hAnsi="宋体" w:cs="宋体" w:eastAsia="宋体" w:hint="default"/>
          <w:spacing w:val="-24"/>
        </w:rPr>
        <w:t> </w:t>
      </w:r>
      <w:r>
        <w:rPr/>
        <w:t>月</w:t>
      </w:r>
    </w:p>
    <w:p>
      <w:pPr>
        <w:pStyle w:val="BodyText"/>
        <w:spacing w:line="297" w:lineRule="auto" w:before="66"/>
        <w:ind w:left="214" w:right="1117"/>
        <w:jc w:val="left"/>
      </w:pPr>
      <w:r>
        <w:rPr>
          <w:rFonts w:ascii="宋体" w:hAnsi="宋体" w:cs="宋体" w:eastAsia="宋体" w:hint="default"/>
        </w:rPr>
        <w:t>31 </w:t>
      </w:r>
      <w:r>
        <w:rPr/>
        <w:t>日的合并及公司资产负债表，</w:t>
      </w:r>
      <w:r>
        <w:rPr>
          <w:rFonts w:ascii="宋体" w:hAnsi="宋体" w:cs="宋体" w:eastAsia="宋体" w:hint="default"/>
        </w:rPr>
        <w:t>2018</w:t>
      </w:r>
      <w:r>
        <w:rPr>
          <w:rFonts w:ascii="宋体" w:hAnsi="宋体" w:cs="宋体" w:eastAsia="宋体" w:hint="default"/>
          <w:spacing w:val="-25"/>
        </w:rPr>
        <w:t> </w:t>
      </w:r>
      <w:r>
        <w:rPr/>
        <w:t>年度的合并及公司利润表、合并及公司现金流量表、合并及公司股 东权益变动表以及财务报表附注。</w:t>
      </w:r>
    </w:p>
    <w:p>
      <w:pPr>
        <w:spacing w:line="240" w:lineRule="auto" w:before="0"/>
        <w:rPr>
          <w:rFonts w:ascii="宋体" w:hAnsi="宋体" w:cs="宋体" w:eastAsia="宋体" w:hint="default"/>
          <w:sz w:val="14"/>
          <w:szCs w:val="14"/>
        </w:rPr>
      </w:pPr>
    </w:p>
    <w:p>
      <w:pPr>
        <w:pStyle w:val="BodyText"/>
        <w:spacing w:line="297" w:lineRule="auto"/>
        <w:ind w:left="214" w:right="1016" w:firstLine="420"/>
        <w:jc w:val="left"/>
      </w:pPr>
      <w:r>
        <w:rPr>
          <w:spacing w:val="-1"/>
        </w:rPr>
        <w:t>我们认为，后附的财务报表在所有重大方面按照企业会计准则的规定编制，公允反映了中科创达公司</w:t>
      </w:r>
      <w:r>
        <w:rPr/>
        <w:t> </w:t>
      </w: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31 </w:t>
      </w:r>
      <w:r>
        <w:rPr/>
        <w:t>日的财务状况以及 </w:t>
      </w:r>
      <w:r>
        <w:rPr>
          <w:rFonts w:ascii="宋体" w:hAnsi="宋体" w:cs="宋体" w:eastAsia="宋体" w:hint="default"/>
        </w:rPr>
        <w:t>2018</w:t>
      </w:r>
      <w:r>
        <w:rPr>
          <w:rFonts w:ascii="宋体" w:hAnsi="宋体" w:cs="宋体" w:eastAsia="宋体" w:hint="default"/>
          <w:spacing w:val="-56"/>
        </w:rPr>
        <w:t> </w:t>
      </w:r>
      <w:r>
        <w:rPr/>
        <w:t>年度的经营成果和现金流量。</w:t>
      </w:r>
    </w:p>
    <w:p>
      <w:pPr>
        <w:pStyle w:val="BodyText"/>
        <w:spacing w:line="240" w:lineRule="auto" w:before="176"/>
        <w:ind w:right="1016"/>
        <w:jc w:val="left"/>
        <w:rPr>
          <w:rFonts w:ascii="微软雅黑" w:hAnsi="微软雅黑" w:cs="微软雅黑" w:eastAsia="微软雅黑" w:hint="default"/>
        </w:rPr>
      </w:pPr>
      <w:bookmarkStart w:name="二、形成审计意见的基础" w:id="153"/>
      <w:bookmarkEnd w:id="153"/>
      <w:r>
        <w:rPr/>
      </w:r>
      <w:r>
        <w:rPr>
          <w:rFonts w:ascii="微软雅黑" w:hAnsi="微软雅黑" w:cs="微软雅黑" w:eastAsia="微软雅黑" w:hint="default"/>
        </w:rPr>
        <w:t>二、形成审计意见的基础</w:t>
      </w:r>
    </w:p>
    <w:p>
      <w:pPr>
        <w:spacing w:line="240" w:lineRule="auto" w:before="7"/>
        <w:rPr>
          <w:rFonts w:ascii="微软雅黑" w:hAnsi="微软雅黑" w:cs="微软雅黑" w:eastAsia="微软雅黑" w:hint="default"/>
          <w:sz w:val="20"/>
          <w:szCs w:val="20"/>
        </w:rPr>
      </w:pPr>
    </w:p>
    <w:p>
      <w:pPr>
        <w:pStyle w:val="BodyText"/>
        <w:spacing w:line="297" w:lineRule="auto"/>
        <w:ind w:left="214" w:right="1131" w:firstLine="420"/>
        <w:jc w:val="both"/>
      </w:pPr>
      <w:r>
        <w:rPr>
          <w:spacing w:val="-1"/>
        </w:rPr>
        <w:t>我们按照中国注册会计师审计准则的规定执行了审计工作。审计报告“注册会计师对财务报表审计的</w:t>
      </w:r>
      <w:r>
        <w:rPr/>
        <w:t> </w:t>
      </w:r>
      <w:r>
        <w:rPr>
          <w:spacing w:val="-1"/>
        </w:rPr>
        <w:t>责任”部分进一步阐述了我们在这些准则下的责任。按照中国注册会计师职业道德守则，我们独立于中科</w:t>
      </w:r>
      <w:r>
        <w:rPr>
          <w:spacing w:val="-81"/>
        </w:rPr>
        <w:t> </w:t>
      </w:r>
      <w:r>
        <w:rPr>
          <w:spacing w:val="-81"/>
        </w:rPr>
      </w:r>
      <w:r>
        <w:rPr>
          <w:spacing w:val="-1"/>
        </w:rPr>
        <w:t>创达公司，并履行了职业道德方面的其他责任。我们相信，我们获取的审计证据是充分、适当的，为发表</w:t>
      </w:r>
      <w:r>
        <w:rPr>
          <w:spacing w:val="-83"/>
        </w:rPr>
        <w:t> </w:t>
      </w:r>
      <w:r>
        <w:rPr>
          <w:spacing w:val="-83"/>
        </w:rPr>
      </w:r>
      <w:r>
        <w:rPr/>
        <w:t>审计意见提供了基础。</w:t>
      </w:r>
    </w:p>
    <w:p>
      <w:pPr>
        <w:pStyle w:val="BodyText"/>
        <w:spacing w:line="240" w:lineRule="auto" w:before="176"/>
        <w:ind w:right="1016"/>
        <w:jc w:val="left"/>
        <w:rPr>
          <w:rFonts w:ascii="微软雅黑" w:hAnsi="微软雅黑" w:cs="微软雅黑" w:eastAsia="微软雅黑" w:hint="default"/>
        </w:rPr>
      </w:pPr>
      <w:bookmarkStart w:name="三、关键审计事项" w:id="154"/>
      <w:bookmarkEnd w:id="154"/>
      <w:r>
        <w:rPr/>
      </w:r>
      <w:r>
        <w:rPr>
          <w:rFonts w:ascii="微软雅黑" w:hAnsi="微软雅黑" w:cs="微软雅黑" w:eastAsia="微软雅黑" w:hint="default"/>
        </w:rPr>
        <w:t>三、关键审计事项</w:t>
      </w:r>
    </w:p>
    <w:p>
      <w:pPr>
        <w:spacing w:line="240" w:lineRule="auto" w:before="7"/>
        <w:rPr>
          <w:rFonts w:ascii="微软雅黑" w:hAnsi="微软雅黑" w:cs="微软雅黑" w:eastAsia="微软雅黑" w:hint="default"/>
          <w:sz w:val="20"/>
          <w:szCs w:val="20"/>
        </w:rPr>
      </w:pPr>
    </w:p>
    <w:p>
      <w:pPr>
        <w:pStyle w:val="BodyText"/>
        <w:spacing w:line="297" w:lineRule="auto"/>
        <w:ind w:left="214" w:right="1016" w:firstLine="420"/>
        <w:jc w:val="left"/>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spacing w:line="240" w:lineRule="auto" w:before="0"/>
        <w:rPr>
          <w:rFonts w:ascii="宋体" w:hAnsi="宋体" w:cs="宋体" w:eastAsia="宋体" w:hint="default"/>
          <w:sz w:val="14"/>
          <w:szCs w:val="14"/>
        </w:rPr>
      </w:pPr>
    </w:p>
    <w:p>
      <w:pPr>
        <w:pStyle w:val="BodyText"/>
        <w:spacing w:line="444" w:lineRule="auto"/>
        <w:ind w:right="8862"/>
        <w:jc w:val="left"/>
      </w:pPr>
      <w:r>
        <w:rPr/>
        <w:t>（一）收入确认 </w:t>
      </w:r>
      <w:r>
        <w:rPr>
          <w:rFonts w:ascii="宋体" w:hAnsi="宋体" w:cs="宋体" w:eastAsia="宋体" w:hint="default"/>
        </w:rPr>
        <w:t>1</w:t>
      </w:r>
      <w:r>
        <w:rPr/>
        <w:t>、</w:t>
      </w:r>
      <w:r>
        <w:rPr>
          <w:spacing w:val="-1"/>
        </w:rPr>
        <w:t> </w:t>
      </w:r>
      <w:r>
        <w:rPr/>
        <w:t>事项描述</w:t>
      </w:r>
    </w:p>
    <w:p>
      <w:pPr>
        <w:pStyle w:val="BodyText"/>
        <w:tabs>
          <w:tab w:pos="9643" w:val="left" w:leader="none"/>
        </w:tabs>
        <w:spacing w:line="240" w:lineRule="auto" w:before="55"/>
        <w:ind w:right="1016"/>
        <w:jc w:val="left"/>
      </w:pPr>
      <w:r>
        <w:rPr>
          <w:spacing w:val="-6"/>
        </w:rPr>
        <w:t>如财务报表附注五、</w:t>
      </w:r>
      <w:r>
        <w:rPr>
          <w:rFonts w:ascii="宋体" w:hAnsi="宋体" w:cs="宋体" w:eastAsia="宋体" w:hint="default"/>
          <w:spacing w:val="-6"/>
        </w:rPr>
        <w:t>38</w:t>
      </w:r>
      <w:r>
        <w:rPr>
          <w:rFonts w:ascii="宋体" w:hAnsi="宋体" w:cs="宋体" w:eastAsia="宋体" w:hint="default"/>
          <w:spacing w:val="-51"/>
        </w:rPr>
        <w:t> </w:t>
      </w:r>
      <w:r>
        <w:rPr>
          <w:spacing w:val="-8"/>
        </w:rPr>
        <w:t>所示，中科创达公司</w:t>
      </w:r>
      <w:r>
        <w:rPr>
          <w:spacing w:val="-50"/>
        </w:rPr>
        <w:t> </w:t>
      </w:r>
      <w:r>
        <w:rPr>
          <w:rFonts w:ascii="宋体" w:hAnsi="宋体" w:cs="宋体" w:eastAsia="宋体" w:hint="default"/>
        </w:rPr>
        <w:t>2018</w:t>
      </w:r>
      <w:r>
        <w:rPr>
          <w:rFonts w:ascii="宋体" w:hAnsi="宋体" w:cs="宋体" w:eastAsia="宋体" w:hint="default"/>
          <w:spacing w:val="-52"/>
        </w:rPr>
        <w:t> </w:t>
      </w:r>
      <w:r>
        <w:rPr/>
        <w:t>年度主营业务收入中的软件开发收入</w:t>
      </w:r>
      <w:r>
        <w:rPr>
          <w:spacing w:val="-50"/>
        </w:rPr>
        <w:t> </w:t>
      </w:r>
      <w:r>
        <w:rPr>
          <w:rFonts w:ascii="宋体" w:hAnsi="宋体" w:cs="宋体" w:eastAsia="宋体" w:hint="default"/>
        </w:rPr>
        <w:t>65,244.15</w:t>
        <w:tab/>
      </w:r>
      <w:r>
        <w:rPr/>
        <w:t>万</w:t>
      </w:r>
    </w:p>
    <w:p>
      <w:pPr>
        <w:pStyle w:val="BodyText"/>
        <w:spacing w:line="240" w:lineRule="auto" w:before="66"/>
        <w:ind w:left="214" w:right="1016"/>
        <w:jc w:val="left"/>
      </w:pPr>
      <w:r>
        <w:rPr/>
        <w:t>元（合并财务报表口径，下同）占主营业务收入总额</w:t>
      </w:r>
      <w:r>
        <w:rPr>
          <w:spacing w:val="-59"/>
        </w:rPr>
        <w:t> </w:t>
      </w:r>
      <w:r>
        <w:rPr>
          <w:rFonts w:ascii="宋体" w:hAnsi="宋体" w:cs="宋体" w:eastAsia="宋体" w:hint="default"/>
        </w:rPr>
        <w:t>146,419.83</w:t>
      </w:r>
      <w:r>
        <w:rPr>
          <w:rFonts w:ascii="宋体" w:hAnsi="宋体" w:cs="宋体" w:eastAsia="宋体" w:hint="default"/>
          <w:spacing w:val="-61"/>
        </w:rPr>
        <w:t> </w:t>
      </w:r>
      <w:r>
        <w:rPr/>
        <w:t>万元的</w:t>
      </w:r>
      <w:r>
        <w:rPr>
          <w:spacing w:val="-61"/>
        </w:rPr>
        <w:t> </w:t>
      </w:r>
      <w:r>
        <w:rPr>
          <w:rFonts w:ascii="宋体" w:hAnsi="宋体" w:cs="宋体" w:eastAsia="宋体" w:hint="default"/>
        </w:rPr>
        <w:t>44.56</w:t>
      </w:r>
      <w:r>
        <w:rPr>
          <w:rFonts w:ascii="宋体" w:hAnsi="宋体" w:cs="宋体" w:eastAsia="宋体" w:hint="default"/>
          <w:spacing w:val="-61"/>
        </w:rPr>
        <w:t> </w:t>
      </w:r>
      <w:r>
        <w:rPr>
          <w:rFonts w:ascii="宋体" w:hAnsi="宋体" w:cs="宋体" w:eastAsia="宋体" w:hint="default"/>
        </w:rPr>
        <w:t>%</w:t>
      </w:r>
      <w:r>
        <w:rPr/>
        <w:t>，中科创达公司对于软件</w:t>
      </w:r>
    </w:p>
    <w:p>
      <w:pPr>
        <w:spacing w:after="0" w:line="240" w:lineRule="auto"/>
        <w:jc w:val="left"/>
        <w:sectPr>
          <w:pgSz w:w="11910" w:h="16840"/>
          <w:pgMar w:header="801" w:footer="1007" w:top="1100" w:bottom="1200" w:left="920" w:right="0"/>
        </w:sectPr>
      </w:pPr>
    </w:p>
    <w:p>
      <w:pPr>
        <w:spacing w:line="240" w:lineRule="auto" w:before="1"/>
        <w:rPr>
          <w:rFonts w:ascii="宋体" w:hAnsi="宋体" w:cs="宋体" w:eastAsia="宋体" w:hint="default"/>
          <w:sz w:val="19"/>
          <w:szCs w:val="19"/>
        </w:rPr>
      </w:pPr>
    </w:p>
    <w:p>
      <w:pPr>
        <w:pStyle w:val="BodyText"/>
        <w:spacing w:line="297" w:lineRule="auto" w:before="35"/>
        <w:ind w:left="154" w:right="1130"/>
        <w:jc w:val="both"/>
      </w:pPr>
      <w:r>
        <w:rPr>
          <w:spacing w:val="-1"/>
        </w:rPr>
        <w:t>开发业务在资产负债表日提供劳务交易的结果能够可靠估计的，采用完工百分比法确认收入。管理层需要</w:t>
      </w:r>
      <w:r>
        <w:rPr>
          <w:spacing w:val="-81"/>
        </w:rPr>
        <w:t> </w:t>
      </w:r>
      <w:r>
        <w:rPr>
          <w:spacing w:val="-81"/>
        </w:rPr>
      </w:r>
      <w:r>
        <w:rPr>
          <w:spacing w:val="-1"/>
        </w:rPr>
        <w:t>对软件开发业务的预计总收入和预计总成本作出合理估计以确定完工进度，并应于合同执行过程中持续评</w:t>
      </w:r>
      <w:r>
        <w:rPr>
          <w:spacing w:val="-80"/>
        </w:rPr>
        <w:t> </w:t>
      </w:r>
      <w:r>
        <w:rPr>
          <w:spacing w:val="-80"/>
        </w:rPr>
      </w:r>
      <w:r>
        <w:rPr/>
        <w:t>估和修订，涉及管理层的重大会计估计，因此我们将其认定为关键审计事项。</w:t>
      </w:r>
    </w:p>
    <w:p>
      <w:pPr>
        <w:spacing w:line="240" w:lineRule="auto" w:before="1"/>
        <w:rPr>
          <w:rFonts w:ascii="宋体" w:hAnsi="宋体" w:cs="宋体" w:eastAsia="宋体" w:hint="default"/>
          <w:sz w:val="14"/>
          <w:szCs w:val="14"/>
        </w:rPr>
      </w:pPr>
    </w:p>
    <w:p>
      <w:pPr>
        <w:pStyle w:val="BodyText"/>
        <w:spacing w:line="420" w:lineRule="auto"/>
        <w:ind w:left="574" w:right="4662"/>
        <w:jc w:val="left"/>
      </w:pPr>
      <w:r>
        <w:rPr>
          <w:rFonts w:ascii="Times New Roman" w:hAnsi="Times New Roman" w:cs="Times New Roman" w:eastAsia="Times New Roman" w:hint="default"/>
        </w:rPr>
        <w:t>2</w:t>
      </w:r>
      <w:r>
        <w:rPr/>
        <w:t>、审计应对 我们针对收入确认和计量问题执行的审计程序包括但不限于：</w:t>
      </w:r>
    </w:p>
    <w:p>
      <w:pPr>
        <w:pStyle w:val="BodyText"/>
        <w:spacing w:line="240" w:lineRule="auto" w:before="75"/>
        <w:ind w:left="574" w:right="1116"/>
        <w:jc w:val="left"/>
      </w:pPr>
      <w:r>
        <w:rPr/>
        <w:t>（</w:t>
      </w:r>
      <w:r>
        <w:rPr>
          <w:rFonts w:ascii="Times New Roman" w:hAnsi="Times New Roman" w:cs="Times New Roman" w:eastAsia="Times New Roman" w:hint="default"/>
        </w:rPr>
        <w:t>1</w:t>
      </w:r>
      <w:r>
        <w:rPr/>
        <w:t>）测试与软件开发业务预算编制和收入确认相关的关键内部控制；</w:t>
      </w:r>
    </w:p>
    <w:p>
      <w:pPr>
        <w:spacing w:line="240" w:lineRule="auto" w:before="9"/>
        <w:rPr>
          <w:rFonts w:ascii="宋体" w:hAnsi="宋体" w:cs="宋体" w:eastAsia="宋体" w:hint="default"/>
          <w:sz w:val="16"/>
          <w:szCs w:val="16"/>
        </w:rPr>
      </w:pPr>
    </w:p>
    <w:p>
      <w:pPr>
        <w:pStyle w:val="BodyText"/>
        <w:spacing w:line="240" w:lineRule="auto"/>
        <w:ind w:left="574" w:right="1116"/>
        <w:jc w:val="left"/>
      </w:pPr>
      <w:r>
        <w:rPr/>
        <w:t>（</w:t>
      </w:r>
      <w:r>
        <w:rPr>
          <w:rFonts w:ascii="Times New Roman" w:hAnsi="Times New Roman" w:cs="Times New Roman" w:eastAsia="Times New Roman" w:hint="default"/>
        </w:rPr>
        <w:t>2</w:t>
      </w:r>
      <w:r>
        <w:rPr/>
        <w:t>）重新计算软件开发业务台账中的软件开发合同完工百分比，以验证其准确性；</w:t>
      </w:r>
    </w:p>
    <w:p>
      <w:pPr>
        <w:spacing w:line="240" w:lineRule="auto" w:before="9"/>
        <w:rPr>
          <w:rFonts w:ascii="宋体" w:hAnsi="宋体" w:cs="宋体" w:eastAsia="宋体" w:hint="default"/>
          <w:sz w:val="16"/>
          <w:szCs w:val="16"/>
        </w:rPr>
      </w:pPr>
    </w:p>
    <w:p>
      <w:pPr>
        <w:pStyle w:val="BodyText"/>
        <w:spacing w:line="280" w:lineRule="auto"/>
        <w:ind w:left="154" w:right="1116" w:firstLine="420"/>
        <w:jc w:val="left"/>
      </w:pPr>
      <w:r>
        <w:rPr/>
        <w:t>（</w:t>
      </w:r>
      <w:r>
        <w:rPr>
          <w:rFonts w:ascii="Times New Roman" w:hAnsi="Times New Roman" w:cs="Times New Roman" w:eastAsia="Times New Roman" w:hint="default"/>
        </w:rPr>
        <w:t>3</w:t>
      </w:r>
      <w:r>
        <w:rPr/>
        <w:t>）选取软件开发合同样本，检查管理层预计总收入和预计总成本所依据的软件开发合同和成本预 算资料，评价管理层所作估计是否合理、依据是否充分；</w:t>
      </w:r>
    </w:p>
    <w:p>
      <w:pPr>
        <w:spacing w:line="240" w:lineRule="auto" w:before="1"/>
        <w:rPr>
          <w:rFonts w:ascii="宋体" w:hAnsi="宋体" w:cs="宋体" w:eastAsia="宋体" w:hint="default"/>
          <w:sz w:val="15"/>
          <w:szCs w:val="15"/>
        </w:rPr>
      </w:pPr>
    </w:p>
    <w:p>
      <w:pPr>
        <w:pStyle w:val="BodyText"/>
        <w:spacing w:line="280" w:lineRule="auto"/>
        <w:ind w:left="154" w:right="1116" w:firstLine="420"/>
        <w:jc w:val="left"/>
      </w:pPr>
      <w:r>
        <w:rPr/>
        <w:t>（</w:t>
      </w:r>
      <w:r>
        <w:rPr>
          <w:rFonts w:ascii="Times New Roman" w:hAnsi="Times New Roman" w:cs="Times New Roman" w:eastAsia="Times New Roman" w:hint="default"/>
        </w:rPr>
        <w:t>4</w:t>
      </w:r>
      <w:r>
        <w:rPr/>
        <w:t>）选取样本对本年度已完工的软件开发合同测试预算成本与实际发生成本的差异，测试预算成本</w:t>
      </w:r>
      <w:r>
        <w:rPr>
          <w:spacing w:val="2"/>
        </w:rPr>
        <w:t> </w:t>
      </w:r>
      <w:r>
        <w:rPr/>
        <w:t>估计的合理性；</w:t>
      </w:r>
    </w:p>
    <w:p>
      <w:pPr>
        <w:spacing w:line="240" w:lineRule="auto" w:before="2"/>
        <w:rPr>
          <w:rFonts w:ascii="宋体" w:hAnsi="宋体" w:cs="宋体" w:eastAsia="宋体" w:hint="default"/>
          <w:sz w:val="15"/>
          <w:szCs w:val="15"/>
        </w:rPr>
      </w:pPr>
    </w:p>
    <w:p>
      <w:pPr>
        <w:pStyle w:val="BodyText"/>
        <w:spacing w:line="240" w:lineRule="auto"/>
        <w:ind w:left="574" w:right="1116"/>
        <w:jc w:val="left"/>
      </w:pPr>
      <w:r>
        <w:rPr/>
        <w:t>（</w:t>
      </w:r>
      <w:r>
        <w:rPr>
          <w:rFonts w:ascii="Times New Roman" w:hAnsi="Times New Roman" w:cs="Times New Roman" w:eastAsia="Times New Roman" w:hint="default"/>
        </w:rPr>
        <w:t>5</w:t>
      </w:r>
      <w:r>
        <w:rPr/>
        <w:t>）选取样本检查软件开发成本归集的准确性；</w:t>
      </w:r>
    </w:p>
    <w:p>
      <w:pPr>
        <w:spacing w:line="240" w:lineRule="auto" w:before="8"/>
        <w:rPr>
          <w:rFonts w:ascii="宋体" w:hAnsi="宋体" w:cs="宋体" w:eastAsia="宋体" w:hint="default"/>
          <w:sz w:val="16"/>
          <w:szCs w:val="16"/>
        </w:rPr>
      </w:pPr>
    </w:p>
    <w:p>
      <w:pPr>
        <w:pStyle w:val="BodyText"/>
        <w:spacing w:line="240" w:lineRule="auto"/>
        <w:ind w:left="574" w:right="1116"/>
        <w:jc w:val="left"/>
      </w:pPr>
      <w:r>
        <w:rPr/>
        <w:t>（</w:t>
      </w:r>
      <w:r>
        <w:rPr>
          <w:rFonts w:ascii="Times New Roman" w:hAnsi="Times New Roman" w:cs="Times New Roman" w:eastAsia="Times New Roman" w:hint="default"/>
        </w:rPr>
        <w:t>6</w:t>
      </w:r>
      <w:r>
        <w:rPr/>
        <w:t>）我们向管理层、治理层进行询问</w:t>
      </w:r>
      <w:r>
        <w:rPr>
          <w:spacing w:val="-23"/>
        </w:rPr>
        <w:t> </w:t>
      </w:r>
      <w:r>
        <w:rPr/>
        <w:t>，评价管理层诚信及舞弊风险。</w:t>
      </w:r>
    </w:p>
    <w:p>
      <w:pPr>
        <w:spacing w:line="240" w:lineRule="auto" w:before="9"/>
        <w:rPr>
          <w:rFonts w:ascii="宋体" w:hAnsi="宋体" w:cs="宋体" w:eastAsia="宋体" w:hint="default"/>
          <w:sz w:val="16"/>
          <w:szCs w:val="16"/>
        </w:rPr>
      </w:pPr>
    </w:p>
    <w:p>
      <w:pPr>
        <w:pStyle w:val="BodyText"/>
        <w:spacing w:line="240" w:lineRule="auto"/>
        <w:ind w:left="574" w:right="1116"/>
        <w:jc w:val="left"/>
      </w:pPr>
      <w:r>
        <w:rPr/>
        <w:t>（二）商誉减值</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rFonts w:ascii="Times New Roman" w:hAnsi="Times New Roman" w:cs="Times New Roman" w:eastAsia="Times New Roman" w:hint="default"/>
        </w:rPr>
        <w:t>1</w:t>
      </w:r>
      <w:r>
        <w:rPr/>
        <w:t>、事项描述</w:t>
      </w:r>
    </w:p>
    <w:p>
      <w:pPr>
        <w:spacing w:line="240" w:lineRule="auto" w:before="8"/>
        <w:rPr>
          <w:rFonts w:ascii="宋体" w:hAnsi="宋体" w:cs="宋体" w:eastAsia="宋体" w:hint="default"/>
          <w:sz w:val="16"/>
          <w:szCs w:val="16"/>
        </w:rPr>
      </w:pPr>
    </w:p>
    <w:p>
      <w:pPr>
        <w:pStyle w:val="BodyText"/>
        <w:spacing w:line="240" w:lineRule="auto"/>
        <w:ind w:left="574" w:right="0"/>
        <w:jc w:val="left"/>
      </w:pPr>
      <w:r>
        <w:rPr/>
        <w:t>如财务报表附注五、</w:t>
      </w:r>
      <w:r>
        <w:rPr>
          <w:rFonts w:ascii="Times New Roman" w:hAnsi="Times New Roman" w:cs="Times New Roman" w:eastAsia="Times New Roman" w:hint="default"/>
        </w:rPr>
        <w:t>15 </w:t>
      </w:r>
      <w:r>
        <w:rPr/>
        <w:t>所述，截至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4"/>
        </w:rPr>
        <w:t> </w:t>
      </w:r>
      <w:r>
        <w:rPr/>
        <w:t>日，中科创达公司合并报表中商誉列报金额为</w:t>
      </w:r>
    </w:p>
    <w:p>
      <w:pPr>
        <w:pStyle w:val="BodyText"/>
        <w:spacing w:line="285" w:lineRule="auto" w:before="50"/>
        <w:ind w:left="154" w:right="1130"/>
        <w:jc w:val="both"/>
      </w:pPr>
      <w:r>
        <w:rPr>
          <w:rFonts w:ascii="Times New Roman" w:hAnsi="Times New Roman" w:cs="Times New Roman" w:eastAsia="Times New Roman" w:hint="default"/>
        </w:rPr>
        <w:t>41,999.86</w:t>
      </w:r>
      <w:r>
        <w:rPr>
          <w:rFonts w:ascii="Times New Roman" w:hAnsi="Times New Roman" w:cs="Times New Roman" w:eastAsia="Times New Roman" w:hint="default"/>
          <w:spacing w:val="32"/>
        </w:rPr>
        <w:t> </w:t>
      </w:r>
      <w:r>
        <w:rPr/>
        <w:t>万元，分别系中科创达公司</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月收购北京爱普新思电子技术有限公司和北京慧驰科技有 限公司确认的商誉</w:t>
      </w:r>
      <w:r>
        <w:rPr>
          <w:spacing w:val="-53"/>
        </w:rPr>
        <w:t> </w:t>
      </w:r>
      <w:r>
        <w:rPr>
          <w:rFonts w:ascii="Times New Roman" w:hAnsi="Times New Roman" w:cs="Times New Roman" w:eastAsia="Times New Roman" w:hint="default"/>
        </w:rPr>
        <w:t>2,978.41</w:t>
      </w:r>
      <w:r>
        <w:rPr>
          <w:rFonts w:ascii="Times New Roman" w:hAnsi="Times New Roman" w:cs="Times New Roman" w:eastAsia="Times New Roman" w:hint="default"/>
          <w:spacing w:val="-11"/>
        </w:rPr>
        <w:t> </w:t>
      </w:r>
      <w:r>
        <w:rPr/>
        <w:t>万元，</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月收购</w:t>
      </w:r>
      <w:r>
        <w:rPr>
          <w:spacing w:val="-54"/>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13"/>
        </w:rPr>
        <w:t> </w:t>
      </w:r>
      <w:r>
        <w:rPr>
          <w:rFonts w:ascii="Times New Roman" w:hAnsi="Times New Roman" w:cs="Times New Roman" w:eastAsia="Times New Roman" w:hint="default"/>
        </w:rPr>
        <w:t>Oy</w:t>
      </w:r>
      <w:r>
        <w:rPr>
          <w:rFonts w:ascii="Times New Roman" w:hAnsi="Times New Roman" w:cs="Times New Roman" w:eastAsia="Times New Roman" w:hint="default"/>
          <w:spacing w:val="-13"/>
        </w:rPr>
        <w:t> </w:t>
      </w:r>
      <w:r>
        <w:rPr/>
        <w:t>确认的商誉</w:t>
      </w:r>
      <w:r>
        <w:rPr>
          <w:spacing w:val="-22"/>
        </w:rPr>
        <w:t> </w:t>
      </w:r>
      <w:r>
        <w:rPr>
          <w:rFonts w:ascii="Times New Roman" w:hAnsi="Times New Roman" w:cs="Times New Roman" w:eastAsia="Times New Roman" w:hint="default"/>
        </w:rPr>
        <w:t>21,084.73</w:t>
      </w:r>
      <w:r>
        <w:rPr>
          <w:rFonts w:ascii="Times New Roman" w:hAnsi="Times New Roman" w:cs="Times New Roman" w:eastAsia="Times New Roman" w:hint="default"/>
          <w:spacing w:val="-13"/>
        </w:rPr>
        <w:t>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 收购</w:t>
      </w:r>
      <w:r>
        <w:rPr>
          <w:spacing w:val="-55"/>
        </w:rPr>
        <w:t> </w:t>
      </w:r>
      <w:r>
        <w:rPr>
          <w:rFonts w:ascii="Times New Roman" w:hAnsi="Times New Roman" w:cs="Times New Roman" w:eastAsia="Times New Roman" w:hint="default"/>
        </w:rPr>
        <w:t>MM</w:t>
      </w:r>
      <w:r>
        <w:rPr>
          <w:rFonts w:ascii="Times New Roman" w:hAnsi="Times New Roman" w:cs="Times New Roman" w:eastAsia="Times New Roman" w:hint="default"/>
          <w:spacing w:val="-12"/>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13"/>
        </w:rPr>
        <w:t> </w:t>
      </w:r>
      <w:r>
        <w:rPr>
          <w:rFonts w:ascii="Times New Roman" w:hAnsi="Times New Roman" w:cs="Times New Roman" w:eastAsia="Times New Roman" w:hint="default"/>
        </w:rPr>
        <w:t>EAD</w:t>
      </w:r>
      <w:r>
        <w:rPr>
          <w:rFonts w:ascii="Times New Roman" w:hAnsi="Times New Roman" w:cs="Times New Roman" w:eastAsia="Times New Roman" w:hint="default"/>
          <w:spacing w:val="-13"/>
        </w:rPr>
        <w:t> </w:t>
      </w:r>
      <w:r>
        <w:rPr/>
        <w:t>确认的商誉</w:t>
      </w:r>
      <w:r>
        <w:rPr>
          <w:spacing w:val="-55"/>
        </w:rPr>
        <w:t> </w:t>
      </w:r>
      <w:r>
        <w:rPr>
          <w:rFonts w:ascii="Times New Roman" w:hAnsi="Times New Roman" w:cs="Times New Roman" w:eastAsia="Times New Roman" w:hint="default"/>
        </w:rPr>
        <w:t>17,936.72</w:t>
      </w:r>
      <w:r>
        <w:rPr>
          <w:rFonts w:ascii="Times New Roman" w:hAnsi="Times New Roman" w:cs="Times New Roman" w:eastAsia="Times New Roman" w:hint="default"/>
          <w:spacing w:val="-11"/>
        </w:rPr>
        <w:t> </w:t>
      </w:r>
      <w:r>
        <w:rPr/>
        <w:t>万元。根据企业会计准则，中科创达公司管理层在每年年度 </w:t>
      </w:r>
      <w:r>
        <w:rPr>
          <w:spacing w:val="-1"/>
        </w:rPr>
        <w:t>终了对商誉进行减值测试。减值评估涉及确定折现率、未来期间销售增长率、毛利率等评估参数，商誉减</w:t>
      </w:r>
      <w:r>
        <w:rPr>
          <w:spacing w:val="-86"/>
        </w:rPr>
        <w:t> </w:t>
      </w:r>
      <w:r>
        <w:rPr>
          <w:spacing w:val="-86"/>
        </w:rPr>
      </w:r>
      <w:r>
        <w:rPr/>
        <w:t>值测试的评估过程复杂，需依赖管理层的判断，因此我们将商誉减值识别为关键审计事项。</w:t>
      </w:r>
    </w:p>
    <w:p>
      <w:pPr>
        <w:spacing w:line="240" w:lineRule="auto" w:before="11"/>
        <w:rPr>
          <w:rFonts w:ascii="宋体" w:hAnsi="宋体" w:cs="宋体" w:eastAsia="宋体" w:hint="default"/>
          <w:sz w:val="14"/>
          <w:szCs w:val="14"/>
        </w:rPr>
      </w:pPr>
    </w:p>
    <w:p>
      <w:pPr>
        <w:pStyle w:val="BodyText"/>
        <w:spacing w:line="420" w:lineRule="auto"/>
        <w:ind w:left="574" w:right="4452"/>
        <w:jc w:val="left"/>
      </w:pPr>
      <w:r>
        <w:rPr>
          <w:rFonts w:ascii="Times New Roman" w:hAnsi="Times New Roman" w:cs="Times New Roman" w:eastAsia="Times New Roman" w:hint="default"/>
        </w:rPr>
        <w:t>2</w:t>
      </w:r>
      <w:r>
        <w:rPr/>
        <w:t>、审计应对 我们针对商誉减值上述关键审计事项执行的主要审计程序包括：</w:t>
      </w:r>
    </w:p>
    <w:p>
      <w:pPr>
        <w:pStyle w:val="BodyText"/>
        <w:spacing w:line="280" w:lineRule="auto" w:before="76"/>
        <w:ind w:left="154" w:right="1115" w:firstLine="420"/>
        <w:jc w:val="left"/>
      </w:pPr>
      <w:r>
        <w:rPr/>
        <w:t>（</w:t>
      </w:r>
      <w:r>
        <w:rPr>
          <w:rFonts w:ascii="Times New Roman" w:hAnsi="Times New Roman" w:cs="Times New Roman" w:eastAsia="Times New Roman" w:hint="default"/>
        </w:rPr>
        <w:t>1</w:t>
      </w:r>
      <w:r>
        <w:rPr/>
        <w:t>）</w:t>
      </w:r>
      <w:r>
        <w:rPr>
          <w:spacing w:val="-23"/>
        </w:rPr>
        <w:t> </w:t>
      </w:r>
      <w:r>
        <w:rPr/>
        <w:t>了解与商誉减值相关的关键内部控制，评价这些控制的设计，确定其是否得到执行，并测试相</w:t>
      </w:r>
      <w:r>
        <w:rPr/>
        <w:t> 关内部控制的运行有效性；</w:t>
      </w:r>
    </w:p>
    <w:p>
      <w:pPr>
        <w:spacing w:line="240" w:lineRule="auto" w:before="1"/>
        <w:rPr>
          <w:rFonts w:ascii="宋体" w:hAnsi="宋体" w:cs="宋体" w:eastAsia="宋体" w:hint="default"/>
          <w:sz w:val="15"/>
          <w:szCs w:val="15"/>
        </w:rPr>
      </w:pPr>
    </w:p>
    <w:p>
      <w:pPr>
        <w:pStyle w:val="BodyText"/>
        <w:spacing w:line="280" w:lineRule="auto"/>
        <w:ind w:left="154" w:right="1117" w:firstLine="420"/>
        <w:jc w:val="left"/>
      </w:pPr>
      <w:r>
        <w:rPr/>
        <w:t>（</w:t>
      </w:r>
      <w:r>
        <w:rPr>
          <w:rFonts w:ascii="Times New Roman" w:hAnsi="Times New Roman" w:cs="Times New Roman" w:eastAsia="Times New Roman" w:hint="default"/>
        </w:rPr>
        <w:t>2</w:t>
      </w:r>
      <w:r>
        <w:rPr/>
        <w:t>）</w:t>
      </w:r>
      <w:r>
        <w:rPr>
          <w:spacing w:val="-25"/>
        </w:rPr>
        <w:t> </w:t>
      </w:r>
      <w:r>
        <w:rPr/>
        <w:t>复核管理层以前年度对未来现金流量现值的预测和实际经营结果，评价管理层过往预测的准确</w:t>
      </w:r>
      <w:r>
        <w:rPr/>
        <w:t> 性；</w:t>
      </w:r>
    </w:p>
    <w:p>
      <w:pPr>
        <w:spacing w:line="240" w:lineRule="auto" w:before="2"/>
        <w:rPr>
          <w:rFonts w:ascii="宋体" w:hAnsi="宋体" w:cs="宋体" w:eastAsia="宋体" w:hint="default"/>
          <w:sz w:val="15"/>
          <w:szCs w:val="15"/>
        </w:rPr>
      </w:pPr>
    </w:p>
    <w:p>
      <w:pPr>
        <w:pStyle w:val="BodyText"/>
        <w:spacing w:line="240" w:lineRule="auto"/>
        <w:ind w:left="574" w:right="1116"/>
        <w:jc w:val="left"/>
      </w:pPr>
      <w:r>
        <w:rPr/>
        <w:t>（</w:t>
      </w:r>
      <w:r>
        <w:rPr>
          <w:rFonts w:ascii="Times New Roman" w:hAnsi="Times New Roman" w:cs="Times New Roman" w:eastAsia="Times New Roman" w:hint="default"/>
        </w:rPr>
        <w:t>3</w:t>
      </w:r>
      <w:r>
        <w:rPr/>
        <w:t>）了解并评价管理层聘用的外部评估专家的胜任能力、专业素质和客观性；</w:t>
      </w:r>
    </w:p>
    <w:p>
      <w:pPr>
        <w:spacing w:line="240" w:lineRule="auto" w:before="8"/>
        <w:rPr>
          <w:rFonts w:ascii="宋体" w:hAnsi="宋体" w:cs="宋体" w:eastAsia="宋体" w:hint="default"/>
          <w:sz w:val="16"/>
          <w:szCs w:val="16"/>
        </w:rPr>
      </w:pPr>
    </w:p>
    <w:p>
      <w:pPr>
        <w:pStyle w:val="BodyText"/>
        <w:spacing w:line="240" w:lineRule="auto"/>
        <w:ind w:left="574" w:right="1116"/>
        <w:jc w:val="left"/>
      </w:pPr>
      <w:r>
        <w:rPr/>
        <w:t>（</w:t>
      </w:r>
      <w:r>
        <w:rPr>
          <w:rFonts w:ascii="Times New Roman" w:hAnsi="Times New Roman" w:cs="Times New Roman" w:eastAsia="Times New Roman" w:hint="default"/>
        </w:rPr>
        <w:t>4</w:t>
      </w:r>
      <w:r>
        <w:rPr/>
        <w:t>）评价管理层在减值测试中使用方法的合理性和一致性；</w:t>
      </w:r>
    </w:p>
    <w:p>
      <w:pPr>
        <w:spacing w:line="240" w:lineRule="auto" w:before="9"/>
        <w:rPr>
          <w:rFonts w:ascii="宋体" w:hAnsi="宋体" w:cs="宋体" w:eastAsia="宋体" w:hint="default"/>
          <w:sz w:val="16"/>
          <w:szCs w:val="16"/>
        </w:rPr>
      </w:pPr>
    </w:p>
    <w:p>
      <w:pPr>
        <w:pStyle w:val="BodyText"/>
        <w:spacing w:line="240" w:lineRule="auto"/>
        <w:ind w:left="574" w:right="1116"/>
        <w:jc w:val="left"/>
      </w:pPr>
      <w:r>
        <w:rPr/>
        <w:t>（</w:t>
      </w:r>
      <w:r>
        <w:rPr>
          <w:rFonts w:ascii="Times New Roman" w:hAnsi="Times New Roman" w:cs="Times New Roman" w:eastAsia="Times New Roman" w:hint="default"/>
        </w:rPr>
        <w:t>5</w:t>
      </w:r>
      <w:r>
        <w:rPr/>
        <w:t>）评价管理层在减值测试中采用的关键假设的合理性；</w:t>
      </w:r>
    </w:p>
    <w:p>
      <w:pPr>
        <w:spacing w:line="240" w:lineRule="auto" w:before="9"/>
        <w:rPr>
          <w:rFonts w:ascii="宋体" w:hAnsi="宋体" w:cs="宋体" w:eastAsia="宋体" w:hint="default"/>
          <w:sz w:val="16"/>
          <w:szCs w:val="16"/>
        </w:rPr>
      </w:pPr>
    </w:p>
    <w:p>
      <w:pPr>
        <w:pStyle w:val="BodyText"/>
        <w:spacing w:line="240" w:lineRule="auto"/>
        <w:ind w:left="574" w:right="1116"/>
        <w:jc w:val="left"/>
      </w:pPr>
      <w:r>
        <w:rPr/>
        <w:t>（</w:t>
      </w:r>
      <w:r>
        <w:rPr>
          <w:rFonts w:ascii="Times New Roman" w:hAnsi="Times New Roman" w:cs="Times New Roman" w:eastAsia="Times New Roman" w:hint="default"/>
        </w:rPr>
        <w:t>6</w:t>
      </w:r>
      <w:r>
        <w:rPr/>
        <w:t>）测试管理层在减值测试中使用数据的准确性、完整性和相关性，并复核减值测试中有关信息的</w:t>
      </w:r>
    </w:p>
    <w:p>
      <w:pPr>
        <w:spacing w:after="0" w:line="240" w:lineRule="auto"/>
        <w:jc w:val="left"/>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40" w:lineRule="auto" w:before="35"/>
        <w:ind w:left="154" w:right="1116"/>
        <w:jc w:val="left"/>
      </w:pPr>
      <w:r>
        <w:rPr/>
        <w:t>内在一致性；</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w:t>
      </w:r>
      <w:r>
        <w:rPr>
          <w:rFonts w:ascii="Times New Roman" w:hAnsi="Times New Roman" w:cs="Times New Roman" w:eastAsia="Times New Roman" w:hint="default"/>
        </w:rPr>
        <w:t>7</w:t>
      </w:r>
      <w:r>
        <w:rPr/>
        <w:t>）检查与商誉减值相关的信息是否已在财务报表中作出恰当列报和披露。</w:t>
      </w:r>
    </w:p>
    <w:p>
      <w:pPr>
        <w:spacing w:line="240" w:lineRule="auto" w:before="0"/>
        <w:rPr>
          <w:rFonts w:ascii="宋体" w:hAnsi="宋体" w:cs="宋体" w:eastAsia="宋体" w:hint="default"/>
          <w:sz w:val="16"/>
          <w:szCs w:val="16"/>
        </w:rPr>
      </w:pPr>
    </w:p>
    <w:p>
      <w:pPr>
        <w:pStyle w:val="BodyText"/>
        <w:spacing w:line="240" w:lineRule="auto"/>
        <w:ind w:left="574" w:right="1116"/>
        <w:jc w:val="left"/>
        <w:rPr>
          <w:rFonts w:ascii="微软雅黑" w:hAnsi="微软雅黑" w:cs="微软雅黑" w:eastAsia="微软雅黑" w:hint="default"/>
        </w:rPr>
      </w:pPr>
      <w:bookmarkStart w:name="四、其他信息" w:id="155"/>
      <w:bookmarkEnd w:id="155"/>
      <w:r>
        <w:rPr/>
      </w:r>
      <w:r>
        <w:rPr>
          <w:rFonts w:ascii="微软雅黑" w:hAnsi="微软雅黑" w:cs="微软雅黑" w:eastAsia="微软雅黑" w:hint="default"/>
        </w:rPr>
        <w:t>四、其他信息</w:t>
      </w:r>
    </w:p>
    <w:p>
      <w:pPr>
        <w:spacing w:line="240" w:lineRule="auto" w:before="9"/>
        <w:rPr>
          <w:rFonts w:ascii="微软雅黑" w:hAnsi="微软雅黑" w:cs="微软雅黑" w:eastAsia="微软雅黑" w:hint="default"/>
          <w:sz w:val="20"/>
          <w:szCs w:val="20"/>
        </w:rPr>
      </w:pPr>
    </w:p>
    <w:p>
      <w:pPr>
        <w:pStyle w:val="BodyText"/>
        <w:spacing w:line="280" w:lineRule="auto"/>
        <w:ind w:left="154" w:right="1116" w:firstLine="420"/>
        <w:jc w:val="left"/>
      </w:pPr>
      <w:r>
        <w:rPr/>
        <w:t>中科创达公司管理层（以下简称管理层）对其他信息负责。其他信息包括</w:t>
      </w:r>
      <w:r>
        <w:rPr>
          <w:spacing w:val="-33"/>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股</w:t>
      </w:r>
      <w:r>
        <w:rPr>
          <w:spacing w:val="-3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年年度报告中涵 盖的信息，但不包括财务报表和我们的审计报告。</w:t>
      </w:r>
    </w:p>
    <w:p>
      <w:pPr>
        <w:pStyle w:val="BodyText"/>
        <w:spacing w:line="508" w:lineRule="exact" w:before="37"/>
        <w:ind w:left="574" w:right="1116"/>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BodyText"/>
        <w:spacing w:line="268" w:lineRule="exact"/>
        <w:ind w:left="154" w:right="1116"/>
        <w:jc w:val="left"/>
      </w:pPr>
      <w:r>
        <w:rPr/>
        <w:t>表或我们在审计过程中了解到的情况存在重大不一致或者似乎存在重大错报。</w:t>
      </w:r>
    </w:p>
    <w:p>
      <w:pPr>
        <w:spacing w:line="240" w:lineRule="auto" w:before="12"/>
        <w:rPr>
          <w:rFonts w:ascii="宋体" w:hAnsi="宋体" w:cs="宋体" w:eastAsia="宋体" w:hint="default"/>
          <w:sz w:val="17"/>
          <w:szCs w:val="17"/>
        </w:rPr>
      </w:pPr>
    </w:p>
    <w:p>
      <w:pPr>
        <w:pStyle w:val="BodyText"/>
        <w:spacing w:line="297" w:lineRule="auto"/>
        <w:ind w:left="154" w:right="1116" w:firstLine="420"/>
        <w:jc w:val="left"/>
      </w:pPr>
      <w:r>
        <w:rPr>
          <w:spacing w:val="-1"/>
        </w:rPr>
        <w:t>基于我们已执行的工作，如果我们确定其他信息存在重大错报，我们应当报告该事实。在这方面，我</w:t>
      </w:r>
      <w:r>
        <w:rPr/>
        <w:t> 们无任何事项需要报告。</w:t>
      </w:r>
    </w:p>
    <w:p>
      <w:pPr>
        <w:pStyle w:val="BodyText"/>
        <w:spacing w:line="240" w:lineRule="auto" w:before="175"/>
        <w:ind w:left="574" w:right="1116"/>
        <w:jc w:val="left"/>
        <w:rPr>
          <w:rFonts w:ascii="微软雅黑" w:hAnsi="微软雅黑" w:cs="微软雅黑" w:eastAsia="微软雅黑" w:hint="default"/>
        </w:rPr>
      </w:pPr>
      <w:bookmarkStart w:name="五、管理层和治理层对财务报表的责任" w:id="156"/>
      <w:bookmarkEnd w:id="156"/>
      <w:r>
        <w:rPr/>
      </w:r>
      <w:r>
        <w:rPr>
          <w:rFonts w:ascii="微软雅黑" w:hAnsi="微软雅黑" w:cs="微软雅黑" w:eastAsia="微软雅黑" w:hint="default"/>
        </w:rPr>
        <w:t>五、管理层和治理层对财务报表的责任</w:t>
      </w:r>
    </w:p>
    <w:p>
      <w:pPr>
        <w:spacing w:line="240" w:lineRule="auto" w:before="8"/>
        <w:rPr>
          <w:rFonts w:ascii="微软雅黑" w:hAnsi="微软雅黑" w:cs="微软雅黑" w:eastAsia="微软雅黑" w:hint="default"/>
          <w:sz w:val="20"/>
          <w:szCs w:val="20"/>
        </w:rPr>
      </w:pPr>
    </w:p>
    <w:p>
      <w:pPr>
        <w:pStyle w:val="BodyText"/>
        <w:spacing w:line="297" w:lineRule="auto"/>
        <w:ind w:left="154" w:right="1116" w:firstLine="420"/>
        <w:jc w:val="left"/>
      </w:pPr>
      <w:r>
        <w:rPr>
          <w:spacing w:val="-1"/>
        </w:rPr>
        <w:t>中科创达公司管理层（以下简称管理层）负责按照企业会计准则的规定编制财务报表，使其实现公允</w:t>
      </w:r>
      <w:r>
        <w:rPr/>
        <w:t> 反映，并设计、执行和维护必要的内部控制，以使财务报表不存在由于舞弊或错误导致的重大错报。</w:t>
      </w:r>
    </w:p>
    <w:p>
      <w:pPr>
        <w:spacing w:line="240" w:lineRule="auto" w:before="0"/>
        <w:rPr>
          <w:rFonts w:ascii="宋体" w:hAnsi="宋体" w:cs="宋体" w:eastAsia="宋体" w:hint="default"/>
          <w:sz w:val="14"/>
          <w:szCs w:val="14"/>
        </w:rPr>
      </w:pPr>
    </w:p>
    <w:p>
      <w:pPr>
        <w:pStyle w:val="BodyText"/>
        <w:spacing w:line="297" w:lineRule="auto"/>
        <w:ind w:left="154" w:right="1116" w:firstLine="420"/>
        <w:jc w:val="left"/>
      </w:pPr>
      <w:r>
        <w:rPr>
          <w:spacing w:val="-1"/>
        </w:rPr>
        <w:t>在编制财务报表时，管理层负责评估中科创达公司的持续经营能力，披露与持续经营相关的事项，并</w:t>
      </w:r>
      <w:r>
        <w:rPr/>
        <w:t> 运用持续经营假设，除非管理层计划清算中科创达公司、终止运营或别无其他现实的选择。</w:t>
      </w:r>
    </w:p>
    <w:p>
      <w:pPr>
        <w:spacing w:line="240" w:lineRule="auto" w:before="1"/>
        <w:rPr>
          <w:rFonts w:ascii="宋体" w:hAnsi="宋体" w:cs="宋体" w:eastAsia="宋体" w:hint="default"/>
          <w:sz w:val="14"/>
          <w:szCs w:val="14"/>
        </w:rPr>
      </w:pPr>
    </w:p>
    <w:p>
      <w:pPr>
        <w:pStyle w:val="BodyText"/>
        <w:spacing w:line="240" w:lineRule="auto"/>
        <w:ind w:left="574" w:right="1116"/>
        <w:jc w:val="left"/>
      </w:pPr>
      <w:r>
        <w:rPr/>
        <w:t>治理层负责监督中科创达公司的财务报告过程。</w:t>
      </w:r>
    </w:p>
    <w:p>
      <w:pPr>
        <w:spacing w:line="240" w:lineRule="auto" w:before="3"/>
        <w:rPr>
          <w:rFonts w:ascii="宋体" w:hAnsi="宋体" w:cs="宋体" w:eastAsia="宋体" w:hint="default"/>
          <w:sz w:val="17"/>
          <w:szCs w:val="17"/>
        </w:rPr>
      </w:pPr>
    </w:p>
    <w:p>
      <w:pPr>
        <w:pStyle w:val="BodyText"/>
        <w:spacing w:line="240" w:lineRule="auto"/>
        <w:ind w:left="574" w:right="1116"/>
        <w:jc w:val="left"/>
        <w:rPr>
          <w:rFonts w:ascii="微软雅黑" w:hAnsi="微软雅黑" w:cs="微软雅黑" w:eastAsia="微软雅黑" w:hint="default"/>
        </w:rPr>
      </w:pPr>
      <w:bookmarkStart w:name="六、注册会计师对财务报表审计的责任" w:id="157"/>
      <w:bookmarkEnd w:id="157"/>
      <w:r>
        <w:rPr/>
      </w:r>
      <w:r>
        <w:rPr>
          <w:rFonts w:ascii="微软雅黑" w:hAnsi="微软雅黑" w:cs="微软雅黑" w:eastAsia="微软雅黑" w:hint="default"/>
        </w:rPr>
        <w:t>六、注册会计师对财务报表审计的责任</w:t>
      </w:r>
    </w:p>
    <w:p>
      <w:pPr>
        <w:spacing w:line="240" w:lineRule="auto" w:before="7"/>
        <w:rPr>
          <w:rFonts w:ascii="微软雅黑" w:hAnsi="微软雅黑" w:cs="微软雅黑" w:eastAsia="微软雅黑" w:hint="default"/>
          <w:sz w:val="20"/>
          <w:szCs w:val="20"/>
        </w:rPr>
      </w:pPr>
    </w:p>
    <w:p>
      <w:pPr>
        <w:pStyle w:val="BodyText"/>
        <w:spacing w:line="297" w:lineRule="auto"/>
        <w:ind w:left="154" w:right="1131" w:firstLine="420"/>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spacing w:line="240" w:lineRule="auto" w:before="12"/>
        <w:rPr>
          <w:rFonts w:ascii="宋体" w:hAnsi="宋体" w:cs="宋体" w:eastAsia="宋体" w:hint="default"/>
          <w:sz w:val="13"/>
          <w:szCs w:val="13"/>
        </w:rPr>
      </w:pPr>
    </w:p>
    <w:p>
      <w:pPr>
        <w:pStyle w:val="BodyText"/>
        <w:spacing w:line="297" w:lineRule="auto"/>
        <w:ind w:left="154" w:right="1116" w:firstLine="420"/>
        <w:jc w:val="left"/>
      </w:pPr>
      <w:r>
        <w:rPr>
          <w:spacing w:val="-1"/>
        </w:rPr>
        <w:t>在按照审计准则执行审计工作的过程中，我们运用职业判断，并保持职业怀疑。同时，我们也执行以</w:t>
      </w:r>
      <w:r>
        <w:rPr/>
        <w:t> 下工作：</w:t>
      </w:r>
    </w:p>
    <w:p>
      <w:pPr>
        <w:spacing w:line="240" w:lineRule="auto" w:before="0"/>
        <w:rPr>
          <w:rFonts w:ascii="宋体" w:hAnsi="宋体" w:cs="宋体" w:eastAsia="宋体" w:hint="default"/>
          <w:sz w:val="14"/>
          <w:szCs w:val="14"/>
        </w:rPr>
      </w:pPr>
    </w:p>
    <w:p>
      <w:pPr>
        <w:pStyle w:val="BodyText"/>
        <w:spacing w:line="297" w:lineRule="auto"/>
        <w:ind w:left="154" w:right="1023" w:firstLine="420"/>
        <w:jc w:val="left"/>
      </w:pPr>
      <w:r>
        <w:rPr/>
        <w:t>（</w:t>
      </w:r>
      <w:r>
        <w:rPr>
          <w:rFonts w:ascii="宋体" w:hAnsi="宋体" w:cs="宋体" w:eastAsia="宋体"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spacing w:line="240" w:lineRule="auto" w:before="12"/>
        <w:rPr>
          <w:rFonts w:ascii="宋体" w:hAnsi="宋体" w:cs="宋体" w:eastAsia="宋体" w:hint="default"/>
          <w:sz w:val="13"/>
          <w:szCs w:val="13"/>
        </w:rPr>
      </w:pPr>
    </w:p>
    <w:p>
      <w:pPr>
        <w:pStyle w:val="BodyText"/>
        <w:spacing w:line="240" w:lineRule="auto"/>
        <w:ind w:left="574" w:right="1116"/>
        <w:jc w:val="left"/>
      </w:pPr>
      <w:r>
        <w:rPr/>
        <w:t>（</w:t>
      </w:r>
      <w:r>
        <w:rPr>
          <w:rFonts w:ascii="宋体" w:hAnsi="宋体" w:cs="宋体" w:eastAsia="宋体" w:hint="default"/>
        </w:rPr>
        <w:t>2</w:t>
      </w:r>
      <w:r>
        <w:rPr/>
        <w:t>）了解与审计相关的内部控制，以设计恰当的审计程序。</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12"/>
        <w:rPr>
          <w:rFonts w:ascii="宋体" w:hAnsi="宋体" w:cs="宋体" w:eastAsia="宋体" w:hint="default"/>
          <w:sz w:val="17"/>
          <w:szCs w:val="17"/>
        </w:rPr>
      </w:pPr>
    </w:p>
    <w:p>
      <w:pPr>
        <w:pStyle w:val="BodyText"/>
        <w:spacing w:line="297" w:lineRule="auto"/>
        <w:ind w:left="154" w:right="1116" w:firstLine="420"/>
        <w:jc w:val="left"/>
      </w:pPr>
      <w:r>
        <w:rPr/>
        <w:t>（</w:t>
      </w:r>
      <w:r>
        <w:rPr>
          <w:rFonts w:ascii="宋体" w:hAnsi="宋体" w:cs="宋体" w:eastAsia="宋体" w:hint="default"/>
        </w:rPr>
        <w:t>4</w:t>
      </w:r>
      <w:r>
        <w:rPr/>
        <w:t>）对管理层使用持续经营假设的恰当性得出结论。同时，根据获取的审计证据，就可能导致对中 </w:t>
      </w:r>
      <w:r>
        <w:rPr>
          <w:spacing w:val="-1"/>
        </w:rPr>
        <w:t>科创达公司持续经营能力产生重大疑虑的事项或情况是否存在重大不确定性得出结论。如果我们得出结论</w:t>
      </w:r>
    </w:p>
    <w:p>
      <w:pPr>
        <w:spacing w:after="0" w:line="297" w:lineRule="auto"/>
        <w:jc w:val="left"/>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97" w:lineRule="auto" w:before="35"/>
        <w:ind w:left="214" w:right="1131"/>
        <w:jc w:val="both"/>
      </w:pPr>
      <w:r>
        <w:rPr>
          <w:spacing w:val="-1"/>
        </w:rPr>
        <w:t>认为存在重大不确定性，审计准则要求我们在审计报告中提请报表使用者注意财务报表中的相关披露；如</w:t>
      </w:r>
      <w:r>
        <w:rPr>
          <w:spacing w:val="-81"/>
        </w:rPr>
        <w:t> </w:t>
      </w:r>
      <w:r>
        <w:rPr>
          <w:spacing w:val="-81"/>
        </w:rPr>
      </w:r>
      <w:r>
        <w:rPr>
          <w:spacing w:val="-1"/>
        </w:rPr>
        <w:t>果披露不充分，我们应当发表非无保留意见。我们的结论基于截至审计报告日可获得的信息。然而，未来</w:t>
      </w:r>
      <w:r>
        <w:rPr>
          <w:spacing w:val="-86"/>
        </w:rPr>
        <w:t> </w:t>
      </w:r>
      <w:r>
        <w:rPr>
          <w:spacing w:val="-86"/>
        </w:rPr>
      </w:r>
      <w:r>
        <w:rPr/>
        <w:t>的事项或情况可能导致中科创达公司不能持续经营。</w:t>
      </w:r>
    </w:p>
    <w:p>
      <w:pPr>
        <w:spacing w:line="240" w:lineRule="auto" w:before="1"/>
        <w:rPr>
          <w:rFonts w:ascii="宋体" w:hAnsi="宋体" w:cs="宋体" w:eastAsia="宋体" w:hint="default"/>
          <w:sz w:val="14"/>
          <w:szCs w:val="14"/>
        </w:rPr>
      </w:pPr>
    </w:p>
    <w:p>
      <w:pPr>
        <w:pStyle w:val="BodyText"/>
        <w:spacing w:line="297" w:lineRule="auto"/>
        <w:ind w:left="214" w:right="1141" w:firstLine="420"/>
        <w:jc w:val="both"/>
      </w:pPr>
      <w:r>
        <w:rPr/>
        <w:t>（</w:t>
      </w:r>
      <w:r>
        <w:rPr>
          <w:rFonts w:ascii="宋体" w:hAnsi="宋体" w:cs="宋体" w:eastAsia="宋体" w:hint="default"/>
        </w:rPr>
        <w:t>5</w:t>
      </w:r>
      <w:r>
        <w:rPr/>
        <w:t>）评价财务报表的总体列报、结构和内容（包括披露），并评价财务报表是否公允反映相关交易 和事项。</w:t>
      </w:r>
    </w:p>
    <w:p>
      <w:pPr>
        <w:spacing w:line="240" w:lineRule="auto" w:before="12"/>
        <w:rPr>
          <w:rFonts w:ascii="宋体" w:hAnsi="宋体" w:cs="宋体" w:eastAsia="宋体" w:hint="default"/>
          <w:sz w:val="13"/>
          <w:szCs w:val="13"/>
        </w:rPr>
      </w:pPr>
    </w:p>
    <w:p>
      <w:pPr>
        <w:pStyle w:val="BodyText"/>
        <w:spacing w:line="297" w:lineRule="auto"/>
        <w:ind w:left="214" w:right="1141" w:firstLine="420"/>
        <w:jc w:val="both"/>
      </w:pPr>
      <w:r>
        <w:rPr/>
        <w:t>（</w:t>
      </w:r>
      <w:r>
        <w:rPr>
          <w:rFonts w:ascii="宋体" w:hAnsi="宋体" w:cs="宋体" w:eastAsia="宋体" w:hint="default"/>
        </w:rPr>
        <w:t>6</w:t>
      </w:r>
      <w:r>
        <w:rPr/>
        <w:t>）就中科创达公司中实体或业务活动的财务信息获取充分、适当的审计证据，以对财务报表发表 意见。我们负责指导、监督和执行集团审计，并对审计意见承担全部责任。</w:t>
      </w:r>
    </w:p>
    <w:p>
      <w:pPr>
        <w:spacing w:line="240" w:lineRule="auto" w:before="0"/>
        <w:rPr>
          <w:rFonts w:ascii="宋体" w:hAnsi="宋体" w:cs="宋体" w:eastAsia="宋体" w:hint="default"/>
          <w:sz w:val="14"/>
          <w:szCs w:val="14"/>
        </w:rPr>
      </w:pPr>
    </w:p>
    <w:p>
      <w:pPr>
        <w:pStyle w:val="BodyText"/>
        <w:spacing w:line="297" w:lineRule="auto"/>
        <w:ind w:left="214"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spacing w:line="240" w:lineRule="auto" w:before="12"/>
        <w:rPr>
          <w:rFonts w:ascii="宋体" w:hAnsi="宋体" w:cs="宋体" w:eastAsia="宋体" w:hint="default"/>
          <w:sz w:val="13"/>
          <w:szCs w:val="13"/>
        </w:rPr>
      </w:pPr>
    </w:p>
    <w:p>
      <w:pPr>
        <w:pStyle w:val="BodyText"/>
        <w:spacing w:line="297" w:lineRule="auto"/>
        <w:ind w:left="214" w:right="1131" w:firstLine="420"/>
        <w:jc w:val="both"/>
      </w:pPr>
      <w:r>
        <w:rPr>
          <w:spacing w:val="-1"/>
        </w:rPr>
        <w:t>我们还就已遵守与独立性相关的职业道德要求向治理层提供声明，并与治理层沟通可能被合理认为影</w:t>
      </w:r>
      <w:r>
        <w:rPr/>
        <w:t> 响我们独立性的所有关系和其他事项，以及相关的防范措施。</w:t>
      </w:r>
    </w:p>
    <w:p>
      <w:pPr>
        <w:spacing w:line="240" w:lineRule="auto" w:before="0"/>
        <w:rPr>
          <w:rFonts w:ascii="宋体" w:hAnsi="宋体" w:cs="宋体" w:eastAsia="宋体" w:hint="default"/>
          <w:sz w:val="14"/>
          <w:szCs w:val="14"/>
        </w:rPr>
      </w:pPr>
    </w:p>
    <w:p>
      <w:pPr>
        <w:pStyle w:val="BodyText"/>
        <w:spacing w:line="297" w:lineRule="auto"/>
        <w:ind w:left="214" w:right="1131"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10"/>
        <w:rPr>
          <w:rFonts w:ascii="宋体" w:hAnsi="宋体" w:cs="宋体" w:eastAsia="宋体" w:hint="default"/>
          <w:sz w:val="17"/>
          <w:szCs w:val="17"/>
        </w:rPr>
      </w:pPr>
    </w:p>
    <w:p>
      <w:pPr>
        <w:pStyle w:val="Heading2"/>
        <w:spacing w:line="240" w:lineRule="auto"/>
        <w:ind w:right="0"/>
        <w:jc w:val="both"/>
      </w:pPr>
      <w:bookmarkStart w:name="二、财务报表" w:id="158"/>
      <w:bookmarkEnd w:id="158"/>
      <w:r>
        <w:rPr/>
      </w:r>
      <w:r>
        <w:rPr/>
        <w:t>二、财务报表</w:t>
      </w:r>
    </w:p>
    <w:p>
      <w:pPr>
        <w:spacing w:line="240" w:lineRule="auto" w:before="14"/>
        <w:rPr>
          <w:rFonts w:ascii="微软雅黑" w:hAnsi="微软雅黑" w:cs="微软雅黑" w:eastAsia="微软雅黑" w:hint="default"/>
          <w:sz w:val="24"/>
          <w:szCs w:val="24"/>
        </w:rPr>
      </w:pPr>
    </w:p>
    <w:p>
      <w:pPr>
        <w:pStyle w:val="BodyText"/>
        <w:spacing w:line="456" w:lineRule="auto"/>
        <w:ind w:right="6762"/>
        <w:jc w:val="left"/>
      </w:pPr>
      <w:r>
        <w:rPr/>
        <w:t>财务附注中报表的单位为：人民币元 </w:t>
      </w:r>
      <w:bookmarkStart w:name="1、合并资产负债表" w:id="159"/>
      <w:bookmarkEnd w:id="159"/>
      <w:r>
        <w:rPr/>
      </w:r>
      <w:r>
        <w:rPr>
          <w:rFonts w:ascii="Times New Roman" w:hAnsi="Times New Roman" w:cs="Times New Roman" w:eastAsia="Times New Roman" w:hint="default"/>
        </w:rPr>
        <w:t>1</w:t>
      </w:r>
      <w:r>
        <w:rPr>
          <w:rFonts w:ascii="微软雅黑" w:hAnsi="微软雅黑" w:cs="微软雅黑" w:eastAsia="微软雅黑" w:hint="default"/>
        </w:rPr>
        <w:t>、合并资产负债表 </w:t>
      </w:r>
      <w:r>
        <w:rPr/>
        <w:t>编制单位：中科创达软件股份有限公司</w:t>
      </w:r>
    </w:p>
    <w:p>
      <w:pPr>
        <w:spacing w:before="4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90"/>
        <w:gridCol w:w="3508"/>
        <w:gridCol w:w="3058"/>
      </w:tblGrid>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894,467,911.39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1,274,602,996.80</w:t>
            </w: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损益的金融资产</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492,395,779.26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408,133,097.53</w:t>
            </w: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3,019,625.45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2,466,088.51</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489,376,153.81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405,667,009.02</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23,601,970.08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42,129,448.70</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290"/>
        <w:gridCol w:w="3508"/>
        <w:gridCol w:w="3058"/>
      </w:tblGrid>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16,521,054.76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16,990,717.19</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3,629,429.71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5,715,386.44</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15,099,112.11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8,463,149.40</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52,452,923.93</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2,459,159.64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6,634,979.76</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12,318,809.23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7,311,856.47</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1,456,863,796.47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1,816,719,169.78</w:t>
            </w:r>
          </w:p>
        </w:tc>
      </w:tr>
      <w:tr>
        <w:trPr>
          <w:trHeight w:val="406"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203,663,711.10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151,891,508.11</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49,392,102.77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50,814,287.58</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44,532,630.05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47,975,653.30</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73,269,916.59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75,179,755.20</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260,772,840.62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236,581,271.33</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43,125,797.40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419,998,609.57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239,422,345.36</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25,594,197.80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8,489,086.53</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13,470,061.12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8,992,223.20</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12,989,966.20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21,565,256.37</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1,146,809,833.22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840,911,386.98</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2,603,673,629.69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2,657,630,556.76</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373,753,560.00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666,543,140.00</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290"/>
        <w:gridCol w:w="3508"/>
        <w:gridCol w:w="3058"/>
      </w:tblGrid>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损益的金融负债</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19,413,700.00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41,445,871.46</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76,635,795.41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92,929,165.27</w:t>
            </w: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24,958,954.84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18,750,149.47</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136,133,087.79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46,691,287.48</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27,134,295.91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21,393,277.83</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113,440,175.50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211,409,010.44</w:t>
            </w: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374,746.17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391,748.90</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1,008,576.46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1,237,338.30</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3,225,759.16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3,360,378.28</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19,934,757.15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10,982,646.41</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794,630,085.76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1,113,504,926.64</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163,771,581.54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166,006,416.18</w:t>
            </w: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7,547,581.17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7,340,738.68</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39,138,952.88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22,574,240.04</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46,822,963.87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41,491,674.39</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290"/>
        <w:gridCol w:w="3508"/>
        <w:gridCol w:w="3058"/>
      </w:tblGrid>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257,281,079.46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237,413,069.29</w:t>
            </w: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1,051,911,165.22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1,350,917,995.93</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5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403,090,847.00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403,878,622.00</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384,344.40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384,344.40</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7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650,901,645.01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630,783,455.92</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94,789,061.50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182,388,017.67</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5,186,311.83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3,258,823.01</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57,163,657.72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54,432,581.15</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508"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471,764,959.41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342,328,045.64</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1,493,702,703.87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1,252,677,854.45</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58,059,760.60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54,034,706.38</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1,551,762,464.47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1,306,712,560.83</w:t>
            </w:r>
          </w:p>
        </w:tc>
      </w:tr>
      <w:tr>
        <w:trPr>
          <w:trHeight w:val="408"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2,603,673,629.69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2,657,630,556.76</w:t>
            </w:r>
          </w:p>
        </w:tc>
      </w:tr>
    </w:tbl>
    <w:p>
      <w:pPr>
        <w:spacing w:line="240" w:lineRule="auto" w:before="7"/>
        <w:rPr>
          <w:rFonts w:ascii="Times New Roman" w:hAnsi="Times New Roman" w:cs="Times New Roman" w:eastAsia="Times New Roman" w:hint="default"/>
          <w:sz w:val="19"/>
          <w:szCs w:val="19"/>
        </w:rPr>
      </w:pPr>
    </w:p>
    <w:p>
      <w:pPr>
        <w:tabs>
          <w:tab w:pos="3634" w:val="left" w:leader="none"/>
          <w:tab w:pos="7775" w:val="left" w:leader="none"/>
        </w:tabs>
        <w:spacing w:before="44"/>
        <w:ind w:left="214" w:right="1016" w:firstLine="0"/>
        <w:jc w:val="left"/>
        <w:rPr>
          <w:rFonts w:ascii="宋体" w:hAnsi="宋体" w:cs="宋体" w:eastAsia="宋体" w:hint="default"/>
          <w:sz w:val="18"/>
          <w:szCs w:val="18"/>
        </w:rPr>
      </w:pPr>
      <w:r>
        <w:rPr>
          <w:rFonts w:ascii="宋体" w:hAnsi="宋体" w:cs="宋体" w:eastAsia="宋体" w:hint="default"/>
          <w:sz w:val="18"/>
          <w:szCs w:val="18"/>
        </w:rPr>
        <w:t>法定代表人：赵鸿飞</w:t>
        <w:tab/>
        <w:t>主管会计工作负责人：王焕欣</w:t>
        <w:tab/>
        <w:t>会计机构负责人：马晓培</w:t>
      </w:r>
    </w:p>
    <w:p>
      <w:pPr>
        <w:spacing w:after="0"/>
        <w:jc w:val="left"/>
        <w:rPr>
          <w:rFonts w:ascii="宋体" w:hAnsi="宋体" w:cs="宋体" w:eastAsia="宋体" w:hint="default"/>
          <w:sz w:val="18"/>
          <w:szCs w:val="18"/>
        </w:rPr>
        <w:sectPr>
          <w:pgSz w:w="11910" w:h="16840"/>
          <w:pgMar w:header="801" w:footer="1007" w:top="1100" w:bottom="1200" w:left="920" w:right="0"/>
        </w:sectPr>
      </w:pPr>
    </w:p>
    <w:p>
      <w:pPr>
        <w:spacing w:line="240" w:lineRule="auto" w:before="0"/>
        <w:rPr>
          <w:rFonts w:ascii="宋体" w:hAnsi="宋体" w:cs="宋体" w:eastAsia="宋体" w:hint="default"/>
          <w:sz w:val="20"/>
          <w:szCs w:val="20"/>
        </w:rPr>
      </w:pPr>
    </w:p>
    <w:p>
      <w:pPr>
        <w:pStyle w:val="BodyText"/>
        <w:spacing w:line="240" w:lineRule="auto" w:before="95"/>
        <w:ind w:right="1016"/>
        <w:jc w:val="left"/>
        <w:rPr>
          <w:rFonts w:ascii="微软雅黑" w:hAnsi="微软雅黑" w:cs="微软雅黑" w:eastAsia="微软雅黑" w:hint="default"/>
        </w:rPr>
      </w:pPr>
      <w:bookmarkStart w:name="2、母公司资产负债表" w:id="160"/>
      <w:bookmarkEnd w:id="160"/>
      <w:r>
        <w:rPr/>
      </w:r>
      <w:r>
        <w:rPr>
          <w:rFonts w:ascii="Times New Roman" w:hAnsi="Times New Roman" w:cs="Times New Roman" w:eastAsia="Times New Roman" w:hint="default"/>
        </w:rPr>
        <w:t>2</w:t>
      </w:r>
      <w:r>
        <w:rPr>
          <w:rFonts w:ascii="微软雅黑" w:hAnsi="微软雅黑" w:cs="微软雅黑" w:eastAsia="微软雅黑" w:hint="default"/>
        </w:rPr>
        <w:t>、母公司资产负债表</w:t>
      </w:r>
    </w:p>
    <w:p>
      <w:pPr>
        <w:spacing w:line="240" w:lineRule="auto" w:before="7"/>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400"/>
        <w:gridCol w:w="3400"/>
        <w:gridCol w:w="3056"/>
      </w:tblGrid>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431,368,272.22</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693,065,895.75</w:t>
            </w:r>
          </w:p>
        </w:tc>
      </w:tr>
      <w:tr>
        <w:trPr>
          <w:trHeight w:val="476"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损益的金融资产</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392,415,560.19</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377,739,643.67</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392,415,560.19</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377,739,643.67</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64,313,935.33</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32,547,886.55</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41,838,891.00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41,572,776.89</w:t>
            </w: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3,629,429.71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5,715,386.44</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1"/>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3,885,207.96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46,310.46</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926,640.00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5,217,300.00</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5,722,227.86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3,389,245.87</w:t>
            </w: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940,470,734.56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1,153,579,059.19</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125,531,228.00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72,531,228.00</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6,262,119.54</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4,938,654.57</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870,217,108.91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677,525,571.50</w:t>
            </w: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3,402,509.36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4,046,130.24</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14,052,305.00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17,185,051.06</w:t>
            </w: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18,883,111.81</w:t>
            </w: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2"/>
                <w:sz w:val="18"/>
              </w:rPr>
              <w:t>11,327,611.91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779,919.14</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400"/>
        <w:gridCol w:w="3400"/>
        <w:gridCol w:w="3056"/>
      </w:tblGrid>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6,720,650.21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5,441,071.80</w:t>
            </w: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12,989,966.20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15,713,531.37</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1,069,386,610.94</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798,161,157.68</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2,009,857,345.50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1,951,740,216.87</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353,753,560.00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351,246,360.00</w:t>
            </w:r>
          </w:p>
        </w:tc>
      </w:tr>
      <w:tr>
        <w:trPr>
          <w:trHeight w:val="47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损益的金融负债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19,413,700.00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35,301,716.26</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116,986,692.69</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86,565,537.00</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4,913,697.63</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5,944,328.48</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39,968,312.01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13,005,077.04</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3,197,108.33</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9,808,477.81</w:t>
            </w: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104,659,606.55</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195,863,477.42</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27,987.55</w:t>
            </w: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1,008,576.46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1,237,338.30</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5,752,165.83</w:t>
            </w: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648,644,843.04</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697,734,974.01</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8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22,870,000.00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22,870,000.00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671,514,843.04</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715,734,974.01</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400"/>
        <w:gridCol w:w="3400"/>
        <w:gridCol w:w="3056"/>
      </w:tblGrid>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403,090,847.00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403,878,622.00</w:t>
            </w: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8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647,141,880.45</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626,790,277.26</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94,789,061.50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182,388,017.67</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0"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57,163,657.72</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54,432,581.15</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325,735,178.79</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333,291,780.12</w:t>
            </w:r>
          </w:p>
        </w:tc>
      </w:tr>
      <w:tr>
        <w:trPr>
          <w:trHeight w:val="407"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1,338,342,502.46</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1,236,005,242.86</w:t>
            </w:r>
          </w:p>
        </w:tc>
      </w:tr>
      <w:tr>
        <w:trPr>
          <w:trHeight w:val="408" w:hRule="exact"/>
        </w:trPr>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2,009,857,345.50</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1,951,740,216.87</w:t>
            </w:r>
          </w:p>
        </w:tc>
      </w:tr>
    </w:tbl>
    <w:p>
      <w:pPr>
        <w:spacing w:line="240" w:lineRule="auto" w:before="1"/>
        <w:rPr>
          <w:rFonts w:ascii="Times New Roman" w:hAnsi="Times New Roman" w:cs="Times New Roman" w:eastAsia="Times New Roman" w:hint="default"/>
          <w:sz w:val="10"/>
          <w:szCs w:val="10"/>
        </w:rPr>
      </w:pPr>
    </w:p>
    <w:p>
      <w:pPr>
        <w:pStyle w:val="BodyText"/>
        <w:spacing w:line="324" w:lineRule="exact"/>
        <w:ind w:right="1016"/>
        <w:jc w:val="left"/>
        <w:rPr>
          <w:rFonts w:ascii="微软雅黑" w:hAnsi="微软雅黑" w:cs="微软雅黑" w:eastAsia="微软雅黑" w:hint="default"/>
        </w:rPr>
      </w:pPr>
      <w:bookmarkStart w:name="3、合并利润表" w:id="161"/>
      <w:bookmarkEnd w:id="161"/>
      <w:r>
        <w:rPr/>
      </w:r>
      <w:r>
        <w:rPr>
          <w:rFonts w:ascii="Times New Roman" w:hAnsi="Times New Roman" w:cs="Times New Roman" w:eastAsia="Times New Roman" w:hint="default"/>
        </w:rPr>
        <w:t>3</w:t>
      </w:r>
      <w:r>
        <w:rPr>
          <w:rFonts w:ascii="微软雅黑" w:hAnsi="微软雅黑" w:cs="微软雅黑" w:eastAsia="微软雅黑" w:hint="default"/>
        </w:rPr>
        <w:t>、合并利润表</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056"/>
        <w:gridCol w:w="3399"/>
        <w:gridCol w:w="3401"/>
      </w:tblGrid>
      <w:tr>
        <w:trPr>
          <w:trHeight w:val="40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1,464,583,745.46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1,162,327,240.88</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1,464,583,745.46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1,162,327,240.88</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0"/>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1,375,516,309.38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1,126,641,704.70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853,732,204.27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739,507,068.74</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0"/>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4,099,349.79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4,720,598.34</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95,505,398.78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46,453,300.96</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187,273,044.16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147,539,045.72</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056"/>
        <w:gridCol w:w="3399"/>
        <w:gridCol w:w="3401"/>
      </w:tblGrid>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234,507,891.48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135,453,232.01</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-3,463,537.66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31,946,116.94</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8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18,247,534.88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15,515,987.76</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8,097,150.59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9,449,209.50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3,861,958.56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21,022,341.99</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79,917,021.42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30,494,989.50</w:t>
            </w:r>
          </w:p>
        </w:tc>
      </w:tr>
      <w:tr>
        <w:trPr>
          <w:trHeight w:val="47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2,843,935.11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7,954,916.74</w:t>
            </w:r>
          </w:p>
        </w:tc>
      </w:tr>
      <w:tr>
        <w:trPr>
          <w:trHeight w:val="47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823" w:right="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业的投资收益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4,405,873.85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7,839,750.46</w:t>
            </w:r>
          </w:p>
        </w:tc>
      </w:tr>
      <w:tr>
        <w:trPr>
          <w:trHeight w:val="47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公允价值变动收益（损失以</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-2,348,682.42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4,787,716.05</w:t>
            </w:r>
          </w:p>
        </w:tc>
      </w:tr>
      <w:tr>
        <w:trPr>
          <w:trHeight w:val="47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8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-54,582.66</w:t>
            </w:r>
            <w:r>
              <w:rPr>
                <w:rFonts w:ascii="Times New Roman"/>
                <w:sz w:val="18"/>
              </w:rPr>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169,479,710.19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78,868,575.81</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320,664.68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953,453.60</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533,008.11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559,319.83</w:t>
            </w:r>
          </w:p>
        </w:tc>
      </w:tr>
      <w:tr>
        <w:trPr>
          <w:trHeight w:val="47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169,267,366.76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79,262,709.58</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2,406,759.46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3,124,068.18</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166,860,607.30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76,138,641.40</w:t>
            </w:r>
          </w:p>
        </w:tc>
      </w:tr>
      <w:tr>
        <w:trPr>
          <w:trHeight w:val="47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50" w:right="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50" w:right="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166,860,607.30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76,138,641.40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164,304,280.80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78,044,301.23</w:t>
            </w: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2,556,326.50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-1,905,659.83</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2,028,933.61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4,196,180.64</w:t>
            </w:r>
          </w:p>
        </w:tc>
      </w:tr>
      <w:tr>
        <w:trPr>
          <w:trHeight w:val="47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益的税后净额</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1,927,488.82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4,130,662.06</w:t>
            </w:r>
          </w:p>
        </w:tc>
      </w:tr>
      <w:tr>
        <w:trPr>
          <w:trHeight w:val="47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4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4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1,927,488.82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4,130,662.06</w:t>
            </w:r>
          </w:p>
        </w:tc>
      </w:tr>
      <w:tr>
        <w:trPr>
          <w:trHeight w:val="47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471,432.80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-3,347,484.69</w:t>
            </w:r>
          </w:p>
        </w:tc>
      </w:tr>
      <w:tr>
        <w:trPr>
          <w:trHeight w:val="47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056"/>
        <w:gridCol w:w="3399"/>
        <w:gridCol w:w="3401"/>
      </w:tblGrid>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1,456,056.02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7,478,146.75</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99"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的税后净额</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101,444.79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65,518.58</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168,889,540.91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80,334,822.04</w:t>
            </w:r>
          </w:p>
        </w:tc>
      </w:tr>
      <w:tr>
        <w:trPr>
          <w:trHeight w:val="47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166,231,769.62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82,174,963.29</w:t>
            </w:r>
          </w:p>
        </w:tc>
      </w:tr>
      <w:tr>
        <w:trPr>
          <w:trHeight w:val="47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2,657,771.29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-1,840,141.25</w:t>
            </w:r>
          </w:p>
        </w:tc>
      </w:tr>
      <w:tr>
        <w:trPr>
          <w:trHeight w:val="406"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0.4141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0.1970</w:t>
            </w:r>
          </w:p>
        </w:tc>
      </w:tr>
      <w:tr>
        <w:trPr>
          <w:trHeight w:val="407" w:hRule="exact"/>
        </w:trPr>
        <w:tc>
          <w:tcPr>
            <w:tcW w:w="3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0.4070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0.1935</w:t>
            </w:r>
          </w:p>
        </w:tc>
      </w:tr>
    </w:tbl>
    <w:p>
      <w:pPr>
        <w:spacing w:line="240" w:lineRule="auto" w:before="6"/>
        <w:rPr>
          <w:rFonts w:ascii="Times New Roman" w:hAnsi="Times New Roman" w:cs="Times New Roman" w:eastAsia="Times New Roman" w:hint="default"/>
          <w:sz w:val="8"/>
          <w:szCs w:val="8"/>
        </w:rPr>
      </w:pPr>
    </w:p>
    <w:p>
      <w:pPr>
        <w:pStyle w:val="BodyText"/>
        <w:spacing w:line="297" w:lineRule="auto" w:before="35"/>
        <w:ind w:left="214" w:right="1016" w:firstLine="420"/>
        <w:jc w:val="left"/>
      </w:pPr>
      <w:r>
        <w:rPr>
          <w:spacing w:val="-1"/>
        </w:rPr>
        <w:t>本期发生同一控制下企业合并的，被合并方在合并前实现的净利润为：元，上期被合并方实现的净利</w:t>
      </w:r>
      <w:r>
        <w:rPr/>
        <w:t> 润为：元。</w:t>
      </w:r>
    </w:p>
    <w:p>
      <w:pPr>
        <w:spacing w:line="240" w:lineRule="auto" w:before="5"/>
        <w:rPr>
          <w:rFonts w:ascii="宋体" w:hAnsi="宋体" w:cs="宋体" w:eastAsia="宋体" w:hint="default"/>
          <w:sz w:val="24"/>
          <w:szCs w:val="24"/>
        </w:rPr>
      </w:pPr>
    </w:p>
    <w:p>
      <w:pPr>
        <w:tabs>
          <w:tab w:pos="3634" w:val="left" w:leader="none"/>
          <w:tab w:pos="7775" w:val="left" w:leader="none"/>
        </w:tabs>
        <w:spacing w:before="0"/>
        <w:ind w:left="214" w:right="1016" w:firstLine="0"/>
        <w:jc w:val="left"/>
        <w:rPr>
          <w:rFonts w:ascii="宋体" w:hAnsi="宋体" w:cs="宋体" w:eastAsia="宋体" w:hint="default"/>
          <w:sz w:val="18"/>
          <w:szCs w:val="18"/>
        </w:rPr>
      </w:pPr>
      <w:r>
        <w:rPr>
          <w:rFonts w:ascii="宋体" w:hAnsi="宋体" w:cs="宋体" w:eastAsia="宋体" w:hint="default"/>
          <w:sz w:val="18"/>
          <w:szCs w:val="18"/>
        </w:rPr>
        <w:t>法定代表人：赵鸿飞</w:t>
        <w:tab/>
        <w:t>主管会计工作负责人：王焕欣</w:t>
        <w:tab/>
        <w:t>会计机构负责人：马晓培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2"/>
        <w:ind w:right="1016"/>
        <w:jc w:val="left"/>
        <w:rPr>
          <w:rFonts w:ascii="微软雅黑" w:hAnsi="微软雅黑" w:cs="微软雅黑" w:eastAsia="微软雅黑" w:hint="default"/>
        </w:rPr>
      </w:pPr>
      <w:bookmarkStart w:name="4、母公司利润表" w:id="162"/>
      <w:bookmarkEnd w:id="162"/>
      <w:r>
        <w:rPr/>
      </w:r>
      <w:r>
        <w:rPr>
          <w:rFonts w:ascii="Times New Roman" w:hAnsi="Times New Roman" w:cs="Times New Roman" w:eastAsia="Times New Roman" w:hint="default"/>
        </w:rPr>
        <w:t>4</w:t>
      </w:r>
      <w:r>
        <w:rPr>
          <w:rFonts w:ascii="微软雅黑" w:hAnsi="微软雅黑" w:cs="微软雅黑" w:eastAsia="微软雅黑" w:hint="default"/>
        </w:rPr>
        <w:t>、母公司利润表</w:t>
      </w:r>
    </w:p>
    <w:p>
      <w:pPr>
        <w:spacing w:line="240" w:lineRule="auto" w:before="17"/>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054"/>
        <w:gridCol w:w="3400"/>
        <w:gridCol w:w="3401"/>
      </w:tblGrid>
      <w:tr>
        <w:trPr>
          <w:trHeight w:val="40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589,693,592.48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590,166,154.00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393,591,424.45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407,058,768.02</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1,537,727.97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2,650,732.54</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42,133,902.68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9,415,470.11</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47,566,642.95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50,737,848.98</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98,303,654.85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46,114,198.10</w:t>
            </w: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671,881.69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31,035,045.03</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9"/>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14,105,055.12</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9"/>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7,343,161.92</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2,055,946.16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4,498,554.07</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25,201,574.90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18,130,451.41</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793,091.02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1,406,054.25</w:t>
            </w: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业的投资收益</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-1,358,347.24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1,026,619.97</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3054"/>
        <w:gridCol w:w="3400"/>
        <w:gridCol w:w="3401"/>
      </w:tblGrid>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823"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公允价值变动收益（损失以</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-3,927,219.00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4,787,716.05</w:t>
            </w:r>
          </w:p>
        </w:tc>
      </w:tr>
      <w:tr>
        <w:trPr>
          <w:trHeight w:val="47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8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25,899,858.65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62,979,758.86</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109,249.65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354,181.94</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209,504.10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39,492.76</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25,799,604.20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63,294,448.04</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-1,511,161.50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4,271,213.95</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27,310,765.70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59,023,234.09</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48" w:right="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27,310,765.70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59,023,234.09</w:t>
            </w: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448" w:right="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4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为可供出售金融资产损益</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27,310,765.70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59,023,234.09</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8"/>
          <w:szCs w:val="8"/>
        </w:rPr>
      </w:pPr>
    </w:p>
    <w:p>
      <w:pPr>
        <w:pStyle w:val="BodyText"/>
        <w:spacing w:line="324" w:lineRule="exact"/>
        <w:ind w:right="1016"/>
        <w:jc w:val="left"/>
        <w:rPr>
          <w:rFonts w:ascii="微软雅黑" w:hAnsi="微软雅黑" w:cs="微软雅黑" w:eastAsia="微软雅黑" w:hint="default"/>
        </w:rPr>
      </w:pPr>
      <w:bookmarkStart w:name="5、合并现金流量表" w:id="163"/>
      <w:bookmarkEnd w:id="163"/>
      <w:r>
        <w:rPr/>
      </w:r>
      <w:r>
        <w:rPr>
          <w:rFonts w:ascii="Times New Roman" w:hAnsi="Times New Roman" w:cs="Times New Roman" w:eastAsia="Times New Roman" w:hint="default"/>
        </w:rPr>
        <w:t>5</w:t>
      </w:r>
      <w:r>
        <w:rPr>
          <w:rFonts w:ascii="微软雅黑" w:hAnsi="微软雅黑" w:cs="微软雅黑" w:eastAsia="微软雅黑" w:hint="default"/>
        </w:rPr>
        <w:t>、合并现金流量表</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054"/>
        <w:gridCol w:w="3400"/>
        <w:gridCol w:w="3401"/>
      </w:tblGrid>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27" w:right="0"/>
              <w:jc w:val="left"/>
              <w:rPr>
                <w:rFonts w:ascii="Times New Roman" w:hAnsi="Times New Roman" w:cs="Times New Roman" w:eastAsia="Times New Roman" w:hint="default"/>
                <w:sz w:val="18"/>
                <w:szCs w:val="18"/>
              </w:rPr>
            </w:pPr>
            <w:r>
              <w:rPr>
                <w:rFonts w:ascii="Times New Roman"/>
                <w:sz w:val="18"/>
              </w:rPr>
              <w:t>1,458,525,475.88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34" w:right="0"/>
              <w:jc w:val="left"/>
              <w:rPr>
                <w:rFonts w:ascii="Times New Roman" w:hAnsi="Times New Roman" w:cs="Times New Roman" w:eastAsia="Times New Roman" w:hint="default"/>
                <w:sz w:val="18"/>
                <w:szCs w:val="18"/>
              </w:rPr>
            </w:pPr>
            <w:r>
              <w:rPr>
                <w:rFonts w:ascii="Times New Roman"/>
                <w:sz w:val="18"/>
              </w:rPr>
              <w:t>1,181,331,119.59</w:t>
            </w:r>
          </w:p>
        </w:tc>
      </w:tr>
    </w:tbl>
    <w:p>
      <w:pPr>
        <w:spacing w:after="0" w:line="240" w:lineRule="auto"/>
        <w:jc w:val="lef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054"/>
        <w:gridCol w:w="3400"/>
        <w:gridCol w:w="3401"/>
      </w:tblGrid>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计入当期损益的金融资产净增加额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pacing w:val="-3"/>
                <w:w w:val="95"/>
                <w:sz w:val="18"/>
                <w:szCs w:val="18"/>
              </w:rPr>
              <w:t>收取利息、手续费及佣金的现金</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10,809,412.06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15,978,748.23</w:t>
            </w: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107,283,070.68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38,113,361.84</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1,576,617,958.62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1,235,423,229.66</w:t>
            </w: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pacing w:val="-3"/>
                <w:w w:val="95"/>
                <w:sz w:val="18"/>
                <w:szCs w:val="18"/>
              </w:rPr>
              <w:t>购买商品、接受劳务支付的现金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439,087,454.82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373,746,029.41</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w w:val="95"/>
                <w:sz w:val="18"/>
                <w:szCs w:val="18"/>
              </w:rPr>
              <w:t>支付利息、手续费及佣金的现金</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633,769,085.58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528,715,805.55</w:t>
            </w: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57,588,016.78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55,061,076.97</w:t>
            </w: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192,846,148.60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89,239,224.53</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1,323,290,705.78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1,046,762,136.46</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253,327,252.84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188,661,093.20</w:t>
            </w:r>
          </w:p>
        </w:tc>
      </w:tr>
      <w:tr>
        <w:trPr>
          <w:trHeight w:val="40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61,643,452.62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13,940,762.42</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5,796,303.25</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2,516.67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4,096,949.75</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到的现金净额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20,355,763.13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500,000.00</w:t>
            </w: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8,455,613.18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2,156,402.74</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96,253,648.85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20,694,114.91</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054"/>
        <w:gridCol w:w="3400"/>
        <w:gridCol w:w="3401"/>
      </w:tblGrid>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38,075,852.39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22,284,068.37</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69,044,456.81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73,325,089.21</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付的现金净额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211,367,699.05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346,549,423.63</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21,916,601.50</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340,404,609.75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442,158,581.21</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-244,150,960.90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-421,464,466.30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1,203,552.87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36,589,150.00</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收到的现金</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100,000.00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280,317,459.01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725,330,000.00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448,267,070.60</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729,788,082.48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761,919,150.00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580,794,639.51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284,603,409.76</w:t>
            </w:r>
          </w:p>
        </w:tc>
      </w:tr>
      <w:tr>
        <w:trPr>
          <w:trHeight w:val="47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84,221,037.07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43,999,502.30</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股利、利润</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190,210,129.31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439,964,271.29</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855,225,805.89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768,567,183.35</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-125,437,723.41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-6,648,033.35</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15,039,076.16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-7,769,508.15</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-101,222,355.31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-247,220,914.60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815,198,600.90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1,062,419,515.50</w:t>
            </w: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713,976,245.59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815,198,600.90</w:t>
            </w:r>
          </w:p>
        </w:tc>
      </w:tr>
    </w:tbl>
    <w:p>
      <w:pPr>
        <w:spacing w:line="240" w:lineRule="auto" w:before="1"/>
        <w:rPr>
          <w:rFonts w:ascii="Times New Roman" w:hAnsi="Times New Roman" w:cs="Times New Roman" w:eastAsia="Times New Roman" w:hint="default"/>
          <w:sz w:val="10"/>
          <w:szCs w:val="10"/>
        </w:rPr>
      </w:pPr>
    </w:p>
    <w:p>
      <w:pPr>
        <w:pStyle w:val="BodyText"/>
        <w:spacing w:line="324" w:lineRule="exact"/>
        <w:ind w:right="1016"/>
        <w:jc w:val="left"/>
        <w:rPr>
          <w:rFonts w:ascii="微软雅黑" w:hAnsi="微软雅黑" w:cs="微软雅黑" w:eastAsia="微软雅黑" w:hint="default"/>
        </w:rPr>
      </w:pPr>
      <w:bookmarkStart w:name="6、母公司现金流量表" w:id="164"/>
      <w:bookmarkEnd w:id="164"/>
      <w:r>
        <w:rPr/>
      </w:r>
      <w:r>
        <w:rPr>
          <w:rFonts w:ascii="Times New Roman" w:hAnsi="Times New Roman" w:cs="Times New Roman" w:eastAsia="Times New Roman" w:hint="default"/>
        </w:rPr>
        <w:t>6</w:t>
      </w:r>
      <w:r>
        <w:rPr>
          <w:rFonts w:ascii="微软雅黑" w:hAnsi="微软雅黑" w:cs="微软雅黑" w:eastAsia="微软雅黑" w:hint="default"/>
        </w:rPr>
        <w:t>、母公司现金流量表</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054"/>
        <w:gridCol w:w="3400"/>
        <w:gridCol w:w="3401"/>
      </w:tblGrid>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615,529,279.19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585,369,016.09</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9,050,722.39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15,245,392.23</w:t>
            </w: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80,150,976.70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25,978,122.97</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054"/>
        <w:gridCol w:w="3400"/>
        <w:gridCol w:w="3401"/>
      </w:tblGrid>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704,730,978.28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626,592,531.29</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391,606,556.90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339,016,802.55</w:t>
            </w: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126,060,797.12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113,868,833.40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16,195,244.04</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30,932,862.03</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112,875,895.62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59,544,945.09</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646,738,493.68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543,363,443.07</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57,992,484.60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83,229,088.22</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3,007,369.73</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1,067,463.00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5,796,303.25</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到的现金净额</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500,000.00</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5,168,156.00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2,156,402.74</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13,971,828.98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3,723,865.74</w:t>
            </w:r>
          </w:p>
        </w:tc>
      </w:tr>
      <w:tr>
        <w:trPr>
          <w:trHeight w:val="47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长期资产支付的现金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pacing w:val="-1"/>
                <w:sz w:val="18"/>
              </w:rPr>
              <w:t>16,572,867.12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14,053,319.50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226,148,676.36</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384,201,199.97</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付的现金净额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5,640,135.20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76"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21,372,939.00</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269,734,617.68</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400,654,519.47</w:t>
            </w: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-255,762,788.70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-396,930,653.73</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36,489,150.00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260,000,000.00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305,084,000.00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400" w:type="dxa"/>
            <w:tcBorders>
              <w:top w:val="single" w:sz="4" w:space="0" w:color="000000"/>
              <w:left w:val="single" w:sz="4" w:space="0" w:color="000000"/>
              <w:bottom w:val="single" w:sz="4" w:space="0" w:color="000000"/>
              <w:right w:val="single" w:sz="4" w:space="0" w:color="000000"/>
            </w:tcBorders>
          </w:tcPr>
          <w:p>
            <w:pP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448,267,070.60</w:t>
            </w:r>
          </w:p>
        </w:tc>
        <w:tc>
          <w:tcPr>
            <w:tcW w:w="340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708,267,070.60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341,573,150.00</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260,000,000.00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241,549,626.56</w:t>
            </w:r>
          </w:p>
        </w:tc>
      </w:tr>
      <w:tr>
        <w:trPr>
          <w:trHeight w:val="47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46,230,316.89</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38,983,685.79</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190,074,567.71</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437,901,271.29</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496,304,884.60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718,434,583.64</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100" w:bottom="120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481" w:type="dxa"/>
        <w:tblLayout w:type="fixed"/>
        <w:tblCellMar>
          <w:top w:w="0" w:type="dxa"/>
          <w:left w:w="0" w:type="dxa"/>
          <w:bottom w:w="0" w:type="dxa"/>
          <w:right w:w="0" w:type="dxa"/>
        </w:tblCellMar>
        <w:tblLook w:val="01E0"/>
      </w:tblPr>
      <w:tblGrid>
        <w:gridCol w:w="3054"/>
        <w:gridCol w:w="3400"/>
        <w:gridCol w:w="3401"/>
      </w:tblGrid>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211,962,186.00</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-376,861,433.64</w:t>
            </w:r>
          </w:p>
        </w:tc>
      </w:tr>
      <w:tr>
        <w:trPr>
          <w:trHeight w:val="47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3,042,999.47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-6,414,347.87</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17,234,881.37</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-696,977,347.02</w:t>
            </w:r>
          </w:p>
        </w:tc>
      </w:tr>
      <w:tr>
        <w:trPr>
          <w:trHeight w:val="407"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233,661,499.85</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930,638,846.87</w:t>
            </w:r>
          </w:p>
        </w:tc>
      </w:tr>
      <w:tr>
        <w:trPr>
          <w:trHeight w:val="40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250,896,381.22</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233,661,499.85</w:t>
            </w:r>
          </w:p>
        </w:tc>
      </w:tr>
    </w:tbl>
    <w:p>
      <w:pPr>
        <w:spacing w:line="240" w:lineRule="auto" w:before="1"/>
        <w:rPr>
          <w:rFonts w:ascii="Times New Roman" w:hAnsi="Times New Roman" w:cs="Times New Roman" w:eastAsia="Times New Roman" w:hint="default"/>
          <w:sz w:val="10"/>
          <w:szCs w:val="10"/>
        </w:rPr>
      </w:pPr>
    </w:p>
    <w:p>
      <w:pPr>
        <w:pStyle w:val="BodyText"/>
        <w:spacing w:line="324" w:lineRule="exact"/>
        <w:ind w:left="1014" w:right="0"/>
        <w:jc w:val="left"/>
        <w:rPr>
          <w:rFonts w:ascii="微软雅黑" w:hAnsi="微软雅黑" w:cs="微软雅黑" w:eastAsia="微软雅黑" w:hint="default"/>
        </w:rPr>
      </w:pPr>
      <w:bookmarkStart w:name="7、合并所有者权益变动表" w:id="165"/>
      <w:bookmarkEnd w:id="165"/>
      <w:r>
        <w:rPr/>
      </w:r>
      <w:r>
        <w:rPr>
          <w:rFonts w:ascii="Times New Roman" w:hAnsi="Times New Roman" w:cs="Times New Roman" w:eastAsia="Times New Roman" w:hint="default"/>
        </w:rPr>
        <w:t>7</w:t>
      </w:r>
      <w:r>
        <w:rPr>
          <w:rFonts w:ascii="微软雅黑" w:hAnsi="微软雅黑" w:cs="微软雅黑" w:eastAsia="微软雅黑" w:hint="default"/>
        </w:rPr>
        <w:t>、合并所有者权益变动表</w:t>
      </w:r>
    </w:p>
    <w:p>
      <w:pPr>
        <w:spacing w:line="240" w:lineRule="auto" w:before="7"/>
        <w:rPr>
          <w:rFonts w:ascii="微软雅黑" w:hAnsi="微软雅黑" w:cs="微软雅黑" w:eastAsia="微软雅黑" w:hint="default"/>
          <w:sz w:val="20"/>
          <w:szCs w:val="20"/>
        </w:rPr>
      </w:pPr>
    </w:p>
    <w:p>
      <w:pPr>
        <w:pStyle w:val="BodyText"/>
        <w:spacing w:line="240" w:lineRule="auto"/>
        <w:ind w:left="1014" w:right="0"/>
        <w:jc w:val="left"/>
      </w:pPr>
      <w:r>
        <w:rPr/>
        <w:t>本期金额</w:t>
      </w:r>
    </w:p>
    <w:p>
      <w:pPr>
        <w:spacing w:line="240" w:lineRule="auto" w:before="11"/>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678"/>
        <w:gridCol w:w="968"/>
        <w:gridCol w:w="401"/>
        <w:gridCol w:w="400"/>
        <w:gridCol w:w="731"/>
        <w:gridCol w:w="971"/>
        <w:gridCol w:w="970"/>
        <w:gridCol w:w="830"/>
        <w:gridCol w:w="402"/>
        <w:gridCol w:w="900"/>
        <w:gridCol w:w="401"/>
        <w:gridCol w:w="974"/>
        <w:gridCol w:w="900"/>
        <w:gridCol w:w="1068"/>
      </w:tblGrid>
      <w:tr>
        <w:trPr>
          <w:trHeight w:val="407" w:hRule="exact"/>
        </w:trPr>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95" w:right="0"/>
              <w:jc w:val="left"/>
              <w:rPr>
                <w:rFonts w:ascii="宋体" w:hAnsi="宋体" w:cs="宋体" w:eastAsia="宋体" w:hint="default"/>
                <w:sz w:val="15"/>
                <w:szCs w:val="15"/>
              </w:rPr>
            </w:pPr>
            <w:r>
              <w:rPr>
                <w:rFonts w:ascii="宋体" w:hAnsi="宋体" w:cs="宋体" w:eastAsia="宋体" w:hint="default"/>
                <w:spacing w:val="-12"/>
                <w:sz w:val="15"/>
                <w:szCs w:val="15"/>
              </w:rPr>
              <w:t>项目</w:t>
            </w:r>
            <w:r>
              <w:rPr>
                <w:rFonts w:ascii="宋体" w:hAnsi="宋体" w:cs="宋体" w:eastAsia="宋体" w:hint="default"/>
                <w:sz w:val="15"/>
                <w:szCs w:val="15"/>
              </w:rPr>
            </w:r>
          </w:p>
        </w:tc>
        <w:tc>
          <w:tcPr>
            <w:tcW w:w="991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pacing w:val="-12"/>
                <w:sz w:val="15"/>
                <w:szCs w:val="15"/>
              </w:rPr>
              <w:t>本期</w:t>
            </w:r>
            <w:r>
              <w:rPr>
                <w:rFonts w:ascii="宋体" w:hAnsi="宋体" w:cs="宋体" w:eastAsia="宋体" w:hint="default"/>
                <w:sz w:val="15"/>
                <w:szCs w:val="15"/>
              </w:rPr>
            </w:r>
          </w:p>
        </w:tc>
      </w:tr>
      <w:tr>
        <w:trPr>
          <w:trHeight w:val="401" w:hRule="exact"/>
        </w:trPr>
        <w:tc>
          <w:tcPr>
            <w:tcW w:w="678" w:type="dxa"/>
            <w:vMerge/>
            <w:tcBorders>
              <w:left w:val="single" w:sz="4" w:space="0" w:color="000000"/>
              <w:right w:val="single" w:sz="4" w:space="0" w:color="000000"/>
            </w:tcBorders>
            <w:shd w:val="clear" w:color="auto" w:fill="D2D2D2"/>
          </w:tcPr>
          <w:p>
            <w:pPr/>
          </w:p>
        </w:tc>
        <w:tc>
          <w:tcPr>
            <w:tcW w:w="794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pacing w:val="-12"/>
                <w:sz w:val="15"/>
                <w:szCs w:val="15"/>
              </w:rPr>
              <w:t>归属于母公司所有者权益</w:t>
            </w:r>
            <w:r>
              <w:rPr>
                <w:rFonts w:ascii="宋体" w:hAnsi="宋体" w:cs="宋体" w:eastAsia="宋体" w:hint="default"/>
                <w:sz w:val="15"/>
                <w:szCs w:val="15"/>
              </w:rPr>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6" w:hRule="exact"/>
        </w:trPr>
        <w:tc>
          <w:tcPr>
            <w:tcW w:w="678" w:type="dxa"/>
            <w:vMerge/>
            <w:tcBorders>
              <w:left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gridSpan w:val="3"/>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1"/>
              <w:ind w:left="346" w:right="0"/>
              <w:jc w:val="left"/>
              <w:rPr>
                <w:rFonts w:ascii="宋体" w:hAnsi="宋体" w:cs="宋体" w:eastAsia="宋体" w:hint="default"/>
                <w:sz w:val="15"/>
                <w:szCs w:val="15"/>
              </w:rPr>
            </w:pPr>
            <w:r>
              <w:rPr>
                <w:rFonts w:ascii="宋体" w:hAnsi="宋体" w:cs="宋体" w:eastAsia="宋体" w:hint="default"/>
                <w:spacing w:val="-12"/>
                <w:sz w:val="15"/>
                <w:szCs w:val="15"/>
              </w:rPr>
              <w:t>其他权益工具</w:t>
            </w:r>
            <w:r>
              <w:rPr>
                <w:rFonts w:ascii="宋体" w:hAnsi="宋体" w:cs="宋体" w:eastAsia="宋体" w:hint="default"/>
                <w:sz w:val="15"/>
                <w:szCs w:val="15"/>
              </w:rPr>
            </w:r>
          </w:p>
        </w:tc>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71" w:right="133" w:hanging="138"/>
              <w:jc w:val="left"/>
              <w:rPr>
                <w:rFonts w:ascii="宋体" w:hAnsi="宋体" w:cs="宋体" w:eastAsia="宋体" w:hint="default"/>
                <w:sz w:val="15"/>
                <w:szCs w:val="15"/>
              </w:rPr>
            </w:pPr>
            <w:r>
              <w:rPr>
                <w:rFonts w:ascii="宋体" w:hAnsi="宋体" w:cs="宋体" w:eastAsia="宋体" w:hint="default"/>
                <w:spacing w:val="-12"/>
                <w:sz w:val="15"/>
                <w:szCs w:val="15"/>
              </w:rPr>
              <w:t>其他综合 收益</w:t>
            </w:r>
            <w:r>
              <w:rPr>
                <w:rFonts w:ascii="宋体" w:hAnsi="宋体" w:cs="宋体" w:eastAsia="宋体" w:hint="default"/>
                <w:sz w:val="15"/>
                <w:szCs w:val="15"/>
              </w:rPr>
            </w:r>
          </w:p>
        </w:tc>
        <w:tc>
          <w:tcPr>
            <w:tcW w:w="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7" w:right="56"/>
              <w:jc w:val="left"/>
              <w:rPr>
                <w:rFonts w:ascii="宋体" w:hAnsi="宋体" w:cs="宋体" w:eastAsia="宋体" w:hint="default"/>
                <w:sz w:val="15"/>
                <w:szCs w:val="15"/>
              </w:rPr>
            </w:pPr>
            <w:r>
              <w:rPr>
                <w:rFonts w:ascii="宋体" w:hAnsi="宋体" w:cs="宋体" w:eastAsia="宋体" w:hint="default"/>
                <w:spacing w:val="-12"/>
                <w:sz w:val="15"/>
                <w:szCs w:val="15"/>
              </w:rPr>
              <w:t>专项 储备</w:t>
            </w:r>
            <w:r>
              <w:rPr>
                <w:rFonts w:ascii="宋体" w:hAnsi="宋体" w:cs="宋体" w:eastAsia="宋体" w:hint="default"/>
                <w:sz w:val="15"/>
                <w:szCs w:val="15"/>
              </w:rPr>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69" w:right="0"/>
              <w:jc w:val="left"/>
              <w:rPr>
                <w:rFonts w:ascii="宋体" w:hAnsi="宋体" w:cs="宋体" w:eastAsia="宋体" w:hint="default"/>
                <w:sz w:val="15"/>
                <w:szCs w:val="15"/>
              </w:rPr>
            </w:pPr>
            <w:r>
              <w:rPr>
                <w:rFonts w:ascii="宋体" w:hAnsi="宋体" w:cs="宋体" w:eastAsia="宋体" w:hint="default"/>
                <w:spacing w:val="-12"/>
                <w:sz w:val="15"/>
                <w:szCs w:val="15"/>
              </w:rPr>
              <w:t>盈余公积</w:t>
            </w:r>
            <w:r>
              <w:rPr>
                <w:rFonts w:ascii="宋体" w:hAnsi="宋体" w:cs="宋体" w:eastAsia="宋体" w:hint="default"/>
                <w:sz w:val="15"/>
                <w:szCs w:val="15"/>
              </w:rPr>
            </w:r>
          </w:p>
        </w:tc>
        <w:tc>
          <w:tcPr>
            <w:tcW w:w="4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57" w:right="57"/>
              <w:jc w:val="both"/>
              <w:rPr>
                <w:rFonts w:ascii="宋体" w:hAnsi="宋体" w:cs="宋体" w:eastAsia="宋体" w:hint="default"/>
                <w:sz w:val="15"/>
                <w:szCs w:val="15"/>
              </w:rPr>
            </w:pPr>
            <w:r>
              <w:rPr>
                <w:rFonts w:ascii="宋体" w:hAnsi="宋体" w:cs="宋体" w:eastAsia="宋体" w:hint="default"/>
                <w:spacing w:val="-12"/>
                <w:sz w:val="15"/>
                <w:szCs w:val="15"/>
              </w:rPr>
              <w:t>一般 风险 准备</w:t>
            </w:r>
            <w:r>
              <w:rPr>
                <w:rFonts w:ascii="宋体" w:hAnsi="宋体" w:cs="宋体" w:eastAsia="宋体" w:hint="default"/>
                <w:sz w:val="15"/>
                <w:szCs w:val="15"/>
              </w:rPr>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36" w:right="0"/>
              <w:jc w:val="left"/>
              <w:rPr>
                <w:rFonts w:ascii="宋体" w:hAnsi="宋体" w:cs="宋体" w:eastAsia="宋体" w:hint="default"/>
                <w:sz w:val="15"/>
                <w:szCs w:val="15"/>
              </w:rPr>
            </w:pPr>
            <w:r>
              <w:rPr>
                <w:rFonts w:ascii="宋体" w:hAnsi="宋体" w:cs="宋体" w:eastAsia="宋体" w:hint="default"/>
                <w:spacing w:val="-12"/>
                <w:sz w:val="15"/>
                <w:szCs w:val="15"/>
              </w:rPr>
              <w:t>未分配利润</w:t>
            </w:r>
            <w:r>
              <w:rPr>
                <w:rFonts w:ascii="宋体" w:hAnsi="宋体" w:cs="宋体" w:eastAsia="宋体" w:hint="default"/>
                <w:sz w:val="15"/>
                <w:szCs w:val="15"/>
              </w:rPr>
            </w: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194" w:lineRule="exact" w:before="9"/>
              <w:ind w:left="307" w:right="167" w:hanging="138"/>
              <w:jc w:val="left"/>
              <w:rPr>
                <w:rFonts w:ascii="宋体" w:hAnsi="宋体" w:cs="宋体" w:eastAsia="宋体" w:hint="default"/>
                <w:sz w:val="15"/>
                <w:szCs w:val="15"/>
              </w:rPr>
            </w:pPr>
            <w:r>
              <w:rPr>
                <w:rFonts w:ascii="宋体" w:hAnsi="宋体" w:cs="宋体" w:eastAsia="宋体" w:hint="default"/>
                <w:spacing w:val="-12"/>
                <w:sz w:val="15"/>
                <w:szCs w:val="15"/>
              </w:rPr>
              <w:t>少数股东 权益</w:t>
            </w:r>
            <w:r>
              <w:rPr>
                <w:rFonts w:ascii="宋体" w:hAnsi="宋体" w:cs="宋体" w:eastAsia="宋体" w:hint="default"/>
                <w:sz w:val="15"/>
                <w:szCs w:val="15"/>
              </w:rPr>
            </w: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194" w:lineRule="exact" w:before="9"/>
              <w:ind w:left="391" w:right="181" w:hanging="207"/>
              <w:jc w:val="left"/>
              <w:rPr>
                <w:rFonts w:ascii="宋体" w:hAnsi="宋体" w:cs="宋体" w:eastAsia="宋体" w:hint="default"/>
                <w:sz w:val="15"/>
                <w:szCs w:val="15"/>
              </w:rPr>
            </w:pPr>
            <w:r>
              <w:rPr>
                <w:rFonts w:ascii="宋体" w:hAnsi="宋体" w:cs="宋体" w:eastAsia="宋体" w:hint="default"/>
                <w:spacing w:val="-12"/>
                <w:sz w:val="15"/>
                <w:szCs w:val="15"/>
              </w:rPr>
              <w:t>所有者权益 合计</w:t>
            </w:r>
            <w:r>
              <w:rPr>
                <w:rFonts w:ascii="宋体" w:hAnsi="宋体" w:cs="宋体" w:eastAsia="宋体" w:hint="default"/>
                <w:sz w:val="15"/>
                <w:szCs w:val="15"/>
              </w:rPr>
            </w:r>
          </w:p>
        </w:tc>
      </w:tr>
      <w:tr>
        <w:trPr>
          <w:trHeight w:val="97" w:hRule="exact"/>
        </w:trPr>
        <w:tc>
          <w:tcPr>
            <w:tcW w:w="678" w:type="dxa"/>
            <w:vMerge/>
            <w:tcBorders>
              <w:left w:val="single" w:sz="4" w:space="0" w:color="000000"/>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股本</w:t>
            </w:r>
            <w:r>
              <w:rPr>
                <w:rFonts w:ascii="宋体" w:hAnsi="宋体" w:cs="宋体" w:eastAsia="宋体" w:hint="default"/>
                <w:sz w:val="15"/>
                <w:szCs w:val="15"/>
              </w:rPr>
            </w:r>
          </w:p>
        </w:tc>
        <w:tc>
          <w:tcPr>
            <w:tcW w:w="153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204" w:right="0"/>
              <w:jc w:val="left"/>
              <w:rPr>
                <w:rFonts w:ascii="宋体" w:hAnsi="宋体" w:cs="宋体" w:eastAsia="宋体" w:hint="default"/>
                <w:sz w:val="15"/>
                <w:szCs w:val="15"/>
              </w:rPr>
            </w:pPr>
            <w:r>
              <w:rPr>
                <w:rFonts w:ascii="宋体" w:hAnsi="宋体" w:cs="宋体" w:eastAsia="宋体" w:hint="default"/>
                <w:spacing w:val="-12"/>
                <w:sz w:val="15"/>
                <w:szCs w:val="15"/>
              </w:rPr>
              <w:t>资本公积</w:t>
            </w:r>
            <w:r>
              <w:rPr>
                <w:rFonts w:ascii="宋体" w:hAnsi="宋体" w:cs="宋体" w:eastAsia="宋体" w:hint="default"/>
                <w:sz w:val="15"/>
                <w:szCs w:val="15"/>
              </w:rPr>
            </w:r>
          </w:p>
        </w:tc>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134" w:right="0"/>
              <w:jc w:val="left"/>
              <w:rPr>
                <w:rFonts w:ascii="宋体" w:hAnsi="宋体" w:cs="宋体" w:eastAsia="宋体" w:hint="default"/>
                <w:sz w:val="15"/>
                <w:szCs w:val="15"/>
              </w:rPr>
            </w:pPr>
            <w:r>
              <w:rPr>
                <w:rFonts w:ascii="宋体" w:hAnsi="宋体" w:cs="宋体" w:eastAsia="宋体" w:hint="default"/>
                <w:spacing w:val="-12"/>
                <w:sz w:val="15"/>
                <w:szCs w:val="15"/>
              </w:rPr>
              <w:t>减：库存股</w:t>
            </w:r>
            <w:r>
              <w:rPr>
                <w:rFonts w:ascii="宋体" w:hAnsi="宋体" w:cs="宋体" w:eastAsia="宋体" w:hint="default"/>
                <w:sz w:val="15"/>
                <w:szCs w:val="15"/>
              </w:rPr>
            </w:r>
          </w:p>
        </w:tc>
        <w:tc>
          <w:tcPr>
            <w:tcW w:w="830" w:type="dxa"/>
            <w:vMerge/>
            <w:tcBorders>
              <w:left w:val="single" w:sz="4" w:space="0" w:color="000000"/>
              <w:right w:val="single" w:sz="4" w:space="0" w:color="000000"/>
            </w:tcBorders>
            <w:shd w:val="clear" w:color="auto" w:fill="D2D2D2"/>
          </w:tcPr>
          <w:p>
            <w:pPr/>
          </w:p>
        </w:tc>
        <w:tc>
          <w:tcPr>
            <w:tcW w:w="402"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r>
      <w:tr>
        <w:trPr>
          <w:trHeight w:val="407" w:hRule="exact"/>
        </w:trPr>
        <w:tc>
          <w:tcPr>
            <w:tcW w:w="678" w:type="dxa"/>
            <w:vMerge/>
            <w:tcBorders>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25" w:right="0" w:hanging="69"/>
              <w:jc w:val="left"/>
              <w:rPr>
                <w:rFonts w:ascii="宋体" w:hAnsi="宋体" w:cs="宋体" w:eastAsia="宋体" w:hint="default"/>
                <w:sz w:val="15"/>
                <w:szCs w:val="15"/>
              </w:rPr>
            </w:pPr>
            <w:r>
              <w:rPr>
                <w:rFonts w:ascii="宋体" w:hAnsi="宋体" w:cs="宋体" w:eastAsia="宋体" w:hint="default"/>
                <w:spacing w:val="-12"/>
                <w:sz w:val="15"/>
                <w:szCs w:val="15"/>
              </w:rPr>
              <w:t>优先</w:t>
            </w:r>
            <w:r>
              <w:rPr>
                <w:rFonts w:ascii="宋体" w:hAnsi="宋体" w:cs="宋体" w:eastAsia="宋体" w:hint="default"/>
                <w:sz w:val="15"/>
                <w:szCs w:val="15"/>
              </w:rPr>
            </w:r>
          </w:p>
          <w:p>
            <w:pPr>
              <w:pStyle w:val="TableParagraph"/>
              <w:spacing w:line="195" w:lineRule="exact"/>
              <w:ind w:left="125" w:right="0"/>
              <w:jc w:val="left"/>
              <w:rPr>
                <w:rFonts w:ascii="宋体" w:hAnsi="宋体" w:cs="宋体" w:eastAsia="宋体" w:hint="default"/>
                <w:sz w:val="15"/>
                <w:szCs w:val="15"/>
              </w:rPr>
            </w:pPr>
            <w:r>
              <w:rPr>
                <w:rFonts w:ascii="宋体" w:hAnsi="宋体" w:cs="宋体" w:eastAsia="宋体" w:hint="default"/>
                <w:sz w:val="15"/>
                <w:szCs w:val="15"/>
              </w:rPr>
              <w:t>股</w:t>
            </w:r>
          </w:p>
        </w:tc>
        <w:tc>
          <w:tcPr>
            <w:tcW w:w="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24" w:right="0" w:hanging="69"/>
              <w:jc w:val="left"/>
              <w:rPr>
                <w:rFonts w:ascii="宋体" w:hAnsi="宋体" w:cs="宋体" w:eastAsia="宋体" w:hint="default"/>
                <w:sz w:val="15"/>
                <w:szCs w:val="15"/>
              </w:rPr>
            </w:pPr>
            <w:r>
              <w:rPr>
                <w:rFonts w:ascii="宋体" w:hAnsi="宋体" w:cs="宋体" w:eastAsia="宋体" w:hint="default"/>
                <w:spacing w:val="-12"/>
                <w:sz w:val="15"/>
                <w:szCs w:val="15"/>
              </w:rPr>
              <w:t>永续</w:t>
            </w:r>
            <w:r>
              <w:rPr>
                <w:rFonts w:ascii="宋体" w:hAnsi="宋体" w:cs="宋体" w:eastAsia="宋体" w:hint="default"/>
                <w:sz w:val="15"/>
                <w:szCs w:val="15"/>
              </w:rPr>
            </w:r>
          </w:p>
          <w:p>
            <w:pPr>
              <w:pStyle w:val="TableParagraph"/>
              <w:spacing w:line="195" w:lineRule="exact"/>
              <w:ind w:left="124" w:right="0"/>
              <w:jc w:val="left"/>
              <w:rPr>
                <w:rFonts w:ascii="宋体" w:hAnsi="宋体" w:cs="宋体" w:eastAsia="宋体" w:hint="default"/>
                <w:sz w:val="15"/>
                <w:szCs w:val="15"/>
              </w:rPr>
            </w:pPr>
            <w:r>
              <w:rPr>
                <w:rFonts w:ascii="宋体" w:hAnsi="宋体" w:cs="宋体" w:eastAsia="宋体" w:hint="default"/>
                <w:sz w:val="15"/>
                <w:szCs w:val="15"/>
              </w:rPr>
              <w:t>债</w:t>
            </w:r>
          </w:p>
        </w:tc>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pacing w:val="-12"/>
                <w:sz w:val="15"/>
                <w:szCs w:val="15"/>
              </w:rPr>
              <w:t>其他</w:t>
            </w:r>
            <w:r>
              <w:rPr>
                <w:rFonts w:ascii="宋体" w:hAnsi="宋体" w:cs="宋体" w:eastAsia="宋体" w:hint="default"/>
                <w:sz w:val="15"/>
                <w:szCs w:val="15"/>
              </w:rPr>
            </w:r>
          </w:p>
        </w:tc>
        <w:tc>
          <w:tcPr>
            <w:tcW w:w="971"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402"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401"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一、上年</w:t>
            </w:r>
            <w:r>
              <w:rPr>
                <w:rFonts w:ascii="宋体" w:hAnsi="宋体" w:cs="宋体" w:eastAsia="宋体" w:hint="default"/>
                <w:sz w:val="15"/>
                <w:szCs w:val="15"/>
              </w:rPr>
            </w:r>
          </w:p>
          <w:p>
            <w:pPr>
              <w:pStyle w:val="TableParagraph"/>
              <w:spacing w:line="195"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期末余额</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3"/>
              <w:jc w:val="right"/>
              <w:rPr>
                <w:rFonts w:ascii="Times New Roman" w:hAnsi="Times New Roman" w:cs="Times New Roman" w:eastAsia="Times New Roman" w:hint="default"/>
                <w:sz w:val="15"/>
                <w:szCs w:val="15"/>
              </w:rPr>
            </w:pPr>
            <w:r>
              <w:rPr>
                <w:rFonts w:ascii="Times New Roman"/>
                <w:spacing w:val="-7"/>
                <w:sz w:val="15"/>
              </w:rPr>
              <w:t>403,878,622.00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 w:right="0"/>
              <w:jc w:val="center"/>
              <w:rPr>
                <w:rFonts w:ascii="Times New Roman" w:hAnsi="Times New Roman" w:cs="Times New Roman" w:eastAsia="Times New Roman" w:hint="default"/>
                <w:sz w:val="15"/>
                <w:szCs w:val="15"/>
              </w:rPr>
            </w:pPr>
            <w:r>
              <w:rPr>
                <w:rFonts w:ascii="Times New Roman"/>
                <w:spacing w:val="-6"/>
                <w:sz w:val="15"/>
              </w:rPr>
              <w:t>384,344.40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630,783,455.92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182,388,017.67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 w:right="0"/>
              <w:jc w:val="center"/>
              <w:rPr>
                <w:rFonts w:ascii="Times New Roman" w:hAnsi="Times New Roman" w:cs="Times New Roman" w:eastAsia="Times New Roman" w:hint="default"/>
                <w:sz w:val="15"/>
                <w:szCs w:val="15"/>
              </w:rPr>
            </w:pPr>
            <w:r>
              <w:rPr>
                <w:rFonts w:ascii="Times New Roman"/>
                <w:spacing w:val="-6"/>
                <w:sz w:val="15"/>
              </w:rPr>
              <w:t>3,258,823.01</w:t>
            </w: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54,432,581.15</w:t>
            </w: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pacing w:val="-7"/>
                <w:sz w:val="15"/>
              </w:rPr>
              <w:t>342,328,045.64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54,034,706.38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1,306,712,560.83</w:t>
            </w:r>
          </w:p>
        </w:tc>
      </w:tr>
      <w:tr>
        <w:trPr>
          <w:trHeight w:val="594"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51" w:right="0" w:firstLine="276"/>
              <w:jc w:val="left"/>
              <w:rPr>
                <w:rFonts w:ascii="宋体" w:hAnsi="宋体" w:cs="宋体" w:eastAsia="宋体" w:hint="default"/>
                <w:sz w:val="15"/>
                <w:szCs w:val="15"/>
              </w:rPr>
            </w:pPr>
            <w:r>
              <w:rPr>
                <w:rFonts w:ascii="宋体" w:hAnsi="宋体" w:cs="宋体" w:eastAsia="宋体" w:hint="default"/>
                <w:spacing w:val="-12"/>
                <w:sz w:val="15"/>
                <w:szCs w:val="15"/>
              </w:rPr>
              <w:t>加：</w:t>
            </w:r>
            <w:r>
              <w:rPr>
                <w:rFonts w:ascii="宋体" w:hAnsi="宋体" w:cs="宋体" w:eastAsia="宋体" w:hint="default"/>
                <w:sz w:val="15"/>
                <w:szCs w:val="15"/>
              </w:rPr>
            </w:r>
          </w:p>
          <w:p>
            <w:pPr>
              <w:pStyle w:val="TableParagraph"/>
              <w:spacing w:line="240" w:lineRule="auto"/>
              <w:ind w:left="51" w:right="62"/>
              <w:jc w:val="left"/>
              <w:rPr>
                <w:rFonts w:ascii="宋体" w:hAnsi="宋体" w:cs="宋体" w:eastAsia="宋体" w:hint="default"/>
                <w:sz w:val="15"/>
                <w:szCs w:val="15"/>
              </w:rPr>
            </w:pPr>
            <w:r>
              <w:rPr>
                <w:rFonts w:ascii="宋体" w:hAnsi="宋体" w:cs="宋体" w:eastAsia="宋体" w:hint="default"/>
                <w:spacing w:val="-12"/>
                <w:sz w:val="15"/>
                <w:szCs w:val="15"/>
              </w:rPr>
              <w:t>会计政策 变更</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1" w:right="62"/>
              <w:jc w:val="left"/>
              <w:rPr>
                <w:rFonts w:ascii="宋体" w:hAnsi="宋体" w:cs="宋体" w:eastAsia="宋体" w:hint="default"/>
                <w:sz w:val="15"/>
                <w:szCs w:val="15"/>
              </w:rPr>
            </w:pPr>
            <w:r>
              <w:rPr>
                <w:rFonts w:ascii="宋体" w:hAnsi="宋体" w:cs="宋体" w:eastAsia="宋体" w:hint="default"/>
                <w:spacing w:val="-12"/>
                <w:sz w:val="15"/>
                <w:szCs w:val="15"/>
              </w:rPr>
              <w:t>前期差错 更正</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1" w:right="62"/>
              <w:jc w:val="both"/>
              <w:rPr>
                <w:rFonts w:ascii="宋体" w:hAnsi="宋体" w:cs="宋体" w:eastAsia="宋体" w:hint="default"/>
                <w:sz w:val="15"/>
                <w:szCs w:val="15"/>
              </w:rPr>
            </w:pPr>
            <w:r>
              <w:rPr>
                <w:rFonts w:ascii="宋体" w:hAnsi="宋体" w:cs="宋体" w:eastAsia="宋体" w:hint="default"/>
                <w:spacing w:val="-12"/>
                <w:sz w:val="15"/>
                <w:szCs w:val="15"/>
              </w:rPr>
              <w:t>同一控制 下企业合 </w:t>
            </w:r>
            <w:r>
              <w:rPr>
                <w:rFonts w:ascii="宋体" w:hAnsi="宋体" w:cs="宋体" w:eastAsia="宋体" w:hint="default"/>
                <w:sz w:val="15"/>
                <w:szCs w:val="15"/>
              </w:rPr>
              <w:t>并</w:t>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1" w:right="0"/>
              <w:jc w:val="left"/>
              <w:rPr>
                <w:rFonts w:ascii="宋体" w:hAnsi="宋体" w:cs="宋体" w:eastAsia="宋体" w:hint="default"/>
                <w:sz w:val="15"/>
                <w:szCs w:val="15"/>
              </w:rPr>
            </w:pPr>
            <w:r>
              <w:rPr>
                <w:rFonts w:ascii="宋体" w:hAnsi="宋体" w:cs="宋体" w:eastAsia="宋体" w:hint="default"/>
                <w:spacing w:val="-12"/>
                <w:sz w:val="15"/>
                <w:szCs w:val="15"/>
              </w:rPr>
              <w:t>其他</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二、本年</w:t>
            </w:r>
            <w:r>
              <w:rPr>
                <w:rFonts w:ascii="宋体" w:hAnsi="宋体" w:cs="宋体" w:eastAsia="宋体" w:hint="default"/>
                <w:sz w:val="15"/>
                <w:szCs w:val="15"/>
              </w:rPr>
            </w:r>
          </w:p>
          <w:p>
            <w:pPr>
              <w:pStyle w:val="TableParagraph"/>
              <w:spacing w:line="195"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期初余额</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3"/>
              <w:jc w:val="right"/>
              <w:rPr>
                <w:rFonts w:ascii="Times New Roman" w:hAnsi="Times New Roman" w:cs="Times New Roman" w:eastAsia="Times New Roman" w:hint="default"/>
                <w:sz w:val="15"/>
                <w:szCs w:val="15"/>
              </w:rPr>
            </w:pPr>
            <w:r>
              <w:rPr>
                <w:rFonts w:ascii="Times New Roman"/>
                <w:spacing w:val="-7"/>
                <w:sz w:val="15"/>
              </w:rPr>
              <w:t>403,878,622.00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 w:right="0"/>
              <w:jc w:val="center"/>
              <w:rPr>
                <w:rFonts w:ascii="Times New Roman" w:hAnsi="Times New Roman" w:cs="Times New Roman" w:eastAsia="Times New Roman" w:hint="default"/>
                <w:sz w:val="15"/>
                <w:szCs w:val="15"/>
              </w:rPr>
            </w:pPr>
            <w:r>
              <w:rPr>
                <w:rFonts w:ascii="Times New Roman"/>
                <w:spacing w:val="-6"/>
                <w:sz w:val="15"/>
              </w:rPr>
              <w:t>384,344.40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630,783,455.92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182,388,017.67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 w:right="0"/>
              <w:jc w:val="center"/>
              <w:rPr>
                <w:rFonts w:ascii="Times New Roman" w:hAnsi="Times New Roman" w:cs="Times New Roman" w:eastAsia="Times New Roman" w:hint="default"/>
                <w:sz w:val="15"/>
                <w:szCs w:val="15"/>
              </w:rPr>
            </w:pPr>
            <w:r>
              <w:rPr>
                <w:rFonts w:ascii="Times New Roman"/>
                <w:spacing w:val="-6"/>
                <w:sz w:val="15"/>
              </w:rPr>
              <w:t>3,258,823.01</w:t>
            </w: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54,432,581.15</w:t>
            </w: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pacing w:val="-7"/>
                <w:sz w:val="15"/>
              </w:rPr>
              <w:t>342,328,045.64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54,034,706.38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1,306,712,560.83</w:t>
            </w:r>
          </w:p>
        </w:tc>
      </w:tr>
      <w:tr>
        <w:trPr>
          <w:trHeight w:val="983"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51" w:right="0"/>
              <w:jc w:val="both"/>
              <w:rPr>
                <w:rFonts w:ascii="宋体" w:hAnsi="宋体" w:cs="宋体" w:eastAsia="宋体" w:hint="default"/>
                <w:sz w:val="15"/>
                <w:szCs w:val="15"/>
              </w:rPr>
            </w:pPr>
            <w:r>
              <w:rPr>
                <w:rFonts w:ascii="宋体" w:hAnsi="宋体" w:cs="宋体" w:eastAsia="宋体" w:hint="default"/>
                <w:spacing w:val="-12"/>
                <w:sz w:val="15"/>
                <w:szCs w:val="15"/>
              </w:rPr>
              <w:t>三、本期</w:t>
            </w:r>
            <w:r>
              <w:rPr>
                <w:rFonts w:ascii="宋体" w:hAnsi="宋体" w:cs="宋体" w:eastAsia="宋体" w:hint="default"/>
                <w:sz w:val="15"/>
                <w:szCs w:val="15"/>
              </w:rPr>
            </w:r>
          </w:p>
          <w:p>
            <w:pPr>
              <w:pStyle w:val="TableParagraph"/>
              <w:spacing w:line="194" w:lineRule="exact" w:before="19"/>
              <w:ind w:left="51" w:right="62"/>
              <w:jc w:val="both"/>
              <w:rPr>
                <w:rFonts w:ascii="宋体" w:hAnsi="宋体" w:cs="宋体" w:eastAsia="宋体" w:hint="default"/>
                <w:sz w:val="15"/>
                <w:szCs w:val="15"/>
              </w:rPr>
            </w:pPr>
            <w:r>
              <w:rPr>
                <w:rFonts w:ascii="宋体" w:hAnsi="宋体" w:cs="宋体" w:eastAsia="宋体" w:hint="default"/>
                <w:spacing w:val="-12"/>
                <w:sz w:val="15"/>
                <w:szCs w:val="15"/>
              </w:rPr>
              <w:t>增减变动 金额（减 </w:t>
            </w:r>
            <w:r>
              <w:rPr>
                <w:rFonts w:ascii="宋体" w:hAnsi="宋体" w:cs="宋体" w:eastAsia="宋体" w:hint="default"/>
                <w:spacing w:val="-9"/>
                <w:sz w:val="15"/>
                <w:szCs w:val="15"/>
              </w:rPr>
              <w:t>少以</w:t>
            </w:r>
            <w:r>
              <w:rPr>
                <w:rFonts w:ascii="Times New Roman" w:hAnsi="Times New Roman" w:cs="Times New Roman" w:eastAsia="Times New Roman" w:hint="default"/>
                <w:spacing w:val="-9"/>
                <w:sz w:val="15"/>
                <w:szCs w:val="15"/>
              </w:rPr>
              <w:t>“</w:t>
            </w:r>
            <w:r>
              <w:rPr>
                <w:rFonts w:ascii="宋体" w:hAnsi="宋体" w:cs="宋体" w:eastAsia="宋体" w:hint="default"/>
                <w:spacing w:val="-9"/>
                <w:sz w:val="15"/>
                <w:szCs w:val="15"/>
              </w:rPr>
              <w:t>－</w:t>
            </w:r>
            <w:r>
              <w:rPr>
                <w:rFonts w:ascii="Times New Roman" w:hAnsi="Times New Roman" w:cs="Times New Roman" w:eastAsia="Times New Roman" w:hint="default"/>
                <w:spacing w:val="-9"/>
                <w:sz w:val="15"/>
                <w:szCs w:val="15"/>
              </w:rPr>
              <w:t>”</w:t>
            </w:r>
            <w:r>
              <w:rPr>
                <w:rFonts w:ascii="Times New Roman" w:hAnsi="Times New Roman" w:cs="Times New Roman" w:eastAsia="Times New Roman" w:hint="default"/>
                <w:spacing w:val="-35"/>
                <w:sz w:val="15"/>
                <w:szCs w:val="15"/>
              </w:rPr>
              <w:t> </w:t>
            </w:r>
            <w:r>
              <w:rPr>
                <w:rFonts w:ascii="宋体" w:hAnsi="宋体" w:cs="宋体" w:eastAsia="宋体" w:hint="default"/>
                <w:spacing w:val="-12"/>
                <w:sz w:val="15"/>
                <w:szCs w:val="15"/>
              </w:rPr>
              <w:t>号填列）</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-787,775.00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20,118,189.09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-87,598,956.17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pacing w:val="-6"/>
                <w:sz w:val="15"/>
              </w:rPr>
              <w:t>1,927,488.82</w:t>
            </w: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2,731,076.57</w:t>
            </w: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pacing w:val="-7"/>
                <w:sz w:val="15"/>
              </w:rPr>
              <w:t>129,436,913.77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4,025,054.22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245,049,903.64</w:t>
            </w:r>
          </w:p>
        </w:tc>
      </w:tr>
      <w:tr>
        <w:trPr>
          <w:trHeight w:val="594"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（一）综</w:t>
            </w:r>
            <w:r>
              <w:rPr>
                <w:rFonts w:ascii="宋体" w:hAnsi="宋体" w:cs="宋体" w:eastAsia="宋体" w:hint="default"/>
                <w:sz w:val="15"/>
                <w:szCs w:val="15"/>
              </w:rPr>
            </w:r>
          </w:p>
          <w:p>
            <w:pPr>
              <w:pStyle w:val="TableParagraph"/>
              <w:spacing w:line="240" w:lineRule="auto"/>
              <w:ind w:left="51" w:right="62"/>
              <w:jc w:val="left"/>
              <w:rPr>
                <w:rFonts w:ascii="宋体" w:hAnsi="宋体" w:cs="宋体" w:eastAsia="宋体" w:hint="default"/>
                <w:sz w:val="15"/>
                <w:szCs w:val="15"/>
              </w:rPr>
            </w:pPr>
            <w:r>
              <w:rPr>
                <w:rFonts w:ascii="宋体" w:hAnsi="宋体" w:cs="宋体" w:eastAsia="宋体" w:hint="default"/>
                <w:spacing w:val="-12"/>
                <w:sz w:val="15"/>
                <w:szCs w:val="15"/>
              </w:rPr>
              <w:t>合收益总 </w:t>
            </w:r>
            <w:r>
              <w:rPr>
                <w:rFonts w:ascii="宋体" w:hAnsi="宋体" w:cs="宋体" w:eastAsia="宋体" w:hint="default"/>
                <w:sz w:val="15"/>
                <w:szCs w:val="15"/>
              </w:rPr>
              <w:t>额</w:t>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pacing w:val="-6"/>
                <w:sz w:val="15"/>
              </w:rPr>
              <w:t>1,927,488.82</w:t>
            </w: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 w:right="0"/>
              <w:jc w:val="center"/>
              <w:rPr>
                <w:rFonts w:ascii="Times New Roman" w:hAnsi="Times New Roman" w:cs="Times New Roman" w:eastAsia="Times New Roman" w:hint="default"/>
                <w:sz w:val="15"/>
                <w:szCs w:val="15"/>
              </w:rPr>
            </w:pPr>
            <w:r>
              <w:rPr>
                <w:rFonts w:ascii="Times New Roman"/>
                <w:spacing w:val="-7"/>
                <w:sz w:val="15"/>
              </w:rPr>
              <w:t>164,304,280.80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2,657,771.29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168,889,540.91</w:t>
            </w:r>
          </w:p>
        </w:tc>
      </w:tr>
      <w:tr>
        <w:trPr>
          <w:trHeight w:val="788"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51" w:right="0"/>
              <w:jc w:val="both"/>
              <w:rPr>
                <w:rFonts w:ascii="宋体" w:hAnsi="宋体" w:cs="宋体" w:eastAsia="宋体" w:hint="default"/>
                <w:sz w:val="15"/>
                <w:szCs w:val="15"/>
              </w:rPr>
            </w:pPr>
            <w:r>
              <w:rPr>
                <w:rFonts w:ascii="宋体" w:hAnsi="宋体" w:cs="宋体" w:eastAsia="宋体" w:hint="default"/>
                <w:spacing w:val="-12"/>
                <w:sz w:val="15"/>
                <w:szCs w:val="15"/>
              </w:rPr>
              <w:t>（二）所</w:t>
            </w:r>
            <w:r>
              <w:rPr>
                <w:rFonts w:ascii="宋体" w:hAnsi="宋体" w:cs="宋体" w:eastAsia="宋体" w:hint="default"/>
                <w:sz w:val="15"/>
                <w:szCs w:val="15"/>
              </w:rPr>
            </w:r>
          </w:p>
          <w:p>
            <w:pPr>
              <w:pStyle w:val="TableParagraph"/>
              <w:spacing w:line="240" w:lineRule="auto"/>
              <w:ind w:left="51" w:right="62"/>
              <w:jc w:val="both"/>
              <w:rPr>
                <w:rFonts w:ascii="宋体" w:hAnsi="宋体" w:cs="宋体" w:eastAsia="宋体" w:hint="default"/>
                <w:sz w:val="15"/>
                <w:szCs w:val="15"/>
              </w:rPr>
            </w:pPr>
            <w:r>
              <w:rPr>
                <w:rFonts w:ascii="宋体" w:hAnsi="宋体" w:cs="宋体" w:eastAsia="宋体" w:hint="default"/>
                <w:spacing w:val="-12"/>
                <w:sz w:val="15"/>
                <w:szCs w:val="15"/>
              </w:rPr>
              <w:t>有者投入 和减少资 </w:t>
            </w:r>
            <w:r>
              <w:rPr>
                <w:rFonts w:ascii="宋体" w:hAnsi="宋体" w:cs="宋体" w:eastAsia="宋体" w:hint="default"/>
                <w:sz w:val="15"/>
                <w:szCs w:val="15"/>
              </w:rPr>
              <w:t>本</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-787,775.00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20,078,130.78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7"/>
                <w:sz w:val="15"/>
              </w:rPr>
              <w:t>-87,212,891.70</w:t>
            </w: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1,367,282.93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7"/>
                <w:sz w:val="15"/>
              </w:rPr>
              <w:t>107,870,530.41</w:t>
            </w:r>
          </w:p>
        </w:tc>
      </w:tr>
      <w:tr>
        <w:trPr>
          <w:trHeight w:val="593"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51"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9"/>
                <w:sz w:val="15"/>
                <w:szCs w:val="15"/>
              </w:rPr>
              <w:t>．</w:t>
            </w:r>
            <w:r>
              <w:rPr>
                <w:rFonts w:ascii="宋体" w:hAnsi="宋体" w:cs="宋体" w:eastAsia="宋体" w:hint="default"/>
                <w:spacing w:val="-12"/>
                <w:sz w:val="15"/>
                <w:szCs w:val="15"/>
              </w:rPr>
              <w:t>所有</w:t>
            </w:r>
            <w:r>
              <w:rPr>
                <w:rFonts w:ascii="宋体" w:hAnsi="宋体" w:cs="宋体" w:eastAsia="宋体" w:hint="default"/>
                <w:sz w:val="15"/>
                <w:szCs w:val="15"/>
              </w:rPr>
              <w:t>者</w:t>
            </w:r>
          </w:p>
          <w:p>
            <w:pPr>
              <w:pStyle w:val="TableParagraph"/>
              <w:spacing w:line="194" w:lineRule="exact" w:before="13"/>
              <w:ind w:left="51" w:right="62"/>
              <w:jc w:val="left"/>
              <w:rPr>
                <w:rFonts w:ascii="宋体" w:hAnsi="宋体" w:cs="宋体" w:eastAsia="宋体" w:hint="default"/>
                <w:sz w:val="15"/>
                <w:szCs w:val="15"/>
              </w:rPr>
            </w:pPr>
            <w:r>
              <w:rPr>
                <w:rFonts w:ascii="宋体" w:hAnsi="宋体" w:cs="宋体" w:eastAsia="宋体" w:hint="default"/>
                <w:spacing w:val="-12"/>
                <w:sz w:val="15"/>
                <w:szCs w:val="15"/>
              </w:rPr>
              <w:t>投入的普 通股</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1,200,000.00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1,200,000.00</w:t>
            </w:r>
          </w:p>
        </w:tc>
      </w:tr>
      <w:tr>
        <w:trPr>
          <w:trHeight w:val="203" w:hRule="exact"/>
        </w:trPr>
        <w:tc>
          <w:tcPr>
            <w:tcW w:w="678" w:type="dxa"/>
            <w:tcBorders>
              <w:top w:val="single" w:sz="4" w:space="0" w:color="000000"/>
              <w:left w:val="single" w:sz="4" w:space="0" w:color="000000"/>
              <w:bottom w:val="nil" w:sz="6" w:space="0" w:color="auto"/>
              <w:right w:val="single" w:sz="4" w:space="0" w:color="000000"/>
            </w:tcBorders>
          </w:tcPr>
          <w:p>
            <w:pPr>
              <w:pStyle w:val="TableParagraph"/>
              <w:spacing w:line="184" w:lineRule="exact"/>
              <w:ind w:left="51"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9"/>
                <w:sz w:val="15"/>
                <w:szCs w:val="15"/>
              </w:rPr>
              <w:t>．</w:t>
            </w:r>
            <w:r>
              <w:rPr>
                <w:rFonts w:ascii="宋体" w:hAnsi="宋体" w:cs="宋体" w:eastAsia="宋体" w:hint="default"/>
                <w:spacing w:val="-12"/>
                <w:sz w:val="15"/>
                <w:szCs w:val="15"/>
              </w:rPr>
              <w:t>其他</w:t>
            </w:r>
            <w:r>
              <w:rPr>
                <w:rFonts w:ascii="宋体" w:hAnsi="宋体" w:cs="宋体" w:eastAsia="宋体" w:hint="default"/>
                <w:sz w:val="15"/>
                <w:szCs w:val="15"/>
              </w:rPr>
              <w:t>权</w:t>
            </w:r>
          </w:p>
        </w:tc>
        <w:tc>
          <w:tcPr>
            <w:tcW w:w="968"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400" w:type="dxa"/>
            <w:vMerge w:val="restart"/>
            <w:tcBorders>
              <w:top w:val="single" w:sz="4" w:space="0" w:color="000000"/>
              <w:left w:val="single" w:sz="4" w:space="0" w:color="000000"/>
              <w:right w:val="single" w:sz="4" w:space="0" w:color="000000"/>
            </w:tcBorders>
          </w:tcPr>
          <w:p>
            <w:pPr/>
          </w:p>
        </w:tc>
        <w:tc>
          <w:tcPr>
            <w:tcW w:w="731" w:type="dxa"/>
            <w:vMerge w:val="restart"/>
            <w:tcBorders>
              <w:top w:val="single" w:sz="4" w:space="0" w:color="000000"/>
              <w:left w:val="single" w:sz="4" w:space="0" w:color="000000"/>
              <w:right w:val="single" w:sz="4" w:space="0" w:color="000000"/>
            </w:tcBorders>
          </w:tcPr>
          <w:p>
            <w:pPr/>
          </w:p>
        </w:tc>
        <w:tc>
          <w:tcPr>
            <w:tcW w:w="971"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0" w:type="dxa"/>
            <w:vMerge w:val="restart"/>
            <w:tcBorders>
              <w:top w:val="single" w:sz="4" w:space="0" w:color="000000"/>
              <w:left w:val="single" w:sz="4" w:space="0" w:color="000000"/>
              <w:right w:val="single" w:sz="4" w:space="0" w:color="000000"/>
            </w:tcBorders>
          </w:tcPr>
          <w:p>
            <w:pPr/>
          </w:p>
        </w:tc>
        <w:tc>
          <w:tcPr>
            <w:tcW w:w="402"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385" w:hRule="exact"/>
        </w:trPr>
        <w:tc>
          <w:tcPr>
            <w:tcW w:w="678" w:type="dxa"/>
            <w:tcBorders>
              <w:top w:val="nil" w:sz="6" w:space="0" w:color="auto"/>
              <w:left w:val="single" w:sz="4" w:space="0" w:color="000000"/>
              <w:bottom w:val="nil" w:sz="6" w:space="0" w:color="auto"/>
              <w:right w:val="single" w:sz="4" w:space="0" w:color="000000"/>
            </w:tcBorders>
          </w:tcPr>
          <w:p>
            <w:pPr>
              <w:pStyle w:val="TableParagraph"/>
              <w:spacing w:line="167"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4"/>
                <w:sz w:val="15"/>
                <w:szCs w:val="15"/>
                <w:shd w:fill="D2D2D2" w:color="auto" w:val="clear"/>
              </w:rPr>
              <w:t> </w:t>
            </w:r>
            <w:r>
              <w:rPr>
                <w:rFonts w:ascii="宋体" w:hAnsi="宋体" w:cs="宋体" w:eastAsia="宋体" w:hint="default"/>
                <w:spacing w:val="-12"/>
                <w:sz w:val="15"/>
                <w:szCs w:val="15"/>
                <w:shd w:fill="D2D2D2" w:color="auto" w:val="clear"/>
              </w:rPr>
              <w:t>益工具持</w:t>
            </w:r>
            <w:r>
              <w:rPr>
                <w:rFonts w:ascii="宋体" w:hAnsi="宋体" w:cs="宋体" w:eastAsia="宋体" w:hint="default"/>
                <w:spacing w:val="-12"/>
                <w:sz w:val="15"/>
                <w:szCs w:val="15"/>
              </w:rPr>
            </w:r>
            <w:r>
              <w:rPr>
                <w:rFonts w:ascii="宋体" w:hAnsi="宋体" w:cs="宋体" w:eastAsia="宋体" w:hint="default"/>
                <w:sz w:val="15"/>
                <w:szCs w:val="15"/>
              </w:rPr>
            </w:r>
          </w:p>
          <w:p>
            <w:pPr>
              <w:pStyle w:val="TableParagraph"/>
              <w:spacing w:line="195"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4"/>
                <w:sz w:val="15"/>
                <w:szCs w:val="15"/>
                <w:shd w:fill="D2D2D2" w:color="auto" w:val="clear"/>
              </w:rPr>
              <w:t> </w:t>
            </w:r>
            <w:r>
              <w:rPr>
                <w:rFonts w:ascii="宋体" w:hAnsi="宋体" w:cs="宋体" w:eastAsia="宋体" w:hint="default"/>
                <w:spacing w:val="-12"/>
                <w:sz w:val="15"/>
                <w:szCs w:val="15"/>
                <w:shd w:fill="D2D2D2" w:color="auto" w:val="clear"/>
              </w:rPr>
              <w:t>有者投入</w:t>
            </w:r>
            <w:r>
              <w:rPr>
                <w:rFonts w:ascii="宋体" w:hAnsi="宋体" w:cs="宋体" w:eastAsia="宋体" w:hint="default"/>
                <w:spacing w:val="-12"/>
                <w:sz w:val="15"/>
                <w:szCs w:val="15"/>
              </w:rPr>
            </w:r>
            <w:r>
              <w:rPr>
                <w:rFonts w:ascii="宋体" w:hAnsi="宋体" w:cs="宋体" w:eastAsia="宋体" w:hint="default"/>
                <w:sz w:val="15"/>
                <w:szCs w:val="15"/>
              </w:rPr>
            </w:r>
          </w:p>
        </w:tc>
        <w:tc>
          <w:tcPr>
            <w:tcW w:w="968" w:type="dxa"/>
            <w:vMerge/>
            <w:tcBorders>
              <w:left w:val="single" w:sz="4" w:space="0" w:color="000000"/>
              <w:right w:val="single" w:sz="4" w:space="0" w:color="000000"/>
            </w:tcBorders>
          </w:tcPr>
          <w:p>
            <w:pPr/>
          </w:p>
        </w:tc>
        <w:tc>
          <w:tcPr>
            <w:tcW w:w="401" w:type="dxa"/>
            <w:vMerge/>
            <w:tcBorders>
              <w:left w:val="single" w:sz="4" w:space="0" w:color="000000"/>
              <w:right w:val="single" w:sz="4" w:space="0" w:color="000000"/>
            </w:tcBorders>
          </w:tcPr>
          <w:p>
            <w:pPr/>
          </w:p>
        </w:tc>
        <w:tc>
          <w:tcPr>
            <w:tcW w:w="400" w:type="dxa"/>
            <w:vMerge/>
            <w:tcBorders>
              <w:left w:val="single" w:sz="4" w:space="0" w:color="000000"/>
              <w:right w:val="single" w:sz="4" w:space="0" w:color="000000"/>
            </w:tcBorders>
          </w:tcPr>
          <w:p>
            <w:pPr/>
          </w:p>
        </w:tc>
        <w:tc>
          <w:tcPr>
            <w:tcW w:w="731" w:type="dxa"/>
            <w:vMerge/>
            <w:tcBorders>
              <w:left w:val="single" w:sz="4" w:space="0" w:color="000000"/>
              <w:right w:val="single" w:sz="4" w:space="0" w:color="000000"/>
            </w:tcBorders>
          </w:tcPr>
          <w:p>
            <w:pPr/>
          </w:p>
        </w:tc>
        <w:tc>
          <w:tcPr>
            <w:tcW w:w="971"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0" w:type="dxa"/>
            <w:vMerge/>
            <w:tcBorders>
              <w:left w:val="single" w:sz="4" w:space="0" w:color="000000"/>
              <w:right w:val="single" w:sz="4" w:space="0" w:color="000000"/>
            </w:tcBorders>
          </w:tcPr>
          <w:p>
            <w:pPr/>
          </w:p>
        </w:tc>
        <w:tc>
          <w:tcPr>
            <w:tcW w:w="402"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1"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1" w:hRule="exact"/>
        </w:trPr>
        <w:tc>
          <w:tcPr>
            <w:tcW w:w="678"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资本</w:t>
            </w:r>
            <w:r>
              <w:rPr>
                <w:rFonts w:ascii="宋体" w:hAnsi="宋体" w:cs="宋体" w:eastAsia="宋体" w:hint="default"/>
                <w:sz w:val="15"/>
                <w:szCs w:val="15"/>
              </w:rPr>
            </w:r>
          </w:p>
        </w:tc>
        <w:tc>
          <w:tcPr>
            <w:tcW w:w="968"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400" w:type="dxa"/>
            <w:vMerge/>
            <w:tcBorders>
              <w:left w:val="single" w:sz="4" w:space="0" w:color="000000"/>
              <w:bottom w:val="single" w:sz="4" w:space="0" w:color="000000"/>
              <w:right w:val="single" w:sz="4" w:space="0" w:color="000000"/>
            </w:tcBorders>
          </w:tcPr>
          <w:p>
            <w:pPr/>
          </w:p>
        </w:tc>
        <w:tc>
          <w:tcPr>
            <w:tcW w:w="731" w:type="dxa"/>
            <w:vMerge/>
            <w:tcBorders>
              <w:left w:val="single" w:sz="4" w:space="0" w:color="000000"/>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402"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788"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51" w:right="0"/>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3</w:t>
            </w:r>
            <w:r>
              <w:rPr>
                <w:rFonts w:ascii="宋体" w:hAnsi="宋体" w:cs="宋体" w:eastAsia="宋体" w:hint="default"/>
                <w:spacing w:val="-69"/>
                <w:sz w:val="15"/>
                <w:szCs w:val="15"/>
              </w:rPr>
              <w:t>．</w:t>
            </w:r>
            <w:r>
              <w:rPr>
                <w:rFonts w:ascii="宋体" w:hAnsi="宋体" w:cs="宋体" w:eastAsia="宋体" w:hint="default"/>
                <w:spacing w:val="-12"/>
                <w:sz w:val="15"/>
                <w:szCs w:val="15"/>
              </w:rPr>
              <w:t>股份</w:t>
            </w:r>
            <w:r>
              <w:rPr>
                <w:rFonts w:ascii="宋体" w:hAnsi="宋体" w:cs="宋体" w:eastAsia="宋体" w:hint="default"/>
                <w:sz w:val="15"/>
                <w:szCs w:val="15"/>
              </w:rPr>
              <w:t>支</w:t>
            </w:r>
          </w:p>
          <w:p>
            <w:pPr>
              <w:pStyle w:val="TableParagraph"/>
              <w:spacing w:line="194" w:lineRule="exact" w:before="14"/>
              <w:ind w:left="51" w:right="62"/>
              <w:jc w:val="both"/>
              <w:rPr>
                <w:rFonts w:ascii="宋体" w:hAnsi="宋体" w:cs="宋体" w:eastAsia="宋体" w:hint="default"/>
                <w:sz w:val="15"/>
                <w:szCs w:val="15"/>
              </w:rPr>
            </w:pPr>
            <w:r>
              <w:rPr>
                <w:rFonts w:ascii="宋体" w:hAnsi="宋体" w:cs="宋体" w:eastAsia="宋体" w:hint="default"/>
                <w:spacing w:val="-12"/>
                <w:sz w:val="15"/>
                <w:szCs w:val="15"/>
              </w:rPr>
              <w:t>付计入所 有者权益 的金额</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43"/>
              <w:jc w:val="right"/>
              <w:rPr>
                <w:rFonts w:ascii="Times New Roman" w:hAnsi="Times New Roman" w:cs="Times New Roman" w:eastAsia="Times New Roman" w:hint="default"/>
                <w:sz w:val="15"/>
                <w:szCs w:val="15"/>
              </w:rPr>
            </w:pPr>
            <w:r>
              <w:rPr>
                <w:rFonts w:ascii="Times New Roman"/>
                <w:spacing w:val="-6"/>
                <w:sz w:val="15"/>
              </w:rPr>
              <w:t>2,685,000.00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19,917,228.84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7"/>
                <w:sz w:val="15"/>
              </w:rPr>
              <w:t>-87,212,891.70</w:t>
            </w: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426,512.88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7"/>
                <w:sz w:val="15"/>
              </w:rPr>
              <w:t>107,556,633.42</w:t>
            </w:r>
          </w:p>
        </w:tc>
      </w:tr>
      <w:tr>
        <w:trPr>
          <w:trHeight w:val="40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1"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4</w:t>
            </w:r>
            <w:r>
              <w:rPr>
                <w:rFonts w:ascii="宋体" w:hAnsi="宋体" w:cs="宋体" w:eastAsia="宋体" w:hint="default"/>
                <w:spacing w:val="-11"/>
                <w:sz w:val="15"/>
                <w:szCs w:val="15"/>
              </w:rPr>
              <w:t>．其他</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-787,775.00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160,901.94</w:t>
            </w: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-259,229.95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-886,103.01</w:t>
            </w:r>
          </w:p>
        </w:tc>
      </w:tr>
    </w:tbl>
    <w:p>
      <w:pPr>
        <w:spacing w:after="0" w:line="240" w:lineRule="auto"/>
        <w:jc w:val="right"/>
        <w:rPr>
          <w:rFonts w:ascii="Times New Roman" w:hAnsi="Times New Roman" w:cs="Times New Roman" w:eastAsia="Times New Roman" w:hint="default"/>
          <w:sz w:val="15"/>
          <w:szCs w:val="15"/>
        </w:rPr>
        <w:sectPr>
          <w:pgSz w:w="11910" w:h="16840"/>
          <w:pgMar w:header="801" w:footer="1007" w:top="1100" w:bottom="1200" w:left="540" w:right="0"/>
        </w:sectPr>
      </w:pPr>
    </w:p>
    <w:p>
      <w:pPr>
        <w:spacing w:line="240" w:lineRule="auto" w:before="6"/>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678"/>
        <w:gridCol w:w="968"/>
        <w:gridCol w:w="401"/>
        <w:gridCol w:w="400"/>
        <w:gridCol w:w="731"/>
        <w:gridCol w:w="971"/>
        <w:gridCol w:w="970"/>
        <w:gridCol w:w="830"/>
        <w:gridCol w:w="402"/>
        <w:gridCol w:w="900"/>
        <w:gridCol w:w="401"/>
        <w:gridCol w:w="974"/>
        <w:gridCol w:w="900"/>
        <w:gridCol w:w="1068"/>
      </w:tblGrid>
      <w:tr>
        <w:trPr>
          <w:trHeight w:val="407" w:hRule="exact"/>
        </w:trPr>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95" w:right="0"/>
              <w:jc w:val="left"/>
              <w:rPr>
                <w:rFonts w:ascii="宋体" w:hAnsi="宋体" w:cs="宋体" w:eastAsia="宋体" w:hint="default"/>
                <w:sz w:val="15"/>
                <w:szCs w:val="15"/>
              </w:rPr>
            </w:pPr>
            <w:r>
              <w:rPr>
                <w:rFonts w:ascii="宋体" w:hAnsi="宋体" w:cs="宋体" w:eastAsia="宋体" w:hint="default"/>
                <w:spacing w:val="-12"/>
                <w:sz w:val="15"/>
                <w:szCs w:val="15"/>
              </w:rPr>
              <w:t>项目</w:t>
            </w:r>
            <w:r>
              <w:rPr>
                <w:rFonts w:ascii="宋体" w:hAnsi="宋体" w:cs="宋体" w:eastAsia="宋体" w:hint="default"/>
                <w:sz w:val="15"/>
                <w:szCs w:val="15"/>
              </w:rPr>
            </w:r>
          </w:p>
        </w:tc>
        <w:tc>
          <w:tcPr>
            <w:tcW w:w="991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pacing w:val="-12"/>
                <w:sz w:val="15"/>
                <w:szCs w:val="15"/>
              </w:rPr>
              <w:t>本期</w:t>
            </w:r>
            <w:r>
              <w:rPr>
                <w:rFonts w:ascii="宋体" w:hAnsi="宋体" w:cs="宋体" w:eastAsia="宋体" w:hint="default"/>
                <w:sz w:val="15"/>
                <w:szCs w:val="15"/>
              </w:rPr>
            </w:r>
          </w:p>
        </w:tc>
      </w:tr>
      <w:tr>
        <w:trPr>
          <w:trHeight w:val="401" w:hRule="exact"/>
        </w:trPr>
        <w:tc>
          <w:tcPr>
            <w:tcW w:w="678" w:type="dxa"/>
            <w:vMerge/>
            <w:tcBorders>
              <w:left w:val="single" w:sz="4" w:space="0" w:color="000000"/>
              <w:right w:val="single" w:sz="4" w:space="0" w:color="000000"/>
            </w:tcBorders>
            <w:shd w:val="clear" w:color="auto" w:fill="D2D2D2"/>
          </w:tcPr>
          <w:p>
            <w:pPr/>
          </w:p>
        </w:tc>
        <w:tc>
          <w:tcPr>
            <w:tcW w:w="794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pacing w:val="-12"/>
                <w:sz w:val="15"/>
                <w:szCs w:val="15"/>
              </w:rPr>
              <w:t>归属于母公司所有者权益</w:t>
            </w:r>
            <w:r>
              <w:rPr>
                <w:rFonts w:ascii="宋体" w:hAnsi="宋体" w:cs="宋体" w:eastAsia="宋体" w:hint="default"/>
                <w:sz w:val="15"/>
                <w:szCs w:val="15"/>
              </w:rPr>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6" w:hRule="exact"/>
        </w:trPr>
        <w:tc>
          <w:tcPr>
            <w:tcW w:w="678" w:type="dxa"/>
            <w:vMerge/>
            <w:tcBorders>
              <w:left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gridSpan w:val="3"/>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1"/>
              <w:ind w:left="346" w:right="0"/>
              <w:jc w:val="left"/>
              <w:rPr>
                <w:rFonts w:ascii="宋体" w:hAnsi="宋体" w:cs="宋体" w:eastAsia="宋体" w:hint="default"/>
                <w:sz w:val="15"/>
                <w:szCs w:val="15"/>
              </w:rPr>
            </w:pPr>
            <w:r>
              <w:rPr>
                <w:rFonts w:ascii="宋体" w:hAnsi="宋体" w:cs="宋体" w:eastAsia="宋体" w:hint="default"/>
                <w:spacing w:val="-12"/>
                <w:sz w:val="15"/>
                <w:szCs w:val="15"/>
              </w:rPr>
              <w:t>其他权益工具</w:t>
            </w:r>
            <w:r>
              <w:rPr>
                <w:rFonts w:ascii="宋体" w:hAnsi="宋体" w:cs="宋体" w:eastAsia="宋体" w:hint="default"/>
                <w:sz w:val="15"/>
                <w:szCs w:val="15"/>
              </w:rPr>
            </w:r>
          </w:p>
        </w:tc>
        <w:tc>
          <w:tcPr>
            <w:tcW w:w="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71" w:right="133" w:hanging="138"/>
              <w:jc w:val="left"/>
              <w:rPr>
                <w:rFonts w:ascii="宋体" w:hAnsi="宋体" w:cs="宋体" w:eastAsia="宋体" w:hint="default"/>
                <w:sz w:val="15"/>
                <w:szCs w:val="15"/>
              </w:rPr>
            </w:pPr>
            <w:r>
              <w:rPr>
                <w:rFonts w:ascii="宋体" w:hAnsi="宋体" w:cs="宋体" w:eastAsia="宋体" w:hint="default"/>
                <w:spacing w:val="-12"/>
                <w:sz w:val="15"/>
                <w:szCs w:val="15"/>
              </w:rPr>
              <w:t>其他综合 收益</w:t>
            </w:r>
            <w:r>
              <w:rPr>
                <w:rFonts w:ascii="宋体" w:hAnsi="宋体" w:cs="宋体" w:eastAsia="宋体" w:hint="default"/>
                <w:sz w:val="15"/>
                <w:szCs w:val="15"/>
              </w:rPr>
            </w:r>
          </w:p>
        </w:tc>
        <w:tc>
          <w:tcPr>
            <w:tcW w:w="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7" w:right="56"/>
              <w:jc w:val="left"/>
              <w:rPr>
                <w:rFonts w:ascii="宋体" w:hAnsi="宋体" w:cs="宋体" w:eastAsia="宋体" w:hint="default"/>
                <w:sz w:val="15"/>
                <w:szCs w:val="15"/>
              </w:rPr>
            </w:pPr>
            <w:r>
              <w:rPr>
                <w:rFonts w:ascii="宋体" w:hAnsi="宋体" w:cs="宋体" w:eastAsia="宋体" w:hint="default"/>
                <w:spacing w:val="-12"/>
                <w:sz w:val="15"/>
                <w:szCs w:val="15"/>
              </w:rPr>
              <w:t>专项 储备</w:t>
            </w:r>
            <w:r>
              <w:rPr>
                <w:rFonts w:ascii="宋体" w:hAnsi="宋体" w:cs="宋体" w:eastAsia="宋体" w:hint="default"/>
                <w:sz w:val="15"/>
                <w:szCs w:val="15"/>
              </w:rPr>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69" w:right="0"/>
              <w:jc w:val="left"/>
              <w:rPr>
                <w:rFonts w:ascii="宋体" w:hAnsi="宋体" w:cs="宋体" w:eastAsia="宋体" w:hint="default"/>
                <w:sz w:val="15"/>
                <w:szCs w:val="15"/>
              </w:rPr>
            </w:pPr>
            <w:r>
              <w:rPr>
                <w:rFonts w:ascii="宋体" w:hAnsi="宋体" w:cs="宋体" w:eastAsia="宋体" w:hint="default"/>
                <w:spacing w:val="-12"/>
                <w:sz w:val="15"/>
                <w:szCs w:val="15"/>
              </w:rPr>
              <w:t>盈余公积</w:t>
            </w:r>
            <w:r>
              <w:rPr>
                <w:rFonts w:ascii="宋体" w:hAnsi="宋体" w:cs="宋体" w:eastAsia="宋体" w:hint="default"/>
                <w:sz w:val="15"/>
                <w:szCs w:val="15"/>
              </w:rPr>
            </w:r>
          </w:p>
        </w:tc>
        <w:tc>
          <w:tcPr>
            <w:tcW w:w="4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57" w:right="57"/>
              <w:jc w:val="both"/>
              <w:rPr>
                <w:rFonts w:ascii="宋体" w:hAnsi="宋体" w:cs="宋体" w:eastAsia="宋体" w:hint="default"/>
                <w:sz w:val="15"/>
                <w:szCs w:val="15"/>
              </w:rPr>
            </w:pPr>
            <w:r>
              <w:rPr>
                <w:rFonts w:ascii="宋体" w:hAnsi="宋体" w:cs="宋体" w:eastAsia="宋体" w:hint="default"/>
                <w:spacing w:val="-12"/>
                <w:sz w:val="15"/>
                <w:szCs w:val="15"/>
              </w:rPr>
              <w:t>一般 风险 准备</w:t>
            </w:r>
            <w:r>
              <w:rPr>
                <w:rFonts w:ascii="宋体" w:hAnsi="宋体" w:cs="宋体" w:eastAsia="宋体" w:hint="default"/>
                <w:sz w:val="15"/>
                <w:szCs w:val="15"/>
              </w:rPr>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2"/>
              <w:ind w:left="136" w:right="0"/>
              <w:jc w:val="left"/>
              <w:rPr>
                <w:rFonts w:ascii="宋体" w:hAnsi="宋体" w:cs="宋体" w:eastAsia="宋体" w:hint="default"/>
                <w:sz w:val="15"/>
                <w:szCs w:val="15"/>
              </w:rPr>
            </w:pPr>
            <w:r>
              <w:rPr>
                <w:rFonts w:ascii="宋体" w:hAnsi="宋体" w:cs="宋体" w:eastAsia="宋体" w:hint="default"/>
                <w:spacing w:val="-12"/>
                <w:sz w:val="15"/>
                <w:szCs w:val="15"/>
              </w:rPr>
              <w:t>未分配利润</w:t>
            </w:r>
            <w:r>
              <w:rPr>
                <w:rFonts w:ascii="宋体" w:hAnsi="宋体" w:cs="宋体" w:eastAsia="宋体" w:hint="default"/>
                <w:sz w:val="15"/>
                <w:szCs w:val="15"/>
              </w:rPr>
            </w: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194" w:lineRule="exact" w:before="9"/>
              <w:ind w:left="307" w:right="167" w:hanging="138"/>
              <w:jc w:val="left"/>
              <w:rPr>
                <w:rFonts w:ascii="宋体" w:hAnsi="宋体" w:cs="宋体" w:eastAsia="宋体" w:hint="default"/>
                <w:sz w:val="15"/>
                <w:szCs w:val="15"/>
              </w:rPr>
            </w:pPr>
            <w:r>
              <w:rPr>
                <w:rFonts w:ascii="宋体" w:hAnsi="宋体" w:cs="宋体" w:eastAsia="宋体" w:hint="default"/>
                <w:spacing w:val="-12"/>
                <w:sz w:val="15"/>
                <w:szCs w:val="15"/>
              </w:rPr>
              <w:t>少数股东 权益</w:t>
            </w:r>
            <w:r>
              <w:rPr>
                <w:rFonts w:ascii="宋体" w:hAnsi="宋体" w:cs="宋体" w:eastAsia="宋体" w:hint="default"/>
                <w:sz w:val="15"/>
                <w:szCs w:val="15"/>
              </w:rPr>
            </w: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194" w:lineRule="exact" w:before="9"/>
              <w:ind w:left="391" w:right="181" w:hanging="207"/>
              <w:jc w:val="left"/>
              <w:rPr>
                <w:rFonts w:ascii="宋体" w:hAnsi="宋体" w:cs="宋体" w:eastAsia="宋体" w:hint="default"/>
                <w:sz w:val="15"/>
                <w:szCs w:val="15"/>
              </w:rPr>
            </w:pPr>
            <w:r>
              <w:rPr>
                <w:rFonts w:ascii="宋体" w:hAnsi="宋体" w:cs="宋体" w:eastAsia="宋体" w:hint="default"/>
                <w:spacing w:val="-12"/>
                <w:sz w:val="15"/>
                <w:szCs w:val="15"/>
              </w:rPr>
              <w:t>所有者权益 合计</w:t>
            </w:r>
            <w:r>
              <w:rPr>
                <w:rFonts w:ascii="宋体" w:hAnsi="宋体" w:cs="宋体" w:eastAsia="宋体" w:hint="default"/>
                <w:sz w:val="15"/>
                <w:szCs w:val="15"/>
              </w:rPr>
            </w:r>
          </w:p>
        </w:tc>
      </w:tr>
      <w:tr>
        <w:trPr>
          <w:trHeight w:val="97" w:hRule="exact"/>
        </w:trPr>
        <w:tc>
          <w:tcPr>
            <w:tcW w:w="678" w:type="dxa"/>
            <w:vMerge/>
            <w:tcBorders>
              <w:left w:val="single" w:sz="4" w:space="0" w:color="000000"/>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股本</w:t>
            </w:r>
            <w:r>
              <w:rPr>
                <w:rFonts w:ascii="宋体" w:hAnsi="宋体" w:cs="宋体" w:eastAsia="宋体" w:hint="default"/>
                <w:sz w:val="15"/>
                <w:szCs w:val="15"/>
              </w:rPr>
            </w:r>
          </w:p>
        </w:tc>
        <w:tc>
          <w:tcPr>
            <w:tcW w:w="153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204" w:right="0"/>
              <w:jc w:val="left"/>
              <w:rPr>
                <w:rFonts w:ascii="宋体" w:hAnsi="宋体" w:cs="宋体" w:eastAsia="宋体" w:hint="default"/>
                <w:sz w:val="15"/>
                <w:szCs w:val="15"/>
              </w:rPr>
            </w:pPr>
            <w:r>
              <w:rPr>
                <w:rFonts w:ascii="宋体" w:hAnsi="宋体" w:cs="宋体" w:eastAsia="宋体" w:hint="default"/>
                <w:spacing w:val="-12"/>
                <w:sz w:val="15"/>
                <w:szCs w:val="15"/>
              </w:rPr>
              <w:t>资本公积</w:t>
            </w:r>
            <w:r>
              <w:rPr>
                <w:rFonts w:ascii="宋体" w:hAnsi="宋体" w:cs="宋体" w:eastAsia="宋体" w:hint="default"/>
                <w:sz w:val="15"/>
                <w:szCs w:val="15"/>
              </w:rPr>
            </w:r>
          </w:p>
        </w:tc>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134" w:right="0"/>
              <w:jc w:val="left"/>
              <w:rPr>
                <w:rFonts w:ascii="宋体" w:hAnsi="宋体" w:cs="宋体" w:eastAsia="宋体" w:hint="default"/>
                <w:sz w:val="15"/>
                <w:szCs w:val="15"/>
              </w:rPr>
            </w:pPr>
            <w:r>
              <w:rPr>
                <w:rFonts w:ascii="宋体" w:hAnsi="宋体" w:cs="宋体" w:eastAsia="宋体" w:hint="default"/>
                <w:spacing w:val="-12"/>
                <w:sz w:val="15"/>
                <w:szCs w:val="15"/>
              </w:rPr>
              <w:t>减：库存股</w:t>
            </w:r>
            <w:r>
              <w:rPr>
                <w:rFonts w:ascii="宋体" w:hAnsi="宋体" w:cs="宋体" w:eastAsia="宋体" w:hint="default"/>
                <w:sz w:val="15"/>
                <w:szCs w:val="15"/>
              </w:rPr>
            </w:r>
          </w:p>
        </w:tc>
        <w:tc>
          <w:tcPr>
            <w:tcW w:w="830" w:type="dxa"/>
            <w:vMerge/>
            <w:tcBorders>
              <w:left w:val="single" w:sz="4" w:space="0" w:color="000000"/>
              <w:right w:val="single" w:sz="4" w:space="0" w:color="000000"/>
            </w:tcBorders>
            <w:shd w:val="clear" w:color="auto" w:fill="D2D2D2"/>
          </w:tcPr>
          <w:p>
            <w:pPr/>
          </w:p>
        </w:tc>
        <w:tc>
          <w:tcPr>
            <w:tcW w:w="402"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401"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r>
      <w:tr>
        <w:trPr>
          <w:trHeight w:val="407" w:hRule="exact"/>
        </w:trPr>
        <w:tc>
          <w:tcPr>
            <w:tcW w:w="678" w:type="dxa"/>
            <w:vMerge/>
            <w:tcBorders>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25" w:right="0" w:hanging="69"/>
              <w:jc w:val="left"/>
              <w:rPr>
                <w:rFonts w:ascii="宋体" w:hAnsi="宋体" w:cs="宋体" w:eastAsia="宋体" w:hint="default"/>
                <w:sz w:val="15"/>
                <w:szCs w:val="15"/>
              </w:rPr>
            </w:pPr>
            <w:r>
              <w:rPr>
                <w:rFonts w:ascii="宋体" w:hAnsi="宋体" w:cs="宋体" w:eastAsia="宋体" w:hint="default"/>
                <w:spacing w:val="-12"/>
                <w:sz w:val="15"/>
                <w:szCs w:val="15"/>
              </w:rPr>
              <w:t>优先</w:t>
            </w:r>
            <w:r>
              <w:rPr>
                <w:rFonts w:ascii="宋体" w:hAnsi="宋体" w:cs="宋体" w:eastAsia="宋体" w:hint="default"/>
                <w:sz w:val="15"/>
                <w:szCs w:val="15"/>
              </w:rPr>
            </w:r>
          </w:p>
          <w:p>
            <w:pPr>
              <w:pStyle w:val="TableParagraph"/>
              <w:spacing w:line="195" w:lineRule="exact"/>
              <w:ind w:left="125" w:right="0"/>
              <w:jc w:val="left"/>
              <w:rPr>
                <w:rFonts w:ascii="宋体" w:hAnsi="宋体" w:cs="宋体" w:eastAsia="宋体" w:hint="default"/>
                <w:sz w:val="15"/>
                <w:szCs w:val="15"/>
              </w:rPr>
            </w:pPr>
            <w:r>
              <w:rPr>
                <w:rFonts w:ascii="宋体" w:hAnsi="宋体" w:cs="宋体" w:eastAsia="宋体" w:hint="default"/>
                <w:sz w:val="15"/>
                <w:szCs w:val="15"/>
              </w:rPr>
              <w:t>股</w:t>
            </w:r>
          </w:p>
        </w:tc>
        <w:tc>
          <w:tcPr>
            <w:tcW w:w="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24" w:right="0" w:hanging="69"/>
              <w:jc w:val="left"/>
              <w:rPr>
                <w:rFonts w:ascii="宋体" w:hAnsi="宋体" w:cs="宋体" w:eastAsia="宋体" w:hint="default"/>
                <w:sz w:val="15"/>
                <w:szCs w:val="15"/>
              </w:rPr>
            </w:pPr>
            <w:r>
              <w:rPr>
                <w:rFonts w:ascii="宋体" w:hAnsi="宋体" w:cs="宋体" w:eastAsia="宋体" w:hint="default"/>
                <w:spacing w:val="-12"/>
                <w:sz w:val="15"/>
                <w:szCs w:val="15"/>
              </w:rPr>
              <w:t>永续</w:t>
            </w:r>
            <w:r>
              <w:rPr>
                <w:rFonts w:ascii="宋体" w:hAnsi="宋体" w:cs="宋体" w:eastAsia="宋体" w:hint="default"/>
                <w:sz w:val="15"/>
                <w:szCs w:val="15"/>
              </w:rPr>
            </w:r>
          </w:p>
          <w:p>
            <w:pPr>
              <w:pStyle w:val="TableParagraph"/>
              <w:spacing w:line="195" w:lineRule="exact"/>
              <w:ind w:left="124" w:right="0"/>
              <w:jc w:val="left"/>
              <w:rPr>
                <w:rFonts w:ascii="宋体" w:hAnsi="宋体" w:cs="宋体" w:eastAsia="宋体" w:hint="default"/>
                <w:sz w:val="15"/>
                <w:szCs w:val="15"/>
              </w:rPr>
            </w:pPr>
            <w:r>
              <w:rPr>
                <w:rFonts w:ascii="宋体" w:hAnsi="宋体" w:cs="宋体" w:eastAsia="宋体" w:hint="default"/>
                <w:sz w:val="15"/>
                <w:szCs w:val="15"/>
              </w:rPr>
              <w:t>债</w:t>
            </w:r>
          </w:p>
        </w:tc>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pacing w:val="-12"/>
                <w:sz w:val="15"/>
                <w:szCs w:val="15"/>
              </w:rPr>
              <w:t>其他</w:t>
            </w:r>
            <w:r>
              <w:rPr>
                <w:rFonts w:ascii="宋体" w:hAnsi="宋体" w:cs="宋体" w:eastAsia="宋体" w:hint="default"/>
                <w:sz w:val="15"/>
                <w:szCs w:val="15"/>
              </w:rPr>
            </w:r>
          </w:p>
        </w:tc>
        <w:tc>
          <w:tcPr>
            <w:tcW w:w="971"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402"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401"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（三）利</w:t>
            </w:r>
            <w:r>
              <w:rPr>
                <w:rFonts w:ascii="宋体" w:hAnsi="宋体" w:cs="宋体" w:eastAsia="宋体" w:hint="default"/>
                <w:sz w:val="15"/>
                <w:szCs w:val="15"/>
              </w:rPr>
            </w:r>
          </w:p>
          <w:p>
            <w:pPr>
              <w:pStyle w:val="TableParagraph"/>
              <w:spacing w:line="195"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润分配</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-386,064.47</w:t>
            </w: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2,731,076.57</w:t>
            </w: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40" w:right="0"/>
              <w:jc w:val="center"/>
              <w:rPr>
                <w:rFonts w:ascii="Times New Roman" w:hAnsi="Times New Roman" w:cs="Times New Roman" w:eastAsia="Times New Roman" w:hint="default"/>
                <w:sz w:val="15"/>
                <w:szCs w:val="15"/>
              </w:rPr>
            </w:pPr>
            <w:r>
              <w:rPr>
                <w:rFonts w:ascii="Times New Roman"/>
                <w:spacing w:val="-7"/>
                <w:sz w:val="15"/>
              </w:rPr>
              <w:t>-34,867,367.03</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-31,750,225.99</w:t>
            </w:r>
          </w:p>
        </w:tc>
      </w:tr>
      <w:tr>
        <w:trPr>
          <w:trHeight w:val="40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0" w:lineRule="exact"/>
              <w:ind w:left="51"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9"/>
                <w:sz w:val="15"/>
                <w:szCs w:val="15"/>
              </w:rPr>
              <w:t>．</w:t>
            </w:r>
            <w:r>
              <w:rPr>
                <w:rFonts w:ascii="宋体" w:hAnsi="宋体" w:cs="宋体" w:eastAsia="宋体" w:hint="default"/>
                <w:spacing w:val="-12"/>
                <w:sz w:val="15"/>
                <w:szCs w:val="15"/>
              </w:rPr>
              <w:t>提取</w:t>
            </w:r>
            <w:r>
              <w:rPr>
                <w:rFonts w:ascii="宋体" w:hAnsi="宋体" w:cs="宋体" w:eastAsia="宋体" w:hint="default"/>
                <w:sz w:val="15"/>
                <w:szCs w:val="15"/>
              </w:rPr>
              <w:t>盈</w:t>
            </w:r>
          </w:p>
          <w:p>
            <w:pPr>
              <w:pStyle w:val="TableParagraph"/>
              <w:spacing w:line="190"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余公积</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2,731,076.57</w:t>
            </w: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8" w:right="0"/>
              <w:jc w:val="center"/>
              <w:rPr>
                <w:rFonts w:ascii="Times New Roman" w:hAnsi="Times New Roman" w:cs="Times New Roman" w:eastAsia="Times New Roman" w:hint="default"/>
                <w:sz w:val="15"/>
                <w:szCs w:val="15"/>
              </w:rPr>
            </w:pPr>
            <w:r>
              <w:rPr>
                <w:rFonts w:ascii="Times New Roman"/>
                <w:spacing w:val="-6"/>
                <w:sz w:val="15"/>
              </w:rPr>
              <w:t>-2,731,076.57</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51"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9"/>
                <w:sz w:val="15"/>
                <w:szCs w:val="15"/>
              </w:rPr>
              <w:t>．</w:t>
            </w:r>
            <w:r>
              <w:rPr>
                <w:rFonts w:ascii="宋体" w:hAnsi="宋体" w:cs="宋体" w:eastAsia="宋体" w:hint="default"/>
                <w:spacing w:val="-12"/>
                <w:sz w:val="15"/>
                <w:szCs w:val="15"/>
              </w:rPr>
              <w:t>提取</w:t>
            </w:r>
            <w:r>
              <w:rPr>
                <w:rFonts w:ascii="宋体" w:hAnsi="宋体" w:cs="宋体" w:eastAsia="宋体" w:hint="default"/>
                <w:sz w:val="15"/>
                <w:szCs w:val="15"/>
              </w:rPr>
              <w:t>一</w:t>
            </w:r>
          </w:p>
          <w:p>
            <w:pPr>
              <w:pStyle w:val="TableParagraph"/>
              <w:spacing w:line="196" w:lineRule="exact" w:before="11"/>
              <w:ind w:left="51" w:right="62"/>
              <w:jc w:val="left"/>
              <w:rPr>
                <w:rFonts w:ascii="宋体" w:hAnsi="宋体" w:cs="宋体" w:eastAsia="宋体" w:hint="default"/>
                <w:sz w:val="15"/>
                <w:szCs w:val="15"/>
              </w:rPr>
            </w:pPr>
            <w:r>
              <w:rPr>
                <w:rFonts w:ascii="宋体" w:hAnsi="宋体" w:cs="宋体" w:eastAsia="宋体" w:hint="default"/>
                <w:spacing w:val="-12"/>
                <w:sz w:val="15"/>
                <w:szCs w:val="15"/>
              </w:rPr>
              <w:t>般风险准 </w:t>
            </w:r>
            <w:r>
              <w:rPr>
                <w:rFonts w:ascii="宋体" w:hAnsi="宋体" w:cs="宋体" w:eastAsia="宋体" w:hint="default"/>
                <w:sz w:val="15"/>
                <w:szCs w:val="15"/>
              </w:rPr>
              <w:t>备</w:t>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51" w:right="0"/>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3</w:t>
            </w:r>
            <w:r>
              <w:rPr>
                <w:rFonts w:ascii="宋体" w:hAnsi="宋体" w:cs="宋体" w:eastAsia="宋体" w:hint="default"/>
                <w:spacing w:val="-69"/>
                <w:sz w:val="15"/>
                <w:szCs w:val="15"/>
              </w:rPr>
              <w:t>．</w:t>
            </w:r>
            <w:r>
              <w:rPr>
                <w:rFonts w:ascii="宋体" w:hAnsi="宋体" w:cs="宋体" w:eastAsia="宋体" w:hint="default"/>
                <w:spacing w:val="-12"/>
                <w:sz w:val="15"/>
                <w:szCs w:val="15"/>
              </w:rPr>
              <w:t>对所</w:t>
            </w:r>
            <w:r>
              <w:rPr>
                <w:rFonts w:ascii="宋体" w:hAnsi="宋体" w:cs="宋体" w:eastAsia="宋体" w:hint="default"/>
                <w:sz w:val="15"/>
                <w:szCs w:val="15"/>
              </w:rPr>
              <w:t>有</w:t>
            </w:r>
          </w:p>
          <w:p>
            <w:pPr>
              <w:pStyle w:val="TableParagraph"/>
              <w:spacing w:line="194" w:lineRule="exact" w:before="13"/>
              <w:ind w:left="51" w:right="62"/>
              <w:jc w:val="both"/>
              <w:rPr>
                <w:rFonts w:ascii="宋体" w:hAnsi="宋体" w:cs="宋体" w:eastAsia="宋体" w:hint="default"/>
                <w:sz w:val="15"/>
                <w:szCs w:val="15"/>
              </w:rPr>
            </w:pPr>
            <w:r>
              <w:rPr>
                <w:rFonts w:ascii="宋体" w:hAnsi="宋体" w:cs="宋体" w:eastAsia="宋体" w:hint="default"/>
                <w:spacing w:val="-12"/>
                <w:sz w:val="15"/>
                <w:szCs w:val="15"/>
              </w:rPr>
              <w:t>者（或股 东）的分 </w:t>
            </w:r>
            <w:r>
              <w:rPr>
                <w:rFonts w:ascii="宋体" w:hAnsi="宋体" w:cs="宋体" w:eastAsia="宋体" w:hint="default"/>
                <w:sz w:val="15"/>
                <w:szCs w:val="15"/>
              </w:rPr>
              <w:t>配</w:t>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44"/>
              <w:jc w:val="right"/>
              <w:rPr>
                <w:rFonts w:ascii="Times New Roman" w:hAnsi="Times New Roman" w:cs="Times New Roman" w:eastAsia="Times New Roman" w:hint="default"/>
                <w:sz w:val="15"/>
                <w:szCs w:val="15"/>
              </w:rPr>
            </w:pPr>
            <w:r>
              <w:rPr>
                <w:rFonts w:ascii="Times New Roman"/>
                <w:spacing w:val="-6"/>
                <w:sz w:val="15"/>
              </w:rPr>
              <w:t>-386,064.47</w:t>
            </w: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40" w:right="0"/>
              <w:jc w:val="center"/>
              <w:rPr>
                <w:rFonts w:ascii="Times New Roman" w:hAnsi="Times New Roman" w:cs="Times New Roman" w:eastAsia="Times New Roman" w:hint="default"/>
                <w:sz w:val="15"/>
                <w:szCs w:val="15"/>
              </w:rPr>
            </w:pPr>
            <w:r>
              <w:rPr>
                <w:rFonts w:ascii="Times New Roman"/>
                <w:spacing w:val="-7"/>
                <w:sz w:val="15"/>
              </w:rPr>
              <w:t>-32,136,290.46</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44"/>
              <w:jc w:val="right"/>
              <w:rPr>
                <w:rFonts w:ascii="Times New Roman" w:hAnsi="Times New Roman" w:cs="Times New Roman" w:eastAsia="Times New Roman" w:hint="default"/>
                <w:sz w:val="15"/>
                <w:szCs w:val="15"/>
              </w:rPr>
            </w:pPr>
            <w:r>
              <w:rPr>
                <w:rFonts w:ascii="Times New Roman"/>
                <w:spacing w:val="-7"/>
                <w:sz w:val="15"/>
              </w:rPr>
              <w:t>-31,750,225.99</w:t>
            </w:r>
          </w:p>
        </w:tc>
      </w:tr>
      <w:tr>
        <w:trPr>
          <w:trHeight w:val="408"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1"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4</w:t>
            </w:r>
            <w:r>
              <w:rPr>
                <w:rFonts w:ascii="宋体" w:hAnsi="宋体" w:cs="宋体" w:eastAsia="宋体" w:hint="default"/>
                <w:spacing w:val="-11"/>
                <w:sz w:val="15"/>
                <w:szCs w:val="15"/>
              </w:rPr>
              <w:t>．其他</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678"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（四）所</w:t>
            </w:r>
            <w:r>
              <w:rPr>
                <w:rFonts w:ascii="宋体" w:hAnsi="宋体" w:cs="宋体" w:eastAsia="宋体" w:hint="default"/>
                <w:sz w:val="15"/>
                <w:szCs w:val="15"/>
              </w:rPr>
            </w:r>
          </w:p>
        </w:tc>
        <w:tc>
          <w:tcPr>
            <w:tcW w:w="968"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400" w:type="dxa"/>
            <w:vMerge w:val="restart"/>
            <w:tcBorders>
              <w:top w:val="single" w:sz="4" w:space="0" w:color="000000"/>
              <w:left w:val="single" w:sz="4" w:space="0" w:color="000000"/>
              <w:right w:val="single" w:sz="4" w:space="0" w:color="000000"/>
            </w:tcBorders>
          </w:tcPr>
          <w:p>
            <w:pPr/>
          </w:p>
        </w:tc>
        <w:tc>
          <w:tcPr>
            <w:tcW w:w="731" w:type="dxa"/>
            <w:vMerge w:val="restart"/>
            <w:tcBorders>
              <w:top w:val="single" w:sz="4" w:space="0" w:color="000000"/>
              <w:left w:val="single" w:sz="4" w:space="0" w:color="000000"/>
              <w:right w:val="single" w:sz="4" w:space="0" w:color="000000"/>
            </w:tcBorders>
          </w:tcPr>
          <w:p>
            <w:pPr/>
          </w:p>
        </w:tc>
        <w:tc>
          <w:tcPr>
            <w:tcW w:w="971"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0" w:type="dxa"/>
            <w:vMerge w:val="restart"/>
            <w:tcBorders>
              <w:top w:val="single" w:sz="4" w:space="0" w:color="000000"/>
              <w:left w:val="single" w:sz="4" w:space="0" w:color="000000"/>
              <w:right w:val="single" w:sz="4" w:space="0" w:color="000000"/>
            </w:tcBorders>
          </w:tcPr>
          <w:p>
            <w:pPr/>
          </w:p>
        </w:tc>
        <w:tc>
          <w:tcPr>
            <w:tcW w:w="402"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194" w:hRule="exact"/>
        </w:trPr>
        <w:tc>
          <w:tcPr>
            <w:tcW w:w="67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4"/>
                <w:sz w:val="15"/>
                <w:szCs w:val="15"/>
                <w:shd w:fill="D2D2D2" w:color="auto" w:val="clear"/>
              </w:rPr>
              <w:t> </w:t>
            </w:r>
            <w:r>
              <w:rPr>
                <w:rFonts w:ascii="宋体" w:hAnsi="宋体" w:cs="宋体" w:eastAsia="宋体" w:hint="default"/>
                <w:spacing w:val="-12"/>
                <w:sz w:val="15"/>
                <w:szCs w:val="15"/>
                <w:shd w:fill="D2D2D2" w:color="auto" w:val="clear"/>
              </w:rPr>
              <w:t>有者权益</w:t>
            </w:r>
            <w:r>
              <w:rPr>
                <w:rFonts w:ascii="宋体" w:hAnsi="宋体" w:cs="宋体" w:eastAsia="宋体" w:hint="default"/>
                <w:spacing w:val="-12"/>
                <w:sz w:val="15"/>
                <w:szCs w:val="15"/>
              </w:rPr>
            </w:r>
            <w:r>
              <w:rPr>
                <w:rFonts w:ascii="宋体" w:hAnsi="宋体" w:cs="宋体" w:eastAsia="宋体" w:hint="default"/>
                <w:sz w:val="15"/>
                <w:szCs w:val="15"/>
              </w:rPr>
            </w:r>
          </w:p>
        </w:tc>
        <w:tc>
          <w:tcPr>
            <w:tcW w:w="968" w:type="dxa"/>
            <w:vMerge/>
            <w:tcBorders>
              <w:left w:val="single" w:sz="4" w:space="0" w:color="000000"/>
              <w:right w:val="single" w:sz="4" w:space="0" w:color="000000"/>
            </w:tcBorders>
          </w:tcPr>
          <w:p>
            <w:pPr/>
          </w:p>
        </w:tc>
        <w:tc>
          <w:tcPr>
            <w:tcW w:w="401" w:type="dxa"/>
            <w:vMerge/>
            <w:tcBorders>
              <w:left w:val="single" w:sz="4" w:space="0" w:color="000000"/>
              <w:right w:val="single" w:sz="4" w:space="0" w:color="000000"/>
            </w:tcBorders>
          </w:tcPr>
          <w:p>
            <w:pPr/>
          </w:p>
        </w:tc>
        <w:tc>
          <w:tcPr>
            <w:tcW w:w="400" w:type="dxa"/>
            <w:vMerge/>
            <w:tcBorders>
              <w:left w:val="single" w:sz="4" w:space="0" w:color="000000"/>
              <w:right w:val="single" w:sz="4" w:space="0" w:color="000000"/>
            </w:tcBorders>
          </w:tcPr>
          <w:p>
            <w:pPr/>
          </w:p>
        </w:tc>
        <w:tc>
          <w:tcPr>
            <w:tcW w:w="731" w:type="dxa"/>
            <w:vMerge/>
            <w:tcBorders>
              <w:left w:val="single" w:sz="4" w:space="0" w:color="000000"/>
              <w:right w:val="single" w:sz="4" w:space="0" w:color="000000"/>
            </w:tcBorders>
          </w:tcPr>
          <w:p>
            <w:pPr/>
          </w:p>
        </w:tc>
        <w:tc>
          <w:tcPr>
            <w:tcW w:w="971"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0" w:type="dxa"/>
            <w:vMerge/>
            <w:tcBorders>
              <w:left w:val="single" w:sz="4" w:space="0" w:color="000000"/>
              <w:right w:val="single" w:sz="4" w:space="0" w:color="000000"/>
            </w:tcBorders>
          </w:tcPr>
          <w:p>
            <w:pPr/>
          </w:p>
        </w:tc>
        <w:tc>
          <w:tcPr>
            <w:tcW w:w="402"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1"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0" w:hRule="exact"/>
        </w:trPr>
        <w:tc>
          <w:tcPr>
            <w:tcW w:w="678"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内部结转</w:t>
            </w:r>
            <w:r>
              <w:rPr>
                <w:rFonts w:ascii="宋体" w:hAnsi="宋体" w:cs="宋体" w:eastAsia="宋体" w:hint="default"/>
                <w:sz w:val="15"/>
                <w:szCs w:val="15"/>
              </w:rPr>
            </w:r>
          </w:p>
        </w:tc>
        <w:tc>
          <w:tcPr>
            <w:tcW w:w="968"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400" w:type="dxa"/>
            <w:vMerge/>
            <w:tcBorders>
              <w:left w:val="single" w:sz="4" w:space="0" w:color="000000"/>
              <w:bottom w:val="single" w:sz="4" w:space="0" w:color="000000"/>
              <w:right w:val="single" w:sz="4" w:space="0" w:color="000000"/>
            </w:tcBorders>
          </w:tcPr>
          <w:p>
            <w:pPr/>
          </w:p>
        </w:tc>
        <w:tc>
          <w:tcPr>
            <w:tcW w:w="731" w:type="dxa"/>
            <w:vMerge/>
            <w:tcBorders>
              <w:left w:val="single" w:sz="4" w:space="0" w:color="000000"/>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402"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203" w:hRule="exact"/>
        </w:trPr>
        <w:tc>
          <w:tcPr>
            <w:tcW w:w="678" w:type="dxa"/>
            <w:tcBorders>
              <w:top w:val="single" w:sz="4" w:space="0" w:color="000000"/>
              <w:left w:val="single" w:sz="4" w:space="0" w:color="000000"/>
              <w:bottom w:val="nil" w:sz="6" w:space="0" w:color="auto"/>
              <w:right w:val="single" w:sz="4" w:space="0" w:color="000000"/>
            </w:tcBorders>
          </w:tcPr>
          <w:p>
            <w:pPr>
              <w:pStyle w:val="TableParagraph"/>
              <w:spacing w:line="184" w:lineRule="exact"/>
              <w:ind w:left="51"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9"/>
                <w:sz w:val="15"/>
                <w:szCs w:val="15"/>
              </w:rPr>
              <w:t>．</w:t>
            </w:r>
            <w:r>
              <w:rPr>
                <w:rFonts w:ascii="宋体" w:hAnsi="宋体" w:cs="宋体" w:eastAsia="宋体" w:hint="default"/>
                <w:spacing w:val="-12"/>
                <w:sz w:val="15"/>
                <w:szCs w:val="15"/>
              </w:rPr>
              <w:t>资本</w:t>
            </w:r>
            <w:r>
              <w:rPr>
                <w:rFonts w:ascii="宋体" w:hAnsi="宋体" w:cs="宋体" w:eastAsia="宋体" w:hint="default"/>
                <w:sz w:val="15"/>
                <w:szCs w:val="15"/>
              </w:rPr>
              <w:t>公</w:t>
            </w:r>
          </w:p>
        </w:tc>
        <w:tc>
          <w:tcPr>
            <w:tcW w:w="968"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400" w:type="dxa"/>
            <w:vMerge w:val="restart"/>
            <w:tcBorders>
              <w:top w:val="single" w:sz="4" w:space="0" w:color="000000"/>
              <w:left w:val="single" w:sz="4" w:space="0" w:color="000000"/>
              <w:right w:val="single" w:sz="4" w:space="0" w:color="000000"/>
            </w:tcBorders>
          </w:tcPr>
          <w:p>
            <w:pPr/>
          </w:p>
        </w:tc>
        <w:tc>
          <w:tcPr>
            <w:tcW w:w="731" w:type="dxa"/>
            <w:vMerge w:val="restart"/>
            <w:tcBorders>
              <w:top w:val="single" w:sz="4" w:space="0" w:color="000000"/>
              <w:left w:val="single" w:sz="4" w:space="0" w:color="000000"/>
              <w:right w:val="single" w:sz="4" w:space="0" w:color="000000"/>
            </w:tcBorders>
          </w:tcPr>
          <w:p>
            <w:pPr/>
          </w:p>
        </w:tc>
        <w:tc>
          <w:tcPr>
            <w:tcW w:w="971"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0" w:type="dxa"/>
            <w:vMerge w:val="restart"/>
            <w:tcBorders>
              <w:top w:val="single" w:sz="4" w:space="0" w:color="000000"/>
              <w:left w:val="single" w:sz="4" w:space="0" w:color="000000"/>
              <w:right w:val="single" w:sz="4" w:space="0" w:color="000000"/>
            </w:tcBorders>
          </w:tcPr>
          <w:p>
            <w:pPr/>
          </w:p>
        </w:tc>
        <w:tc>
          <w:tcPr>
            <w:tcW w:w="402"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385" w:hRule="exact"/>
        </w:trPr>
        <w:tc>
          <w:tcPr>
            <w:tcW w:w="678" w:type="dxa"/>
            <w:tcBorders>
              <w:top w:val="nil" w:sz="6" w:space="0" w:color="auto"/>
              <w:left w:val="single" w:sz="4" w:space="0" w:color="000000"/>
              <w:bottom w:val="nil" w:sz="6" w:space="0" w:color="auto"/>
              <w:right w:val="single" w:sz="4" w:space="0" w:color="000000"/>
            </w:tcBorders>
          </w:tcPr>
          <w:p>
            <w:pPr>
              <w:pStyle w:val="TableParagraph"/>
              <w:spacing w:line="167"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4"/>
                <w:sz w:val="15"/>
                <w:szCs w:val="15"/>
                <w:shd w:fill="D2D2D2" w:color="auto" w:val="clear"/>
              </w:rPr>
              <w:t> </w:t>
            </w:r>
            <w:r>
              <w:rPr>
                <w:rFonts w:ascii="宋体" w:hAnsi="宋体" w:cs="宋体" w:eastAsia="宋体" w:hint="default"/>
                <w:spacing w:val="-12"/>
                <w:sz w:val="15"/>
                <w:szCs w:val="15"/>
                <w:shd w:fill="D2D2D2" w:color="auto" w:val="clear"/>
              </w:rPr>
              <w:t>积转增资</w:t>
            </w:r>
            <w:r>
              <w:rPr>
                <w:rFonts w:ascii="宋体" w:hAnsi="宋体" w:cs="宋体" w:eastAsia="宋体" w:hint="default"/>
                <w:spacing w:val="-12"/>
                <w:sz w:val="15"/>
                <w:szCs w:val="15"/>
              </w:rPr>
            </w:r>
            <w:r>
              <w:rPr>
                <w:rFonts w:ascii="宋体" w:hAnsi="宋体" w:cs="宋体" w:eastAsia="宋体" w:hint="default"/>
                <w:sz w:val="15"/>
                <w:szCs w:val="15"/>
              </w:rPr>
            </w:r>
          </w:p>
          <w:p>
            <w:pPr>
              <w:pStyle w:val="TableParagraph"/>
              <w:spacing w:line="195"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4"/>
                <w:sz w:val="15"/>
                <w:szCs w:val="15"/>
                <w:shd w:fill="D2D2D2" w:color="auto" w:val="clear"/>
              </w:rPr>
              <w:t> </w:t>
            </w:r>
            <w:r>
              <w:rPr>
                <w:rFonts w:ascii="宋体" w:hAnsi="宋体" w:cs="宋体" w:eastAsia="宋体" w:hint="default"/>
                <w:spacing w:val="-12"/>
                <w:sz w:val="15"/>
                <w:szCs w:val="15"/>
                <w:shd w:fill="D2D2D2" w:color="auto" w:val="clear"/>
              </w:rPr>
              <w:t>本（或股</w:t>
            </w:r>
            <w:r>
              <w:rPr>
                <w:rFonts w:ascii="宋体" w:hAnsi="宋体" w:cs="宋体" w:eastAsia="宋体" w:hint="default"/>
                <w:spacing w:val="-12"/>
                <w:sz w:val="15"/>
                <w:szCs w:val="15"/>
              </w:rPr>
            </w:r>
            <w:r>
              <w:rPr>
                <w:rFonts w:ascii="宋体" w:hAnsi="宋体" w:cs="宋体" w:eastAsia="宋体" w:hint="default"/>
                <w:sz w:val="15"/>
                <w:szCs w:val="15"/>
              </w:rPr>
            </w:r>
          </w:p>
        </w:tc>
        <w:tc>
          <w:tcPr>
            <w:tcW w:w="968" w:type="dxa"/>
            <w:vMerge/>
            <w:tcBorders>
              <w:left w:val="single" w:sz="4" w:space="0" w:color="000000"/>
              <w:right w:val="single" w:sz="4" w:space="0" w:color="000000"/>
            </w:tcBorders>
          </w:tcPr>
          <w:p>
            <w:pPr/>
          </w:p>
        </w:tc>
        <w:tc>
          <w:tcPr>
            <w:tcW w:w="401" w:type="dxa"/>
            <w:vMerge/>
            <w:tcBorders>
              <w:left w:val="single" w:sz="4" w:space="0" w:color="000000"/>
              <w:right w:val="single" w:sz="4" w:space="0" w:color="000000"/>
            </w:tcBorders>
          </w:tcPr>
          <w:p>
            <w:pPr/>
          </w:p>
        </w:tc>
        <w:tc>
          <w:tcPr>
            <w:tcW w:w="400" w:type="dxa"/>
            <w:vMerge/>
            <w:tcBorders>
              <w:left w:val="single" w:sz="4" w:space="0" w:color="000000"/>
              <w:right w:val="single" w:sz="4" w:space="0" w:color="000000"/>
            </w:tcBorders>
          </w:tcPr>
          <w:p>
            <w:pPr/>
          </w:p>
        </w:tc>
        <w:tc>
          <w:tcPr>
            <w:tcW w:w="731" w:type="dxa"/>
            <w:vMerge/>
            <w:tcBorders>
              <w:left w:val="single" w:sz="4" w:space="0" w:color="000000"/>
              <w:right w:val="single" w:sz="4" w:space="0" w:color="000000"/>
            </w:tcBorders>
          </w:tcPr>
          <w:p>
            <w:pPr/>
          </w:p>
        </w:tc>
        <w:tc>
          <w:tcPr>
            <w:tcW w:w="971"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0" w:type="dxa"/>
            <w:vMerge/>
            <w:tcBorders>
              <w:left w:val="single" w:sz="4" w:space="0" w:color="000000"/>
              <w:right w:val="single" w:sz="4" w:space="0" w:color="000000"/>
            </w:tcBorders>
          </w:tcPr>
          <w:p>
            <w:pPr/>
          </w:p>
        </w:tc>
        <w:tc>
          <w:tcPr>
            <w:tcW w:w="402"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1"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0" w:hRule="exact"/>
        </w:trPr>
        <w:tc>
          <w:tcPr>
            <w:tcW w:w="678"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本）</w:t>
            </w:r>
            <w:r>
              <w:rPr>
                <w:rFonts w:ascii="宋体" w:hAnsi="宋体" w:cs="宋体" w:eastAsia="宋体" w:hint="default"/>
                <w:sz w:val="15"/>
                <w:szCs w:val="15"/>
              </w:rPr>
            </w:r>
          </w:p>
        </w:tc>
        <w:tc>
          <w:tcPr>
            <w:tcW w:w="968"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400" w:type="dxa"/>
            <w:vMerge/>
            <w:tcBorders>
              <w:left w:val="single" w:sz="4" w:space="0" w:color="000000"/>
              <w:bottom w:val="single" w:sz="4" w:space="0" w:color="000000"/>
              <w:right w:val="single" w:sz="4" w:space="0" w:color="000000"/>
            </w:tcBorders>
          </w:tcPr>
          <w:p>
            <w:pPr/>
          </w:p>
        </w:tc>
        <w:tc>
          <w:tcPr>
            <w:tcW w:w="731" w:type="dxa"/>
            <w:vMerge/>
            <w:tcBorders>
              <w:left w:val="single" w:sz="4" w:space="0" w:color="000000"/>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402"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202" w:hRule="exact"/>
        </w:trPr>
        <w:tc>
          <w:tcPr>
            <w:tcW w:w="678"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left="51"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9"/>
                <w:sz w:val="15"/>
                <w:szCs w:val="15"/>
              </w:rPr>
              <w:t>．</w:t>
            </w:r>
            <w:r>
              <w:rPr>
                <w:rFonts w:ascii="宋体" w:hAnsi="宋体" w:cs="宋体" w:eastAsia="宋体" w:hint="default"/>
                <w:spacing w:val="-12"/>
                <w:sz w:val="15"/>
                <w:szCs w:val="15"/>
              </w:rPr>
              <w:t>盈余</w:t>
            </w:r>
            <w:r>
              <w:rPr>
                <w:rFonts w:ascii="宋体" w:hAnsi="宋体" w:cs="宋体" w:eastAsia="宋体" w:hint="default"/>
                <w:sz w:val="15"/>
                <w:szCs w:val="15"/>
              </w:rPr>
              <w:t>公</w:t>
            </w:r>
          </w:p>
        </w:tc>
        <w:tc>
          <w:tcPr>
            <w:tcW w:w="968"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400" w:type="dxa"/>
            <w:vMerge w:val="restart"/>
            <w:tcBorders>
              <w:top w:val="single" w:sz="4" w:space="0" w:color="000000"/>
              <w:left w:val="single" w:sz="4" w:space="0" w:color="000000"/>
              <w:right w:val="single" w:sz="4" w:space="0" w:color="000000"/>
            </w:tcBorders>
          </w:tcPr>
          <w:p>
            <w:pPr/>
          </w:p>
        </w:tc>
        <w:tc>
          <w:tcPr>
            <w:tcW w:w="731" w:type="dxa"/>
            <w:vMerge w:val="restart"/>
            <w:tcBorders>
              <w:top w:val="single" w:sz="4" w:space="0" w:color="000000"/>
              <w:left w:val="single" w:sz="4" w:space="0" w:color="000000"/>
              <w:right w:val="single" w:sz="4" w:space="0" w:color="000000"/>
            </w:tcBorders>
          </w:tcPr>
          <w:p>
            <w:pPr/>
          </w:p>
        </w:tc>
        <w:tc>
          <w:tcPr>
            <w:tcW w:w="971"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0" w:type="dxa"/>
            <w:vMerge w:val="restart"/>
            <w:tcBorders>
              <w:top w:val="single" w:sz="4" w:space="0" w:color="000000"/>
              <w:left w:val="single" w:sz="4" w:space="0" w:color="000000"/>
              <w:right w:val="single" w:sz="4" w:space="0" w:color="000000"/>
            </w:tcBorders>
          </w:tcPr>
          <w:p>
            <w:pPr/>
          </w:p>
        </w:tc>
        <w:tc>
          <w:tcPr>
            <w:tcW w:w="402"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386" w:hRule="exact"/>
        </w:trPr>
        <w:tc>
          <w:tcPr>
            <w:tcW w:w="678"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4"/>
                <w:sz w:val="15"/>
                <w:szCs w:val="15"/>
                <w:shd w:fill="D2D2D2" w:color="auto" w:val="clear"/>
              </w:rPr>
              <w:t> </w:t>
            </w:r>
            <w:r>
              <w:rPr>
                <w:rFonts w:ascii="宋体" w:hAnsi="宋体" w:cs="宋体" w:eastAsia="宋体" w:hint="default"/>
                <w:spacing w:val="-12"/>
                <w:sz w:val="15"/>
                <w:szCs w:val="15"/>
                <w:shd w:fill="D2D2D2" w:color="auto" w:val="clear"/>
              </w:rPr>
              <w:t>积转增资</w:t>
            </w:r>
            <w:r>
              <w:rPr>
                <w:rFonts w:ascii="宋体" w:hAnsi="宋体" w:cs="宋体" w:eastAsia="宋体" w:hint="default"/>
                <w:spacing w:val="-12"/>
                <w:sz w:val="15"/>
                <w:szCs w:val="15"/>
              </w:rPr>
            </w:r>
            <w:r>
              <w:rPr>
                <w:rFonts w:ascii="宋体" w:hAnsi="宋体" w:cs="宋体" w:eastAsia="宋体" w:hint="default"/>
                <w:sz w:val="15"/>
                <w:szCs w:val="15"/>
              </w:rPr>
            </w:r>
          </w:p>
          <w:p>
            <w:pPr>
              <w:pStyle w:val="TableParagraph"/>
              <w:spacing w:line="196"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4"/>
                <w:sz w:val="15"/>
                <w:szCs w:val="15"/>
                <w:shd w:fill="D2D2D2" w:color="auto" w:val="clear"/>
              </w:rPr>
              <w:t> </w:t>
            </w:r>
            <w:r>
              <w:rPr>
                <w:rFonts w:ascii="宋体" w:hAnsi="宋体" w:cs="宋体" w:eastAsia="宋体" w:hint="default"/>
                <w:spacing w:val="-12"/>
                <w:sz w:val="15"/>
                <w:szCs w:val="15"/>
                <w:shd w:fill="D2D2D2" w:color="auto" w:val="clear"/>
              </w:rPr>
              <w:t>本（或股</w:t>
            </w:r>
            <w:r>
              <w:rPr>
                <w:rFonts w:ascii="宋体" w:hAnsi="宋体" w:cs="宋体" w:eastAsia="宋体" w:hint="default"/>
                <w:spacing w:val="-12"/>
                <w:sz w:val="15"/>
                <w:szCs w:val="15"/>
              </w:rPr>
            </w:r>
            <w:r>
              <w:rPr>
                <w:rFonts w:ascii="宋体" w:hAnsi="宋体" w:cs="宋体" w:eastAsia="宋体" w:hint="default"/>
                <w:sz w:val="15"/>
                <w:szCs w:val="15"/>
              </w:rPr>
            </w:r>
          </w:p>
        </w:tc>
        <w:tc>
          <w:tcPr>
            <w:tcW w:w="968" w:type="dxa"/>
            <w:vMerge/>
            <w:tcBorders>
              <w:left w:val="single" w:sz="4" w:space="0" w:color="000000"/>
              <w:right w:val="single" w:sz="4" w:space="0" w:color="000000"/>
            </w:tcBorders>
          </w:tcPr>
          <w:p>
            <w:pPr/>
          </w:p>
        </w:tc>
        <w:tc>
          <w:tcPr>
            <w:tcW w:w="401" w:type="dxa"/>
            <w:vMerge/>
            <w:tcBorders>
              <w:left w:val="single" w:sz="4" w:space="0" w:color="000000"/>
              <w:right w:val="single" w:sz="4" w:space="0" w:color="000000"/>
            </w:tcBorders>
          </w:tcPr>
          <w:p>
            <w:pPr/>
          </w:p>
        </w:tc>
        <w:tc>
          <w:tcPr>
            <w:tcW w:w="400" w:type="dxa"/>
            <w:vMerge/>
            <w:tcBorders>
              <w:left w:val="single" w:sz="4" w:space="0" w:color="000000"/>
              <w:right w:val="single" w:sz="4" w:space="0" w:color="000000"/>
            </w:tcBorders>
          </w:tcPr>
          <w:p>
            <w:pPr/>
          </w:p>
        </w:tc>
        <w:tc>
          <w:tcPr>
            <w:tcW w:w="731" w:type="dxa"/>
            <w:vMerge/>
            <w:tcBorders>
              <w:left w:val="single" w:sz="4" w:space="0" w:color="000000"/>
              <w:right w:val="single" w:sz="4" w:space="0" w:color="000000"/>
            </w:tcBorders>
          </w:tcPr>
          <w:p>
            <w:pPr/>
          </w:p>
        </w:tc>
        <w:tc>
          <w:tcPr>
            <w:tcW w:w="971"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0" w:type="dxa"/>
            <w:vMerge/>
            <w:tcBorders>
              <w:left w:val="single" w:sz="4" w:space="0" w:color="000000"/>
              <w:right w:val="single" w:sz="4" w:space="0" w:color="000000"/>
            </w:tcBorders>
          </w:tcPr>
          <w:p>
            <w:pPr/>
          </w:p>
        </w:tc>
        <w:tc>
          <w:tcPr>
            <w:tcW w:w="402"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1"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0" w:hRule="exact"/>
        </w:trPr>
        <w:tc>
          <w:tcPr>
            <w:tcW w:w="678"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本）</w:t>
            </w:r>
            <w:r>
              <w:rPr>
                <w:rFonts w:ascii="宋体" w:hAnsi="宋体" w:cs="宋体" w:eastAsia="宋体" w:hint="default"/>
                <w:sz w:val="15"/>
                <w:szCs w:val="15"/>
              </w:rPr>
            </w:r>
          </w:p>
        </w:tc>
        <w:tc>
          <w:tcPr>
            <w:tcW w:w="968"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400" w:type="dxa"/>
            <w:vMerge/>
            <w:tcBorders>
              <w:left w:val="single" w:sz="4" w:space="0" w:color="000000"/>
              <w:bottom w:val="single" w:sz="4" w:space="0" w:color="000000"/>
              <w:right w:val="single" w:sz="4" w:space="0" w:color="000000"/>
            </w:tcBorders>
          </w:tcPr>
          <w:p>
            <w:pPr/>
          </w:p>
        </w:tc>
        <w:tc>
          <w:tcPr>
            <w:tcW w:w="731" w:type="dxa"/>
            <w:vMerge/>
            <w:tcBorders>
              <w:left w:val="single" w:sz="4" w:space="0" w:color="000000"/>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402"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593"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51"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3</w:t>
            </w:r>
            <w:r>
              <w:rPr>
                <w:rFonts w:ascii="宋体" w:hAnsi="宋体" w:cs="宋体" w:eastAsia="宋体" w:hint="default"/>
                <w:spacing w:val="-69"/>
                <w:sz w:val="15"/>
                <w:szCs w:val="15"/>
              </w:rPr>
              <w:t>．</w:t>
            </w:r>
            <w:r>
              <w:rPr>
                <w:rFonts w:ascii="宋体" w:hAnsi="宋体" w:cs="宋体" w:eastAsia="宋体" w:hint="default"/>
                <w:spacing w:val="-12"/>
                <w:sz w:val="15"/>
                <w:szCs w:val="15"/>
              </w:rPr>
              <w:t>盈余</w:t>
            </w:r>
            <w:r>
              <w:rPr>
                <w:rFonts w:ascii="宋体" w:hAnsi="宋体" w:cs="宋体" w:eastAsia="宋体" w:hint="default"/>
                <w:sz w:val="15"/>
                <w:szCs w:val="15"/>
              </w:rPr>
              <w:t>公</w:t>
            </w:r>
          </w:p>
          <w:p>
            <w:pPr>
              <w:pStyle w:val="TableParagraph"/>
              <w:spacing w:line="194" w:lineRule="exact" w:before="13"/>
              <w:ind w:left="51" w:right="62"/>
              <w:jc w:val="left"/>
              <w:rPr>
                <w:rFonts w:ascii="宋体" w:hAnsi="宋体" w:cs="宋体" w:eastAsia="宋体" w:hint="default"/>
                <w:sz w:val="15"/>
                <w:szCs w:val="15"/>
              </w:rPr>
            </w:pPr>
            <w:r>
              <w:rPr>
                <w:rFonts w:ascii="宋体" w:hAnsi="宋体" w:cs="宋体" w:eastAsia="宋体" w:hint="default"/>
                <w:spacing w:val="-12"/>
                <w:sz w:val="15"/>
                <w:szCs w:val="15"/>
              </w:rPr>
              <w:t>积弥补亏 </w:t>
            </w:r>
            <w:r>
              <w:rPr>
                <w:rFonts w:ascii="宋体" w:hAnsi="宋体" w:cs="宋体" w:eastAsia="宋体" w:hint="default"/>
                <w:sz w:val="15"/>
                <w:szCs w:val="15"/>
              </w:rPr>
              <w:t>损</w:t>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7" w:lineRule="exact"/>
              <w:ind w:left="51" w:right="0"/>
              <w:jc w:val="both"/>
              <w:rPr>
                <w:rFonts w:ascii="宋体" w:hAnsi="宋体" w:cs="宋体" w:eastAsia="宋体" w:hint="default"/>
                <w:sz w:val="15"/>
                <w:szCs w:val="15"/>
              </w:rPr>
            </w:pPr>
            <w:r>
              <w:rPr>
                <w:rFonts w:ascii="Times New Roman" w:hAnsi="Times New Roman" w:cs="Times New Roman" w:eastAsia="Times New Roman" w:hint="default"/>
                <w:spacing w:val="-6"/>
                <w:sz w:val="15"/>
                <w:szCs w:val="15"/>
              </w:rPr>
              <w:t>4</w:t>
            </w:r>
            <w:r>
              <w:rPr>
                <w:rFonts w:ascii="宋体" w:hAnsi="宋体" w:cs="宋体" w:eastAsia="宋体" w:hint="default"/>
                <w:spacing w:val="-69"/>
                <w:sz w:val="15"/>
                <w:szCs w:val="15"/>
              </w:rPr>
              <w:t>．</w:t>
            </w:r>
            <w:r>
              <w:rPr>
                <w:rFonts w:ascii="宋体" w:hAnsi="宋体" w:cs="宋体" w:eastAsia="宋体" w:hint="default"/>
                <w:spacing w:val="-12"/>
                <w:sz w:val="15"/>
                <w:szCs w:val="15"/>
              </w:rPr>
              <w:t>设定受</w:t>
            </w:r>
            <w:r>
              <w:rPr>
                <w:rFonts w:ascii="宋体" w:hAnsi="宋体" w:cs="宋体" w:eastAsia="宋体" w:hint="default"/>
                <w:sz w:val="15"/>
                <w:szCs w:val="15"/>
              </w:rPr>
            </w:r>
          </w:p>
          <w:p>
            <w:pPr>
              <w:pStyle w:val="TableParagraph"/>
              <w:spacing w:line="194" w:lineRule="exact" w:before="13"/>
              <w:ind w:left="51" w:right="62"/>
              <w:jc w:val="both"/>
              <w:rPr>
                <w:rFonts w:ascii="宋体" w:hAnsi="宋体" w:cs="宋体" w:eastAsia="宋体" w:hint="default"/>
                <w:sz w:val="15"/>
                <w:szCs w:val="15"/>
              </w:rPr>
            </w:pPr>
            <w:r>
              <w:rPr>
                <w:rFonts w:ascii="宋体" w:hAnsi="宋体" w:cs="宋体" w:eastAsia="宋体" w:hint="default"/>
                <w:spacing w:val="-12"/>
                <w:sz w:val="15"/>
                <w:szCs w:val="15"/>
              </w:rPr>
              <w:t>益计划变 动额结转 留存收益</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1"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5</w:t>
            </w:r>
            <w:r>
              <w:rPr>
                <w:rFonts w:ascii="宋体" w:hAnsi="宋体" w:cs="宋体" w:eastAsia="宋体" w:hint="default"/>
                <w:spacing w:val="-11"/>
                <w:sz w:val="15"/>
                <w:szCs w:val="15"/>
              </w:rPr>
              <w:t>．其他</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03" w:hRule="exact"/>
        </w:trPr>
        <w:tc>
          <w:tcPr>
            <w:tcW w:w="67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76"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（五）专</w:t>
            </w:r>
            <w:r>
              <w:rPr>
                <w:rFonts w:ascii="宋体" w:hAnsi="宋体" w:cs="宋体" w:eastAsia="宋体" w:hint="default"/>
                <w:sz w:val="15"/>
                <w:szCs w:val="15"/>
              </w:rPr>
            </w:r>
          </w:p>
        </w:tc>
        <w:tc>
          <w:tcPr>
            <w:tcW w:w="968"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400" w:type="dxa"/>
            <w:vMerge w:val="restart"/>
            <w:tcBorders>
              <w:top w:val="single" w:sz="4" w:space="0" w:color="000000"/>
              <w:left w:val="single" w:sz="4" w:space="0" w:color="000000"/>
              <w:right w:val="single" w:sz="4" w:space="0" w:color="000000"/>
            </w:tcBorders>
          </w:tcPr>
          <w:p>
            <w:pPr/>
          </w:p>
        </w:tc>
        <w:tc>
          <w:tcPr>
            <w:tcW w:w="731" w:type="dxa"/>
            <w:vMerge w:val="restart"/>
            <w:tcBorders>
              <w:top w:val="single" w:sz="4" w:space="0" w:color="000000"/>
              <w:left w:val="single" w:sz="4" w:space="0" w:color="000000"/>
              <w:right w:val="single" w:sz="4" w:space="0" w:color="000000"/>
            </w:tcBorders>
          </w:tcPr>
          <w:p>
            <w:pPr/>
          </w:p>
        </w:tc>
        <w:tc>
          <w:tcPr>
            <w:tcW w:w="971"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0" w:type="dxa"/>
            <w:vMerge w:val="restart"/>
            <w:tcBorders>
              <w:top w:val="single" w:sz="4" w:space="0" w:color="000000"/>
              <w:left w:val="single" w:sz="4" w:space="0" w:color="000000"/>
              <w:right w:val="single" w:sz="4" w:space="0" w:color="000000"/>
            </w:tcBorders>
          </w:tcPr>
          <w:p>
            <w:pPr/>
          </w:p>
        </w:tc>
        <w:tc>
          <w:tcPr>
            <w:tcW w:w="402"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1"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205" w:hRule="exact"/>
        </w:trPr>
        <w:tc>
          <w:tcPr>
            <w:tcW w:w="67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72"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项储备</w:t>
            </w:r>
            <w:r>
              <w:rPr>
                <w:rFonts w:ascii="宋体" w:hAnsi="宋体" w:cs="宋体" w:eastAsia="宋体" w:hint="default"/>
                <w:sz w:val="15"/>
                <w:szCs w:val="15"/>
              </w:rPr>
            </w:r>
          </w:p>
        </w:tc>
        <w:tc>
          <w:tcPr>
            <w:tcW w:w="968"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400" w:type="dxa"/>
            <w:vMerge/>
            <w:tcBorders>
              <w:left w:val="single" w:sz="4" w:space="0" w:color="000000"/>
              <w:bottom w:val="single" w:sz="4" w:space="0" w:color="000000"/>
              <w:right w:val="single" w:sz="4" w:space="0" w:color="000000"/>
            </w:tcBorders>
          </w:tcPr>
          <w:p>
            <w:pPr/>
          </w:p>
        </w:tc>
        <w:tc>
          <w:tcPr>
            <w:tcW w:w="731" w:type="dxa"/>
            <w:vMerge/>
            <w:tcBorders>
              <w:left w:val="single" w:sz="4" w:space="0" w:color="000000"/>
              <w:bottom w:val="single" w:sz="4" w:space="0" w:color="000000"/>
              <w:right w:val="single" w:sz="4" w:space="0" w:color="000000"/>
            </w:tcBorders>
          </w:tcPr>
          <w:p>
            <w:pPr/>
          </w:p>
        </w:tc>
        <w:tc>
          <w:tcPr>
            <w:tcW w:w="971"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402"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40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9" w:lineRule="exact"/>
              <w:ind w:left="51"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1</w:t>
            </w:r>
            <w:r>
              <w:rPr>
                <w:rFonts w:ascii="宋体" w:hAnsi="宋体" w:cs="宋体" w:eastAsia="宋体" w:hint="default"/>
                <w:spacing w:val="-69"/>
                <w:sz w:val="15"/>
                <w:szCs w:val="15"/>
              </w:rPr>
              <w:t>．</w:t>
            </w:r>
            <w:r>
              <w:rPr>
                <w:rFonts w:ascii="宋体" w:hAnsi="宋体" w:cs="宋体" w:eastAsia="宋体" w:hint="default"/>
                <w:spacing w:val="-12"/>
                <w:sz w:val="15"/>
                <w:szCs w:val="15"/>
              </w:rPr>
              <w:t>本期</w:t>
            </w:r>
            <w:r>
              <w:rPr>
                <w:rFonts w:ascii="宋体" w:hAnsi="宋体" w:cs="宋体" w:eastAsia="宋体" w:hint="default"/>
                <w:sz w:val="15"/>
                <w:szCs w:val="15"/>
              </w:rPr>
              <w:t>提</w:t>
            </w:r>
          </w:p>
          <w:p>
            <w:pPr>
              <w:pStyle w:val="TableParagraph"/>
              <w:spacing w:line="190" w:lineRule="exact"/>
              <w:ind w:left="51" w:right="0"/>
              <w:jc w:val="left"/>
              <w:rPr>
                <w:rFonts w:ascii="宋体" w:hAnsi="宋体" w:cs="宋体" w:eastAsia="宋体" w:hint="default"/>
                <w:sz w:val="15"/>
                <w:szCs w:val="15"/>
              </w:rPr>
            </w:pPr>
            <w:r>
              <w:rPr>
                <w:rFonts w:ascii="宋体" w:hAnsi="宋体" w:cs="宋体" w:eastAsia="宋体" w:hint="default"/>
                <w:sz w:val="15"/>
                <w:szCs w:val="15"/>
              </w:rPr>
              <w:t>取</w:t>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0" w:lineRule="exact"/>
              <w:ind w:left="51" w:right="0"/>
              <w:jc w:val="left"/>
              <w:rPr>
                <w:rFonts w:ascii="宋体" w:hAnsi="宋体" w:cs="宋体" w:eastAsia="宋体" w:hint="default"/>
                <w:sz w:val="15"/>
                <w:szCs w:val="15"/>
              </w:rPr>
            </w:pPr>
            <w:r>
              <w:rPr>
                <w:rFonts w:ascii="Times New Roman" w:hAnsi="Times New Roman" w:cs="Times New Roman" w:eastAsia="Times New Roman" w:hint="default"/>
                <w:spacing w:val="-6"/>
                <w:sz w:val="15"/>
                <w:szCs w:val="15"/>
              </w:rPr>
              <w:t>2</w:t>
            </w:r>
            <w:r>
              <w:rPr>
                <w:rFonts w:ascii="宋体" w:hAnsi="宋体" w:cs="宋体" w:eastAsia="宋体" w:hint="default"/>
                <w:spacing w:val="-69"/>
                <w:sz w:val="15"/>
                <w:szCs w:val="15"/>
              </w:rPr>
              <w:t>．</w:t>
            </w:r>
            <w:r>
              <w:rPr>
                <w:rFonts w:ascii="宋体" w:hAnsi="宋体" w:cs="宋体" w:eastAsia="宋体" w:hint="default"/>
                <w:spacing w:val="-12"/>
                <w:sz w:val="15"/>
                <w:szCs w:val="15"/>
              </w:rPr>
              <w:t>本期</w:t>
            </w:r>
            <w:r>
              <w:rPr>
                <w:rFonts w:ascii="宋体" w:hAnsi="宋体" w:cs="宋体" w:eastAsia="宋体" w:hint="default"/>
                <w:sz w:val="15"/>
                <w:szCs w:val="15"/>
              </w:rPr>
              <w:t>使</w:t>
            </w:r>
          </w:p>
          <w:p>
            <w:pPr>
              <w:pStyle w:val="TableParagraph"/>
              <w:spacing w:line="190" w:lineRule="exact"/>
              <w:ind w:left="51" w:right="0"/>
              <w:jc w:val="left"/>
              <w:rPr>
                <w:rFonts w:ascii="宋体" w:hAnsi="宋体" w:cs="宋体" w:eastAsia="宋体" w:hint="default"/>
                <w:sz w:val="15"/>
                <w:szCs w:val="15"/>
              </w:rPr>
            </w:pPr>
            <w:r>
              <w:rPr>
                <w:rFonts w:ascii="宋体" w:hAnsi="宋体" w:cs="宋体" w:eastAsia="宋体" w:hint="default"/>
                <w:sz w:val="15"/>
                <w:szCs w:val="15"/>
              </w:rPr>
              <w:t>用</w:t>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（六）其</w:t>
            </w:r>
            <w:r>
              <w:rPr>
                <w:rFonts w:ascii="宋体" w:hAnsi="宋体" w:cs="宋体" w:eastAsia="宋体" w:hint="default"/>
                <w:sz w:val="15"/>
                <w:szCs w:val="15"/>
              </w:rPr>
            </w:r>
          </w:p>
          <w:p>
            <w:pPr>
              <w:pStyle w:val="TableParagraph"/>
              <w:spacing w:line="195" w:lineRule="exact"/>
              <w:ind w:left="51" w:right="0"/>
              <w:jc w:val="left"/>
              <w:rPr>
                <w:rFonts w:ascii="宋体" w:hAnsi="宋体" w:cs="宋体" w:eastAsia="宋体" w:hint="default"/>
                <w:sz w:val="15"/>
                <w:szCs w:val="15"/>
              </w:rPr>
            </w:pPr>
            <w:r>
              <w:rPr>
                <w:rFonts w:ascii="宋体" w:hAnsi="宋体" w:cs="宋体" w:eastAsia="宋体" w:hint="default"/>
                <w:sz w:val="15"/>
                <w:szCs w:val="15"/>
              </w:rPr>
              <w:t>他</w:t>
            </w:r>
          </w:p>
        </w:tc>
        <w:tc>
          <w:tcPr>
            <w:tcW w:w="968"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40,058.31</w:t>
            </w:r>
          </w:p>
        </w:tc>
        <w:tc>
          <w:tcPr>
            <w:tcW w:w="970"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40,058.31</w:t>
            </w:r>
          </w:p>
        </w:tc>
      </w:tr>
      <w:tr>
        <w:trPr>
          <w:trHeight w:val="408" w:hRule="exact"/>
        </w:trPr>
        <w:tc>
          <w:tcPr>
            <w:tcW w:w="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四、本期</w:t>
            </w:r>
            <w:r>
              <w:rPr>
                <w:rFonts w:ascii="宋体" w:hAnsi="宋体" w:cs="宋体" w:eastAsia="宋体" w:hint="default"/>
                <w:sz w:val="15"/>
                <w:szCs w:val="15"/>
              </w:rPr>
            </w:r>
          </w:p>
          <w:p>
            <w:pPr>
              <w:pStyle w:val="TableParagraph"/>
              <w:spacing w:line="195" w:lineRule="exact"/>
              <w:ind w:left="51" w:right="0"/>
              <w:jc w:val="left"/>
              <w:rPr>
                <w:rFonts w:ascii="宋体" w:hAnsi="宋体" w:cs="宋体" w:eastAsia="宋体" w:hint="default"/>
                <w:sz w:val="15"/>
                <w:szCs w:val="15"/>
              </w:rPr>
            </w:pPr>
            <w:r>
              <w:rPr>
                <w:rFonts w:ascii="宋体" w:hAnsi="宋体" w:cs="宋体" w:eastAsia="宋体" w:hint="default"/>
                <w:spacing w:val="-12"/>
                <w:sz w:val="15"/>
                <w:szCs w:val="15"/>
              </w:rPr>
              <w:t>期末余额</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2" w:right="0"/>
              <w:jc w:val="left"/>
              <w:rPr>
                <w:rFonts w:ascii="Times New Roman" w:hAnsi="Times New Roman" w:cs="Times New Roman" w:eastAsia="Times New Roman" w:hint="default"/>
                <w:sz w:val="15"/>
                <w:szCs w:val="15"/>
              </w:rPr>
            </w:pPr>
            <w:r>
              <w:rPr>
                <w:rFonts w:ascii="Times New Roman"/>
                <w:spacing w:val="-7"/>
                <w:sz w:val="15"/>
              </w:rPr>
              <w:t>403,090,847.00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 w:right="0"/>
              <w:jc w:val="center"/>
              <w:rPr>
                <w:rFonts w:ascii="Times New Roman" w:hAnsi="Times New Roman" w:cs="Times New Roman" w:eastAsia="Times New Roman" w:hint="default"/>
                <w:sz w:val="15"/>
                <w:szCs w:val="15"/>
              </w:rPr>
            </w:pPr>
            <w:r>
              <w:rPr>
                <w:rFonts w:ascii="Times New Roman"/>
                <w:spacing w:val="-6"/>
                <w:sz w:val="15"/>
              </w:rPr>
              <w:t>384,344.40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650,901,645.01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94,789,061.50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7" w:right="0"/>
              <w:jc w:val="left"/>
              <w:rPr>
                <w:rFonts w:ascii="Times New Roman" w:hAnsi="Times New Roman" w:cs="Times New Roman" w:eastAsia="Times New Roman" w:hint="default"/>
                <w:sz w:val="15"/>
                <w:szCs w:val="15"/>
              </w:rPr>
            </w:pPr>
            <w:r>
              <w:rPr>
                <w:rFonts w:ascii="Times New Roman"/>
                <w:spacing w:val="-7"/>
                <w:sz w:val="15"/>
              </w:rPr>
              <w:t>5,186,311.83</w:t>
            </w:r>
          </w:p>
        </w:tc>
        <w:tc>
          <w:tcPr>
            <w:tcW w:w="40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57,163,657.72</w:t>
            </w:r>
          </w:p>
        </w:tc>
        <w:tc>
          <w:tcPr>
            <w:tcW w:w="40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 w:right="0"/>
              <w:jc w:val="center"/>
              <w:rPr>
                <w:rFonts w:ascii="Times New Roman" w:hAnsi="Times New Roman" w:cs="Times New Roman" w:eastAsia="Times New Roman" w:hint="default"/>
                <w:sz w:val="15"/>
                <w:szCs w:val="15"/>
              </w:rPr>
            </w:pPr>
            <w:r>
              <w:rPr>
                <w:rFonts w:ascii="Times New Roman"/>
                <w:spacing w:val="-7"/>
                <w:sz w:val="15"/>
              </w:rPr>
              <w:t>471,764,959.41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3" w:right="0"/>
              <w:jc w:val="left"/>
              <w:rPr>
                <w:rFonts w:ascii="Times New Roman" w:hAnsi="Times New Roman" w:cs="Times New Roman" w:eastAsia="Times New Roman" w:hint="default"/>
                <w:sz w:val="15"/>
                <w:szCs w:val="15"/>
              </w:rPr>
            </w:pPr>
            <w:r>
              <w:rPr>
                <w:rFonts w:ascii="Times New Roman"/>
                <w:spacing w:val="-6"/>
                <w:sz w:val="15"/>
              </w:rPr>
              <w:t>58,059,760.60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1,551,762,464.47</w:t>
            </w:r>
          </w:p>
        </w:tc>
      </w:tr>
    </w:tbl>
    <w:p>
      <w:pPr>
        <w:spacing w:line="240" w:lineRule="auto" w:before="6"/>
        <w:rPr>
          <w:rFonts w:ascii="宋体" w:hAnsi="宋体" w:cs="宋体" w:eastAsia="宋体" w:hint="default"/>
          <w:sz w:val="7"/>
          <w:szCs w:val="7"/>
        </w:rPr>
      </w:pPr>
    </w:p>
    <w:p>
      <w:pPr>
        <w:pStyle w:val="BodyText"/>
        <w:spacing w:line="240" w:lineRule="auto" w:before="35"/>
        <w:ind w:left="1014" w:right="0"/>
        <w:jc w:val="left"/>
      </w:pPr>
      <w:r>
        <w:rPr/>
        <w:t>上期金额</w:t>
      </w:r>
    </w:p>
    <w:p>
      <w:pPr>
        <w:spacing w:line="240" w:lineRule="auto" w:before="10"/>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604"/>
        <w:gridCol w:w="969"/>
        <w:gridCol w:w="394"/>
        <w:gridCol w:w="398"/>
        <w:gridCol w:w="733"/>
        <w:gridCol w:w="970"/>
        <w:gridCol w:w="970"/>
        <w:gridCol w:w="832"/>
        <w:gridCol w:w="403"/>
        <w:gridCol w:w="900"/>
        <w:gridCol w:w="405"/>
        <w:gridCol w:w="974"/>
        <w:gridCol w:w="900"/>
        <w:gridCol w:w="1068"/>
      </w:tblGrid>
      <w:tr>
        <w:trPr>
          <w:trHeight w:val="407" w:hRule="exact"/>
        </w:trPr>
        <w:tc>
          <w:tcPr>
            <w:tcW w:w="6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pacing w:val="-12"/>
                <w:sz w:val="15"/>
                <w:szCs w:val="15"/>
              </w:rPr>
              <w:t>项目</w:t>
            </w:r>
            <w:r>
              <w:rPr>
                <w:rFonts w:ascii="宋体" w:hAnsi="宋体" w:cs="宋体" w:eastAsia="宋体" w:hint="default"/>
                <w:sz w:val="15"/>
                <w:szCs w:val="15"/>
              </w:rPr>
            </w:r>
          </w:p>
        </w:tc>
        <w:tc>
          <w:tcPr>
            <w:tcW w:w="991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pacing w:val="-12"/>
                <w:sz w:val="15"/>
                <w:szCs w:val="15"/>
              </w:rPr>
              <w:t>上期</w:t>
            </w:r>
            <w:r>
              <w:rPr>
                <w:rFonts w:ascii="宋体" w:hAnsi="宋体" w:cs="宋体" w:eastAsia="宋体" w:hint="default"/>
                <w:sz w:val="15"/>
                <w:szCs w:val="15"/>
              </w:rPr>
            </w:r>
          </w:p>
        </w:tc>
      </w:tr>
      <w:tr>
        <w:trPr>
          <w:trHeight w:val="402" w:hRule="exact"/>
        </w:trPr>
        <w:tc>
          <w:tcPr>
            <w:tcW w:w="604" w:type="dxa"/>
            <w:vMerge/>
            <w:tcBorders>
              <w:left w:val="single" w:sz="4" w:space="0" w:color="000000"/>
              <w:right w:val="single" w:sz="4" w:space="0" w:color="000000"/>
            </w:tcBorders>
            <w:shd w:val="clear" w:color="auto" w:fill="D2D2D2"/>
          </w:tcPr>
          <w:p>
            <w:pPr/>
          </w:p>
        </w:tc>
        <w:tc>
          <w:tcPr>
            <w:tcW w:w="794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pacing w:val="-12"/>
                <w:sz w:val="15"/>
                <w:szCs w:val="15"/>
              </w:rPr>
              <w:t>归属于母公司所有者权益</w:t>
            </w:r>
            <w:r>
              <w:rPr>
                <w:rFonts w:ascii="宋体" w:hAnsi="宋体" w:cs="宋体" w:eastAsia="宋体" w:hint="default"/>
                <w:sz w:val="15"/>
                <w:szCs w:val="15"/>
              </w:rPr>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4" w:hRule="exact"/>
        </w:trPr>
        <w:tc>
          <w:tcPr>
            <w:tcW w:w="604" w:type="dxa"/>
            <w:vMerge/>
            <w:tcBorders>
              <w:left w:val="single" w:sz="4" w:space="0" w:color="000000"/>
              <w:right w:val="single" w:sz="4" w:space="0" w:color="000000"/>
            </w:tcBorders>
            <w:shd w:val="clear" w:color="auto" w:fill="D2D2D2"/>
          </w:tcPr>
          <w:p>
            <w:pPr/>
          </w:p>
        </w:tc>
        <w:tc>
          <w:tcPr>
            <w:tcW w:w="9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5" w:type="dxa"/>
            <w:gridSpan w:val="3"/>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1"/>
              <w:ind w:left="343" w:right="0"/>
              <w:jc w:val="left"/>
              <w:rPr>
                <w:rFonts w:ascii="宋体" w:hAnsi="宋体" w:cs="宋体" w:eastAsia="宋体" w:hint="default"/>
                <w:sz w:val="15"/>
                <w:szCs w:val="15"/>
              </w:rPr>
            </w:pPr>
            <w:r>
              <w:rPr>
                <w:rFonts w:ascii="宋体" w:hAnsi="宋体" w:cs="宋体" w:eastAsia="宋体" w:hint="default"/>
                <w:spacing w:val="-12"/>
                <w:sz w:val="15"/>
                <w:szCs w:val="15"/>
              </w:rPr>
              <w:t>其他权益工具</w:t>
            </w:r>
            <w:r>
              <w:rPr>
                <w:rFonts w:ascii="宋体" w:hAnsi="宋体" w:cs="宋体" w:eastAsia="宋体" w:hint="default"/>
                <w:sz w:val="15"/>
                <w:szCs w:val="15"/>
              </w:rPr>
            </w: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73" w:right="132" w:hanging="138"/>
              <w:jc w:val="left"/>
              <w:rPr>
                <w:rFonts w:ascii="宋体" w:hAnsi="宋体" w:cs="宋体" w:eastAsia="宋体" w:hint="default"/>
                <w:sz w:val="15"/>
                <w:szCs w:val="15"/>
              </w:rPr>
            </w:pPr>
            <w:r>
              <w:rPr>
                <w:rFonts w:ascii="宋体" w:hAnsi="宋体" w:cs="宋体" w:eastAsia="宋体" w:hint="default"/>
                <w:spacing w:val="-12"/>
                <w:sz w:val="15"/>
                <w:szCs w:val="15"/>
              </w:rPr>
              <w:t>其他综合 收益</w:t>
            </w:r>
            <w:r>
              <w:rPr>
                <w:rFonts w:ascii="宋体" w:hAnsi="宋体" w:cs="宋体" w:eastAsia="宋体" w:hint="default"/>
                <w:sz w:val="15"/>
                <w:szCs w:val="15"/>
              </w:rPr>
            </w:r>
          </w:p>
        </w:tc>
        <w:tc>
          <w:tcPr>
            <w:tcW w:w="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8" w:right="56"/>
              <w:jc w:val="left"/>
              <w:rPr>
                <w:rFonts w:ascii="宋体" w:hAnsi="宋体" w:cs="宋体" w:eastAsia="宋体" w:hint="default"/>
                <w:sz w:val="15"/>
                <w:szCs w:val="15"/>
              </w:rPr>
            </w:pPr>
            <w:r>
              <w:rPr>
                <w:rFonts w:ascii="宋体" w:hAnsi="宋体" w:cs="宋体" w:eastAsia="宋体" w:hint="default"/>
                <w:spacing w:val="-12"/>
                <w:sz w:val="15"/>
                <w:szCs w:val="15"/>
              </w:rPr>
              <w:t>专项 储备</w:t>
            </w:r>
            <w:r>
              <w:rPr>
                <w:rFonts w:ascii="宋体" w:hAnsi="宋体" w:cs="宋体" w:eastAsia="宋体" w:hint="default"/>
                <w:sz w:val="15"/>
                <w:szCs w:val="15"/>
              </w:rPr>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69" w:right="0"/>
              <w:jc w:val="left"/>
              <w:rPr>
                <w:rFonts w:ascii="宋体" w:hAnsi="宋体" w:cs="宋体" w:eastAsia="宋体" w:hint="default"/>
                <w:sz w:val="15"/>
                <w:szCs w:val="15"/>
              </w:rPr>
            </w:pPr>
            <w:r>
              <w:rPr>
                <w:rFonts w:ascii="宋体" w:hAnsi="宋体" w:cs="宋体" w:eastAsia="宋体" w:hint="default"/>
                <w:spacing w:val="-12"/>
                <w:sz w:val="15"/>
                <w:szCs w:val="15"/>
              </w:rPr>
              <w:t>盈余公积</w:t>
            </w:r>
            <w:r>
              <w:rPr>
                <w:rFonts w:ascii="宋体" w:hAnsi="宋体" w:cs="宋体" w:eastAsia="宋体" w:hint="default"/>
                <w:sz w:val="15"/>
                <w:szCs w:val="15"/>
              </w:rPr>
            </w:r>
          </w:p>
        </w:tc>
        <w:tc>
          <w:tcPr>
            <w:tcW w:w="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0"/>
              <w:ind w:left="59" w:right="57"/>
              <w:jc w:val="both"/>
              <w:rPr>
                <w:rFonts w:ascii="宋体" w:hAnsi="宋体" w:cs="宋体" w:eastAsia="宋体" w:hint="default"/>
                <w:sz w:val="15"/>
                <w:szCs w:val="15"/>
              </w:rPr>
            </w:pPr>
            <w:r>
              <w:rPr>
                <w:rFonts w:ascii="宋体" w:hAnsi="宋体" w:cs="宋体" w:eastAsia="宋体" w:hint="default"/>
                <w:spacing w:val="-12"/>
                <w:sz w:val="15"/>
                <w:szCs w:val="15"/>
              </w:rPr>
              <w:t>一般 风险 准备</w:t>
            </w:r>
            <w:r>
              <w:rPr>
                <w:rFonts w:ascii="宋体" w:hAnsi="宋体" w:cs="宋体" w:eastAsia="宋体" w:hint="default"/>
                <w:sz w:val="15"/>
                <w:szCs w:val="15"/>
              </w:rPr>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36" w:right="0"/>
              <w:jc w:val="left"/>
              <w:rPr>
                <w:rFonts w:ascii="宋体" w:hAnsi="宋体" w:cs="宋体" w:eastAsia="宋体" w:hint="default"/>
                <w:sz w:val="15"/>
                <w:szCs w:val="15"/>
              </w:rPr>
            </w:pPr>
            <w:r>
              <w:rPr>
                <w:rFonts w:ascii="宋体" w:hAnsi="宋体" w:cs="宋体" w:eastAsia="宋体" w:hint="default"/>
                <w:spacing w:val="-12"/>
                <w:sz w:val="15"/>
                <w:szCs w:val="15"/>
              </w:rPr>
              <w:t>未分配利润</w:t>
            </w:r>
            <w:r>
              <w:rPr>
                <w:rFonts w:ascii="宋体" w:hAnsi="宋体" w:cs="宋体" w:eastAsia="宋体" w:hint="default"/>
                <w:sz w:val="15"/>
                <w:szCs w:val="15"/>
              </w:rPr>
            </w: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194" w:lineRule="exact" w:before="9"/>
              <w:ind w:left="306" w:right="168" w:hanging="138"/>
              <w:jc w:val="left"/>
              <w:rPr>
                <w:rFonts w:ascii="宋体" w:hAnsi="宋体" w:cs="宋体" w:eastAsia="宋体" w:hint="default"/>
                <w:sz w:val="15"/>
                <w:szCs w:val="15"/>
              </w:rPr>
            </w:pPr>
            <w:r>
              <w:rPr>
                <w:rFonts w:ascii="宋体" w:hAnsi="宋体" w:cs="宋体" w:eastAsia="宋体" w:hint="default"/>
                <w:spacing w:val="-12"/>
                <w:sz w:val="15"/>
                <w:szCs w:val="15"/>
              </w:rPr>
              <w:t>少数股东 权益</w:t>
            </w:r>
            <w:r>
              <w:rPr>
                <w:rFonts w:ascii="宋体" w:hAnsi="宋体" w:cs="宋体" w:eastAsia="宋体" w:hint="default"/>
                <w:sz w:val="15"/>
                <w:szCs w:val="15"/>
              </w:rPr>
            </w: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194" w:lineRule="exact" w:before="9"/>
              <w:ind w:left="390" w:right="182" w:hanging="207"/>
              <w:jc w:val="left"/>
              <w:rPr>
                <w:rFonts w:ascii="宋体" w:hAnsi="宋体" w:cs="宋体" w:eastAsia="宋体" w:hint="default"/>
                <w:sz w:val="15"/>
                <w:szCs w:val="15"/>
              </w:rPr>
            </w:pPr>
            <w:r>
              <w:rPr>
                <w:rFonts w:ascii="宋体" w:hAnsi="宋体" w:cs="宋体" w:eastAsia="宋体" w:hint="default"/>
                <w:spacing w:val="-12"/>
                <w:sz w:val="15"/>
                <w:szCs w:val="15"/>
              </w:rPr>
              <w:t>所有者权益 合计</w:t>
            </w:r>
            <w:r>
              <w:rPr>
                <w:rFonts w:ascii="宋体" w:hAnsi="宋体" w:cs="宋体" w:eastAsia="宋体" w:hint="default"/>
                <w:sz w:val="15"/>
                <w:szCs w:val="15"/>
              </w:rPr>
            </w:r>
          </w:p>
        </w:tc>
      </w:tr>
      <w:tr>
        <w:trPr>
          <w:trHeight w:val="98" w:hRule="exact"/>
        </w:trPr>
        <w:tc>
          <w:tcPr>
            <w:tcW w:w="604" w:type="dxa"/>
            <w:vMerge/>
            <w:tcBorders>
              <w:left w:val="single" w:sz="4" w:space="0" w:color="000000"/>
              <w:right w:val="single" w:sz="4" w:space="0" w:color="000000"/>
            </w:tcBorders>
            <w:shd w:val="clear" w:color="auto" w:fill="D2D2D2"/>
          </w:tcPr>
          <w:p>
            <w:pPr/>
          </w:p>
        </w:tc>
        <w:tc>
          <w:tcPr>
            <w:tcW w:w="969"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股本</w:t>
            </w:r>
            <w:r>
              <w:rPr>
                <w:rFonts w:ascii="宋体" w:hAnsi="宋体" w:cs="宋体" w:eastAsia="宋体" w:hint="default"/>
                <w:sz w:val="15"/>
                <w:szCs w:val="15"/>
              </w:rPr>
            </w:r>
          </w:p>
        </w:tc>
        <w:tc>
          <w:tcPr>
            <w:tcW w:w="152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203" w:right="0"/>
              <w:jc w:val="left"/>
              <w:rPr>
                <w:rFonts w:ascii="宋体" w:hAnsi="宋体" w:cs="宋体" w:eastAsia="宋体" w:hint="default"/>
                <w:sz w:val="15"/>
                <w:szCs w:val="15"/>
              </w:rPr>
            </w:pPr>
            <w:r>
              <w:rPr>
                <w:rFonts w:ascii="宋体" w:hAnsi="宋体" w:cs="宋体" w:eastAsia="宋体" w:hint="default"/>
                <w:spacing w:val="-12"/>
                <w:sz w:val="15"/>
                <w:szCs w:val="15"/>
              </w:rPr>
              <w:t>资本公积</w:t>
            </w:r>
            <w:r>
              <w:rPr>
                <w:rFonts w:ascii="宋体" w:hAnsi="宋体" w:cs="宋体" w:eastAsia="宋体" w:hint="default"/>
                <w:sz w:val="15"/>
                <w:szCs w:val="15"/>
              </w:rPr>
            </w:r>
          </w:p>
        </w:tc>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134" w:right="0"/>
              <w:jc w:val="left"/>
              <w:rPr>
                <w:rFonts w:ascii="宋体" w:hAnsi="宋体" w:cs="宋体" w:eastAsia="宋体" w:hint="default"/>
                <w:sz w:val="15"/>
                <w:szCs w:val="15"/>
              </w:rPr>
            </w:pPr>
            <w:r>
              <w:rPr>
                <w:rFonts w:ascii="宋体" w:hAnsi="宋体" w:cs="宋体" w:eastAsia="宋体" w:hint="default"/>
                <w:spacing w:val="-12"/>
                <w:sz w:val="15"/>
                <w:szCs w:val="15"/>
              </w:rPr>
              <w:t>减：库存股</w:t>
            </w:r>
            <w:r>
              <w:rPr>
                <w:rFonts w:ascii="宋体" w:hAnsi="宋体" w:cs="宋体" w:eastAsia="宋体" w:hint="default"/>
                <w:sz w:val="15"/>
                <w:szCs w:val="15"/>
              </w:rPr>
            </w:r>
          </w:p>
        </w:tc>
        <w:tc>
          <w:tcPr>
            <w:tcW w:w="832" w:type="dxa"/>
            <w:vMerge/>
            <w:tcBorders>
              <w:left w:val="single" w:sz="4" w:space="0" w:color="000000"/>
              <w:right w:val="single" w:sz="4" w:space="0" w:color="000000"/>
            </w:tcBorders>
            <w:shd w:val="clear" w:color="auto" w:fill="D2D2D2"/>
          </w:tcPr>
          <w:p>
            <w:pPr/>
          </w:p>
        </w:tc>
        <w:tc>
          <w:tcPr>
            <w:tcW w:w="403"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405"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r>
      <w:tr>
        <w:trPr>
          <w:trHeight w:val="407" w:hRule="exact"/>
        </w:trPr>
        <w:tc>
          <w:tcPr>
            <w:tcW w:w="604" w:type="dxa"/>
            <w:vMerge/>
            <w:tcBorders>
              <w:left w:val="single" w:sz="4" w:space="0" w:color="000000"/>
              <w:bottom w:val="single" w:sz="4" w:space="0" w:color="000000"/>
              <w:right w:val="single" w:sz="4" w:space="0" w:color="000000"/>
            </w:tcBorders>
            <w:shd w:val="clear" w:color="auto" w:fill="D2D2D2"/>
          </w:tcPr>
          <w:p>
            <w:pPr/>
          </w:p>
        </w:tc>
        <w:tc>
          <w:tcPr>
            <w:tcW w:w="969" w:type="dxa"/>
            <w:vMerge/>
            <w:tcBorders>
              <w:left w:val="single" w:sz="4" w:space="0" w:color="000000"/>
              <w:bottom w:val="single" w:sz="4" w:space="0" w:color="000000"/>
              <w:right w:val="single" w:sz="4" w:space="0" w:color="000000"/>
            </w:tcBorders>
            <w:shd w:val="clear" w:color="auto" w:fill="D2D2D2"/>
          </w:tcPr>
          <w:p>
            <w:pPr/>
          </w:p>
        </w:tc>
        <w:tc>
          <w:tcPr>
            <w:tcW w:w="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22" w:right="0" w:hanging="70"/>
              <w:jc w:val="left"/>
              <w:rPr>
                <w:rFonts w:ascii="宋体" w:hAnsi="宋体" w:cs="宋体" w:eastAsia="宋体" w:hint="default"/>
                <w:sz w:val="15"/>
                <w:szCs w:val="15"/>
              </w:rPr>
            </w:pPr>
            <w:r>
              <w:rPr>
                <w:rFonts w:ascii="宋体" w:hAnsi="宋体" w:cs="宋体" w:eastAsia="宋体" w:hint="default"/>
                <w:spacing w:val="-12"/>
                <w:sz w:val="15"/>
                <w:szCs w:val="15"/>
              </w:rPr>
              <w:t>优先</w:t>
            </w:r>
            <w:r>
              <w:rPr>
                <w:rFonts w:ascii="宋体" w:hAnsi="宋体" w:cs="宋体" w:eastAsia="宋体" w:hint="default"/>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股</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24" w:right="0" w:hanging="69"/>
              <w:jc w:val="left"/>
              <w:rPr>
                <w:rFonts w:ascii="宋体" w:hAnsi="宋体" w:cs="宋体" w:eastAsia="宋体" w:hint="default"/>
                <w:sz w:val="15"/>
                <w:szCs w:val="15"/>
              </w:rPr>
            </w:pPr>
            <w:r>
              <w:rPr>
                <w:rFonts w:ascii="宋体" w:hAnsi="宋体" w:cs="宋体" w:eastAsia="宋体" w:hint="default"/>
                <w:spacing w:val="-12"/>
                <w:sz w:val="15"/>
                <w:szCs w:val="15"/>
              </w:rPr>
              <w:t>永续</w:t>
            </w:r>
            <w:r>
              <w:rPr>
                <w:rFonts w:ascii="宋体" w:hAnsi="宋体" w:cs="宋体" w:eastAsia="宋体" w:hint="default"/>
                <w:sz w:val="15"/>
                <w:szCs w:val="15"/>
              </w:rPr>
            </w:r>
          </w:p>
          <w:p>
            <w:pPr>
              <w:pStyle w:val="TableParagraph"/>
              <w:spacing w:line="195" w:lineRule="exact"/>
              <w:ind w:left="124" w:right="0"/>
              <w:jc w:val="left"/>
              <w:rPr>
                <w:rFonts w:ascii="宋体" w:hAnsi="宋体" w:cs="宋体" w:eastAsia="宋体" w:hint="default"/>
                <w:sz w:val="15"/>
                <w:szCs w:val="15"/>
              </w:rPr>
            </w:pPr>
            <w:r>
              <w:rPr>
                <w:rFonts w:ascii="宋体" w:hAnsi="宋体" w:cs="宋体" w:eastAsia="宋体" w:hint="default"/>
                <w:sz w:val="15"/>
                <w:szCs w:val="15"/>
              </w:rPr>
              <w:t>债</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 w:right="0"/>
              <w:jc w:val="center"/>
              <w:rPr>
                <w:rFonts w:ascii="宋体" w:hAnsi="宋体" w:cs="宋体" w:eastAsia="宋体" w:hint="default"/>
                <w:sz w:val="15"/>
                <w:szCs w:val="15"/>
              </w:rPr>
            </w:pPr>
            <w:r>
              <w:rPr>
                <w:rFonts w:ascii="宋体" w:hAnsi="宋体" w:cs="宋体" w:eastAsia="宋体" w:hint="default"/>
                <w:spacing w:val="-12"/>
                <w:sz w:val="15"/>
                <w:szCs w:val="15"/>
              </w:rPr>
              <w:t>其他</w:t>
            </w:r>
            <w:r>
              <w:rPr>
                <w:rFonts w:ascii="宋体" w:hAnsi="宋体" w:cs="宋体" w:eastAsia="宋体" w:hint="default"/>
                <w:sz w:val="15"/>
                <w:szCs w:val="15"/>
              </w:rPr>
            </w:r>
          </w:p>
        </w:tc>
        <w:tc>
          <w:tcPr>
            <w:tcW w:w="970"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832" w:type="dxa"/>
            <w:vMerge/>
            <w:tcBorders>
              <w:left w:val="single" w:sz="4" w:space="0" w:color="000000"/>
              <w:bottom w:val="single" w:sz="4" w:space="0" w:color="000000"/>
              <w:right w:val="single" w:sz="4" w:space="0" w:color="000000"/>
            </w:tcBorders>
            <w:shd w:val="clear" w:color="auto" w:fill="D2D2D2"/>
          </w:tcPr>
          <w:p>
            <w:pPr/>
          </w:p>
        </w:tc>
        <w:tc>
          <w:tcPr>
            <w:tcW w:w="403"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405"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r>
      <w:tr>
        <w:trPr>
          <w:trHeight w:val="594"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一</w:t>
            </w:r>
            <w:r>
              <w:rPr>
                <w:rFonts w:ascii="宋体" w:hAnsi="宋体" w:cs="宋体" w:eastAsia="宋体" w:hint="default"/>
                <w:spacing w:val="-75"/>
                <w:sz w:val="15"/>
                <w:szCs w:val="15"/>
              </w:rPr>
              <w:t>、</w:t>
            </w:r>
            <w:r>
              <w:rPr>
                <w:rFonts w:ascii="宋体" w:hAnsi="宋体" w:cs="宋体" w:eastAsia="宋体" w:hint="default"/>
                <w:spacing w:val="-12"/>
                <w:sz w:val="15"/>
                <w:szCs w:val="15"/>
              </w:rPr>
              <w:t>上</w:t>
            </w:r>
            <w:r>
              <w:rPr>
                <w:rFonts w:ascii="宋体" w:hAnsi="宋体" w:cs="宋体" w:eastAsia="宋体" w:hint="default"/>
                <w:sz w:val="15"/>
                <w:szCs w:val="15"/>
              </w:rPr>
              <w:t>年</w:t>
            </w:r>
          </w:p>
          <w:p>
            <w:pPr>
              <w:pStyle w:val="TableParagraph"/>
              <w:spacing w:line="240" w:lineRule="auto"/>
              <w:ind w:left="52" w:right="125"/>
              <w:jc w:val="left"/>
              <w:rPr>
                <w:rFonts w:ascii="宋体" w:hAnsi="宋体" w:cs="宋体" w:eastAsia="宋体" w:hint="default"/>
                <w:sz w:val="15"/>
                <w:szCs w:val="15"/>
              </w:rPr>
            </w:pPr>
            <w:r>
              <w:rPr>
                <w:rFonts w:ascii="宋体" w:hAnsi="宋体" w:cs="宋体" w:eastAsia="宋体" w:hint="default"/>
                <w:spacing w:val="-12"/>
                <w:sz w:val="15"/>
                <w:szCs w:val="15"/>
              </w:rPr>
              <w:t>期末余 </w:t>
            </w:r>
            <w:r>
              <w:rPr>
                <w:rFonts w:ascii="宋体" w:hAnsi="宋体" w:cs="宋体" w:eastAsia="宋体" w:hint="default"/>
                <w:sz w:val="15"/>
                <w:szCs w:val="15"/>
              </w:rPr>
              <w:t>额</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Times New Roman" w:hAnsi="Times New Roman" w:cs="Times New Roman" w:eastAsia="Times New Roman" w:hint="default"/>
                <w:sz w:val="15"/>
                <w:szCs w:val="15"/>
              </w:rPr>
            </w:pPr>
            <w:r>
              <w:rPr>
                <w:rFonts w:ascii="Times New Roman"/>
                <w:spacing w:val="-7"/>
                <w:sz w:val="15"/>
              </w:rPr>
              <w:t>403,059,644.00</w:t>
            </w: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pacing w:val="-6"/>
                <w:sz w:val="15"/>
              </w:rPr>
              <w:t>384,344.40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 w:right="0"/>
              <w:jc w:val="left"/>
              <w:rPr>
                <w:rFonts w:ascii="Times New Roman" w:hAnsi="Times New Roman" w:cs="Times New Roman" w:eastAsia="Times New Roman" w:hint="default"/>
                <w:sz w:val="15"/>
                <w:szCs w:val="15"/>
              </w:rPr>
            </w:pPr>
            <w:r>
              <w:rPr>
                <w:rFonts w:ascii="Times New Roman"/>
                <w:spacing w:val="-7"/>
                <w:sz w:val="15"/>
              </w:rPr>
              <w:t>618,814,990.37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 w:right="0"/>
              <w:jc w:val="left"/>
              <w:rPr>
                <w:rFonts w:ascii="Times New Roman" w:hAnsi="Times New Roman" w:cs="Times New Roman" w:eastAsia="Times New Roman" w:hint="default"/>
                <w:sz w:val="15"/>
                <w:szCs w:val="15"/>
              </w:rPr>
            </w:pPr>
            <w:r>
              <w:rPr>
                <w:rFonts w:ascii="Times New Roman"/>
                <w:spacing w:val="-7"/>
                <w:sz w:val="15"/>
              </w:rPr>
              <w:t>265,017,689.99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1" w:right="0"/>
              <w:jc w:val="left"/>
              <w:rPr>
                <w:rFonts w:ascii="Times New Roman" w:hAnsi="Times New Roman" w:cs="Times New Roman" w:eastAsia="Times New Roman" w:hint="default"/>
                <w:sz w:val="15"/>
                <w:szCs w:val="15"/>
              </w:rPr>
            </w:pPr>
            <w:r>
              <w:rPr>
                <w:rFonts w:ascii="Times New Roman"/>
                <w:spacing w:val="-6"/>
                <w:sz w:val="15"/>
              </w:rPr>
              <w:t>-871,839.05</w:t>
            </w: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3" w:right="0"/>
              <w:jc w:val="left"/>
              <w:rPr>
                <w:rFonts w:ascii="Times New Roman" w:hAnsi="Times New Roman" w:cs="Times New Roman" w:eastAsia="Times New Roman" w:hint="default"/>
                <w:sz w:val="15"/>
                <w:szCs w:val="15"/>
              </w:rPr>
            </w:pPr>
            <w:r>
              <w:rPr>
                <w:rFonts w:ascii="Times New Roman"/>
                <w:spacing w:val="-6"/>
                <w:sz w:val="15"/>
              </w:rPr>
              <w:t>48,530,257.74</w:t>
            </w: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8" w:right="0"/>
              <w:jc w:val="left"/>
              <w:rPr>
                <w:rFonts w:ascii="Times New Roman" w:hAnsi="Times New Roman" w:cs="Times New Roman" w:eastAsia="Times New Roman" w:hint="default"/>
                <w:sz w:val="15"/>
                <w:szCs w:val="15"/>
              </w:rPr>
            </w:pPr>
            <w:r>
              <w:rPr>
                <w:rFonts w:ascii="Times New Roman"/>
                <w:spacing w:val="-7"/>
                <w:sz w:val="15"/>
              </w:rPr>
              <w:t>298,062,242.14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5"/>
                <w:szCs w:val="15"/>
              </w:rPr>
            </w:pPr>
            <w:r>
              <w:rPr>
                <w:rFonts w:ascii="Times New Roman"/>
                <w:spacing w:val="-6"/>
                <w:sz w:val="15"/>
              </w:rPr>
              <w:t>8,345,400.27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 w:right="0"/>
              <w:jc w:val="left"/>
              <w:rPr>
                <w:rFonts w:ascii="Times New Roman" w:hAnsi="Times New Roman" w:cs="Times New Roman" w:eastAsia="Times New Roman" w:hint="default"/>
                <w:sz w:val="15"/>
                <w:szCs w:val="15"/>
              </w:rPr>
            </w:pPr>
            <w:r>
              <w:rPr>
                <w:rFonts w:ascii="Times New Roman"/>
                <w:spacing w:val="-7"/>
                <w:sz w:val="15"/>
              </w:rPr>
              <w:t>1,111,307,349.88</w:t>
            </w:r>
          </w:p>
        </w:tc>
      </w:tr>
      <w:tr>
        <w:trPr>
          <w:trHeight w:val="408"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328" w:right="-11"/>
              <w:jc w:val="left"/>
              <w:rPr>
                <w:rFonts w:ascii="宋体" w:hAnsi="宋体" w:cs="宋体" w:eastAsia="宋体" w:hint="default"/>
                <w:sz w:val="15"/>
                <w:szCs w:val="15"/>
              </w:rPr>
            </w:pPr>
            <w:r>
              <w:rPr>
                <w:rFonts w:ascii="宋体" w:hAnsi="宋体" w:cs="宋体" w:eastAsia="宋体" w:hint="default"/>
                <w:spacing w:val="-12"/>
                <w:sz w:val="15"/>
                <w:szCs w:val="15"/>
              </w:rPr>
              <w:t>加：</w:t>
            </w:r>
            <w:r>
              <w:rPr>
                <w:rFonts w:ascii="宋体" w:hAnsi="宋体" w:cs="宋体" w:eastAsia="宋体" w:hint="default"/>
                <w:sz w:val="15"/>
                <w:szCs w:val="15"/>
              </w:rPr>
            </w:r>
          </w:p>
          <w:p>
            <w:pPr>
              <w:pStyle w:val="TableParagraph"/>
              <w:spacing w:line="195"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会计政</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100" w:bottom="1200" w:left="54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604"/>
        <w:gridCol w:w="969"/>
        <w:gridCol w:w="394"/>
        <w:gridCol w:w="398"/>
        <w:gridCol w:w="733"/>
        <w:gridCol w:w="970"/>
        <w:gridCol w:w="970"/>
        <w:gridCol w:w="832"/>
        <w:gridCol w:w="403"/>
        <w:gridCol w:w="900"/>
        <w:gridCol w:w="405"/>
        <w:gridCol w:w="974"/>
        <w:gridCol w:w="900"/>
        <w:gridCol w:w="1068"/>
      </w:tblGrid>
      <w:tr>
        <w:trPr>
          <w:trHeight w:val="407" w:hRule="exact"/>
        </w:trPr>
        <w:tc>
          <w:tcPr>
            <w:tcW w:w="6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pacing w:val="-12"/>
                <w:sz w:val="15"/>
                <w:szCs w:val="15"/>
              </w:rPr>
              <w:t>项目</w:t>
            </w:r>
            <w:r>
              <w:rPr>
                <w:rFonts w:ascii="宋体" w:hAnsi="宋体" w:cs="宋体" w:eastAsia="宋体" w:hint="default"/>
                <w:sz w:val="15"/>
                <w:szCs w:val="15"/>
              </w:rPr>
            </w:r>
          </w:p>
        </w:tc>
        <w:tc>
          <w:tcPr>
            <w:tcW w:w="991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pacing w:val="-12"/>
                <w:sz w:val="15"/>
                <w:szCs w:val="15"/>
              </w:rPr>
              <w:t>上期</w:t>
            </w:r>
            <w:r>
              <w:rPr>
                <w:rFonts w:ascii="宋体" w:hAnsi="宋体" w:cs="宋体" w:eastAsia="宋体" w:hint="default"/>
                <w:sz w:val="15"/>
                <w:szCs w:val="15"/>
              </w:rPr>
            </w:r>
          </w:p>
        </w:tc>
      </w:tr>
      <w:tr>
        <w:trPr>
          <w:trHeight w:val="401" w:hRule="exact"/>
        </w:trPr>
        <w:tc>
          <w:tcPr>
            <w:tcW w:w="604" w:type="dxa"/>
            <w:vMerge/>
            <w:tcBorders>
              <w:left w:val="single" w:sz="4" w:space="0" w:color="000000"/>
              <w:right w:val="single" w:sz="4" w:space="0" w:color="000000"/>
            </w:tcBorders>
            <w:shd w:val="clear" w:color="auto" w:fill="D2D2D2"/>
          </w:tcPr>
          <w:p>
            <w:pPr/>
          </w:p>
        </w:tc>
        <w:tc>
          <w:tcPr>
            <w:tcW w:w="794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pacing w:val="-12"/>
                <w:sz w:val="15"/>
                <w:szCs w:val="15"/>
              </w:rPr>
              <w:t>归属于母公司所有者权益</w:t>
            </w:r>
            <w:r>
              <w:rPr>
                <w:rFonts w:ascii="宋体" w:hAnsi="宋体" w:cs="宋体" w:eastAsia="宋体" w:hint="default"/>
                <w:sz w:val="15"/>
                <w:szCs w:val="15"/>
              </w:rPr>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6" w:hRule="exact"/>
        </w:trPr>
        <w:tc>
          <w:tcPr>
            <w:tcW w:w="604" w:type="dxa"/>
            <w:vMerge/>
            <w:tcBorders>
              <w:left w:val="single" w:sz="4" w:space="0" w:color="000000"/>
              <w:right w:val="single" w:sz="4" w:space="0" w:color="000000"/>
            </w:tcBorders>
            <w:shd w:val="clear" w:color="auto" w:fill="D2D2D2"/>
          </w:tcPr>
          <w:p>
            <w:pPr/>
          </w:p>
        </w:tc>
        <w:tc>
          <w:tcPr>
            <w:tcW w:w="9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5" w:type="dxa"/>
            <w:gridSpan w:val="3"/>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1"/>
              <w:ind w:left="343" w:right="0"/>
              <w:jc w:val="left"/>
              <w:rPr>
                <w:rFonts w:ascii="宋体" w:hAnsi="宋体" w:cs="宋体" w:eastAsia="宋体" w:hint="default"/>
                <w:sz w:val="15"/>
                <w:szCs w:val="15"/>
              </w:rPr>
            </w:pPr>
            <w:r>
              <w:rPr>
                <w:rFonts w:ascii="宋体" w:hAnsi="宋体" w:cs="宋体" w:eastAsia="宋体" w:hint="default"/>
                <w:spacing w:val="-12"/>
                <w:sz w:val="15"/>
                <w:szCs w:val="15"/>
              </w:rPr>
              <w:t>其他权益工具</w:t>
            </w:r>
            <w:r>
              <w:rPr>
                <w:rFonts w:ascii="宋体" w:hAnsi="宋体" w:cs="宋体" w:eastAsia="宋体" w:hint="default"/>
                <w:sz w:val="15"/>
                <w:szCs w:val="15"/>
              </w:rPr>
            </w: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132" w:hanging="138"/>
              <w:jc w:val="left"/>
              <w:rPr>
                <w:rFonts w:ascii="宋体" w:hAnsi="宋体" w:cs="宋体" w:eastAsia="宋体" w:hint="default"/>
                <w:sz w:val="15"/>
                <w:szCs w:val="15"/>
              </w:rPr>
            </w:pPr>
            <w:r>
              <w:rPr>
                <w:rFonts w:ascii="宋体" w:hAnsi="宋体" w:cs="宋体" w:eastAsia="宋体" w:hint="default"/>
                <w:spacing w:val="-12"/>
                <w:sz w:val="15"/>
                <w:szCs w:val="15"/>
              </w:rPr>
              <w:t>其他综合 收益</w:t>
            </w:r>
            <w:r>
              <w:rPr>
                <w:rFonts w:ascii="宋体" w:hAnsi="宋体" w:cs="宋体" w:eastAsia="宋体" w:hint="default"/>
                <w:sz w:val="15"/>
                <w:szCs w:val="15"/>
              </w:rPr>
            </w:r>
          </w:p>
        </w:tc>
        <w:tc>
          <w:tcPr>
            <w:tcW w:w="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8" w:right="56"/>
              <w:jc w:val="left"/>
              <w:rPr>
                <w:rFonts w:ascii="宋体" w:hAnsi="宋体" w:cs="宋体" w:eastAsia="宋体" w:hint="default"/>
                <w:sz w:val="15"/>
                <w:szCs w:val="15"/>
              </w:rPr>
            </w:pPr>
            <w:r>
              <w:rPr>
                <w:rFonts w:ascii="宋体" w:hAnsi="宋体" w:cs="宋体" w:eastAsia="宋体" w:hint="default"/>
                <w:spacing w:val="-12"/>
                <w:sz w:val="15"/>
                <w:szCs w:val="15"/>
              </w:rPr>
              <w:t>专项 储备</w:t>
            </w:r>
            <w:r>
              <w:rPr>
                <w:rFonts w:ascii="宋体" w:hAnsi="宋体" w:cs="宋体" w:eastAsia="宋体" w:hint="default"/>
                <w:sz w:val="15"/>
                <w:szCs w:val="15"/>
              </w:rPr>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left="169" w:right="0"/>
              <w:jc w:val="left"/>
              <w:rPr>
                <w:rFonts w:ascii="宋体" w:hAnsi="宋体" w:cs="宋体" w:eastAsia="宋体" w:hint="default"/>
                <w:sz w:val="15"/>
                <w:szCs w:val="15"/>
              </w:rPr>
            </w:pPr>
            <w:r>
              <w:rPr>
                <w:rFonts w:ascii="宋体" w:hAnsi="宋体" w:cs="宋体" w:eastAsia="宋体" w:hint="default"/>
                <w:spacing w:val="-12"/>
                <w:sz w:val="15"/>
                <w:szCs w:val="15"/>
              </w:rPr>
              <w:t>盈余公积</w:t>
            </w:r>
            <w:r>
              <w:rPr>
                <w:rFonts w:ascii="宋体" w:hAnsi="宋体" w:cs="宋体" w:eastAsia="宋体" w:hint="default"/>
                <w:sz w:val="15"/>
                <w:szCs w:val="15"/>
              </w:rPr>
            </w:r>
          </w:p>
        </w:tc>
        <w:tc>
          <w:tcPr>
            <w:tcW w:w="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59" w:right="57"/>
              <w:jc w:val="both"/>
              <w:rPr>
                <w:rFonts w:ascii="宋体" w:hAnsi="宋体" w:cs="宋体" w:eastAsia="宋体" w:hint="default"/>
                <w:sz w:val="15"/>
                <w:szCs w:val="15"/>
              </w:rPr>
            </w:pPr>
            <w:r>
              <w:rPr>
                <w:rFonts w:ascii="宋体" w:hAnsi="宋体" w:cs="宋体" w:eastAsia="宋体" w:hint="default"/>
                <w:spacing w:val="-12"/>
                <w:sz w:val="15"/>
                <w:szCs w:val="15"/>
              </w:rPr>
              <w:t>一般 风险 准备</w:t>
            </w:r>
            <w:r>
              <w:rPr>
                <w:rFonts w:ascii="宋体" w:hAnsi="宋体" w:cs="宋体" w:eastAsia="宋体" w:hint="default"/>
                <w:sz w:val="15"/>
                <w:szCs w:val="15"/>
              </w:rPr>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left="136" w:right="0"/>
              <w:jc w:val="left"/>
              <w:rPr>
                <w:rFonts w:ascii="宋体" w:hAnsi="宋体" w:cs="宋体" w:eastAsia="宋体" w:hint="default"/>
                <w:sz w:val="15"/>
                <w:szCs w:val="15"/>
              </w:rPr>
            </w:pPr>
            <w:r>
              <w:rPr>
                <w:rFonts w:ascii="宋体" w:hAnsi="宋体" w:cs="宋体" w:eastAsia="宋体" w:hint="default"/>
                <w:spacing w:val="-12"/>
                <w:sz w:val="15"/>
                <w:szCs w:val="15"/>
              </w:rPr>
              <w:t>未分配利润</w:t>
            </w:r>
            <w:r>
              <w:rPr>
                <w:rFonts w:ascii="宋体" w:hAnsi="宋体" w:cs="宋体" w:eastAsia="宋体" w:hint="default"/>
                <w:sz w:val="15"/>
                <w:szCs w:val="15"/>
              </w:rPr>
            </w: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194" w:lineRule="exact" w:before="9"/>
              <w:ind w:left="306" w:right="168" w:hanging="138"/>
              <w:jc w:val="left"/>
              <w:rPr>
                <w:rFonts w:ascii="宋体" w:hAnsi="宋体" w:cs="宋体" w:eastAsia="宋体" w:hint="default"/>
                <w:sz w:val="15"/>
                <w:szCs w:val="15"/>
              </w:rPr>
            </w:pPr>
            <w:r>
              <w:rPr>
                <w:rFonts w:ascii="宋体" w:hAnsi="宋体" w:cs="宋体" w:eastAsia="宋体" w:hint="default"/>
                <w:spacing w:val="-12"/>
                <w:sz w:val="15"/>
                <w:szCs w:val="15"/>
              </w:rPr>
              <w:t>少数股东 权益</w:t>
            </w:r>
            <w:r>
              <w:rPr>
                <w:rFonts w:ascii="宋体" w:hAnsi="宋体" w:cs="宋体" w:eastAsia="宋体" w:hint="default"/>
                <w:sz w:val="15"/>
                <w:szCs w:val="15"/>
              </w:rPr>
            </w: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194" w:lineRule="exact" w:before="9"/>
              <w:ind w:left="390" w:right="182" w:hanging="207"/>
              <w:jc w:val="left"/>
              <w:rPr>
                <w:rFonts w:ascii="宋体" w:hAnsi="宋体" w:cs="宋体" w:eastAsia="宋体" w:hint="default"/>
                <w:sz w:val="15"/>
                <w:szCs w:val="15"/>
              </w:rPr>
            </w:pPr>
            <w:r>
              <w:rPr>
                <w:rFonts w:ascii="宋体" w:hAnsi="宋体" w:cs="宋体" w:eastAsia="宋体" w:hint="default"/>
                <w:spacing w:val="-12"/>
                <w:sz w:val="15"/>
                <w:szCs w:val="15"/>
              </w:rPr>
              <w:t>所有者权益 合计</w:t>
            </w:r>
            <w:r>
              <w:rPr>
                <w:rFonts w:ascii="宋体" w:hAnsi="宋体" w:cs="宋体" w:eastAsia="宋体" w:hint="default"/>
                <w:sz w:val="15"/>
                <w:szCs w:val="15"/>
              </w:rPr>
            </w:r>
          </w:p>
        </w:tc>
      </w:tr>
      <w:tr>
        <w:trPr>
          <w:trHeight w:val="97" w:hRule="exact"/>
        </w:trPr>
        <w:tc>
          <w:tcPr>
            <w:tcW w:w="604" w:type="dxa"/>
            <w:vMerge/>
            <w:tcBorders>
              <w:left w:val="single" w:sz="4" w:space="0" w:color="000000"/>
              <w:right w:val="single" w:sz="4" w:space="0" w:color="000000"/>
            </w:tcBorders>
            <w:shd w:val="clear" w:color="auto" w:fill="D2D2D2"/>
          </w:tcPr>
          <w:p>
            <w:pPr/>
          </w:p>
        </w:tc>
        <w:tc>
          <w:tcPr>
            <w:tcW w:w="969"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股本</w:t>
            </w:r>
            <w:r>
              <w:rPr>
                <w:rFonts w:ascii="宋体" w:hAnsi="宋体" w:cs="宋体" w:eastAsia="宋体" w:hint="default"/>
                <w:sz w:val="15"/>
                <w:szCs w:val="15"/>
              </w:rPr>
            </w:r>
          </w:p>
        </w:tc>
        <w:tc>
          <w:tcPr>
            <w:tcW w:w="152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203" w:right="0"/>
              <w:jc w:val="left"/>
              <w:rPr>
                <w:rFonts w:ascii="宋体" w:hAnsi="宋体" w:cs="宋体" w:eastAsia="宋体" w:hint="default"/>
                <w:sz w:val="15"/>
                <w:szCs w:val="15"/>
              </w:rPr>
            </w:pPr>
            <w:r>
              <w:rPr>
                <w:rFonts w:ascii="宋体" w:hAnsi="宋体" w:cs="宋体" w:eastAsia="宋体" w:hint="default"/>
                <w:spacing w:val="-12"/>
                <w:sz w:val="15"/>
                <w:szCs w:val="15"/>
              </w:rPr>
              <w:t>资本公积</w:t>
            </w:r>
            <w:r>
              <w:rPr>
                <w:rFonts w:ascii="宋体" w:hAnsi="宋体" w:cs="宋体" w:eastAsia="宋体" w:hint="default"/>
                <w:sz w:val="15"/>
                <w:szCs w:val="15"/>
              </w:rPr>
            </w:r>
          </w:p>
        </w:tc>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134" w:right="0"/>
              <w:jc w:val="left"/>
              <w:rPr>
                <w:rFonts w:ascii="宋体" w:hAnsi="宋体" w:cs="宋体" w:eastAsia="宋体" w:hint="default"/>
                <w:sz w:val="15"/>
                <w:szCs w:val="15"/>
              </w:rPr>
            </w:pPr>
            <w:r>
              <w:rPr>
                <w:rFonts w:ascii="宋体" w:hAnsi="宋体" w:cs="宋体" w:eastAsia="宋体" w:hint="default"/>
                <w:spacing w:val="-12"/>
                <w:sz w:val="15"/>
                <w:szCs w:val="15"/>
              </w:rPr>
              <w:t>减：库存股</w:t>
            </w:r>
            <w:r>
              <w:rPr>
                <w:rFonts w:ascii="宋体" w:hAnsi="宋体" w:cs="宋体" w:eastAsia="宋体" w:hint="default"/>
                <w:sz w:val="15"/>
                <w:szCs w:val="15"/>
              </w:rPr>
            </w:r>
          </w:p>
        </w:tc>
        <w:tc>
          <w:tcPr>
            <w:tcW w:w="832" w:type="dxa"/>
            <w:vMerge/>
            <w:tcBorders>
              <w:left w:val="single" w:sz="4" w:space="0" w:color="000000"/>
              <w:right w:val="single" w:sz="4" w:space="0" w:color="000000"/>
            </w:tcBorders>
            <w:shd w:val="clear" w:color="auto" w:fill="D2D2D2"/>
          </w:tcPr>
          <w:p>
            <w:pPr/>
          </w:p>
        </w:tc>
        <w:tc>
          <w:tcPr>
            <w:tcW w:w="403"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405"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r>
      <w:tr>
        <w:trPr>
          <w:trHeight w:val="407" w:hRule="exact"/>
        </w:trPr>
        <w:tc>
          <w:tcPr>
            <w:tcW w:w="604" w:type="dxa"/>
            <w:vMerge/>
            <w:tcBorders>
              <w:left w:val="single" w:sz="4" w:space="0" w:color="000000"/>
              <w:bottom w:val="single" w:sz="4" w:space="0" w:color="000000"/>
              <w:right w:val="single" w:sz="4" w:space="0" w:color="000000"/>
            </w:tcBorders>
            <w:shd w:val="clear" w:color="auto" w:fill="D2D2D2"/>
          </w:tcPr>
          <w:p>
            <w:pPr/>
          </w:p>
        </w:tc>
        <w:tc>
          <w:tcPr>
            <w:tcW w:w="969" w:type="dxa"/>
            <w:vMerge/>
            <w:tcBorders>
              <w:left w:val="single" w:sz="4" w:space="0" w:color="000000"/>
              <w:bottom w:val="single" w:sz="4" w:space="0" w:color="000000"/>
              <w:right w:val="single" w:sz="4" w:space="0" w:color="000000"/>
            </w:tcBorders>
            <w:shd w:val="clear" w:color="auto" w:fill="D2D2D2"/>
          </w:tcPr>
          <w:p>
            <w:pPr/>
          </w:p>
        </w:tc>
        <w:tc>
          <w:tcPr>
            <w:tcW w:w="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22" w:right="0" w:hanging="70"/>
              <w:jc w:val="left"/>
              <w:rPr>
                <w:rFonts w:ascii="宋体" w:hAnsi="宋体" w:cs="宋体" w:eastAsia="宋体" w:hint="default"/>
                <w:sz w:val="15"/>
                <w:szCs w:val="15"/>
              </w:rPr>
            </w:pPr>
            <w:r>
              <w:rPr>
                <w:rFonts w:ascii="宋体" w:hAnsi="宋体" w:cs="宋体" w:eastAsia="宋体" w:hint="default"/>
                <w:spacing w:val="-12"/>
                <w:sz w:val="15"/>
                <w:szCs w:val="15"/>
              </w:rPr>
              <w:t>优先</w:t>
            </w:r>
            <w:r>
              <w:rPr>
                <w:rFonts w:ascii="宋体" w:hAnsi="宋体" w:cs="宋体" w:eastAsia="宋体" w:hint="default"/>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股</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24" w:right="0" w:hanging="69"/>
              <w:jc w:val="left"/>
              <w:rPr>
                <w:rFonts w:ascii="宋体" w:hAnsi="宋体" w:cs="宋体" w:eastAsia="宋体" w:hint="default"/>
                <w:sz w:val="15"/>
                <w:szCs w:val="15"/>
              </w:rPr>
            </w:pPr>
            <w:r>
              <w:rPr>
                <w:rFonts w:ascii="宋体" w:hAnsi="宋体" w:cs="宋体" w:eastAsia="宋体" w:hint="default"/>
                <w:spacing w:val="-12"/>
                <w:sz w:val="15"/>
                <w:szCs w:val="15"/>
              </w:rPr>
              <w:t>永续</w:t>
            </w:r>
            <w:r>
              <w:rPr>
                <w:rFonts w:ascii="宋体" w:hAnsi="宋体" w:cs="宋体" w:eastAsia="宋体" w:hint="default"/>
                <w:sz w:val="15"/>
                <w:szCs w:val="15"/>
              </w:rPr>
            </w:r>
          </w:p>
          <w:p>
            <w:pPr>
              <w:pStyle w:val="TableParagraph"/>
              <w:spacing w:line="195" w:lineRule="exact"/>
              <w:ind w:left="124" w:right="0"/>
              <w:jc w:val="left"/>
              <w:rPr>
                <w:rFonts w:ascii="宋体" w:hAnsi="宋体" w:cs="宋体" w:eastAsia="宋体" w:hint="default"/>
                <w:sz w:val="15"/>
                <w:szCs w:val="15"/>
              </w:rPr>
            </w:pPr>
            <w:r>
              <w:rPr>
                <w:rFonts w:ascii="宋体" w:hAnsi="宋体" w:cs="宋体" w:eastAsia="宋体" w:hint="default"/>
                <w:sz w:val="15"/>
                <w:szCs w:val="15"/>
              </w:rPr>
              <w:t>债</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 w:right="0"/>
              <w:jc w:val="center"/>
              <w:rPr>
                <w:rFonts w:ascii="宋体" w:hAnsi="宋体" w:cs="宋体" w:eastAsia="宋体" w:hint="default"/>
                <w:sz w:val="15"/>
                <w:szCs w:val="15"/>
              </w:rPr>
            </w:pPr>
            <w:r>
              <w:rPr>
                <w:rFonts w:ascii="宋体" w:hAnsi="宋体" w:cs="宋体" w:eastAsia="宋体" w:hint="default"/>
                <w:spacing w:val="-12"/>
                <w:sz w:val="15"/>
                <w:szCs w:val="15"/>
              </w:rPr>
              <w:t>其他</w:t>
            </w:r>
            <w:r>
              <w:rPr>
                <w:rFonts w:ascii="宋体" w:hAnsi="宋体" w:cs="宋体" w:eastAsia="宋体" w:hint="default"/>
                <w:sz w:val="15"/>
                <w:szCs w:val="15"/>
              </w:rPr>
            </w:r>
          </w:p>
        </w:tc>
        <w:tc>
          <w:tcPr>
            <w:tcW w:w="970"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832" w:type="dxa"/>
            <w:vMerge/>
            <w:tcBorders>
              <w:left w:val="single" w:sz="4" w:space="0" w:color="000000"/>
              <w:bottom w:val="single" w:sz="4" w:space="0" w:color="000000"/>
              <w:right w:val="single" w:sz="4" w:space="0" w:color="000000"/>
            </w:tcBorders>
            <w:shd w:val="clear" w:color="auto" w:fill="D2D2D2"/>
          </w:tcPr>
          <w:p>
            <w:pPr/>
          </w:p>
        </w:tc>
        <w:tc>
          <w:tcPr>
            <w:tcW w:w="403"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405"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策变更</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2" w:right="125"/>
              <w:jc w:val="left"/>
              <w:rPr>
                <w:rFonts w:ascii="宋体" w:hAnsi="宋体" w:cs="宋体" w:eastAsia="宋体" w:hint="default"/>
                <w:sz w:val="15"/>
                <w:szCs w:val="15"/>
              </w:rPr>
            </w:pPr>
            <w:r>
              <w:rPr>
                <w:rFonts w:ascii="宋体" w:hAnsi="宋体" w:cs="宋体" w:eastAsia="宋体" w:hint="default"/>
                <w:spacing w:val="-12"/>
                <w:sz w:val="15"/>
                <w:szCs w:val="15"/>
              </w:rPr>
              <w:t>前期差 错更正</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2" w:right="125"/>
              <w:jc w:val="both"/>
              <w:rPr>
                <w:rFonts w:ascii="宋体" w:hAnsi="宋体" w:cs="宋体" w:eastAsia="宋体" w:hint="default"/>
                <w:sz w:val="15"/>
                <w:szCs w:val="15"/>
              </w:rPr>
            </w:pPr>
            <w:r>
              <w:rPr>
                <w:rFonts w:ascii="宋体" w:hAnsi="宋体" w:cs="宋体" w:eastAsia="宋体" w:hint="default"/>
                <w:spacing w:val="-12"/>
                <w:sz w:val="15"/>
                <w:szCs w:val="15"/>
              </w:rPr>
              <w:t>同一控 制下企 业合并</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52" w:right="0"/>
              <w:jc w:val="left"/>
              <w:rPr>
                <w:rFonts w:ascii="宋体" w:hAnsi="宋体" w:cs="宋体" w:eastAsia="宋体" w:hint="default"/>
                <w:sz w:val="15"/>
                <w:szCs w:val="15"/>
              </w:rPr>
            </w:pPr>
            <w:r>
              <w:rPr>
                <w:rFonts w:ascii="宋体" w:hAnsi="宋体" w:cs="宋体" w:eastAsia="宋体" w:hint="default"/>
                <w:spacing w:val="-12"/>
                <w:sz w:val="15"/>
                <w:szCs w:val="15"/>
              </w:rPr>
              <w:t>其他</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二</w:t>
            </w:r>
            <w:r>
              <w:rPr>
                <w:rFonts w:ascii="宋体" w:hAnsi="宋体" w:cs="宋体" w:eastAsia="宋体" w:hint="default"/>
                <w:spacing w:val="-75"/>
                <w:sz w:val="15"/>
                <w:szCs w:val="15"/>
              </w:rPr>
              <w:t>、</w:t>
            </w:r>
            <w:r>
              <w:rPr>
                <w:rFonts w:ascii="宋体" w:hAnsi="宋体" w:cs="宋体" w:eastAsia="宋体" w:hint="default"/>
                <w:spacing w:val="-12"/>
                <w:sz w:val="15"/>
                <w:szCs w:val="15"/>
              </w:rPr>
              <w:t>本</w:t>
            </w:r>
            <w:r>
              <w:rPr>
                <w:rFonts w:ascii="宋体" w:hAnsi="宋体" w:cs="宋体" w:eastAsia="宋体" w:hint="default"/>
                <w:sz w:val="15"/>
                <w:szCs w:val="15"/>
              </w:rPr>
              <w:t>年</w:t>
            </w:r>
          </w:p>
          <w:p>
            <w:pPr>
              <w:pStyle w:val="TableParagraph"/>
              <w:spacing w:line="240" w:lineRule="auto"/>
              <w:ind w:left="52" w:right="125"/>
              <w:jc w:val="left"/>
              <w:rPr>
                <w:rFonts w:ascii="宋体" w:hAnsi="宋体" w:cs="宋体" w:eastAsia="宋体" w:hint="default"/>
                <w:sz w:val="15"/>
                <w:szCs w:val="15"/>
              </w:rPr>
            </w:pPr>
            <w:r>
              <w:rPr>
                <w:rFonts w:ascii="宋体" w:hAnsi="宋体" w:cs="宋体" w:eastAsia="宋体" w:hint="default"/>
                <w:spacing w:val="-12"/>
                <w:sz w:val="15"/>
                <w:szCs w:val="15"/>
              </w:rPr>
              <w:t>期初余 </w:t>
            </w:r>
            <w:r>
              <w:rPr>
                <w:rFonts w:ascii="宋体" w:hAnsi="宋体" w:cs="宋体" w:eastAsia="宋体" w:hint="default"/>
                <w:sz w:val="15"/>
                <w:szCs w:val="15"/>
              </w:rPr>
              <w:t>额</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403,059,644.00</w:t>
            </w: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pacing w:val="-6"/>
                <w:sz w:val="15"/>
              </w:rPr>
              <w:t>384,344.40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 w:right="0"/>
              <w:jc w:val="center"/>
              <w:rPr>
                <w:rFonts w:ascii="Times New Roman" w:hAnsi="Times New Roman" w:cs="Times New Roman" w:eastAsia="Times New Roman" w:hint="default"/>
                <w:sz w:val="15"/>
                <w:szCs w:val="15"/>
              </w:rPr>
            </w:pPr>
            <w:r>
              <w:rPr>
                <w:rFonts w:ascii="Times New Roman"/>
                <w:spacing w:val="-7"/>
                <w:sz w:val="15"/>
              </w:rPr>
              <w:t>618,814,990.37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265,017,689.99</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-871,839.05</w:t>
            </w: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48,530,257.74</w:t>
            </w: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pacing w:val="-7"/>
                <w:sz w:val="15"/>
              </w:rPr>
              <w:t>298,062,242.14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8,345,400.27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1,111,307,349.88</w:t>
            </w:r>
          </w:p>
        </w:tc>
      </w:tr>
      <w:tr>
        <w:trPr>
          <w:trHeight w:val="117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三</w:t>
            </w:r>
            <w:r>
              <w:rPr>
                <w:rFonts w:ascii="宋体" w:hAnsi="宋体" w:cs="宋体" w:eastAsia="宋体" w:hint="default"/>
                <w:spacing w:val="-75"/>
                <w:sz w:val="15"/>
                <w:szCs w:val="15"/>
              </w:rPr>
              <w:t>、</w:t>
            </w:r>
            <w:r>
              <w:rPr>
                <w:rFonts w:ascii="宋体" w:hAnsi="宋体" w:cs="宋体" w:eastAsia="宋体" w:hint="default"/>
                <w:spacing w:val="-12"/>
                <w:sz w:val="15"/>
                <w:szCs w:val="15"/>
              </w:rPr>
              <w:t>本</w:t>
            </w:r>
            <w:r>
              <w:rPr>
                <w:rFonts w:ascii="宋体" w:hAnsi="宋体" w:cs="宋体" w:eastAsia="宋体" w:hint="default"/>
                <w:sz w:val="15"/>
                <w:szCs w:val="15"/>
              </w:rPr>
              <w:t>期</w:t>
            </w:r>
          </w:p>
          <w:p>
            <w:pPr>
              <w:pStyle w:val="TableParagraph"/>
              <w:spacing w:line="240" w:lineRule="auto"/>
              <w:ind w:left="52" w:right="125"/>
              <w:jc w:val="left"/>
              <w:rPr>
                <w:rFonts w:ascii="宋体" w:hAnsi="宋体" w:cs="宋体" w:eastAsia="宋体" w:hint="default"/>
                <w:sz w:val="15"/>
                <w:szCs w:val="15"/>
              </w:rPr>
            </w:pPr>
            <w:r>
              <w:rPr>
                <w:rFonts w:ascii="宋体" w:hAnsi="宋体" w:cs="宋体" w:eastAsia="宋体" w:hint="default"/>
                <w:spacing w:val="-12"/>
                <w:sz w:val="15"/>
                <w:szCs w:val="15"/>
              </w:rPr>
              <w:t>增减变 动金额</w:t>
            </w:r>
            <w:r>
              <w:rPr>
                <w:rFonts w:ascii="宋体" w:hAnsi="宋体" w:cs="宋体" w:eastAsia="宋体" w:hint="default"/>
                <w:sz w:val="15"/>
                <w:szCs w:val="15"/>
              </w:rPr>
            </w:r>
          </w:p>
          <w:p>
            <w:pPr>
              <w:pStyle w:val="TableParagraph"/>
              <w:spacing w:line="194" w:lineRule="exact" w:before="18"/>
              <w:ind w:left="52" w:right="-11"/>
              <w:jc w:val="left"/>
              <w:rPr>
                <w:rFonts w:ascii="宋体" w:hAnsi="宋体" w:cs="宋体" w:eastAsia="宋体" w:hint="default"/>
                <w:sz w:val="15"/>
                <w:szCs w:val="15"/>
              </w:rPr>
            </w:pPr>
            <w:r>
              <w:rPr>
                <w:rFonts w:ascii="宋体" w:hAnsi="宋体" w:cs="宋体" w:eastAsia="宋体" w:hint="default"/>
                <w:spacing w:val="-12"/>
                <w:sz w:val="15"/>
                <w:szCs w:val="15"/>
              </w:rPr>
              <w:t>（减少 </w:t>
            </w:r>
            <w:r>
              <w:rPr>
                <w:rFonts w:ascii="宋体" w:hAnsi="宋体" w:cs="宋体" w:eastAsia="宋体" w:hint="default"/>
                <w:spacing w:val="-8"/>
                <w:sz w:val="15"/>
                <w:szCs w:val="15"/>
              </w:rPr>
              <w:t>以</w:t>
            </w:r>
            <w:r>
              <w:rPr>
                <w:rFonts w:ascii="Times New Roman" w:hAnsi="Times New Roman" w:cs="Times New Roman" w:eastAsia="Times New Roman" w:hint="default"/>
                <w:spacing w:val="-8"/>
                <w:sz w:val="15"/>
                <w:szCs w:val="15"/>
              </w:rPr>
              <w:t>“</w:t>
            </w:r>
            <w:r>
              <w:rPr>
                <w:rFonts w:ascii="宋体" w:hAnsi="宋体" w:cs="宋体" w:eastAsia="宋体" w:hint="default"/>
                <w:spacing w:val="-8"/>
                <w:sz w:val="15"/>
                <w:szCs w:val="15"/>
              </w:rPr>
              <w:t>－</w:t>
            </w:r>
            <w:r>
              <w:rPr>
                <w:rFonts w:ascii="Times New Roman" w:hAnsi="Times New Roman" w:cs="Times New Roman" w:eastAsia="Times New Roman" w:hint="default"/>
                <w:spacing w:val="-8"/>
                <w:sz w:val="15"/>
                <w:szCs w:val="15"/>
              </w:rPr>
              <w:t>”</w:t>
            </w:r>
            <w:r>
              <w:rPr>
                <w:rFonts w:ascii="Times New Roman" w:hAnsi="Times New Roman" w:cs="Times New Roman" w:eastAsia="Times New Roman" w:hint="default"/>
                <w:spacing w:val="-36"/>
                <w:sz w:val="15"/>
                <w:szCs w:val="15"/>
              </w:rPr>
              <w:t> </w:t>
            </w:r>
            <w:r>
              <w:rPr>
                <w:rFonts w:ascii="宋体" w:hAnsi="宋体" w:cs="宋体" w:eastAsia="宋体" w:hint="default"/>
                <w:spacing w:val="-12"/>
                <w:sz w:val="15"/>
                <w:szCs w:val="15"/>
              </w:rPr>
              <w:t>号填列）</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818,978.00</w:t>
            </w: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84" w:right="0"/>
              <w:jc w:val="center"/>
              <w:rPr>
                <w:rFonts w:ascii="Times New Roman" w:hAnsi="Times New Roman" w:cs="Times New Roman" w:eastAsia="Times New Roman" w:hint="default"/>
                <w:sz w:val="15"/>
                <w:szCs w:val="15"/>
              </w:rPr>
            </w:pPr>
            <w:r>
              <w:rPr>
                <w:rFonts w:ascii="Times New Roman"/>
                <w:spacing w:val="-7"/>
                <w:sz w:val="15"/>
              </w:rPr>
              <w:t>11,968,465.55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-82,629,672.32</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4,130,662.06</w:t>
            </w: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5,902,323.41</w:t>
            </w: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81" w:right="0"/>
              <w:jc w:val="center"/>
              <w:rPr>
                <w:rFonts w:ascii="Times New Roman" w:hAnsi="Times New Roman" w:cs="Times New Roman" w:eastAsia="Times New Roman" w:hint="default"/>
                <w:sz w:val="15"/>
                <w:szCs w:val="15"/>
              </w:rPr>
            </w:pPr>
            <w:r>
              <w:rPr>
                <w:rFonts w:ascii="Times New Roman"/>
                <w:spacing w:val="-6"/>
                <w:sz w:val="15"/>
              </w:rPr>
              <w:t>44,265,803.50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45,689,306.11</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195,405,210.95</w:t>
            </w:r>
          </w:p>
        </w:tc>
      </w:tr>
      <w:tr>
        <w:trPr>
          <w:trHeight w:val="594"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（一</w:t>
            </w:r>
            <w:r>
              <w:rPr>
                <w:rFonts w:ascii="宋体" w:hAnsi="宋体" w:cs="宋体" w:eastAsia="宋体" w:hint="default"/>
                <w:spacing w:val="-75"/>
                <w:sz w:val="15"/>
                <w:szCs w:val="15"/>
              </w:rPr>
              <w:t>）</w:t>
            </w:r>
            <w:r>
              <w:rPr>
                <w:rFonts w:ascii="宋体" w:hAnsi="宋体" w:cs="宋体" w:eastAsia="宋体" w:hint="default"/>
                <w:sz w:val="15"/>
                <w:szCs w:val="15"/>
              </w:rPr>
              <w:t>综</w:t>
            </w:r>
          </w:p>
          <w:p>
            <w:pPr>
              <w:pStyle w:val="TableParagraph"/>
              <w:spacing w:line="240" w:lineRule="auto"/>
              <w:ind w:left="52" w:right="125"/>
              <w:jc w:val="left"/>
              <w:rPr>
                <w:rFonts w:ascii="宋体" w:hAnsi="宋体" w:cs="宋体" w:eastAsia="宋体" w:hint="default"/>
                <w:sz w:val="15"/>
                <w:szCs w:val="15"/>
              </w:rPr>
            </w:pPr>
            <w:r>
              <w:rPr>
                <w:rFonts w:ascii="宋体" w:hAnsi="宋体" w:cs="宋体" w:eastAsia="宋体" w:hint="default"/>
                <w:spacing w:val="-12"/>
                <w:sz w:val="15"/>
                <w:szCs w:val="15"/>
              </w:rPr>
              <w:t>合收益 总额</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4,130,662.06</w:t>
            </w: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81" w:right="0"/>
              <w:jc w:val="center"/>
              <w:rPr>
                <w:rFonts w:ascii="Times New Roman" w:hAnsi="Times New Roman" w:cs="Times New Roman" w:eastAsia="Times New Roman" w:hint="default"/>
                <w:sz w:val="15"/>
                <w:szCs w:val="15"/>
              </w:rPr>
            </w:pPr>
            <w:r>
              <w:rPr>
                <w:rFonts w:ascii="Times New Roman"/>
                <w:spacing w:val="-6"/>
                <w:sz w:val="15"/>
              </w:rPr>
              <w:t>78,044,301.23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-1,840,141.25</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80,334,822.04</w:t>
            </w:r>
          </w:p>
        </w:tc>
      </w:tr>
      <w:tr>
        <w:trPr>
          <w:trHeight w:val="789"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52" w:right="0"/>
              <w:jc w:val="both"/>
              <w:rPr>
                <w:rFonts w:ascii="宋体" w:hAnsi="宋体" w:cs="宋体" w:eastAsia="宋体" w:hint="default"/>
                <w:sz w:val="15"/>
                <w:szCs w:val="15"/>
              </w:rPr>
            </w:pPr>
            <w:r>
              <w:rPr>
                <w:rFonts w:ascii="宋体" w:hAnsi="宋体" w:cs="宋体" w:eastAsia="宋体" w:hint="default"/>
                <w:spacing w:val="-12"/>
                <w:sz w:val="15"/>
                <w:szCs w:val="15"/>
              </w:rPr>
              <w:t>（二</w:t>
            </w:r>
            <w:r>
              <w:rPr>
                <w:rFonts w:ascii="宋体" w:hAnsi="宋体" w:cs="宋体" w:eastAsia="宋体" w:hint="default"/>
                <w:spacing w:val="-75"/>
                <w:sz w:val="15"/>
                <w:szCs w:val="15"/>
              </w:rPr>
              <w:t>）</w:t>
            </w:r>
            <w:r>
              <w:rPr>
                <w:rFonts w:ascii="宋体" w:hAnsi="宋体" w:cs="宋体" w:eastAsia="宋体" w:hint="default"/>
                <w:sz w:val="15"/>
                <w:szCs w:val="15"/>
              </w:rPr>
              <w:t>所</w:t>
            </w:r>
          </w:p>
          <w:p>
            <w:pPr>
              <w:pStyle w:val="TableParagraph"/>
              <w:spacing w:line="240" w:lineRule="auto"/>
              <w:ind w:left="52" w:right="125"/>
              <w:jc w:val="both"/>
              <w:rPr>
                <w:rFonts w:ascii="宋体" w:hAnsi="宋体" w:cs="宋体" w:eastAsia="宋体" w:hint="default"/>
                <w:sz w:val="15"/>
                <w:szCs w:val="15"/>
              </w:rPr>
            </w:pPr>
            <w:r>
              <w:rPr>
                <w:rFonts w:ascii="宋体" w:hAnsi="宋体" w:cs="宋体" w:eastAsia="宋体" w:hint="default"/>
                <w:spacing w:val="-12"/>
                <w:sz w:val="15"/>
                <w:szCs w:val="15"/>
              </w:rPr>
              <w:t>有者投 入和减 少资本</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818,978.00</w:t>
            </w: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84" w:right="0"/>
              <w:jc w:val="center"/>
              <w:rPr>
                <w:rFonts w:ascii="Times New Roman" w:hAnsi="Times New Roman" w:cs="Times New Roman" w:eastAsia="Times New Roman" w:hint="default"/>
                <w:sz w:val="15"/>
                <w:szCs w:val="15"/>
              </w:rPr>
            </w:pPr>
            <w:r>
              <w:rPr>
                <w:rFonts w:ascii="Times New Roman"/>
                <w:spacing w:val="-7"/>
                <w:sz w:val="15"/>
              </w:rPr>
              <w:t>11,968,465.55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-81,788,274.22</w:t>
            </w: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47,529,447.36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142,105,165.13</w:t>
            </w:r>
          </w:p>
        </w:tc>
      </w:tr>
      <w:tr>
        <w:trPr>
          <w:trHeight w:val="78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52" w:right="0"/>
              <w:jc w:val="both"/>
              <w:rPr>
                <w:rFonts w:ascii="宋体" w:hAnsi="宋体" w:cs="宋体" w:eastAsia="宋体" w:hint="default"/>
                <w:sz w:val="15"/>
                <w:szCs w:val="15"/>
              </w:rPr>
            </w:pPr>
            <w:r>
              <w:rPr>
                <w:rFonts w:ascii="Times New Roman" w:hAnsi="Times New Roman" w:cs="Times New Roman" w:eastAsia="Times New Roman" w:hint="default"/>
                <w:spacing w:val="-11"/>
                <w:sz w:val="15"/>
                <w:szCs w:val="15"/>
              </w:rPr>
              <w:t>1</w:t>
            </w:r>
            <w:r>
              <w:rPr>
                <w:rFonts w:ascii="宋体" w:hAnsi="宋体" w:cs="宋体" w:eastAsia="宋体" w:hint="default"/>
                <w:spacing w:val="-11"/>
                <w:sz w:val="15"/>
                <w:szCs w:val="15"/>
              </w:rPr>
              <w:t>．所有</w:t>
            </w:r>
            <w:r>
              <w:rPr>
                <w:rFonts w:ascii="宋体" w:hAnsi="宋体" w:cs="宋体" w:eastAsia="宋体" w:hint="default"/>
                <w:sz w:val="15"/>
                <w:szCs w:val="15"/>
              </w:rPr>
            </w:r>
          </w:p>
          <w:p>
            <w:pPr>
              <w:pStyle w:val="TableParagraph"/>
              <w:spacing w:line="194" w:lineRule="exact" w:before="13"/>
              <w:ind w:left="52" w:right="125"/>
              <w:jc w:val="both"/>
              <w:rPr>
                <w:rFonts w:ascii="宋体" w:hAnsi="宋体" w:cs="宋体" w:eastAsia="宋体" w:hint="default"/>
                <w:sz w:val="15"/>
                <w:szCs w:val="15"/>
              </w:rPr>
            </w:pPr>
            <w:r>
              <w:rPr>
                <w:rFonts w:ascii="宋体" w:hAnsi="宋体" w:cs="宋体" w:eastAsia="宋体" w:hint="default"/>
                <w:spacing w:val="-12"/>
                <w:sz w:val="15"/>
                <w:szCs w:val="15"/>
              </w:rPr>
              <w:t>者投入 的普通 </w:t>
            </w:r>
            <w:r>
              <w:rPr>
                <w:rFonts w:ascii="宋体" w:hAnsi="宋体" w:cs="宋体" w:eastAsia="宋体" w:hint="default"/>
                <w:sz w:val="15"/>
                <w:szCs w:val="15"/>
              </w:rPr>
              <w:t>股</w:t>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45,054,386.76</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45,054,386.76</w:t>
            </w:r>
          </w:p>
        </w:tc>
      </w:tr>
      <w:tr>
        <w:trPr>
          <w:trHeight w:val="203" w:hRule="exact"/>
        </w:trPr>
        <w:tc>
          <w:tcPr>
            <w:tcW w:w="604" w:type="dxa"/>
            <w:tcBorders>
              <w:top w:val="single" w:sz="4" w:space="0" w:color="000000"/>
              <w:left w:val="single" w:sz="4" w:space="0" w:color="000000"/>
              <w:bottom w:val="nil" w:sz="6" w:space="0" w:color="auto"/>
              <w:right w:val="single" w:sz="4" w:space="0" w:color="000000"/>
            </w:tcBorders>
          </w:tcPr>
          <w:p>
            <w:pPr>
              <w:pStyle w:val="TableParagraph"/>
              <w:spacing w:line="184" w:lineRule="exact"/>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2</w:t>
            </w:r>
            <w:r>
              <w:rPr>
                <w:rFonts w:ascii="宋体" w:hAnsi="宋体" w:cs="宋体" w:eastAsia="宋体" w:hint="default"/>
                <w:spacing w:val="-11"/>
                <w:sz w:val="15"/>
                <w:szCs w:val="15"/>
              </w:rPr>
              <w:t>．其他</w:t>
            </w:r>
            <w:r>
              <w:rPr>
                <w:rFonts w:ascii="宋体" w:hAnsi="宋体" w:cs="宋体" w:eastAsia="宋体" w:hint="default"/>
                <w:sz w:val="15"/>
                <w:szCs w:val="15"/>
              </w:rPr>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579" w:hRule="exact"/>
        </w:trPr>
        <w:tc>
          <w:tcPr>
            <w:tcW w:w="604" w:type="dxa"/>
            <w:tcBorders>
              <w:top w:val="nil" w:sz="6" w:space="0" w:color="auto"/>
              <w:left w:val="single" w:sz="4" w:space="0" w:color="000000"/>
              <w:bottom w:val="nil" w:sz="6" w:space="0" w:color="auto"/>
              <w:right w:val="single" w:sz="4" w:space="0" w:color="000000"/>
            </w:tcBorders>
          </w:tcPr>
          <w:p>
            <w:pPr>
              <w:pStyle w:val="TableParagraph"/>
              <w:tabs>
                <w:tab w:pos="593" w:val="left" w:leader="none"/>
              </w:tabs>
              <w:spacing w:line="167"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权益工</w:t>
              <w:tab/>
            </w:r>
            <w:r>
              <w:rPr>
                <w:rFonts w:ascii="宋体" w:hAnsi="宋体" w:cs="宋体" w:eastAsia="宋体" w:hint="default"/>
                <w:spacing w:val="-8"/>
                <w:sz w:val="15"/>
                <w:szCs w:val="15"/>
              </w:rPr>
            </w:r>
          </w:p>
          <w:p>
            <w:pPr>
              <w:pStyle w:val="TableParagraph"/>
              <w:tabs>
                <w:tab w:pos="593" w:val="left" w:leader="none"/>
              </w:tabs>
              <w:spacing w:line="194"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具持有</w:t>
              <w:tab/>
            </w:r>
            <w:r>
              <w:rPr>
                <w:rFonts w:ascii="宋体" w:hAnsi="宋体" w:cs="宋体" w:eastAsia="宋体" w:hint="default"/>
                <w:spacing w:val="-8"/>
                <w:sz w:val="15"/>
                <w:szCs w:val="15"/>
              </w:rPr>
            </w:r>
          </w:p>
          <w:p>
            <w:pPr>
              <w:pStyle w:val="TableParagraph"/>
              <w:tabs>
                <w:tab w:pos="593" w:val="left" w:leader="none"/>
              </w:tabs>
              <w:spacing w:line="195"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者投入</w:t>
              <w:tab/>
            </w:r>
            <w:r>
              <w:rPr>
                <w:rFonts w:ascii="宋体" w:hAnsi="宋体" w:cs="宋体" w:eastAsia="宋体" w:hint="default"/>
                <w:spacing w:val="-8"/>
                <w:sz w:val="15"/>
                <w:szCs w:val="15"/>
              </w:rPr>
            </w:r>
          </w:p>
        </w:tc>
        <w:tc>
          <w:tcPr>
            <w:tcW w:w="969"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403"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0" w:hRule="exact"/>
        </w:trPr>
        <w:tc>
          <w:tcPr>
            <w:tcW w:w="60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资本</w:t>
            </w:r>
            <w:r>
              <w:rPr>
                <w:rFonts w:ascii="宋体" w:hAnsi="宋体" w:cs="宋体" w:eastAsia="宋体" w:hint="default"/>
                <w:sz w:val="15"/>
                <w:szCs w:val="15"/>
              </w:rPr>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983"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7" w:lineRule="exact"/>
              <w:ind w:left="52" w:right="0"/>
              <w:jc w:val="both"/>
              <w:rPr>
                <w:rFonts w:ascii="宋体" w:hAnsi="宋体" w:cs="宋体" w:eastAsia="宋体" w:hint="default"/>
                <w:sz w:val="15"/>
                <w:szCs w:val="15"/>
              </w:rPr>
            </w:pPr>
            <w:r>
              <w:rPr>
                <w:rFonts w:ascii="Times New Roman" w:hAnsi="Times New Roman" w:cs="Times New Roman" w:eastAsia="Times New Roman" w:hint="default"/>
                <w:spacing w:val="-11"/>
                <w:sz w:val="15"/>
                <w:szCs w:val="15"/>
              </w:rPr>
              <w:t>3</w:t>
            </w:r>
            <w:r>
              <w:rPr>
                <w:rFonts w:ascii="宋体" w:hAnsi="宋体" w:cs="宋体" w:eastAsia="宋体" w:hint="default"/>
                <w:spacing w:val="-11"/>
                <w:sz w:val="15"/>
                <w:szCs w:val="15"/>
              </w:rPr>
              <w:t>．股份</w:t>
            </w:r>
            <w:r>
              <w:rPr>
                <w:rFonts w:ascii="宋体" w:hAnsi="宋体" w:cs="宋体" w:eastAsia="宋体" w:hint="default"/>
                <w:sz w:val="15"/>
                <w:szCs w:val="15"/>
              </w:rPr>
            </w:r>
          </w:p>
          <w:p>
            <w:pPr>
              <w:pStyle w:val="TableParagraph"/>
              <w:spacing w:line="194" w:lineRule="exact" w:before="13"/>
              <w:ind w:left="52" w:right="125"/>
              <w:jc w:val="both"/>
              <w:rPr>
                <w:rFonts w:ascii="宋体" w:hAnsi="宋体" w:cs="宋体" w:eastAsia="宋体" w:hint="default"/>
                <w:sz w:val="15"/>
                <w:szCs w:val="15"/>
              </w:rPr>
            </w:pPr>
            <w:r>
              <w:rPr>
                <w:rFonts w:ascii="宋体" w:hAnsi="宋体" w:cs="宋体" w:eastAsia="宋体" w:hint="default"/>
                <w:spacing w:val="-12"/>
                <w:sz w:val="15"/>
                <w:szCs w:val="15"/>
              </w:rPr>
              <w:t>支付计 入所有 者权益 的金额</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2,685,000.00</w:t>
            </w: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8" w:right="0"/>
              <w:jc w:val="center"/>
              <w:rPr>
                <w:rFonts w:ascii="Times New Roman" w:hAnsi="Times New Roman" w:cs="Times New Roman" w:eastAsia="Times New Roman" w:hint="default"/>
                <w:sz w:val="15"/>
                <w:szCs w:val="15"/>
              </w:rPr>
            </w:pPr>
            <w:r>
              <w:rPr>
                <w:rFonts w:ascii="Times New Roman"/>
                <w:spacing w:val="-6"/>
                <w:sz w:val="15"/>
              </w:rPr>
              <w:t>21,026,245.43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-81,788,274.22</w:t>
            </w: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61,207.37</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105,560,727.02</w:t>
            </w:r>
          </w:p>
        </w:tc>
      </w:tr>
      <w:tr>
        <w:trPr>
          <w:trHeight w:val="40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4</w:t>
            </w:r>
            <w:r>
              <w:rPr>
                <w:rFonts w:ascii="宋体" w:hAnsi="宋体" w:cs="宋体" w:eastAsia="宋体" w:hint="default"/>
                <w:spacing w:val="-11"/>
                <w:sz w:val="15"/>
                <w:szCs w:val="15"/>
              </w:rPr>
              <w:t>．其他</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-1,866,022.00</w:t>
            </w: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center"/>
              <w:rPr>
                <w:rFonts w:ascii="Times New Roman" w:hAnsi="Times New Roman" w:cs="Times New Roman" w:eastAsia="Times New Roman" w:hint="default"/>
                <w:sz w:val="15"/>
                <w:szCs w:val="15"/>
              </w:rPr>
            </w:pPr>
            <w:r>
              <w:rPr>
                <w:rFonts w:ascii="Times New Roman"/>
                <w:spacing w:val="-6"/>
                <w:sz w:val="15"/>
              </w:rPr>
              <w:t>-9,057,779.88</w:t>
            </w: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2,413,853.23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-8,509,948.65</w:t>
            </w:r>
          </w:p>
        </w:tc>
      </w:tr>
      <w:tr>
        <w:trPr>
          <w:trHeight w:val="40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（三</w:t>
            </w:r>
            <w:r>
              <w:rPr>
                <w:rFonts w:ascii="宋体" w:hAnsi="宋体" w:cs="宋体" w:eastAsia="宋体" w:hint="default"/>
                <w:spacing w:val="-75"/>
                <w:sz w:val="15"/>
                <w:szCs w:val="15"/>
              </w:rPr>
              <w:t>）</w:t>
            </w:r>
            <w:r>
              <w:rPr>
                <w:rFonts w:ascii="宋体" w:hAnsi="宋体" w:cs="宋体" w:eastAsia="宋体" w:hint="default"/>
                <w:sz w:val="15"/>
                <w:szCs w:val="15"/>
              </w:rPr>
              <w:t>利</w:t>
            </w:r>
          </w:p>
          <w:p>
            <w:pPr>
              <w:pStyle w:val="TableParagraph"/>
              <w:spacing w:line="195"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润分配</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-841,398.10</w:t>
            </w: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5,902,323.41</w:t>
            </w: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7" w:right="0"/>
              <w:jc w:val="center"/>
              <w:rPr>
                <w:rFonts w:ascii="Times New Roman" w:hAnsi="Times New Roman" w:cs="Times New Roman" w:eastAsia="Times New Roman" w:hint="default"/>
                <w:sz w:val="15"/>
                <w:szCs w:val="15"/>
              </w:rPr>
            </w:pPr>
            <w:r>
              <w:rPr>
                <w:rFonts w:ascii="Times New Roman"/>
                <w:spacing w:val="-7"/>
                <w:sz w:val="15"/>
              </w:rPr>
              <w:t>-33,778,497.73</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-27,034,776.22</w:t>
            </w:r>
          </w:p>
        </w:tc>
      </w:tr>
      <w:tr>
        <w:trPr>
          <w:trHeight w:val="594"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7" w:lineRule="exact"/>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1</w:t>
            </w:r>
            <w:r>
              <w:rPr>
                <w:rFonts w:ascii="宋体" w:hAnsi="宋体" w:cs="宋体" w:eastAsia="宋体" w:hint="default"/>
                <w:spacing w:val="-11"/>
                <w:sz w:val="15"/>
                <w:szCs w:val="15"/>
              </w:rPr>
              <w:t>．提取</w:t>
            </w:r>
            <w:r>
              <w:rPr>
                <w:rFonts w:ascii="宋体" w:hAnsi="宋体" w:cs="宋体" w:eastAsia="宋体" w:hint="default"/>
                <w:sz w:val="15"/>
                <w:szCs w:val="15"/>
              </w:rPr>
            </w:r>
          </w:p>
          <w:p>
            <w:pPr>
              <w:pStyle w:val="TableParagraph"/>
              <w:spacing w:line="194" w:lineRule="exact" w:before="13"/>
              <w:ind w:left="52" w:right="125"/>
              <w:jc w:val="left"/>
              <w:rPr>
                <w:rFonts w:ascii="宋体" w:hAnsi="宋体" w:cs="宋体" w:eastAsia="宋体" w:hint="default"/>
                <w:sz w:val="15"/>
                <w:szCs w:val="15"/>
              </w:rPr>
            </w:pPr>
            <w:r>
              <w:rPr>
                <w:rFonts w:ascii="宋体" w:hAnsi="宋体" w:cs="宋体" w:eastAsia="宋体" w:hint="default"/>
                <w:spacing w:val="-12"/>
                <w:sz w:val="15"/>
                <w:szCs w:val="15"/>
              </w:rPr>
              <w:t>盈余公 </w:t>
            </w:r>
            <w:r>
              <w:rPr>
                <w:rFonts w:ascii="宋体" w:hAnsi="宋体" w:cs="宋体" w:eastAsia="宋体" w:hint="default"/>
                <w:sz w:val="15"/>
                <w:szCs w:val="15"/>
              </w:rPr>
              <w:t>积</w:t>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5,902,323.41</w:t>
            </w: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6" w:right="0"/>
              <w:jc w:val="center"/>
              <w:rPr>
                <w:rFonts w:ascii="Times New Roman" w:hAnsi="Times New Roman" w:cs="Times New Roman" w:eastAsia="Times New Roman" w:hint="default"/>
                <w:sz w:val="15"/>
                <w:szCs w:val="15"/>
              </w:rPr>
            </w:pPr>
            <w:r>
              <w:rPr>
                <w:rFonts w:ascii="Times New Roman"/>
                <w:spacing w:val="-6"/>
                <w:sz w:val="15"/>
              </w:rPr>
              <w:t>-5,902,323.41</w:t>
            </w: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02" w:hRule="exact"/>
        </w:trPr>
        <w:tc>
          <w:tcPr>
            <w:tcW w:w="604"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2</w:t>
            </w:r>
            <w:r>
              <w:rPr>
                <w:rFonts w:ascii="宋体" w:hAnsi="宋体" w:cs="宋体" w:eastAsia="宋体" w:hint="default"/>
                <w:spacing w:val="-11"/>
                <w:sz w:val="15"/>
                <w:szCs w:val="15"/>
              </w:rPr>
              <w:t>．提取</w:t>
            </w:r>
            <w:r>
              <w:rPr>
                <w:rFonts w:ascii="宋体" w:hAnsi="宋体" w:cs="宋体" w:eastAsia="宋体" w:hint="default"/>
                <w:sz w:val="15"/>
                <w:szCs w:val="15"/>
              </w:rPr>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191" w:hRule="exact"/>
        </w:trPr>
        <w:tc>
          <w:tcPr>
            <w:tcW w:w="604" w:type="dxa"/>
            <w:tcBorders>
              <w:top w:val="nil" w:sz="6" w:space="0" w:color="auto"/>
              <w:left w:val="single" w:sz="4" w:space="0" w:color="000000"/>
              <w:bottom w:val="nil" w:sz="6" w:space="0" w:color="auto"/>
              <w:right w:val="single" w:sz="4" w:space="0" w:color="000000"/>
            </w:tcBorders>
          </w:tcPr>
          <w:p>
            <w:pPr>
              <w:pStyle w:val="TableParagraph"/>
              <w:tabs>
                <w:tab w:pos="593" w:val="left" w:leader="none"/>
              </w:tabs>
              <w:spacing w:line="168"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一般风</w:t>
              <w:tab/>
            </w:r>
            <w:r>
              <w:rPr>
                <w:rFonts w:ascii="宋体" w:hAnsi="宋体" w:cs="宋体" w:eastAsia="宋体" w:hint="default"/>
                <w:spacing w:val="-8"/>
                <w:sz w:val="15"/>
                <w:szCs w:val="15"/>
              </w:rPr>
            </w:r>
          </w:p>
        </w:tc>
        <w:tc>
          <w:tcPr>
            <w:tcW w:w="969"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403"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1" w:hRule="exact"/>
        </w:trPr>
        <w:tc>
          <w:tcPr>
            <w:tcW w:w="604" w:type="dxa"/>
            <w:tcBorders>
              <w:top w:val="nil" w:sz="6" w:space="0" w:color="auto"/>
              <w:left w:val="single" w:sz="4" w:space="0" w:color="000000"/>
              <w:bottom w:val="single" w:sz="4" w:space="0" w:color="000000"/>
              <w:right w:val="single" w:sz="4" w:space="0" w:color="000000"/>
            </w:tcBorders>
          </w:tcPr>
          <w:p>
            <w:pPr>
              <w:pStyle w:val="TableParagraph"/>
              <w:spacing w:line="173"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险准备</w:t>
            </w:r>
            <w:r>
              <w:rPr>
                <w:rFonts w:ascii="宋体" w:hAnsi="宋体" w:cs="宋体" w:eastAsia="宋体" w:hint="default"/>
                <w:sz w:val="15"/>
                <w:szCs w:val="15"/>
              </w:rPr>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202" w:hRule="exact"/>
        </w:trPr>
        <w:tc>
          <w:tcPr>
            <w:tcW w:w="604"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3</w:t>
            </w:r>
            <w:r>
              <w:rPr>
                <w:rFonts w:ascii="宋体" w:hAnsi="宋体" w:cs="宋体" w:eastAsia="宋体" w:hint="default"/>
                <w:spacing w:val="-11"/>
                <w:sz w:val="15"/>
                <w:szCs w:val="15"/>
              </w:rPr>
              <w:t>．对所</w:t>
            </w:r>
            <w:r>
              <w:rPr>
                <w:rFonts w:ascii="宋体" w:hAnsi="宋体" w:cs="宋体" w:eastAsia="宋体" w:hint="default"/>
                <w:sz w:val="15"/>
                <w:szCs w:val="15"/>
              </w:rPr>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248" w:right="0"/>
              <w:jc w:val="left"/>
              <w:rPr>
                <w:rFonts w:ascii="Times New Roman" w:hAnsi="Times New Roman" w:cs="Times New Roman" w:eastAsia="Times New Roman" w:hint="default"/>
                <w:sz w:val="15"/>
                <w:szCs w:val="15"/>
              </w:rPr>
            </w:pPr>
            <w:r>
              <w:rPr>
                <w:rFonts w:ascii="Times New Roman"/>
                <w:spacing w:val="-6"/>
                <w:sz w:val="15"/>
              </w:rPr>
              <w:t>-841,398.10</w:t>
            </w: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84" w:right="0"/>
              <w:jc w:val="left"/>
              <w:rPr>
                <w:rFonts w:ascii="Times New Roman" w:hAnsi="Times New Roman" w:cs="Times New Roman" w:eastAsia="Times New Roman" w:hint="default"/>
                <w:sz w:val="15"/>
                <w:szCs w:val="15"/>
              </w:rPr>
            </w:pPr>
            <w:r>
              <w:rPr>
                <w:rFonts w:ascii="Times New Roman"/>
                <w:spacing w:val="-7"/>
                <w:sz w:val="15"/>
              </w:rPr>
              <w:t>-27,876,174.32</w:t>
            </w: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177" w:right="0"/>
              <w:jc w:val="left"/>
              <w:rPr>
                <w:rFonts w:ascii="Times New Roman" w:hAnsi="Times New Roman" w:cs="Times New Roman" w:eastAsia="Times New Roman" w:hint="default"/>
                <w:sz w:val="15"/>
                <w:szCs w:val="15"/>
              </w:rPr>
            </w:pPr>
            <w:r>
              <w:rPr>
                <w:rFonts w:ascii="Times New Roman"/>
                <w:spacing w:val="-7"/>
                <w:sz w:val="15"/>
              </w:rPr>
              <w:t>-27,034,776.22</w:t>
            </w:r>
          </w:p>
        </w:tc>
      </w:tr>
      <w:tr>
        <w:trPr>
          <w:trHeight w:val="385" w:hRule="exact"/>
        </w:trPr>
        <w:tc>
          <w:tcPr>
            <w:tcW w:w="604" w:type="dxa"/>
            <w:tcBorders>
              <w:top w:val="nil" w:sz="6" w:space="0" w:color="auto"/>
              <w:left w:val="single" w:sz="4" w:space="0" w:color="000000"/>
              <w:bottom w:val="nil" w:sz="6" w:space="0" w:color="auto"/>
              <w:right w:val="single" w:sz="4" w:space="0" w:color="000000"/>
            </w:tcBorders>
          </w:tcPr>
          <w:p>
            <w:pPr>
              <w:pStyle w:val="TableParagraph"/>
              <w:spacing w:line="167"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12"/>
                <w:sz w:val="15"/>
                <w:szCs w:val="15"/>
                <w:shd w:fill="D2D2D2" w:color="auto" w:val="clear"/>
              </w:rPr>
              <w:t>有</w:t>
            </w:r>
            <w:r>
              <w:rPr>
                <w:rFonts w:ascii="宋体" w:hAnsi="宋体" w:cs="宋体" w:eastAsia="宋体" w:hint="default"/>
                <w:spacing w:val="-75"/>
                <w:sz w:val="15"/>
                <w:szCs w:val="15"/>
                <w:shd w:fill="D2D2D2" w:color="auto" w:val="clear"/>
              </w:rPr>
              <w:t>者</w:t>
            </w:r>
            <w:r>
              <w:rPr>
                <w:rFonts w:ascii="宋体" w:hAnsi="宋体" w:cs="宋体" w:eastAsia="宋体" w:hint="default"/>
                <w:spacing w:val="-12"/>
                <w:sz w:val="15"/>
                <w:szCs w:val="15"/>
                <w:shd w:fill="D2D2D2" w:color="auto" w:val="clear"/>
              </w:rPr>
              <w:t>（</w:t>
            </w:r>
            <w:r>
              <w:rPr>
                <w:rFonts w:ascii="宋体" w:hAnsi="宋体" w:cs="宋体" w:eastAsia="宋体" w:hint="default"/>
                <w:sz w:val="15"/>
                <w:szCs w:val="15"/>
                <w:shd w:fill="D2D2D2" w:color="auto" w:val="clear"/>
              </w:rPr>
              <w:t>或</w:t>
            </w:r>
            <w:r>
              <w:rPr>
                <w:rFonts w:ascii="宋体" w:hAnsi="宋体" w:cs="宋体" w:eastAsia="宋体" w:hint="default"/>
                <w:sz w:val="15"/>
                <w:szCs w:val="15"/>
              </w:rPr>
            </w:r>
          </w:p>
          <w:p>
            <w:pPr>
              <w:pStyle w:val="TableParagraph"/>
              <w:spacing w:line="195"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12"/>
                <w:sz w:val="15"/>
                <w:szCs w:val="15"/>
                <w:shd w:fill="D2D2D2" w:color="auto" w:val="clear"/>
              </w:rPr>
              <w:t>股东</w:t>
            </w:r>
            <w:r>
              <w:rPr>
                <w:rFonts w:ascii="宋体" w:hAnsi="宋体" w:cs="宋体" w:eastAsia="宋体" w:hint="default"/>
                <w:spacing w:val="-75"/>
                <w:sz w:val="15"/>
                <w:szCs w:val="15"/>
                <w:shd w:fill="D2D2D2" w:color="auto" w:val="clear"/>
              </w:rPr>
              <w:t>）</w:t>
            </w:r>
            <w:r>
              <w:rPr>
                <w:rFonts w:ascii="宋体" w:hAnsi="宋体" w:cs="宋体" w:eastAsia="宋体" w:hint="default"/>
                <w:sz w:val="15"/>
                <w:szCs w:val="15"/>
                <w:shd w:fill="D2D2D2" w:color="auto" w:val="clear"/>
              </w:rPr>
              <w:t>的</w:t>
            </w:r>
            <w:r>
              <w:rPr>
                <w:rFonts w:ascii="宋体" w:hAnsi="宋体" w:cs="宋体" w:eastAsia="宋体" w:hint="default"/>
                <w:sz w:val="15"/>
                <w:szCs w:val="15"/>
              </w:rPr>
            </w:r>
          </w:p>
        </w:tc>
        <w:tc>
          <w:tcPr>
            <w:tcW w:w="969"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403"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0" w:hRule="exact"/>
        </w:trPr>
        <w:tc>
          <w:tcPr>
            <w:tcW w:w="60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分配</w:t>
            </w:r>
            <w:r>
              <w:rPr>
                <w:rFonts w:ascii="宋体" w:hAnsi="宋体" w:cs="宋体" w:eastAsia="宋体" w:hint="default"/>
                <w:sz w:val="15"/>
                <w:szCs w:val="15"/>
              </w:rPr>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408"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4</w:t>
            </w:r>
            <w:r>
              <w:rPr>
                <w:rFonts w:ascii="宋体" w:hAnsi="宋体" w:cs="宋体" w:eastAsia="宋体" w:hint="default"/>
                <w:spacing w:val="-11"/>
                <w:sz w:val="15"/>
                <w:szCs w:val="15"/>
              </w:rPr>
              <w:t>．其他</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198" w:hRule="exact"/>
        </w:trPr>
        <w:tc>
          <w:tcPr>
            <w:tcW w:w="604" w:type="dxa"/>
            <w:tcBorders>
              <w:top w:val="single" w:sz="4" w:space="0" w:color="000000"/>
              <w:left w:val="single" w:sz="4" w:space="0" w:color="000000"/>
              <w:bottom w:val="nil" w:sz="6" w:space="0" w:color="auto"/>
              <w:right w:val="single" w:sz="4" w:space="0" w:color="000000"/>
            </w:tcBorders>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（四</w:t>
            </w:r>
            <w:r>
              <w:rPr>
                <w:rFonts w:ascii="宋体" w:hAnsi="宋体" w:cs="宋体" w:eastAsia="宋体" w:hint="default"/>
                <w:spacing w:val="-75"/>
                <w:sz w:val="15"/>
                <w:szCs w:val="15"/>
              </w:rPr>
              <w:t>）</w:t>
            </w:r>
            <w:r>
              <w:rPr>
                <w:rFonts w:ascii="宋体" w:hAnsi="宋体" w:cs="宋体" w:eastAsia="宋体" w:hint="default"/>
                <w:sz w:val="15"/>
                <w:szCs w:val="15"/>
              </w:rPr>
              <w:t>所</w:t>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389" w:hRule="exact"/>
        </w:trPr>
        <w:tc>
          <w:tcPr>
            <w:tcW w:w="604" w:type="dxa"/>
            <w:tcBorders>
              <w:top w:val="nil" w:sz="6" w:space="0" w:color="auto"/>
              <w:left w:val="single" w:sz="4" w:space="0" w:color="000000"/>
              <w:bottom w:val="nil" w:sz="6" w:space="0" w:color="auto"/>
              <w:right w:val="single" w:sz="4" w:space="0" w:color="000000"/>
            </w:tcBorders>
          </w:tcPr>
          <w:p>
            <w:pPr>
              <w:pStyle w:val="TableParagraph"/>
              <w:tabs>
                <w:tab w:pos="593" w:val="left" w:leader="none"/>
              </w:tabs>
              <w:spacing w:line="171"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有者权</w:t>
              <w:tab/>
            </w:r>
            <w:r>
              <w:rPr>
                <w:rFonts w:ascii="宋体" w:hAnsi="宋体" w:cs="宋体" w:eastAsia="宋体" w:hint="default"/>
                <w:spacing w:val="-8"/>
                <w:sz w:val="15"/>
                <w:szCs w:val="15"/>
              </w:rPr>
            </w:r>
          </w:p>
          <w:p>
            <w:pPr>
              <w:pStyle w:val="TableParagraph"/>
              <w:tabs>
                <w:tab w:pos="593" w:val="left" w:leader="none"/>
              </w:tabs>
              <w:spacing w:line="195"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益内部</w:t>
              <w:tab/>
            </w:r>
            <w:r>
              <w:rPr>
                <w:rFonts w:ascii="宋体" w:hAnsi="宋体" w:cs="宋体" w:eastAsia="宋体" w:hint="default"/>
                <w:spacing w:val="-8"/>
                <w:sz w:val="15"/>
                <w:szCs w:val="15"/>
              </w:rPr>
            </w:r>
          </w:p>
        </w:tc>
        <w:tc>
          <w:tcPr>
            <w:tcW w:w="969"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403"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2" w:hRule="exact"/>
        </w:trPr>
        <w:tc>
          <w:tcPr>
            <w:tcW w:w="60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结转</w:t>
            </w:r>
            <w:r>
              <w:rPr>
                <w:rFonts w:ascii="宋体" w:hAnsi="宋体" w:cs="宋体" w:eastAsia="宋体" w:hint="default"/>
                <w:sz w:val="15"/>
                <w:szCs w:val="15"/>
              </w:rPr>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bl>
    <w:p>
      <w:pPr>
        <w:spacing w:after="0"/>
        <w:sectPr>
          <w:pgSz w:w="11910" w:h="16840"/>
          <w:pgMar w:header="801" w:footer="1007" w:top="1100" w:bottom="1200" w:left="5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8" w:type="dxa"/>
        <w:tblLayout w:type="fixed"/>
        <w:tblCellMar>
          <w:top w:w="0" w:type="dxa"/>
          <w:left w:w="0" w:type="dxa"/>
          <w:bottom w:w="0" w:type="dxa"/>
          <w:right w:w="0" w:type="dxa"/>
        </w:tblCellMar>
        <w:tblLook w:val="01E0"/>
      </w:tblPr>
      <w:tblGrid>
        <w:gridCol w:w="604"/>
        <w:gridCol w:w="969"/>
        <w:gridCol w:w="394"/>
        <w:gridCol w:w="398"/>
        <w:gridCol w:w="733"/>
        <w:gridCol w:w="970"/>
        <w:gridCol w:w="970"/>
        <w:gridCol w:w="832"/>
        <w:gridCol w:w="403"/>
        <w:gridCol w:w="900"/>
        <w:gridCol w:w="405"/>
        <w:gridCol w:w="974"/>
        <w:gridCol w:w="900"/>
        <w:gridCol w:w="1068"/>
      </w:tblGrid>
      <w:tr>
        <w:trPr>
          <w:trHeight w:val="407" w:hRule="exact"/>
        </w:trPr>
        <w:tc>
          <w:tcPr>
            <w:tcW w:w="6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hAnsi="宋体" w:cs="宋体" w:eastAsia="宋体" w:hint="default"/>
                <w:spacing w:val="-12"/>
                <w:sz w:val="15"/>
                <w:szCs w:val="15"/>
              </w:rPr>
              <w:t>项目</w:t>
            </w:r>
            <w:r>
              <w:rPr>
                <w:rFonts w:ascii="宋体" w:hAnsi="宋体" w:cs="宋体" w:eastAsia="宋体" w:hint="default"/>
                <w:sz w:val="15"/>
                <w:szCs w:val="15"/>
              </w:rPr>
            </w:r>
          </w:p>
        </w:tc>
        <w:tc>
          <w:tcPr>
            <w:tcW w:w="991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pacing w:val="-12"/>
                <w:sz w:val="15"/>
                <w:szCs w:val="15"/>
              </w:rPr>
              <w:t>上期</w:t>
            </w:r>
            <w:r>
              <w:rPr>
                <w:rFonts w:ascii="宋体" w:hAnsi="宋体" w:cs="宋体" w:eastAsia="宋体" w:hint="default"/>
                <w:sz w:val="15"/>
                <w:szCs w:val="15"/>
              </w:rPr>
            </w:r>
          </w:p>
        </w:tc>
      </w:tr>
      <w:tr>
        <w:trPr>
          <w:trHeight w:val="401" w:hRule="exact"/>
        </w:trPr>
        <w:tc>
          <w:tcPr>
            <w:tcW w:w="604" w:type="dxa"/>
            <w:vMerge/>
            <w:tcBorders>
              <w:left w:val="single" w:sz="4" w:space="0" w:color="000000"/>
              <w:right w:val="single" w:sz="4" w:space="0" w:color="000000"/>
            </w:tcBorders>
            <w:shd w:val="clear" w:color="auto" w:fill="D2D2D2"/>
          </w:tcPr>
          <w:p>
            <w:pPr/>
          </w:p>
        </w:tc>
        <w:tc>
          <w:tcPr>
            <w:tcW w:w="794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pacing w:val="-12"/>
                <w:sz w:val="15"/>
                <w:szCs w:val="15"/>
              </w:rPr>
              <w:t>归属于母公司所有者权益</w:t>
            </w:r>
            <w:r>
              <w:rPr>
                <w:rFonts w:ascii="宋体" w:hAnsi="宋体" w:cs="宋体" w:eastAsia="宋体" w:hint="default"/>
                <w:sz w:val="15"/>
                <w:szCs w:val="15"/>
              </w:rPr>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6" w:hRule="exact"/>
        </w:trPr>
        <w:tc>
          <w:tcPr>
            <w:tcW w:w="604" w:type="dxa"/>
            <w:vMerge/>
            <w:tcBorders>
              <w:left w:val="single" w:sz="4" w:space="0" w:color="000000"/>
              <w:right w:val="single" w:sz="4" w:space="0" w:color="000000"/>
            </w:tcBorders>
            <w:shd w:val="clear" w:color="auto" w:fill="D2D2D2"/>
          </w:tcPr>
          <w:p>
            <w:pPr/>
          </w:p>
        </w:tc>
        <w:tc>
          <w:tcPr>
            <w:tcW w:w="9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5" w:type="dxa"/>
            <w:gridSpan w:val="3"/>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1"/>
              <w:ind w:left="343" w:right="0"/>
              <w:jc w:val="left"/>
              <w:rPr>
                <w:rFonts w:ascii="宋体" w:hAnsi="宋体" w:cs="宋体" w:eastAsia="宋体" w:hint="default"/>
                <w:sz w:val="15"/>
                <w:szCs w:val="15"/>
              </w:rPr>
            </w:pPr>
            <w:r>
              <w:rPr>
                <w:rFonts w:ascii="宋体" w:hAnsi="宋体" w:cs="宋体" w:eastAsia="宋体" w:hint="default"/>
                <w:spacing w:val="-12"/>
                <w:sz w:val="15"/>
                <w:szCs w:val="15"/>
              </w:rPr>
              <w:t>其他权益工具</w:t>
            </w:r>
            <w:r>
              <w:rPr>
                <w:rFonts w:ascii="宋体" w:hAnsi="宋体" w:cs="宋体" w:eastAsia="宋体" w:hint="default"/>
                <w:sz w:val="15"/>
                <w:szCs w:val="15"/>
              </w:rPr>
            </w: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9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73" w:right="132" w:hanging="138"/>
              <w:jc w:val="left"/>
              <w:rPr>
                <w:rFonts w:ascii="宋体" w:hAnsi="宋体" w:cs="宋体" w:eastAsia="宋体" w:hint="default"/>
                <w:sz w:val="15"/>
                <w:szCs w:val="15"/>
              </w:rPr>
            </w:pPr>
            <w:r>
              <w:rPr>
                <w:rFonts w:ascii="宋体" w:hAnsi="宋体" w:cs="宋体" w:eastAsia="宋体" w:hint="default"/>
                <w:spacing w:val="-12"/>
                <w:sz w:val="15"/>
                <w:szCs w:val="15"/>
              </w:rPr>
              <w:t>其他综合 收益</w:t>
            </w:r>
            <w:r>
              <w:rPr>
                <w:rFonts w:ascii="宋体" w:hAnsi="宋体" w:cs="宋体" w:eastAsia="宋体" w:hint="default"/>
                <w:sz w:val="15"/>
                <w:szCs w:val="15"/>
              </w:rPr>
            </w:r>
          </w:p>
        </w:tc>
        <w:tc>
          <w:tcPr>
            <w:tcW w:w="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8" w:right="56"/>
              <w:jc w:val="left"/>
              <w:rPr>
                <w:rFonts w:ascii="宋体" w:hAnsi="宋体" w:cs="宋体" w:eastAsia="宋体" w:hint="default"/>
                <w:sz w:val="15"/>
                <w:szCs w:val="15"/>
              </w:rPr>
            </w:pPr>
            <w:r>
              <w:rPr>
                <w:rFonts w:ascii="宋体" w:hAnsi="宋体" w:cs="宋体" w:eastAsia="宋体" w:hint="default"/>
                <w:spacing w:val="-12"/>
                <w:sz w:val="15"/>
                <w:szCs w:val="15"/>
              </w:rPr>
              <w:t>专项 储备</w:t>
            </w:r>
            <w:r>
              <w:rPr>
                <w:rFonts w:ascii="宋体" w:hAnsi="宋体" w:cs="宋体" w:eastAsia="宋体" w:hint="default"/>
                <w:sz w:val="15"/>
                <w:szCs w:val="15"/>
              </w:rPr>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left="169" w:right="0"/>
              <w:jc w:val="left"/>
              <w:rPr>
                <w:rFonts w:ascii="宋体" w:hAnsi="宋体" w:cs="宋体" w:eastAsia="宋体" w:hint="default"/>
                <w:sz w:val="15"/>
                <w:szCs w:val="15"/>
              </w:rPr>
            </w:pPr>
            <w:r>
              <w:rPr>
                <w:rFonts w:ascii="宋体" w:hAnsi="宋体" w:cs="宋体" w:eastAsia="宋体" w:hint="default"/>
                <w:spacing w:val="-12"/>
                <w:sz w:val="15"/>
                <w:szCs w:val="15"/>
              </w:rPr>
              <w:t>盈余公积</w:t>
            </w:r>
            <w:r>
              <w:rPr>
                <w:rFonts w:ascii="宋体" w:hAnsi="宋体" w:cs="宋体" w:eastAsia="宋体" w:hint="default"/>
                <w:sz w:val="15"/>
                <w:szCs w:val="15"/>
              </w:rPr>
            </w:r>
          </w:p>
        </w:tc>
        <w:tc>
          <w:tcPr>
            <w:tcW w:w="4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59" w:right="57"/>
              <w:jc w:val="both"/>
              <w:rPr>
                <w:rFonts w:ascii="宋体" w:hAnsi="宋体" w:cs="宋体" w:eastAsia="宋体" w:hint="default"/>
                <w:sz w:val="15"/>
                <w:szCs w:val="15"/>
              </w:rPr>
            </w:pPr>
            <w:r>
              <w:rPr>
                <w:rFonts w:ascii="宋体" w:hAnsi="宋体" w:cs="宋体" w:eastAsia="宋体" w:hint="default"/>
                <w:spacing w:val="-12"/>
                <w:sz w:val="15"/>
                <w:szCs w:val="15"/>
              </w:rPr>
              <w:t>一般 风险 准备</w:t>
            </w:r>
            <w:r>
              <w:rPr>
                <w:rFonts w:ascii="宋体" w:hAnsi="宋体" w:cs="宋体" w:eastAsia="宋体" w:hint="default"/>
                <w:sz w:val="15"/>
                <w:szCs w:val="15"/>
              </w:rPr>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4"/>
              <w:ind w:left="136" w:right="0"/>
              <w:jc w:val="left"/>
              <w:rPr>
                <w:rFonts w:ascii="宋体" w:hAnsi="宋体" w:cs="宋体" w:eastAsia="宋体" w:hint="default"/>
                <w:sz w:val="15"/>
                <w:szCs w:val="15"/>
              </w:rPr>
            </w:pPr>
            <w:r>
              <w:rPr>
                <w:rFonts w:ascii="宋体" w:hAnsi="宋体" w:cs="宋体" w:eastAsia="宋体" w:hint="default"/>
                <w:spacing w:val="-12"/>
                <w:sz w:val="15"/>
                <w:szCs w:val="15"/>
              </w:rPr>
              <w:t>未分配利润</w:t>
            </w:r>
            <w:r>
              <w:rPr>
                <w:rFonts w:ascii="宋体" w:hAnsi="宋体" w:cs="宋体" w:eastAsia="宋体" w:hint="default"/>
                <w:sz w:val="15"/>
                <w:szCs w:val="15"/>
              </w:rPr>
            </w: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194" w:lineRule="exact" w:before="9"/>
              <w:ind w:left="306" w:right="168" w:hanging="138"/>
              <w:jc w:val="left"/>
              <w:rPr>
                <w:rFonts w:ascii="宋体" w:hAnsi="宋体" w:cs="宋体" w:eastAsia="宋体" w:hint="default"/>
                <w:sz w:val="15"/>
                <w:szCs w:val="15"/>
              </w:rPr>
            </w:pPr>
            <w:r>
              <w:rPr>
                <w:rFonts w:ascii="宋体" w:hAnsi="宋体" w:cs="宋体" w:eastAsia="宋体" w:hint="default"/>
                <w:spacing w:val="-12"/>
                <w:sz w:val="15"/>
                <w:szCs w:val="15"/>
              </w:rPr>
              <w:t>少数股东 权益</w:t>
            </w:r>
            <w:r>
              <w:rPr>
                <w:rFonts w:ascii="宋体" w:hAnsi="宋体" w:cs="宋体" w:eastAsia="宋体" w:hint="default"/>
                <w:sz w:val="15"/>
                <w:szCs w:val="15"/>
              </w:rPr>
            </w: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194" w:lineRule="exact" w:before="9"/>
              <w:ind w:left="390" w:right="182" w:hanging="207"/>
              <w:jc w:val="left"/>
              <w:rPr>
                <w:rFonts w:ascii="宋体" w:hAnsi="宋体" w:cs="宋体" w:eastAsia="宋体" w:hint="default"/>
                <w:sz w:val="15"/>
                <w:szCs w:val="15"/>
              </w:rPr>
            </w:pPr>
            <w:r>
              <w:rPr>
                <w:rFonts w:ascii="宋体" w:hAnsi="宋体" w:cs="宋体" w:eastAsia="宋体" w:hint="default"/>
                <w:spacing w:val="-12"/>
                <w:sz w:val="15"/>
                <w:szCs w:val="15"/>
              </w:rPr>
              <w:t>所有者权益 合计</w:t>
            </w:r>
            <w:r>
              <w:rPr>
                <w:rFonts w:ascii="宋体" w:hAnsi="宋体" w:cs="宋体" w:eastAsia="宋体" w:hint="default"/>
                <w:sz w:val="15"/>
                <w:szCs w:val="15"/>
              </w:rPr>
            </w:r>
          </w:p>
        </w:tc>
      </w:tr>
      <w:tr>
        <w:trPr>
          <w:trHeight w:val="97" w:hRule="exact"/>
        </w:trPr>
        <w:tc>
          <w:tcPr>
            <w:tcW w:w="604" w:type="dxa"/>
            <w:vMerge/>
            <w:tcBorders>
              <w:left w:val="single" w:sz="4" w:space="0" w:color="000000"/>
              <w:right w:val="single" w:sz="4" w:space="0" w:color="000000"/>
            </w:tcBorders>
            <w:shd w:val="clear" w:color="auto" w:fill="D2D2D2"/>
          </w:tcPr>
          <w:p>
            <w:pPr/>
          </w:p>
        </w:tc>
        <w:tc>
          <w:tcPr>
            <w:tcW w:w="969"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股本</w:t>
            </w:r>
            <w:r>
              <w:rPr>
                <w:rFonts w:ascii="宋体" w:hAnsi="宋体" w:cs="宋体" w:eastAsia="宋体" w:hint="default"/>
                <w:sz w:val="15"/>
                <w:szCs w:val="15"/>
              </w:rPr>
            </w:r>
          </w:p>
        </w:tc>
        <w:tc>
          <w:tcPr>
            <w:tcW w:w="152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203" w:right="0"/>
              <w:jc w:val="left"/>
              <w:rPr>
                <w:rFonts w:ascii="宋体" w:hAnsi="宋体" w:cs="宋体" w:eastAsia="宋体" w:hint="default"/>
                <w:sz w:val="15"/>
                <w:szCs w:val="15"/>
              </w:rPr>
            </w:pPr>
            <w:r>
              <w:rPr>
                <w:rFonts w:ascii="宋体" w:hAnsi="宋体" w:cs="宋体" w:eastAsia="宋体" w:hint="default"/>
                <w:spacing w:val="-12"/>
                <w:sz w:val="15"/>
                <w:szCs w:val="15"/>
              </w:rPr>
              <w:t>资本公积</w:t>
            </w:r>
            <w:r>
              <w:rPr>
                <w:rFonts w:ascii="宋体" w:hAnsi="宋体" w:cs="宋体" w:eastAsia="宋体" w:hint="default"/>
                <w:sz w:val="15"/>
                <w:szCs w:val="15"/>
              </w:rPr>
            </w:r>
          </w:p>
        </w:tc>
        <w:tc>
          <w:tcPr>
            <w:tcW w:w="970"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134" w:right="0"/>
              <w:jc w:val="left"/>
              <w:rPr>
                <w:rFonts w:ascii="宋体" w:hAnsi="宋体" w:cs="宋体" w:eastAsia="宋体" w:hint="default"/>
                <w:sz w:val="15"/>
                <w:szCs w:val="15"/>
              </w:rPr>
            </w:pPr>
            <w:r>
              <w:rPr>
                <w:rFonts w:ascii="宋体" w:hAnsi="宋体" w:cs="宋体" w:eastAsia="宋体" w:hint="default"/>
                <w:spacing w:val="-12"/>
                <w:sz w:val="15"/>
                <w:szCs w:val="15"/>
              </w:rPr>
              <w:t>减：库存股</w:t>
            </w:r>
            <w:r>
              <w:rPr>
                <w:rFonts w:ascii="宋体" w:hAnsi="宋体" w:cs="宋体" w:eastAsia="宋体" w:hint="default"/>
                <w:sz w:val="15"/>
                <w:szCs w:val="15"/>
              </w:rPr>
            </w:r>
          </w:p>
        </w:tc>
        <w:tc>
          <w:tcPr>
            <w:tcW w:w="832" w:type="dxa"/>
            <w:vMerge/>
            <w:tcBorders>
              <w:left w:val="single" w:sz="4" w:space="0" w:color="000000"/>
              <w:right w:val="single" w:sz="4" w:space="0" w:color="000000"/>
            </w:tcBorders>
            <w:shd w:val="clear" w:color="auto" w:fill="D2D2D2"/>
          </w:tcPr>
          <w:p>
            <w:pPr/>
          </w:p>
        </w:tc>
        <w:tc>
          <w:tcPr>
            <w:tcW w:w="403"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405" w:type="dxa"/>
            <w:vMerge/>
            <w:tcBorders>
              <w:left w:val="single" w:sz="4" w:space="0" w:color="000000"/>
              <w:right w:val="single" w:sz="4" w:space="0" w:color="000000"/>
            </w:tcBorders>
            <w:shd w:val="clear" w:color="auto" w:fill="D2D2D2"/>
          </w:tcPr>
          <w:p>
            <w:pPr/>
          </w:p>
        </w:tc>
        <w:tc>
          <w:tcPr>
            <w:tcW w:w="974"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r>
      <w:tr>
        <w:trPr>
          <w:trHeight w:val="407" w:hRule="exact"/>
        </w:trPr>
        <w:tc>
          <w:tcPr>
            <w:tcW w:w="604" w:type="dxa"/>
            <w:vMerge/>
            <w:tcBorders>
              <w:left w:val="single" w:sz="4" w:space="0" w:color="000000"/>
              <w:bottom w:val="single" w:sz="4" w:space="0" w:color="000000"/>
              <w:right w:val="single" w:sz="4" w:space="0" w:color="000000"/>
            </w:tcBorders>
            <w:shd w:val="clear" w:color="auto" w:fill="D2D2D2"/>
          </w:tcPr>
          <w:p>
            <w:pPr/>
          </w:p>
        </w:tc>
        <w:tc>
          <w:tcPr>
            <w:tcW w:w="969" w:type="dxa"/>
            <w:vMerge/>
            <w:tcBorders>
              <w:left w:val="single" w:sz="4" w:space="0" w:color="000000"/>
              <w:bottom w:val="single" w:sz="4" w:space="0" w:color="000000"/>
              <w:right w:val="single" w:sz="4" w:space="0" w:color="000000"/>
            </w:tcBorders>
            <w:shd w:val="clear" w:color="auto" w:fill="D2D2D2"/>
          </w:tcPr>
          <w:p>
            <w:pPr/>
          </w:p>
        </w:tc>
        <w:tc>
          <w:tcPr>
            <w:tcW w:w="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22" w:right="0" w:hanging="70"/>
              <w:jc w:val="left"/>
              <w:rPr>
                <w:rFonts w:ascii="宋体" w:hAnsi="宋体" w:cs="宋体" w:eastAsia="宋体" w:hint="default"/>
                <w:sz w:val="15"/>
                <w:szCs w:val="15"/>
              </w:rPr>
            </w:pPr>
            <w:r>
              <w:rPr>
                <w:rFonts w:ascii="宋体" w:hAnsi="宋体" w:cs="宋体" w:eastAsia="宋体" w:hint="default"/>
                <w:spacing w:val="-12"/>
                <w:sz w:val="15"/>
                <w:szCs w:val="15"/>
              </w:rPr>
              <w:t>优先</w:t>
            </w:r>
            <w:r>
              <w:rPr>
                <w:rFonts w:ascii="宋体" w:hAnsi="宋体" w:cs="宋体" w:eastAsia="宋体" w:hint="default"/>
                <w:sz w:val="15"/>
                <w:szCs w:val="15"/>
              </w:rPr>
            </w:r>
          </w:p>
          <w:p>
            <w:pPr>
              <w:pStyle w:val="TableParagraph"/>
              <w:spacing w:line="195" w:lineRule="exact"/>
              <w:ind w:left="122" w:right="0"/>
              <w:jc w:val="left"/>
              <w:rPr>
                <w:rFonts w:ascii="宋体" w:hAnsi="宋体" w:cs="宋体" w:eastAsia="宋体" w:hint="default"/>
                <w:sz w:val="15"/>
                <w:szCs w:val="15"/>
              </w:rPr>
            </w:pPr>
            <w:r>
              <w:rPr>
                <w:rFonts w:ascii="宋体" w:hAnsi="宋体" w:cs="宋体" w:eastAsia="宋体" w:hint="default"/>
                <w:sz w:val="15"/>
                <w:szCs w:val="15"/>
              </w:rPr>
              <w:t>股</w:t>
            </w:r>
          </w:p>
        </w:tc>
        <w:tc>
          <w:tcPr>
            <w:tcW w:w="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24" w:right="0" w:hanging="69"/>
              <w:jc w:val="left"/>
              <w:rPr>
                <w:rFonts w:ascii="宋体" w:hAnsi="宋体" w:cs="宋体" w:eastAsia="宋体" w:hint="default"/>
                <w:sz w:val="15"/>
                <w:szCs w:val="15"/>
              </w:rPr>
            </w:pPr>
            <w:r>
              <w:rPr>
                <w:rFonts w:ascii="宋体" w:hAnsi="宋体" w:cs="宋体" w:eastAsia="宋体" w:hint="default"/>
                <w:spacing w:val="-12"/>
                <w:sz w:val="15"/>
                <w:szCs w:val="15"/>
              </w:rPr>
              <w:t>永续</w:t>
            </w:r>
            <w:r>
              <w:rPr>
                <w:rFonts w:ascii="宋体" w:hAnsi="宋体" w:cs="宋体" w:eastAsia="宋体" w:hint="default"/>
                <w:sz w:val="15"/>
                <w:szCs w:val="15"/>
              </w:rPr>
            </w:r>
          </w:p>
          <w:p>
            <w:pPr>
              <w:pStyle w:val="TableParagraph"/>
              <w:spacing w:line="195" w:lineRule="exact"/>
              <w:ind w:left="124" w:right="0"/>
              <w:jc w:val="left"/>
              <w:rPr>
                <w:rFonts w:ascii="宋体" w:hAnsi="宋体" w:cs="宋体" w:eastAsia="宋体" w:hint="default"/>
                <w:sz w:val="15"/>
                <w:szCs w:val="15"/>
              </w:rPr>
            </w:pPr>
            <w:r>
              <w:rPr>
                <w:rFonts w:ascii="宋体" w:hAnsi="宋体" w:cs="宋体" w:eastAsia="宋体" w:hint="default"/>
                <w:sz w:val="15"/>
                <w:szCs w:val="15"/>
              </w:rPr>
              <w:t>债</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 w:right="0"/>
              <w:jc w:val="center"/>
              <w:rPr>
                <w:rFonts w:ascii="宋体" w:hAnsi="宋体" w:cs="宋体" w:eastAsia="宋体" w:hint="default"/>
                <w:sz w:val="15"/>
                <w:szCs w:val="15"/>
              </w:rPr>
            </w:pPr>
            <w:r>
              <w:rPr>
                <w:rFonts w:ascii="宋体" w:hAnsi="宋体" w:cs="宋体" w:eastAsia="宋体" w:hint="default"/>
                <w:spacing w:val="-12"/>
                <w:sz w:val="15"/>
                <w:szCs w:val="15"/>
              </w:rPr>
              <w:t>其他</w:t>
            </w:r>
            <w:r>
              <w:rPr>
                <w:rFonts w:ascii="宋体" w:hAnsi="宋体" w:cs="宋体" w:eastAsia="宋体" w:hint="default"/>
                <w:sz w:val="15"/>
                <w:szCs w:val="15"/>
              </w:rPr>
            </w:r>
          </w:p>
        </w:tc>
        <w:tc>
          <w:tcPr>
            <w:tcW w:w="970"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832" w:type="dxa"/>
            <w:vMerge/>
            <w:tcBorders>
              <w:left w:val="single" w:sz="4" w:space="0" w:color="000000"/>
              <w:bottom w:val="single" w:sz="4" w:space="0" w:color="000000"/>
              <w:right w:val="single" w:sz="4" w:space="0" w:color="000000"/>
            </w:tcBorders>
            <w:shd w:val="clear" w:color="auto" w:fill="D2D2D2"/>
          </w:tcPr>
          <w:p>
            <w:pPr/>
          </w:p>
        </w:tc>
        <w:tc>
          <w:tcPr>
            <w:tcW w:w="403"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405"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604"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1</w:t>
            </w:r>
            <w:r>
              <w:rPr>
                <w:rFonts w:ascii="宋体" w:hAnsi="宋体" w:cs="宋体" w:eastAsia="宋体" w:hint="default"/>
                <w:spacing w:val="-11"/>
                <w:sz w:val="15"/>
                <w:szCs w:val="15"/>
              </w:rPr>
              <w:t>．资本</w:t>
            </w:r>
            <w:r>
              <w:rPr>
                <w:rFonts w:ascii="宋体" w:hAnsi="宋体" w:cs="宋体" w:eastAsia="宋体" w:hint="default"/>
                <w:sz w:val="15"/>
                <w:szCs w:val="15"/>
              </w:rPr>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579" w:hRule="exact"/>
        </w:trPr>
        <w:tc>
          <w:tcPr>
            <w:tcW w:w="604" w:type="dxa"/>
            <w:tcBorders>
              <w:top w:val="nil" w:sz="6" w:space="0" w:color="auto"/>
              <w:left w:val="single" w:sz="4" w:space="0" w:color="000000"/>
              <w:bottom w:val="nil" w:sz="6" w:space="0" w:color="auto"/>
              <w:right w:val="single" w:sz="4" w:space="0" w:color="000000"/>
            </w:tcBorders>
          </w:tcPr>
          <w:p>
            <w:pPr>
              <w:pStyle w:val="TableParagraph"/>
              <w:tabs>
                <w:tab w:pos="593" w:val="left" w:leader="none"/>
              </w:tabs>
              <w:spacing w:line="167"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公积转</w:t>
              <w:tab/>
            </w:r>
            <w:r>
              <w:rPr>
                <w:rFonts w:ascii="宋体" w:hAnsi="宋体" w:cs="宋体" w:eastAsia="宋体" w:hint="default"/>
                <w:spacing w:val="-8"/>
                <w:sz w:val="15"/>
                <w:szCs w:val="15"/>
              </w:rPr>
            </w:r>
          </w:p>
          <w:p>
            <w:pPr>
              <w:pStyle w:val="TableParagraph"/>
              <w:tabs>
                <w:tab w:pos="593" w:val="left" w:leader="none"/>
              </w:tabs>
              <w:spacing w:line="194"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增资本</w:t>
              <w:tab/>
            </w:r>
            <w:r>
              <w:rPr>
                <w:rFonts w:ascii="宋体" w:hAnsi="宋体" w:cs="宋体" w:eastAsia="宋体" w:hint="default"/>
                <w:spacing w:val="-8"/>
                <w:sz w:val="15"/>
                <w:szCs w:val="15"/>
              </w:rPr>
            </w:r>
          </w:p>
          <w:p>
            <w:pPr>
              <w:pStyle w:val="TableParagraph"/>
              <w:tabs>
                <w:tab w:pos="593" w:val="left" w:leader="none"/>
              </w:tabs>
              <w:spacing w:line="195"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（或股</w:t>
              <w:tab/>
            </w:r>
            <w:r>
              <w:rPr>
                <w:rFonts w:ascii="宋体" w:hAnsi="宋体" w:cs="宋体" w:eastAsia="宋体" w:hint="default"/>
                <w:spacing w:val="-8"/>
                <w:sz w:val="15"/>
                <w:szCs w:val="15"/>
              </w:rPr>
            </w:r>
          </w:p>
        </w:tc>
        <w:tc>
          <w:tcPr>
            <w:tcW w:w="969"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403"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2" w:hRule="exact"/>
        </w:trPr>
        <w:tc>
          <w:tcPr>
            <w:tcW w:w="60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本）</w:t>
            </w:r>
            <w:r>
              <w:rPr>
                <w:rFonts w:ascii="宋体" w:hAnsi="宋体" w:cs="宋体" w:eastAsia="宋体" w:hint="default"/>
                <w:sz w:val="15"/>
                <w:szCs w:val="15"/>
              </w:rPr>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202" w:hRule="exact"/>
        </w:trPr>
        <w:tc>
          <w:tcPr>
            <w:tcW w:w="604"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2</w:t>
            </w:r>
            <w:r>
              <w:rPr>
                <w:rFonts w:ascii="宋体" w:hAnsi="宋体" w:cs="宋体" w:eastAsia="宋体" w:hint="default"/>
                <w:spacing w:val="-11"/>
                <w:sz w:val="15"/>
                <w:szCs w:val="15"/>
              </w:rPr>
              <w:t>．盈余</w:t>
            </w:r>
            <w:r>
              <w:rPr>
                <w:rFonts w:ascii="宋体" w:hAnsi="宋体" w:cs="宋体" w:eastAsia="宋体" w:hint="default"/>
                <w:sz w:val="15"/>
                <w:szCs w:val="15"/>
              </w:rPr>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579" w:hRule="exact"/>
        </w:trPr>
        <w:tc>
          <w:tcPr>
            <w:tcW w:w="604" w:type="dxa"/>
            <w:tcBorders>
              <w:top w:val="nil" w:sz="6" w:space="0" w:color="auto"/>
              <w:left w:val="single" w:sz="4" w:space="0" w:color="000000"/>
              <w:bottom w:val="nil" w:sz="6" w:space="0" w:color="auto"/>
              <w:right w:val="single" w:sz="4" w:space="0" w:color="000000"/>
            </w:tcBorders>
          </w:tcPr>
          <w:p>
            <w:pPr>
              <w:pStyle w:val="TableParagraph"/>
              <w:tabs>
                <w:tab w:pos="593" w:val="left" w:leader="none"/>
              </w:tabs>
              <w:spacing w:line="167"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公积转</w:t>
              <w:tab/>
            </w:r>
            <w:r>
              <w:rPr>
                <w:rFonts w:ascii="宋体" w:hAnsi="宋体" w:cs="宋体" w:eastAsia="宋体" w:hint="default"/>
                <w:spacing w:val="-8"/>
                <w:sz w:val="15"/>
                <w:szCs w:val="15"/>
              </w:rPr>
            </w:r>
          </w:p>
          <w:p>
            <w:pPr>
              <w:pStyle w:val="TableParagraph"/>
              <w:tabs>
                <w:tab w:pos="593" w:val="left" w:leader="none"/>
              </w:tabs>
              <w:spacing w:line="194"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增资本</w:t>
              <w:tab/>
            </w:r>
            <w:r>
              <w:rPr>
                <w:rFonts w:ascii="宋体" w:hAnsi="宋体" w:cs="宋体" w:eastAsia="宋体" w:hint="default"/>
                <w:spacing w:val="-8"/>
                <w:sz w:val="15"/>
                <w:szCs w:val="15"/>
              </w:rPr>
            </w:r>
          </w:p>
          <w:p>
            <w:pPr>
              <w:pStyle w:val="TableParagraph"/>
              <w:tabs>
                <w:tab w:pos="593" w:val="left" w:leader="none"/>
              </w:tabs>
              <w:spacing w:line="195"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（或股</w:t>
              <w:tab/>
            </w:r>
            <w:r>
              <w:rPr>
                <w:rFonts w:ascii="宋体" w:hAnsi="宋体" w:cs="宋体" w:eastAsia="宋体" w:hint="default"/>
                <w:spacing w:val="-8"/>
                <w:sz w:val="15"/>
                <w:szCs w:val="15"/>
              </w:rPr>
            </w:r>
          </w:p>
        </w:tc>
        <w:tc>
          <w:tcPr>
            <w:tcW w:w="969"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403"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0" w:hRule="exact"/>
        </w:trPr>
        <w:tc>
          <w:tcPr>
            <w:tcW w:w="60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本）</w:t>
            </w:r>
            <w:r>
              <w:rPr>
                <w:rFonts w:ascii="宋体" w:hAnsi="宋体" w:cs="宋体" w:eastAsia="宋体" w:hint="default"/>
                <w:sz w:val="15"/>
                <w:szCs w:val="15"/>
              </w:rPr>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203" w:hRule="exact"/>
        </w:trPr>
        <w:tc>
          <w:tcPr>
            <w:tcW w:w="604" w:type="dxa"/>
            <w:tcBorders>
              <w:top w:val="single" w:sz="4" w:space="0" w:color="000000"/>
              <w:left w:val="single" w:sz="4" w:space="0" w:color="000000"/>
              <w:bottom w:val="nil" w:sz="6" w:space="0" w:color="auto"/>
              <w:right w:val="single" w:sz="4" w:space="0" w:color="000000"/>
            </w:tcBorders>
          </w:tcPr>
          <w:p>
            <w:pPr>
              <w:pStyle w:val="TableParagraph"/>
              <w:spacing w:line="184" w:lineRule="exact"/>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3</w:t>
            </w:r>
            <w:r>
              <w:rPr>
                <w:rFonts w:ascii="宋体" w:hAnsi="宋体" w:cs="宋体" w:eastAsia="宋体" w:hint="default"/>
                <w:spacing w:val="-11"/>
                <w:sz w:val="15"/>
                <w:szCs w:val="15"/>
              </w:rPr>
              <w:t>．盈余</w:t>
            </w:r>
            <w:r>
              <w:rPr>
                <w:rFonts w:ascii="宋体" w:hAnsi="宋体" w:cs="宋体" w:eastAsia="宋体" w:hint="default"/>
                <w:sz w:val="15"/>
                <w:szCs w:val="15"/>
              </w:rPr>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190" w:hRule="exact"/>
        </w:trPr>
        <w:tc>
          <w:tcPr>
            <w:tcW w:w="604" w:type="dxa"/>
            <w:tcBorders>
              <w:top w:val="nil" w:sz="6" w:space="0" w:color="auto"/>
              <w:left w:val="single" w:sz="4" w:space="0" w:color="000000"/>
              <w:bottom w:val="nil" w:sz="6" w:space="0" w:color="auto"/>
              <w:right w:val="single" w:sz="4" w:space="0" w:color="000000"/>
            </w:tcBorders>
          </w:tcPr>
          <w:p>
            <w:pPr>
              <w:pStyle w:val="TableParagraph"/>
              <w:tabs>
                <w:tab w:pos="593" w:val="left" w:leader="none"/>
              </w:tabs>
              <w:spacing w:line="168"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公积弥</w:t>
              <w:tab/>
            </w:r>
            <w:r>
              <w:rPr>
                <w:rFonts w:ascii="宋体" w:hAnsi="宋体" w:cs="宋体" w:eastAsia="宋体" w:hint="default"/>
                <w:spacing w:val="-8"/>
                <w:sz w:val="15"/>
                <w:szCs w:val="15"/>
              </w:rPr>
            </w:r>
          </w:p>
        </w:tc>
        <w:tc>
          <w:tcPr>
            <w:tcW w:w="969"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403"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0" w:hRule="exact"/>
        </w:trPr>
        <w:tc>
          <w:tcPr>
            <w:tcW w:w="60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补亏损</w:t>
            </w:r>
            <w:r>
              <w:rPr>
                <w:rFonts w:ascii="宋体" w:hAnsi="宋体" w:cs="宋体" w:eastAsia="宋体" w:hint="default"/>
                <w:sz w:val="15"/>
                <w:szCs w:val="15"/>
              </w:rPr>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203" w:hRule="exact"/>
        </w:trPr>
        <w:tc>
          <w:tcPr>
            <w:tcW w:w="604" w:type="dxa"/>
            <w:tcBorders>
              <w:top w:val="single" w:sz="4" w:space="0" w:color="000000"/>
              <w:left w:val="single" w:sz="4" w:space="0" w:color="000000"/>
              <w:bottom w:val="nil" w:sz="6" w:space="0" w:color="auto"/>
              <w:right w:val="single" w:sz="4" w:space="0" w:color="000000"/>
            </w:tcBorders>
          </w:tcPr>
          <w:p>
            <w:pPr>
              <w:pStyle w:val="TableParagraph"/>
              <w:spacing w:line="182" w:lineRule="exact"/>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4</w:t>
            </w:r>
            <w:r>
              <w:rPr>
                <w:rFonts w:ascii="宋体" w:hAnsi="宋体" w:cs="宋体" w:eastAsia="宋体" w:hint="default"/>
                <w:spacing w:val="-11"/>
                <w:sz w:val="15"/>
                <w:szCs w:val="15"/>
              </w:rPr>
              <w:t>．设定</w:t>
            </w:r>
            <w:r>
              <w:rPr>
                <w:rFonts w:ascii="宋体" w:hAnsi="宋体" w:cs="宋体" w:eastAsia="宋体" w:hint="default"/>
                <w:sz w:val="15"/>
                <w:szCs w:val="15"/>
              </w:rPr>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774" w:hRule="exact"/>
        </w:trPr>
        <w:tc>
          <w:tcPr>
            <w:tcW w:w="604" w:type="dxa"/>
            <w:tcBorders>
              <w:top w:val="nil" w:sz="6" w:space="0" w:color="auto"/>
              <w:left w:val="single" w:sz="4" w:space="0" w:color="000000"/>
              <w:bottom w:val="nil" w:sz="6" w:space="0" w:color="auto"/>
              <w:right w:val="single" w:sz="4" w:space="0" w:color="000000"/>
            </w:tcBorders>
          </w:tcPr>
          <w:p>
            <w:pPr>
              <w:pStyle w:val="TableParagraph"/>
              <w:tabs>
                <w:tab w:pos="593" w:val="left" w:leader="none"/>
              </w:tabs>
              <w:spacing w:line="168"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受益计</w:t>
              <w:tab/>
            </w:r>
            <w:r>
              <w:rPr>
                <w:rFonts w:ascii="宋体" w:hAnsi="宋体" w:cs="宋体" w:eastAsia="宋体" w:hint="default"/>
                <w:spacing w:val="-8"/>
                <w:sz w:val="15"/>
                <w:szCs w:val="15"/>
              </w:rPr>
            </w:r>
          </w:p>
          <w:p>
            <w:pPr>
              <w:pStyle w:val="TableParagraph"/>
              <w:tabs>
                <w:tab w:pos="593" w:val="left" w:leader="none"/>
              </w:tabs>
              <w:spacing w:line="194"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划变动</w:t>
              <w:tab/>
            </w:r>
            <w:r>
              <w:rPr>
                <w:rFonts w:ascii="宋体" w:hAnsi="宋体" w:cs="宋体" w:eastAsia="宋体" w:hint="default"/>
                <w:spacing w:val="-8"/>
                <w:sz w:val="15"/>
                <w:szCs w:val="15"/>
              </w:rPr>
            </w:r>
          </w:p>
          <w:p>
            <w:pPr>
              <w:pStyle w:val="TableParagraph"/>
              <w:tabs>
                <w:tab w:pos="593" w:val="left" w:leader="none"/>
              </w:tabs>
              <w:spacing w:line="194"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额结转</w:t>
              <w:tab/>
            </w:r>
            <w:r>
              <w:rPr>
                <w:rFonts w:ascii="宋体" w:hAnsi="宋体" w:cs="宋体" w:eastAsia="宋体" w:hint="default"/>
                <w:spacing w:val="-8"/>
                <w:sz w:val="15"/>
                <w:szCs w:val="15"/>
              </w:rPr>
            </w:r>
          </w:p>
          <w:p>
            <w:pPr>
              <w:pStyle w:val="TableParagraph"/>
              <w:tabs>
                <w:tab w:pos="593" w:val="left" w:leader="none"/>
              </w:tabs>
              <w:spacing w:line="195" w:lineRule="exact"/>
              <w:ind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shd w:fill="D2D2D2" w:color="auto" w:val="clear"/>
              </w:rPr>
              <w:t> </w:t>
            </w:r>
            <w:r>
              <w:rPr>
                <w:rFonts w:ascii="Times New Roman" w:hAnsi="Times New Roman" w:cs="Times New Roman" w:eastAsia="Times New Roman" w:hint="default"/>
                <w:spacing w:val="-23"/>
                <w:sz w:val="15"/>
                <w:szCs w:val="15"/>
                <w:shd w:fill="D2D2D2" w:color="auto" w:val="clear"/>
              </w:rPr>
              <w:t> </w:t>
            </w:r>
            <w:r>
              <w:rPr>
                <w:rFonts w:ascii="宋体" w:hAnsi="宋体" w:cs="宋体" w:eastAsia="宋体" w:hint="default"/>
                <w:spacing w:val="-8"/>
                <w:sz w:val="15"/>
                <w:szCs w:val="15"/>
                <w:shd w:fill="D2D2D2" w:color="auto" w:val="clear"/>
              </w:rPr>
              <w:t>留存收</w:t>
              <w:tab/>
            </w:r>
            <w:r>
              <w:rPr>
                <w:rFonts w:ascii="宋体" w:hAnsi="宋体" w:cs="宋体" w:eastAsia="宋体" w:hint="default"/>
                <w:spacing w:val="-8"/>
                <w:sz w:val="15"/>
                <w:szCs w:val="15"/>
              </w:rPr>
            </w:r>
          </w:p>
        </w:tc>
        <w:tc>
          <w:tcPr>
            <w:tcW w:w="969" w:type="dxa"/>
            <w:vMerge/>
            <w:tcBorders>
              <w:left w:val="single" w:sz="4" w:space="0" w:color="000000"/>
              <w:right w:val="single" w:sz="4" w:space="0" w:color="000000"/>
            </w:tcBorders>
          </w:tcPr>
          <w:p>
            <w:pPr/>
          </w:p>
        </w:tc>
        <w:tc>
          <w:tcPr>
            <w:tcW w:w="394" w:type="dxa"/>
            <w:vMerge/>
            <w:tcBorders>
              <w:left w:val="single" w:sz="4" w:space="0" w:color="000000"/>
              <w:right w:val="single" w:sz="4" w:space="0" w:color="000000"/>
            </w:tcBorders>
          </w:tcPr>
          <w:p>
            <w:pPr/>
          </w:p>
        </w:tc>
        <w:tc>
          <w:tcPr>
            <w:tcW w:w="398" w:type="dxa"/>
            <w:vMerge/>
            <w:tcBorders>
              <w:left w:val="single" w:sz="4" w:space="0" w:color="000000"/>
              <w:right w:val="single" w:sz="4" w:space="0" w:color="000000"/>
            </w:tcBorders>
          </w:tcPr>
          <w:p>
            <w:pPr/>
          </w:p>
        </w:tc>
        <w:tc>
          <w:tcPr>
            <w:tcW w:w="733"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970" w:type="dxa"/>
            <w:vMerge/>
            <w:tcBorders>
              <w:left w:val="single" w:sz="4" w:space="0" w:color="000000"/>
              <w:right w:val="single" w:sz="4" w:space="0" w:color="000000"/>
            </w:tcBorders>
          </w:tcPr>
          <w:p>
            <w:pPr/>
          </w:p>
        </w:tc>
        <w:tc>
          <w:tcPr>
            <w:tcW w:w="832" w:type="dxa"/>
            <w:vMerge/>
            <w:tcBorders>
              <w:left w:val="single" w:sz="4" w:space="0" w:color="000000"/>
              <w:right w:val="single" w:sz="4" w:space="0" w:color="000000"/>
            </w:tcBorders>
          </w:tcPr>
          <w:p>
            <w:pPr/>
          </w:p>
        </w:tc>
        <w:tc>
          <w:tcPr>
            <w:tcW w:w="403"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5" w:type="dxa"/>
            <w:vMerge/>
            <w:tcBorders>
              <w:left w:val="single" w:sz="4" w:space="0" w:color="000000"/>
              <w:right w:val="single" w:sz="4" w:space="0" w:color="000000"/>
            </w:tcBorders>
          </w:tcPr>
          <w:p>
            <w:pPr/>
          </w:p>
        </w:tc>
        <w:tc>
          <w:tcPr>
            <w:tcW w:w="974"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68" w:type="dxa"/>
            <w:vMerge/>
            <w:tcBorders>
              <w:left w:val="single" w:sz="4" w:space="0" w:color="000000"/>
              <w:right w:val="single" w:sz="4" w:space="0" w:color="000000"/>
            </w:tcBorders>
          </w:tcPr>
          <w:p>
            <w:pPr/>
          </w:p>
        </w:tc>
      </w:tr>
      <w:tr>
        <w:trPr>
          <w:trHeight w:val="200" w:hRule="exact"/>
        </w:trPr>
        <w:tc>
          <w:tcPr>
            <w:tcW w:w="60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z w:val="15"/>
                <w:szCs w:val="15"/>
              </w:rPr>
              <w:t>益</w:t>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407"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5</w:t>
            </w:r>
            <w:r>
              <w:rPr>
                <w:rFonts w:ascii="宋体" w:hAnsi="宋体" w:cs="宋体" w:eastAsia="宋体" w:hint="default"/>
                <w:spacing w:val="-11"/>
                <w:sz w:val="15"/>
                <w:szCs w:val="15"/>
              </w:rPr>
              <w:t>．其他</w:t>
            </w:r>
            <w:r>
              <w:rPr>
                <w:rFonts w:ascii="宋体" w:hAnsi="宋体" w:cs="宋体" w:eastAsia="宋体" w:hint="default"/>
                <w:sz w:val="15"/>
                <w:szCs w:val="15"/>
              </w:rPr>
            </w:r>
          </w:p>
        </w:tc>
        <w:tc>
          <w:tcPr>
            <w:tcW w:w="969" w:type="dxa"/>
            <w:tcBorders>
              <w:top w:val="single" w:sz="4" w:space="0" w:color="000000"/>
              <w:left w:val="single" w:sz="4" w:space="0" w:color="000000"/>
              <w:bottom w:val="single" w:sz="4" w:space="0" w:color="000000"/>
              <w:right w:val="single" w:sz="4" w:space="0" w:color="000000"/>
            </w:tcBorders>
          </w:tcPr>
          <w:p>
            <w:pP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
        </w:tc>
        <w:tc>
          <w:tcPr>
            <w:tcW w:w="832"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203" w:hRule="exact"/>
        </w:trPr>
        <w:tc>
          <w:tcPr>
            <w:tcW w:w="60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76"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（五</w:t>
            </w:r>
            <w:r>
              <w:rPr>
                <w:rFonts w:ascii="宋体" w:hAnsi="宋体" w:cs="宋体" w:eastAsia="宋体" w:hint="default"/>
                <w:spacing w:val="-75"/>
                <w:sz w:val="15"/>
                <w:szCs w:val="15"/>
              </w:rPr>
              <w:t>）</w:t>
            </w:r>
            <w:r>
              <w:rPr>
                <w:rFonts w:ascii="宋体" w:hAnsi="宋体" w:cs="宋体" w:eastAsia="宋体" w:hint="default"/>
                <w:sz w:val="15"/>
                <w:szCs w:val="15"/>
              </w:rPr>
              <w:t>专</w:t>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204" w:hRule="exact"/>
        </w:trPr>
        <w:tc>
          <w:tcPr>
            <w:tcW w:w="6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72"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项储备</w:t>
            </w:r>
            <w:r>
              <w:rPr>
                <w:rFonts w:ascii="宋体" w:hAnsi="宋体" w:cs="宋体" w:eastAsia="宋体" w:hint="default"/>
                <w:sz w:val="15"/>
                <w:szCs w:val="15"/>
              </w:rPr>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207" w:hRule="exact"/>
        </w:trPr>
        <w:tc>
          <w:tcPr>
            <w:tcW w:w="60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87" w:lineRule="exact"/>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1</w:t>
            </w:r>
            <w:r>
              <w:rPr>
                <w:rFonts w:ascii="宋体" w:hAnsi="宋体" w:cs="宋体" w:eastAsia="宋体" w:hint="default"/>
                <w:spacing w:val="-11"/>
                <w:sz w:val="15"/>
                <w:szCs w:val="15"/>
              </w:rPr>
              <w:t>．本期</w:t>
            </w:r>
            <w:r>
              <w:rPr>
                <w:rFonts w:ascii="宋体" w:hAnsi="宋体" w:cs="宋体" w:eastAsia="宋体" w:hint="default"/>
                <w:sz w:val="15"/>
                <w:szCs w:val="15"/>
              </w:rPr>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201" w:hRule="exact"/>
        </w:trPr>
        <w:tc>
          <w:tcPr>
            <w:tcW w:w="6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8"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提取</w:t>
            </w:r>
            <w:r>
              <w:rPr>
                <w:rFonts w:ascii="宋体" w:hAnsi="宋体" w:cs="宋体" w:eastAsia="宋体" w:hint="default"/>
                <w:sz w:val="15"/>
                <w:szCs w:val="15"/>
              </w:rPr>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206" w:hRule="exact"/>
        </w:trPr>
        <w:tc>
          <w:tcPr>
            <w:tcW w:w="60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86" w:lineRule="exact"/>
              <w:ind w:left="52" w:right="0"/>
              <w:jc w:val="left"/>
              <w:rPr>
                <w:rFonts w:ascii="宋体" w:hAnsi="宋体" w:cs="宋体" w:eastAsia="宋体" w:hint="default"/>
                <w:sz w:val="15"/>
                <w:szCs w:val="15"/>
              </w:rPr>
            </w:pPr>
            <w:r>
              <w:rPr>
                <w:rFonts w:ascii="Times New Roman" w:hAnsi="Times New Roman" w:cs="Times New Roman" w:eastAsia="Times New Roman" w:hint="default"/>
                <w:spacing w:val="-11"/>
                <w:sz w:val="15"/>
                <w:szCs w:val="15"/>
              </w:rPr>
              <w:t>2</w:t>
            </w:r>
            <w:r>
              <w:rPr>
                <w:rFonts w:ascii="宋体" w:hAnsi="宋体" w:cs="宋体" w:eastAsia="宋体" w:hint="default"/>
                <w:spacing w:val="-11"/>
                <w:sz w:val="15"/>
                <w:szCs w:val="15"/>
              </w:rPr>
              <w:t>．本期</w:t>
            </w:r>
            <w:r>
              <w:rPr>
                <w:rFonts w:ascii="宋体" w:hAnsi="宋体" w:cs="宋体" w:eastAsia="宋体" w:hint="default"/>
                <w:sz w:val="15"/>
                <w:szCs w:val="15"/>
              </w:rPr>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201" w:hRule="exact"/>
        </w:trPr>
        <w:tc>
          <w:tcPr>
            <w:tcW w:w="6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8"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使用</w:t>
            </w:r>
            <w:r>
              <w:rPr>
                <w:rFonts w:ascii="宋体" w:hAnsi="宋体" w:cs="宋体" w:eastAsia="宋体" w:hint="default"/>
                <w:sz w:val="15"/>
                <w:szCs w:val="15"/>
              </w:rPr>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202" w:hRule="exact"/>
        </w:trPr>
        <w:tc>
          <w:tcPr>
            <w:tcW w:w="60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75"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（六</w:t>
            </w:r>
            <w:r>
              <w:rPr>
                <w:rFonts w:ascii="宋体" w:hAnsi="宋体" w:cs="宋体" w:eastAsia="宋体" w:hint="default"/>
                <w:spacing w:val="-75"/>
                <w:sz w:val="15"/>
                <w:szCs w:val="15"/>
              </w:rPr>
              <w:t>）</w:t>
            </w:r>
            <w:r>
              <w:rPr>
                <w:rFonts w:ascii="宋体" w:hAnsi="宋体" w:cs="宋体" w:eastAsia="宋体" w:hint="default"/>
                <w:sz w:val="15"/>
                <w:szCs w:val="15"/>
              </w:rPr>
              <w:t>其</w:t>
            </w:r>
          </w:p>
        </w:tc>
        <w:tc>
          <w:tcPr>
            <w:tcW w:w="969" w:type="dxa"/>
            <w:vMerge w:val="restart"/>
            <w:tcBorders>
              <w:top w:val="single" w:sz="4" w:space="0" w:color="000000"/>
              <w:left w:val="single" w:sz="4" w:space="0" w:color="000000"/>
              <w:right w:val="single" w:sz="4" w:space="0" w:color="000000"/>
            </w:tcBorders>
          </w:tcPr>
          <w:p>
            <w:pPr/>
          </w:p>
        </w:tc>
        <w:tc>
          <w:tcPr>
            <w:tcW w:w="394" w:type="dxa"/>
            <w:vMerge w:val="restart"/>
            <w:tcBorders>
              <w:top w:val="single" w:sz="4" w:space="0" w:color="000000"/>
              <w:left w:val="single" w:sz="4" w:space="0" w:color="000000"/>
              <w:right w:val="single" w:sz="4" w:space="0" w:color="000000"/>
            </w:tcBorders>
          </w:tcPr>
          <w:p>
            <w:pPr/>
          </w:p>
        </w:tc>
        <w:tc>
          <w:tcPr>
            <w:tcW w:w="398" w:type="dxa"/>
            <w:vMerge w:val="restart"/>
            <w:tcBorders>
              <w:top w:val="single" w:sz="4" w:space="0" w:color="000000"/>
              <w:left w:val="single" w:sz="4" w:space="0" w:color="000000"/>
              <w:right w:val="single" w:sz="4" w:space="0" w:color="000000"/>
            </w:tcBorders>
          </w:tcPr>
          <w:p>
            <w:pPr/>
          </w:p>
        </w:tc>
        <w:tc>
          <w:tcPr>
            <w:tcW w:w="733"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970" w:type="dxa"/>
            <w:vMerge w:val="restart"/>
            <w:tcBorders>
              <w:top w:val="single" w:sz="4" w:space="0" w:color="000000"/>
              <w:left w:val="single" w:sz="4" w:space="0" w:color="000000"/>
              <w:right w:val="single" w:sz="4" w:space="0" w:color="000000"/>
            </w:tcBorders>
          </w:tcPr>
          <w:p>
            <w:pPr/>
          </w:p>
        </w:tc>
        <w:tc>
          <w:tcPr>
            <w:tcW w:w="832"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5" w:type="dxa"/>
            <w:vMerge w:val="restart"/>
            <w:tcBorders>
              <w:top w:val="single" w:sz="4" w:space="0" w:color="000000"/>
              <w:left w:val="single" w:sz="4" w:space="0" w:color="000000"/>
              <w:right w:val="single" w:sz="4" w:space="0" w:color="000000"/>
            </w:tcBorders>
          </w:tcPr>
          <w:p>
            <w:pPr/>
          </w:p>
        </w:tc>
        <w:tc>
          <w:tcPr>
            <w:tcW w:w="974"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1068" w:type="dxa"/>
            <w:vMerge w:val="restart"/>
            <w:tcBorders>
              <w:top w:val="single" w:sz="4" w:space="0" w:color="000000"/>
              <w:left w:val="single" w:sz="4" w:space="0" w:color="000000"/>
              <w:right w:val="single" w:sz="4" w:space="0" w:color="000000"/>
            </w:tcBorders>
          </w:tcPr>
          <w:p>
            <w:pPr/>
          </w:p>
        </w:tc>
      </w:tr>
      <w:tr>
        <w:trPr>
          <w:trHeight w:val="205" w:hRule="exact"/>
        </w:trPr>
        <w:tc>
          <w:tcPr>
            <w:tcW w:w="60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73" w:lineRule="exact"/>
              <w:ind w:left="52" w:right="0"/>
              <w:jc w:val="left"/>
              <w:rPr>
                <w:rFonts w:ascii="宋体" w:hAnsi="宋体" w:cs="宋体" w:eastAsia="宋体" w:hint="default"/>
                <w:sz w:val="15"/>
                <w:szCs w:val="15"/>
              </w:rPr>
            </w:pPr>
            <w:r>
              <w:rPr>
                <w:rFonts w:ascii="宋体" w:hAnsi="宋体" w:cs="宋体" w:eastAsia="宋体" w:hint="default"/>
                <w:sz w:val="15"/>
                <w:szCs w:val="15"/>
              </w:rPr>
              <w:t>他</w:t>
            </w:r>
          </w:p>
        </w:tc>
        <w:tc>
          <w:tcPr>
            <w:tcW w:w="969" w:type="dxa"/>
            <w:vMerge/>
            <w:tcBorders>
              <w:left w:val="single" w:sz="4" w:space="0" w:color="000000"/>
              <w:bottom w:val="single" w:sz="4" w:space="0" w:color="000000"/>
              <w:right w:val="single" w:sz="4" w:space="0" w:color="000000"/>
            </w:tcBorders>
          </w:tcPr>
          <w:p>
            <w:pPr/>
          </w:p>
        </w:tc>
        <w:tc>
          <w:tcPr>
            <w:tcW w:w="394"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733"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970" w:type="dxa"/>
            <w:vMerge/>
            <w:tcBorders>
              <w:left w:val="single" w:sz="4" w:space="0" w:color="000000"/>
              <w:bottom w:val="single" w:sz="4" w:space="0" w:color="000000"/>
              <w:right w:val="single" w:sz="4" w:space="0" w:color="000000"/>
            </w:tcBorders>
          </w:tcPr>
          <w:p>
            <w:pPr/>
          </w:p>
        </w:tc>
        <w:tc>
          <w:tcPr>
            <w:tcW w:w="832"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5" w:type="dxa"/>
            <w:vMerge/>
            <w:tcBorders>
              <w:left w:val="single" w:sz="4" w:space="0" w:color="000000"/>
              <w:bottom w:val="single" w:sz="4" w:space="0" w:color="000000"/>
              <w:right w:val="single" w:sz="4" w:space="0" w:color="000000"/>
            </w:tcBorders>
          </w:tcPr>
          <w:p>
            <w:pPr/>
          </w:p>
        </w:tc>
        <w:tc>
          <w:tcPr>
            <w:tcW w:w="97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68" w:type="dxa"/>
            <w:vMerge/>
            <w:tcBorders>
              <w:left w:val="single" w:sz="4" w:space="0" w:color="000000"/>
              <w:bottom w:val="single" w:sz="4" w:space="0" w:color="000000"/>
              <w:right w:val="single" w:sz="4" w:space="0" w:color="000000"/>
            </w:tcBorders>
          </w:tcPr>
          <w:p>
            <w:pPr/>
          </w:p>
        </w:tc>
      </w:tr>
      <w:tr>
        <w:trPr>
          <w:trHeight w:val="594" w:hRule="exact"/>
        </w:trPr>
        <w:tc>
          <w:tcPr>
            <w:tcW w:w="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四</w:t>
            </w:r>
            <w:r>
              <w:rPr>
                <w:rFonts w:ascii="宋体" w:hAnsi="宋体" w:cs="宋体" w:eastAsia="宋体" w:hint="default"/>
                <w:spacing w:val="-75"/>
                <w:sz w:val="15"/>
                <w:szCs w:val="15"/>
              </w:rPr>
              <w:t>、</w:t>
            </w:r>
            <w:r>
              <w:rPr>
                <w:rFonts w:ascii="宋体" w:hAnsi="宋体" w:cs="宋体" w:eastAsia="宋体" w:hint="default"/>
                <w:spacing w:val="-12"/>
                <w:sz w:val="15"/>
                <w:szCs w:val="15"/>
              </w:rPr>
              <w:t>本</w:t>
            </w:r>
            <w:r>
              <w:rPr>
                <w:rFonts w:ascii="宋体" w:hAnsi="宋体" w:cs="宋体" w:eastAsia="宋体" w:hint="default"/>
                <w:sz w:val="15"/>
                <w:szCs w:val="15"/>
              </w:rPr>
              <w:t>期</w:t>
            </w:r>
          </w:p>
          <w:p>
            <w:pPr>
              <w:pStyle w:val="TableParagraph"/>
              <w:spacing w:line="240" w:lineRule="auto"/>
              <w:ind w:left="52" w:right="125"/>
              <w:jc w:val="left"/>
              <w:rPr>
                <w:rFonts w:ascii="宋体" w:hAnsi="宋体" w:cs="宋体" w:eastAsia="宋体" w:hint="default"/>
                <w:sz w:val="15"/>
                <w:szCs w:val="15"/>
              </w:rPr>
            </w:pPr>
            <w:r>
              <w:rPr>
                <w:rFonts w:ascii="宋体" w:hAnsi="宋体" w:cs="宋体" w:eastAsia="宋体" w:hint="default"/>
                <w:spacing w:val="-12"/>
                <w:sz w:val="15"/>
                <w:szCs w:val="15"/>
              </w:rPr>
              <w:t>期末余 </w:t>
            </w:r>
            <w:r>
              <w:rPr>
                <w:rFonts w:ascii="宋体" w:hAnsi="宋体" w:cs="宋体" w:eastAsia="宋体" w:hint="default"/>
                <w:sz w:val="15"/>
                <w:szCs w:val="15"/>
              </w:rPr>
              <w:t>额</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5"/>
                <w:szCs w:val="15"/>
              </w:rPr>
            </w:pPr>
            <w:r>
              <w:rPr>
                <w:rFonts w:ascii="Times New Roman"/>
                <w:spacing w:val="-7"/>
                <w:sz w:val="15"/>
              </w:rPr>
              <w:t>403,878,622.00</w:t>
            </w:r>
          </w:p>
        </w:tc>
        <w:tc>
          <w:tcPr>
            <w:tcW w:w="394"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2" w:right="0"/>
              <w:jc w:val="center"/>
              <w:rPr>
                <w:rFonts w:ascii="Times New Roman" w:hAnsi="Times New Roman" w:cs="Times New Roman" w:eastAsia="Times New Roman" w:hint="default"/>
                <w:sz w:val="15"/>
                <w:szCs w:val="15"/>
              </w:rPr>
            </w:pPr>
            <w:r>
              <w:rPr>
                <w:rFonts w:ascii="Times New Roman"/>
                <w:spacing w:val="-6"/>
                <w:sz w:val="15"/>
              </w:rPr>
              <w:t>384,344.40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5"/>
                <w:szCs w:val="15"/>
              </w:rPr>
            </w:pPr>
            <w:r>
              <w:rPr>
                <w:rFonts w:ascii="Times New Roman"/>
                <w:spacing w:val="-7"/>
                <w:sz w:val="15"/>
              </w:rPr>
              <w:t>630,783,455.92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3" w:right="0"/>
              <w:jc w:val="left"/>
              <w:rPr>
                <w:rFonts w:ascii="Times New Roman" w:hAnsi="Times New Roman" w:cs="Times New Roman" w:eastAsia="Times New Roman" w:hint="default"/>
                <w:sz w:val="15"/>
                <w:szCs w:val="15"/>
              </w:rPr>
            </w:pPr>
            <w:r>
              <w:rPr>
                <w:rFonts w:ascii="Times New Roman"/>
                <w:spacing w:val="-7"/>
                <w:sz w:val="15"/>
              </w:rPr>
              <w:t>182,388,017.67</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5" w:right="0"/>
              <w:jc w:val="left"/>
              <w:rPr>
                <w:rFonts w:ascii="Times New Roman" w:hAnsi="Times New Roman" w:cs="Times New Roman" w:eastAsia="Times New Roman" w:hint="default"/>
                <w:sz w:val="15"/>
                <w:szCs w:val="15"/>
              </w:rPr>
            </w:pPr>
            <w:r>
              <w:rPr>
                <w:rFonts w:ascii="Times New Roman"/>
                <w:spacing w:val="-6"/>
                <w:sz w:val="15"/>
              </w:rPr>
              <w:t>3,258,823.01</w:t>
            </w:r>
          </w:p>
        </w:tc>
        <w:tc>
          <w:tcPr>
            <w:tcW w:w="40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3" w:right="0"/>
              <w:jc w:val="left"/>
              <w:rPr>
                <w:rFonts w:ascii="Times New Roman" w:hAnsi="Times New Roman" w:cs="Times New Roman" w:eastAsia="Times New Roman" w:hint="default"/>
                <w:sz w:val="15"/>
                <w:szCs w:val="15"/>
              </w:rPr>
            </w:pPr>
            <w:r>
              <w:rPr>
                <w:rFonts w:ascii="Times New Roman"/>
                <w:spacing w:val="-6"/>
                <w:sz w:val="15"/>
              </w:rPr>
              <w:t>54,432,581.15</w:t>
            </w:r>
          </w:p>
        </w:tc>
        <w:tc>
          <w:tcPr>
            <w:tcW w:w="405"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5"/>
                <w:szCs w:val="15"/>
              </w:rPr>
            </w:pPr>
            <w:r>
              <w:rPr>
                <w:rFonts w:ascii="Times New Roman"/>
                <w:spacing w:val="-7"/>
                <w:sz w:val="15"/>
              </w:rPr>
              <w:t>342,328,045.64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5"/>
                <w:szCs w:val="15"/>
              </w:rPr>
            </w:pPr>
            <w:r>
              <w:rPr>
                <w:rFonts w:ascii="Times New Roman"/>
                <w:spacing w:val="-6"/>
                <w:sz w:val="15"/>
              </w:rPr>
              <w:t>54,034,706.38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1" w:right="0"/>
              <w:jc w:val="left"/>
              <w:rPr>
                <w:rFonts w:ascii="Times New Roman" w:hAnsi="Times New Roman" w:cs="Times New Roman" w:eastAsia="Times New Roman" w:hint="default"/>
                <w:sz w:val="15"/>
                <w:szCs w:val="15"/>
              </w:rPr>
            </w:pPr>
            <w:r>
              <w:rPr>
                <w:rFonts w:ascii="Times New Roman"/>
                <w:spacing w:val="-7"/>
                <w:sz w:val="15"/>
              </w:rPr>
              <w:t>1,306,712,560.83</w:t>
            </w:r>
          </w:p>
        </w:tc>
      </w:tr>
    </w:tbl>
    <w:p>
      <w:pPr>
        <w:spacing w:line="240" w:lineRule="auto" w:before="1"/>
        <w:rPr>
          <w:rFonts w:ascii="Times New Roman" w:hAnsi="Times New Roman" w:cs="Times New Roman" w:eastAsia="Times New Roman" w:hint="default"/>
          <w:sz w:val="10"/>
          <w:szCs w:val="10"/>
        </w:rPr>
      </w:pPr>
    </w:p>
    <w:p>
      <w:pPr>
        <w:pStyle w:val="BodyText"/>
        <w:spacing w:line="324" w:lineRule="exact"/>
        <w:ind w:left="994" w:right="1017"/>
        <w:jc w:val="left"/>
        <w:rPr>
          <w:rFonts w:ascii="微软雅黑" w:hAnsi="微软雅黑" w:cs="微软雅黑" w:eastAsia="微软雅黑" w:hint="default"/>
        </w:rPr>
      </w:pPr>
      <w:bookmarkStart w:name="8、母公司所有者权益变动表" w:id="166"/>
      <w:bookmarkEnd w:id="166"/>
      <w:r>
        <w:rPr/>
      </w:r>
      <w:r>
        <w:rPr>
          <w:rFonts w:ascii="Times New Roman" w:hAnsi="Times New Roman" w:cs="Times New Roman" w:eastAsia="Times New Roman" w:hint="default"/>
        </w:rPr>
        <w:t>8</w:t>
      </w:r>
      <w:r>
        <w:rPr>
          <w:rFonts w:ascii="微软雅黑" w:hAnsi="微软雅黑" w:cs="微软雅黑" w:eastAsia="微软雅黑" w:hint="default"/>
        </w:rPr>
        <w:t>、母公司所有者权益变动表</w:t>
      </w:r>
    </w:p>
    <w:p>
      <w:pPr>
        <w:spacing w:line="240" w:lineRule="auto" w:before="7"/>
        <w:rPr>
          <w:rFonts w:ascii="微软雅黑" w:hAnsi="微软雅黑" w:cs="微软雅黑" w:eastAsia="微软雅黑" w:hint="default"/>
          <w:sz w:val="20"/>
          <w:szCs w:val="20"/>
        </w:rPr>
      </w:pPr>
    </w:p>
    <w:p>
      <w:pPr>
        <w:pStyle w:val="BodyText"/>
        <w:spacing w:line="240" w:lineRule="auto"/>
        <w:ind w:left="994" w:right="1017"/>
        <w:jc w:val="left"/>
      </w:pPr>
      <w:r>
        <w:rPr/>
        <w:t>本期金额</w:t>
      </w:r>
    </w:p>
    <w:p>
      <w:pPr>
        <w:spacing w:line="240" w:lineRule="auto" w:before="11"/>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874"/>
        <w:gridCol w:w="1154"/>
        <w:gridCol w:w="545"/>
        <w:gridCol w:w="546"/>
        <w:gridCol w:w="516"/>
        <w:gridCol w:w="1154"/>
        <w:gridCol w:w="1154"/>
        <w:gridCol w:w="557"/>
        <w:gridCol w:w="541"/>
        <w:gridCol w:w="1079"/>
        <w:gridCol w:w="1154"/>
        <w:gridCol w:w="1266"/>
      </w:tblGrid>
      <w:tr>
        <w:trPr>
          <w:trHeight w:val="403" w:hRule="exact"/>
        </w:trPr>
        <w:tc>
          <w:tcPr>
            <w:tcW w:w="8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282"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96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14" w:hRule="exact"/>
        </w:trPr>
        <w:tc>
          <w:tcPr>
            <w:tcW w:w="874" w:type="dxa"/>
            <w:vMerge/>
            <w:tcBorders>
              <w:left w:val="single" w:sz="4" w:space="0" w:color="000000"/>
              <w:right w:val="single" w:sz="4" w:space="0" w:color="000000"/>
            </w:tcBorders>
            <w:shd w:val="clear" w:color="auto" w:fill="D2D2D2"/>
          </w:tcPr>
          <w:p>
            <w:pP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gridSpan w:val="3"/>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0"/>
              <w:ind w:left="34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5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0"/>
              <w:ind w:left="123" w:right="121"/>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5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5" w:right="114"/>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2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9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0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99" w:hRule="exact"/>
        </w:trPr>
        <w:tc>
          <w:tcPr>
            <w:tcW w:w="874" w:type="dxa"/>
            <w:vMerge/>
            <w:tcBorders>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607"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27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196"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557" w:type="dxa"/>
            <w:vMerge/>
            <w:tcBorders>
              <w:left w:val="single" w:sz="4" w:space="0" w:color="000000"/>
              <w:right w:val="single" w:sz="4" w:space="0" w:color="000000"/>
            </w:tcBorders>
            <w:shd w:val="clear" w:color="auto" w:fill="D2D2D2"/>
          </w:tcPr>
          <w:p>
            <w:pPr/>
          </w:p>
        </w:tc>
        <w:tc>
          <w:tcPr>
            <w:tcW w:w="541" w:type="dxa"/>
            <w:vMerge/>
            <w:tcBorders>
              <w:left w:val="single" w:sz="4" w:space="0" w:color="000000"/>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266" w:type="dxa"/>
            <w:vMerge/>
            <w:tcBorders>
              <w:left w:val="single" w:sz="4" w:space="0" w:color="000000"/>
              <w:right w:val="single" w:sz="4" w:space="0" w:color="000000"/>
            </w:tcBorders>
            <w:shd w:val="clear" w:color="auto" w:fill="D2D2D2"/>
          </w:tcPr>
          <w:p>
            <w:pPr/>
          </w:p>
        </w:tc>
      </w:tr>
      <w:tr>
        <w:trPr>
          <w:trHeight w:val="405" w:hRule="exact"/>
        </w:trPr>
        <w:tc>
          <w:tcPr>
            <w:tcW w:w="874"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优先</w:t>
            </w:r>
          </w:p>
          <w:p>
            <w:pPr>
              <w:pStyle w:val="TableParagraph"/>
              <w:spacing w:line="196" w:lineRule="exact"/>
              <w:ind w:right="1"/>
              <w:jc w:val="center"/>
              <w:rPr>
                <w:rFonts w:ascii="宋体" w:hAnsi="宋体" w:cs="宋体" w:eastAsia="宋体" w:hint="default"/>
                <w:sz w:val="15"/>
                <w:szCs w:val="15"/>
              </w:rPr>
            </w:pPr>
            <w:r>
              <w:rPr>
                <w:rFonts w:ascii="宋体" w:hAnsi="宋体" w:cs="宋体" w:eastAsia="宋体" w:hint="default"/>
                <w:sz w:val="15"/>
                <w:szCs w:val="15"/>
              </w:rPr>
              <w:t>股</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3" w:lineRule="exact"/>
              <w:ind w:right="1"/>
              <w:jc w:val="center"/>
              <w:rPr>
                <w:rFonts w:ascii="宋体" w:hAnsi="宋体" w:cs="宋体" w:eastAsia="宋体" w:hint="default"/>
                <w:sz w:val="15"/>
                <w:szCs w:val="15"/>
              </w:rPr>
            </w:pPr>
            <w:r>
              <w:rPr>
                <w:rFonts w:ascii="宋体" w:hAnsi="宋体" w:cs="宋体" w:eastAsia="宋体" w:hint="default"/>
                <w:sz w:val="15"/>
                <w:szCs w:val="15"/>
              </w:rPr>
              <w:t>永续</w:t>
            </w:r>
          </w:p>
          <w:p>
            <w:pPr>
              <w:pStyle w:val="TableParagraph"/>
              <w:spacing w:line="196" w:lineRule="exact"/>
              <w:ind w:right="0"/>
              <w:jc w:val="center"/>
              <w:rPr>
                <w:rFonts w:ascii="宋体" w:hAnsi="宋体" w:cs="宋体" w:eastAsia="宋体" w:hint="default"/>
                <w:sz w:val="15"/>
                <w:szCs w:val="15"/>
              </w:rPr>
            </w:pPr>
            <w:r>
              <w:rPr>
                <w:rFonts w:ascii="宋体" w:hAnsi="宋体" w:cs="宋体" w:eastAsia="宋体" w:hint="default"/>
                <w:sz w:val="15"/>
                <w:szCs w:val="15"/>
              </w:rPr>
              <w:t>债</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541" w:type="dxa"/>
            <w:vMerge/>
            <w:tcBorders>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266"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403,878,622.00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5"/>
                <w:szCs w:val="15"/>
              </w:rPr>
            </w:pPr>
            <w:r>
              <w:rPr>
                <w:rFonts w:ascii="Times New Roman"/>
                <w:sz w:val="15"/>
              </w:rPr>
              <w:t>626,790,277.26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182,388,017.67</w:t>
            </w: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54,432,581.15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333,291,780.12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1,236,005,242.86</w:t>
            </w:r>
          </w:p>
        </w:tc>
      </w:tr>
      <w:tr>
        <w:trPr>
          <w:trHeight w:val="594"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03" w:right="0" w:firstLine="300"/>
              <w:jc w:val="left"/>
              <w:rPr>
                <w:rFonts w:ascii="宋体" w:hAnsi="宋体" w:cs="宋体" w:eastAsia="宋体" w:hint="default"/>
                <w:sz w:val="15"/>
                <w:szCs w:val="15"/>
              </w:rPr>
            </w:pPr>
            <w:r>
              <w:rPr>
                <w:rFonts w:ascii="宋体" w:hAnsi="宋体" w:cs="宋体" w:eastAsia="宋体" w:hint="default"/>
                <w:sz w:val="15"/>
                <w:szCs w:val="15"/>
              </w:rPr>
              <w:t>加：</w:t>
            </w:r>
          </w:p>
          <w:p>
            <w:pPr>
              <w:pStyle w:val="TableParagraph"/>
              <w:spacing w:line="240" w:lineRule="auto"/>
              <w:ind w:left="103" w:right="158"/>
              <w:jc w:val="left"/>
              <w:rPr>
                <w:rFonts w:ascii="宋体" w:hAnsi="宋体" w:cs="宋体" w:eastAsia="宋体" w:hint="default"/>
                <w:sz w:val="15"/>
                <w:szCs w:val="15"/>
              </w:rPr>
            </w:pPr>
            <w:r>
              <w:rPr>
                <w:rFonts w:ascii="宋体" w:hAnsi="宋体" w:cs="宋体" w:eastAsia="宋体" w:hint="default"/>
                <w:sz w:val="15"/>
                <w:szCs w:val="15"/>
              </w:rPr>
              <w:t>会计政策 变更</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158"/>
              <w:jc w:val="left"/>
              <w:rPr>
                <w:rFonts w:ascii="宋体" w:hAnsi="宋体" w:cs="宋体" w:eastAsia="宋体" w:hint="default"/>
                <w:sz w:val="15"/>
                <w:szCs w:val="15"/>
              </w:rPr>
            </w:pPr>
            <w:r>
              <w:rPr>
                <w:rFonts w:ascii="宋体" w:hAnsi="宋体" w:cs="宋体" w:eastAsia="宋体" w:hint="default"/>
                <w:sz w:val="15"/>
                <w:szCs w:val="15"/>
              </w:rPr>
              <w:t>前期差错 更正</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15"/>
                <w:szCs w:val="15"/>
              </w:rPr>
            </w:pPr>
            <w:r>
              <w:rPr>
                <w:rFonts w:ascii="Times New Roman"/>
                <w:spacing w:val="-1"/>
                <w:sz w:val="15"/>
              </w:rPr>
              <w:t>403,878,622.00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Times New Roman" w:hAnsi="Times New Roman" w:cs="Times New Roman" w:eastAsia="Times New Roman" w:hint="default"/>
                <w:sz w:val="15"/>
                <w:szCs w:val="15"/>
              </w:rPr>
            </w:pPr>
            <w:r>
              <w:rPr>
                <w:rFonts w:ascii="Times New Roman"/>
                <w:sz w:val="15"/>
              </w:rPr>
              <w:t>626,790,277.26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Times New Roman" w:hAnsi="Times New Roman" w:cs="Times New Roman" w:eastAsia="Times New Roman" w:hint="default"/>
                <w:sz w:val="15"/>
                <w:szCs w:val="15"/>
              </w:rPr>
            </w:pPr>
            <w:r>
              <w:rPr>
                <w:rFonts w:ascii="Times New Roman"/>
                <w:sz w:val="15"/>
              </w:rPr>
              <w:t>182,388,017.67</w:t>
            </w: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Times New Roman" w:hAnsi="Times New Roman" w:cs="Times New Roman" w:eastAsia="Times New Roman" w:hint="default"/>
                <w:sz w:val="15"/>
                <w:szCs w:val="15"/>
              </w:rPr>
            </w:pPr>
            <w:r>
              <w:rPr>
                <w:rFonts w:ascii="Times New Roman"/>
                <w:sz w:val="15"/>
              </w:rPr>
              <w:t>54,432,581.15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Times New Roman" w:hAnsi="Times New Roman" w:cs="Times New Roman" w:eastAsia="Times New Roman" w:hint="default"/>
                <w:sz w:val="15"/>
                <w:szCs w:val="15"/>
              </w:rPr>
            </w:pPr>
            <w:r>
              <w:rPr>
                <w:rFonts w:ascii="Times New Roman"/>
                <w:sz w:val="15"/>
              </w:rPr>
              <w:t>333,291,780.12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15"/>
                <w:szCs w:val="15"/>
              </w:rPr>
            </w:pPr>
            <w:r>
              <w:rPr>
                <w:rFonts w:ascii="Times New Roman"/>
                <w:spacing w:val="-1"/>
                <w:sz w:val="15"/>
              </w:rPr>
              <w:t>1,236,005,242.86</w:t>
            </w:r>
          </w:p>
        </w:tc>
      </w:tr>
      <w:tr>
        <w:trPr>
          <w:trHeight w:val="594"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w:t>
            </w:r>
          </w:p>
          <w:p>
            <w:pPr>
              <w:pStyle w:val="TableParagraph"/>
              <w:spacing w:line="240" w:lineRule="auto"/>
              <w:ind w:left="103" w:right="158"/>
              <w:jc w:val="left"/>
              <w:rPr>
                <w:rFonts w:ascii="宋体" w:hAnsi="宋体" w:cs="宋体" w:eastAsia="宋体" w:hint="default"/>
                <w:sz w:val="15"/>
                <w:szCs w:val="15"/>
              </w:rPr>
            </w:pPr>
            <w:r>
              <w:rPr>
                <w:rFonts w:ascii="宋体" w:hAnsi="宋体" w:cs="宋体" w:eastAsia="宋体" w:hint="default"/>
                <w:sz w:val="15"/>
                <w:szCs w:val="15"/>
              </w:rPr>
              <w:t>增减变动 金额（减</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-787,775.00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3" w:right="0"/>
              <w:jc w:val="center"/>
              <w:rPr>
                <w:rFonts w:ascii="Times New Roman" w:hAnsi="Times New Roman" w:cs="Times New Roman" w:eastAsia="Times New Roman" w:hint="default"/>
                <w:sz w:val="15"/>
                <w:szCs w:val="15"/>
              </w:rPr>
            </w:pPr>
            <w:r>
              <w:rPr>
                <w:rFonts w:ascii="Times New Roman"/>
                <w:sz w:val="15"/>
              </w:rPr>
              <w:t>20,351,603.19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6" w:right="0"/>
              <w:jc w:val="center"/>
              <w:rPr>
                <w:rFonts w:ascii="Times New Roman" w:hAnsi="Times New Roman" w:cs="Times New Roman" w:eastAsia="Times New Roman" w:hint="default"/>
                <w:sz w:val="15"/>
                <w:szCs w:val="15"/>
              </w:rPr>
            </w:pPr>
            <w:r>
              <w:rPr>
                <w:rFonts w:ascii="Times New Roman"/>
                <w:sz w:val="15"/>
              </w:rPr>
              <w:t>-87,598,956.17</w:t>
            </w: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5" w:right="0"/>
              <w:jc w:val="center"/>
              <w:rPr>
                <w:rFonts w:ascii="Times New Roman" w:hAnsi="Times New Roman" w:cs="Times New Roman" w:eastAsia="Times New Roman" w:hint="default"/>
                <w:sz w:val="15"/>
                <w:szCs w:val="15"/>
              </w:rPr>
            </w:pPr>
            <w:r>
              <w:rPr>
                <w:rFonts w:ascii="Times New Roman"/>
                <w:sz w:val="15"/>
              </w:rPr>
              <w:t>2,731,076.57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center"/>
              <w:rPr>
                <w:rFonts w:ascii="Times New Roman" w:hAnsi="Times New Roman" w:cs="Times New Roman" w:eastAsia="Times New Roman" w:hint="default"/>
                <w:sz w:val="15"/>
                <w:szCs w:val="15"/>
              </w:rPr>
            </w:pPr>
            <w:r>
              <w:rPr>
                <w:rFonts w:ascii="Times New Roman"/>
                <w:sz w:val="15"/>
              </w:rPr>
              <w:t>-7,556,601.33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102,337,259.60</w:t>
            </w:r>
          </w:p>
        </w:tc>
      </w:tr>
    </w:tbl>
    <w:p>
      <w:pPr>
        <w:spacing w:after="0" w:line="240" w:lineRule="auto"/>
        <w:jc w:val="right"/>
        <w:rPr>
          <w:rFonts w:ascii="Times New Roman" w:hAnsi="Times New Roman" w:cs="Times New Roman" w:eastAsia="Times New Roman" w:hint="default"/>
          <w:sz w:val="15"/>
          <w:szCs w:val="15"/>
        </w:rPr>
        <w:sectPr>
          <w:pgSz w:w="11910" w:h="16840"/>
          <w:pgMar w:header="801" w:footer="1007" w:top="1100" w:bottom="1200" w:left="56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874"/>
        <w:gridCol w:w="1154"/>
        <w:gridCol w:w="545"/>
        <w:gridCol w:w="546"/>
        <w:gridCol w:w="516"/>
        <w:gridCol w:w="1154"/>
        <w:gridCol w:w="1154"/>
        <w:gridCol w:w="557"/>
        <w:gridCol w:w="541"/>
        <w:gridCol w:w="1079"/>
        <w:gridCol w:w="1154"/>
        <w:gridCol w:w="1266"/>
      </w:tblGrid>
      <w:tr>
        <w:trPr>
          <w:trHeight w:val="402" w:hRule="exact"/>
        </w:trPr>
        <w:tc>
          <w:tcPr>
            <w:tcW w:w="8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82"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96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14" w:hRule="exact"/>
        </w:trPr>
        <w:tc>
          <w:tcPr>
            <w:tcW w:w="874" w:type="dxa"/>
            <w:vMerge/>
            <w:tcBorders>
              <w:left w:val="single" w:sz="4" w:space="0" w:color="000000"/>
              <w:right w:val="single" w:sz="4" w:space="0" w:color="000000"/>
            </w:tcBorders>
            <w:shd w:val="clear" w:color="auto" w:fill="D2D2D2"/>
          </w:tcPr>
          <w:p>
            <w:pP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7" w:type="dxa"/>
            <w:gridSpan w:val="3"/>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1"/>
              <w:ind w:left="34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5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0"/>
              <w:ind w:left="123" w:right="121"/>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5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5" w:right="114"/>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3"/>
              <w:ind w:left="2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3"/>
              <w:ind w:left="19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3"/>
              <w:ind w:left="103"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00" w:hRule="exact"/>
        </w:trPr>
        <w:tc>
          <w:tcPr>
            <w:tcW w:w="874" w:type="dxa"/>
            <w:vMerge/>
            <w:tcBorders>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607"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27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196"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557" w:type="dxa"/>
            <w:vMerge/>
            <w:tcBorders>
              <w:left w:val="single" w:sz="4" w:space="0" w:color="000000"/>
              <w:right w:val="single" w:sz="4" w:space="0" w:color="000000"/>
            </w:tcBorders>
            <w:shd w:val="clear" w:color="auto" w:fill="D2D2D2"/>
          </w:tcPr>
          <w:p>
            <w:pPr/>
          </w:p>
        </w:tc>
        <w:tc>
          <w:tcPr>
            <w:tcW w:w="541" w:type="dxa"/>
            <w:vMerge/>
            <w:tcBorders>
              <w:left w:val="single" w:sz="4" w:space="0" w:color="000000"/>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1154" w:type="dxa"/>
            <w:vMerge/>
            <w:tcBorders>
              <w:left w:val="single" w:sz="4" w:space="0" w:color="000000"/>
              <w:right w:val="single" w:sz="4" w:space="0" w:color="000000"/>
            </w:tcBorders>
            <w:shd w:val="clear" w:color="auto" w:fill="D2D2D2"/>
          </w:tcPr>
          <w:p>
            <w:pPr/>
          </w:p>
        </w:tc>
        <w:tc>
          <w:tcPr>
            <w:tcW w:w="1266" w:type="dxa"/>
            <w:vMerge/>
            <w:tcBorders>
              <w:left w:val="single" w:sz="4" w:space="0" w:color="000000"/>
              <w:right w:val="single" w:sz="4" w:space="0" w:color="000000"/>
            </w:tcBorders>
            <w:shd w:val="clear" w:color="auto" w:fill="D2D2D2"/>
          </w:tcPr>
          <w:p>
            <w:pPr/>
          </w:p>
        </w:tc>
      </w:tr>
      <w:tr>
        <w:trPr>
          <w:trHeight w:val="406" w:hRule="exact"/>
        </w:trPr>
        <w:tc>
          <w:tcPr>
            <w:tcW w:w="874"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优先</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股</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3" w:lineRule="exact"/>
              <w:ind w:right="1"/>
              <w:jc w:val="center"/>
              <w:rPr>
                <w:rFonts w:ascii="宋体" w:hAnsi="宋体" w:cs="宋体" w:eastAsia="宋体" w:hint="default"/>
                <w:sz w:val="15"/>
                <w:szCs w:val="15"/>
              </w:rPr>
            </w:pPr>
            <w:r>
              <w:rPr>
                <w:rFonts w:ascii="宋体" w:hAnsi="宋体" w:cs="宋体" w:eastAsia="宋体" w:hint="default"/>
                <w:sz w:val="15"/>
                <w:szCs w:val="15"/>
              </w:rPr>
              <w:t>永续</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债</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4"/>
              <w:ind w:left="1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557" w:type="dxa"/>
            <w:vMerge/>
            <w:tcBorders>
              <w:left w:val="single" w:sz="4" w:space="0" w:color="000000"/>
              <w:bottom w:val="single" w:sz="4" w:space="0" w:color="000000"/>
              <w:right w:val="single" w:sz="4" w:space="0" w:color="000000"/>
            </w:tcBorders>
            <w:shd w:val="clear" w:color="auto" w:fill="D2D2D2"/>
          </w:tcPr>
          <w:p>
            <w:pPr/>
          </w:p>
        </w:tc>
        <w:tc>
          <w:tcPr>
            <w:tcW w:w="541" w:type="dxa"/>
            <w:vMerge/>
            <w:tcBorders>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266"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w:t>
            </w:r>
          </w:p>
          <w:p>
            <w:pPr>
              <w:pStyle w:val="TableParagraph"/>
              <w:spacing w:line="240" w:lineRule="auto"/>
              <w:ind w:left="103" w:right="158"/>
              <w:jc w:val="left"/>
              <w:rPr>
                <w:rFonts w:ascii="宋体" w:hAnsi="宋体" w:cs="宋体" w:eastAsia="宋体" w:hint="default"/>
                <w:sz w:val="15"/>
                <w:szCs w:val="15"/>
              </w:rPr>
            </w:pPr>
            <w:r>
              <w:rPr>
                <w:rFonts w:ascii="宋体" w:hAnsi="宋体" w:cs="宋体" w:eastAsia="宋体" w:hint="default"/>
                <w:sz w:val="15"/>
                <w:szCs w:val="15"/>
              </w:rPr>
              <w:t>合收益总 额</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4" w:right="0"/>
              <w:jc w:val="center"/>
              <w:rPr>
                <w:rFonts w:ascii="Times New Roman" w:hAnsi="Times New Roman" w:cs="Times New Roman" w:eastAsia="Times New Roman" w:hint="default"/>
                <w:sz w:val="15"/>
                <w:szCs w:val="15"/>
              </w:rPr>
            </w:pPr>
            <w:r>
              <w:rPr>
                <w:rFonts w:ascii="Times New Roman"/>
                <w:sz w:val="15"/>
              </w:rPr>
              <w:t>27,310,765.70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27,310,765.70</w:t>
            </w:r>
          </w:p>
        </w:tc>
      </w:tr>
      <w:tr>
        <w:trPr>
          <w:trHeight w:val="788"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103" w:right="0"/>
              <w:jc w:val="both"/>
              <w:rPr>
                <w:rFonts w:ascii="宋体" w:hAnsi="宋体" w:cs="宋体" w:eastAsia="宋体" w:hint="default"/>
                <w:sz w:val="15"/>
                <w:szCs w:val="15"/>
              </w:rPr>
            </w:pPr>
            <w:r>
              <w:rPr>
                <w:rFonts w:ascii="宋体" w:hAnsi="宋体" w:cs="宋体" w:eastAsia="宋体" w:hint="default"/>
                <w:sz w:val="15"/>
                <w:szCs w:val="15"/>
              </w:rPr>
              <w:t>（二）所</w:t>
            </w:r>
          </w:p>
          <w:p>
            <w:pPr>
              <w:pStyle w:val="TableParagraph"/>
              <w:spacing w:line="240" w:lineRule="auto"/>
              <w:ind w:left="103" w:right="158"/>
              <w:jc w:val="both"/>
              <w:rPr>
                <w:rFonts w:ascii="宋体" w:hAnsi="宋体" w:cs="宋体" w:eastAsia="宋体" w:hint="default"/>
                <w:sz w:val="15"/>
                <w:szCs w:val="15"/>
              </w:rPr>
            </w:pPr>
            <w:r>
              <w:rPr>
                <w:rFonts w:ascii="宋体" w:hAnsi="宋体" w:cs="宋体" w:eastAsia="宋体" w:hint="default"/>
                <w:sz w:val="15"/>
                <w:szCs w:val="15"/>
              </w:rPr>
              <w:t>有者投入 和减少资 本</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-787,775.00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20,351,603.19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left="26" w:right="0"/>
              <w:jc w:val="center"/>
              <w:rPr>
                <w:rFonts w:ascii="Times New Roman" w:hAnsi="Times New Roman" w:cs="Times New Roman" w:eastAsia="Times New Roman" w:hint="default"/>
                <w:sz w:val="15"/>
                <w:szCs w:val="15"/>
              </w:rPr>
            </w:pPr>
            <w:r>
              <w:rPr>
                <w:rFonts w:ascii="Times New Roman"/>
                <w:sz w:val="15"/>
              </w:rPr>
              <w:t>-87,212,891.70</w:t>
            </w: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106,776,719.89</w:t>
            </w:r>
          </w:p>
        </w:tc>
      </w:tr>
      <w:tr>
        <w:trPr>
          <w:trHeight w:val="594"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．所有者</w:t>
            </w:r>
          </w:p>
          <w:p>
            <w:pPr>
              <w:pStyle w:val="TableParagraph"/>
              <w:spacing w:line="194" w:lineRule="exact" w:before="14"/>
              <w:ind w:left="103" w:right="158"/>
              <w:jc w:val="left"/>
              <w:rPr>
                <w:rFonts w:ascii="宋体" w:hAnsi="宋体" w:cs="宋体" w:eastAsia="宋体" w:hint="default"/>
                <w:sz w:val="15"/>
                <w:szCs w:val="15"/>
              </w:rPr>
            </w:pPr>
            <w:r>
              <w:rPr>
                <w:rFonts w:ascii="宋体" w:hAnsi="宋体" w:cs="宋体" w:eastAsia="宋体" w:hint="default"/>
                <w:sz w:val="15"/>
                <w:szCs w:val="15"/>
              </w:rPr>
              <w:t>投入的普 通股</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107,128,476.40</w:t>
            </w: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107,128,476.40</w:t>
            </w:r>
          </w:p>
        </w:tc>
      </w:tr>
      <w:tr>
        <w:trPr>
          <w:trHeight w:val="788"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both"/>
              <w:rPr>
                <w:rFonts w:ascii="宋体" w:hAnsi="宋体" w:cs="宋体" w:eastAsia="宋体" w:hint="default"/>
                <w:sz w:val="15"/>
                <w:szCs w:val="15"/>
              </w:rPr>
            </w:pPr>
            <w:r>
              <w:rPr>
                <w:rFonts w:ascii="Times New Roman" w:hAnsi="Times New Roman" w:cs="Times New Roman" w:eastAsia="Times New Roman" w:hint="default"/>
                <w:spacing w:val="-4"/>
                <w:sz w:val="15"/>
                <w:szCs w:val="15"/>
              </w:rPr>
              <w:t>2</w:t>
            </w:r>
            <w:r>
              <w:rPr>
                <w:rFonts w:ascii="宋体" w:hAnsi="宋体" w:cs="宋体" w:eastAsia="宋体" w:hint="default"/>
                <w:spacing w:val="-4"/>
                <w:sz w:val="15"/>
                <w:szCs w:val="15"/>
              </w:rPr>
              <w:t>．其他权</w:t>
            </w:r>
          </w:p>
          <w:p>
            <w:pPr>
              <w:pStyle w:val="TableParagraph"/>
              <w:spacing w:line="194" w:lineRule="exact" w:before="13"/>
              <w:ind w:left="103" w:right="158"/>
              <w:jc w:val="both"/>
              <w:rPr>
                <w:rFonts w:ascii="宋体" w:hAnsi="宋体" w:cs="宋体" w:eastAsia="宋体" w:hint="default"/>
                <w:sz w:val="15"/>
                <w:szCs w:val="15"/>
              </w:rPr>
            </w:pPr>
            <w:r>
              <w:rPr>
                <w:rFonts w:ascii="宋体" w:hAnsi="宋体" w:cs="宋体" w:eastAsia="宋体" w:hint="default"/>
                <w:sz w:val="15"/>
                <w:szCs w:val="15"/>
              </w:rPr>
              <w:t>益工具持 有者投入 资本</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both"/>
              <w:rPr>
                <w:rFonts w:ascii="宋体" w:hAnsi="宋体" w:cs="宋体" w:eastAsia="宋体" w:hint="default"/>
                <w:sz w:val="15"/>
                <w:szCs w:val="15"/>
              </w:rPr>
            </w:pPr>
            <w:r>
              <w:rPr>
                <w:rFonts w:ascii="Times New Roman" w:hAnsi="Times New Roman" w:cs="Times New Roman" w:eastAsia="Times New Roman" w:hint="default"/>
                <w:spacing w:val="-4"/>
                <w:sz w:val="15"/>
                <w:szCs w:val="15"/>
              </w:rPr>
              <w:t>3</w:t>
            </w:r>
            <w:r>
              <w:rPr>
                <w:rFonts w:ascii="宋体" w:hAnsi="宋体" w:cs="宋体" w:eastAsia="宋体" w:hint="default"/>
                <w:spacing w:val="-4"/>
                <w:sz w:val="15"/>
                <w:szCs w:val="15"/>
              </w:rPr>
              <w:t>．股份支</w:t>
            </w:r>
          </w:p>
          <w:p>
            <w:pPr>
              <w:pStyle w:val="TableParagraph"/>
              <w:spacing w:line="194" w:lineRule="exact" w:before="13"/>
              <w:ind w:left="103" w:right="158"/>
              <w:jc w:val="both"/>
              <w:rPr>
                <w:rFonts w:ascii="宋体" w:hAnsi="宋体" w:cs="宋体" w:eastAsia="宋体" w:hint="default"/>
                <w:sz w:val="15"/>
                <w:szCs w:val="15"/>
              </w:rPr>
            </w:pPr>
            <w:r>
              <w:rPr>
                <w:rFonts w:ascii="宋体" w:hAnsi="宋体" w:cs="宋体" w:eastAsia="宋体" w:hint="default"/>
                <w:sz w:val="15"/>
                <w:szCs w:val="15"/>
              </w:rPr>
              <w:t>付计入所 有者权益 的金额</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-86,935,103.09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26" w:right="0"/>
              <w:jc w:val="center"/>
              <w:rPr>
                <w:rFonts w:ascii="Times New Roman" w:hAnsi="Times New Roman" w:cs="Times New Roman" w:eastAsia="Times New Roman" w:hint="default"/>
                <w:sz w:val="15"/>
                <w:szCs w:val="15"/>
              </w:rPr>
            </w:pPr>
            <w:r>
              <w:rPr>
                <w:rFonts w:ascii="Times New Roman"/>
                <w:sz w:val="15"/>
              </w:rPr>
              <w:t>-87,212,891.70</w:t>
            </w: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277,788.60</w:t>
            </w:r>
          </w:p>
        </w:tc>
      </w:tr>
      <w:tr>
        <w:trPr>
          <w:trHeight w:val="40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-787,775.00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158,229.88</w:t>
            </w: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-629,545.12</w:t>
            </w:r>
          </w:p>
        </w:tc>
      </w:tr>
      <w:tr>
        <w:trPr>
          <w:trHeight w:val="408"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润分配</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13" w:right="0"/>
              <w:jc w:val="center"/>
              <w:rPr>
                <w:rFonts w:ascii="Times New Roman" w:hAnsi="Times New Roman" w:cs="Times New Roman" w:eastAsia="Times New Roman" w:hint="default"/>
                <w:sz w:val="15"/>
                <w:szCs w:val="15"/>
              </w:rPr>
            </w:pPr>
            <w:r>
              <w:rPr>
                <w:rFonts w:ascii="Times New Roman"/>
                <w:sz w:val="15"/>
              </w:rPr>
              <w:t>-386,064.47</w:t>
            </w: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5" w:right="0"/>
              <w:jc w:val="center"/>
              <w:rPr>
                <w:rFonts w:ascii="Times New Roman" w:hAnsi="Times New Roman" w:cs="Times New Roman" w:eastAsia="Times New Roman" w:hint="default"/>
                <w:sz w:val="15"/>
                <w:szCs w:val="15"/>
              </w:rPr>
            </w:pPr>
            <w:r>
              <w:rPr>
                <w:rFonts w:ascii="Times New Roman"/>
                <w:sz w:val="15"/>
              </w:rPr>
              <w:t>2,731,076.57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6" w:right="0"/>
              <w:jc w:val="center"/>
              <w:rPr>
                <w:rFonts w:ascii="Times New Roman" w:hAnsi="Times New Roman" w:cs="Times New Roman" w:eastAsia="Times New Roman" w:hint="default"/>
                <w:sz w:val="15"/>
                <w:szCs w:val="15"/>
              </w:rPr>
            </w:pPr>
            <w:r>
              <w:rPr>
                <w:rFonts w:ascii="Times New Roman"/>
                <w:sz w:val="15"/>
              </w:rPr>
              <w:t>-34,867,367.03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-31,750,225.99</w:t>
            </w:r>
          </w:p>
        </w:tc>
      </w:tr>
      <w:tr>
        <w:trPr>
          <w:trHeight w:val="40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9"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．提取盈</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余公积</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5" w:right="0"/>
              <w:jc w:val="center"/>
              <w:rPr>
                <w:rFonts w:ascii="Times New Roman" w:hAnsi="Times New Roman" w:cs="Times New Roman" w:eastAsia="Times New Roman" w:hint="default"/>
                <w:sz w:val="15"/>
                <w:szCs w:val="15"/>
              </w:rPr>
            </w:pPr>
            <w:r>
              <w:rPr>
                <w:rFonts w:ascii="Times New Roman"/>
                <w:sz w:val="15"/>
              </w:rPr>
              <w:t>2,731,076.57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0" w:right="0"/>
              <w:jc w:val="center"/>
              <w:rPr>
                <w:rFonts w:ascii="Times New Roman" w:hAnsi="Times New Roman" w:cs="Times New Roman" w:eastAsia="Times New Roman" w:hint="default"/>
                <w:sz w:val="15"/>
                <w:szCs w:val="15"/>
              </w:rPr>
            </w:pPr>
            <w:r>
              <w:rPr>
                <w:rFonts w:ascii="Times New Roman"/>
                <w:sz w:val="15"/>
              </w:rPr>
              <w:t>-2,731,076.57</w:t>
            </w: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789"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both"/>
              <w:rPr>
                <w:rFonts w:ascii="宋体" w:hAnsi="宋体" w:cs="宋体" w:eastAsia="宋体" w:hint="default"/>
                <w:sz w:val="15"/>
                <w:szCs w:val="15"/>
              </w:rPr>
            </w:pPr>
            <w:r>
              <w:rPr>
                <w:rFonts w:ascii="Times New Roman" w:hAnsi="Times New Roman" w:cs="Times New Roman" w:eastAsia="Times New Roman" w:hint="default"/>
                <w:spacing w:val="-4"/>
                <w:sz w:val="15"/>
                <w:szCs w:val="15"/>
              </w:rPr>
              <w:t>2</w:t>
            </w:r>
            <w:r>
              <w:rPr>
                <w:rFonts w:ascii="宋体" w:hAnsi="宋体" w:cs="宋体" w:eastAsia="宋体" w:hint="default"/>
                <w:spacing w:val="-4"/>
                <w:sz w:val="15"/>
                <w:szCs w:val="15"/>
              </w:rPr>
              <w:t>．对所有</w:t>
            </w:r>
          </w:p>
          <w:p>
            <w:pPr>
              <w:pStyle w:val="TableParagraph"/>
              <w:spacing w:line="194" w:lineRule="exact" w:before="13"/>
              <w:ind w:left="103" w:right="158"/>
              <w:jc w:val="both"/>
              <w:rPr>
                <w:rFonts w:ascii="宋体" w:hAnsi="宋体" w:cs="宋体" w:eastAsia="宋体" w:hint="default"/>
                <w:sz w:val="15"/>
                <w:szCs w:val="15"/>
              </w:rPr>
            </w:pPr>
            <w:r>
              <w:rPr>
                <w:rFonts w:ascii="宋体" w:hAnsi="宋体" w:cs="宋体" w:eastAsia="宋体" w:hint="default"/>
                <w:sz w:val="15"/>
                <w:szCs w:val="15"/>
              </w:rPr>
              <w:t>者（或股 东）的分 配</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213" w:right="0"/>
              <w:jc w:val="center"/>
              <w:rPr>
                <w:rFonts w:ascii="Times New Roman" w:hAnsi="Times New Roman" w:cs="Times New Roman" w:eastAsia="Times New Roman" w:hint="default"/>
                <w:sz w:val="15"/>
                <w:szCs w:val="15"/>
              </w:rPr>
            </w:pPr>
            <w:r>
              <w:rPr>
                <w:rFonts w:ascii="Times New Roman"/>
                <w:sz w:val="15"/>
              </w:rPr>
              <w:t>-386,064.47</w:t>
            </w: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26" w:right="0"/>
              <w:jc w:val="center"/>
              <w:rPr>
                <w:rFonts w:ascii="Times New Roman" w:hAnsi="Times New Roman" w:cs="Times New Roman" w:eastAsia="Times New Roman" w:hint="default"/>
                <w:sz w:val="15"/>
                <w:szCs w:val="15"/>
              </w:rPr>
            </w:pPr>
            <w:r>
              <w:rPr>
                <w:rFonts w:ascii="Times New Roman"/>
                <w:sz w:val="15"/>
              </w:rPr>
              <w:t>-32,136,290.46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-31,750,225.99</w:t>
            </w:r>
          </w:p>
        </w:tc>
      </w:tr>
      <w:tr>
        <w:trPr>
          <w:trHeight w:val="40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w:t>
            </w:r>
          </w:p>
          <w:p>
            <w:pPr>
              <w:pStyle w:val="TableParagraph"/>
              <w:spacing w:line="240" w:lineRule="auto"/>
              <w:ind w:left="103" w:right="158"/>
              <w:jc w:val="left"/>
              <w:rPr>
                <w:rFonts w:ascii="宋体" w:hAnsi="宋体" w:cs="宋体" w:eastAsia="宋体" w:hint="default"/>
                <w:sz w:val="15"/>
                <w:szCs w:val="15"/>
              </w:rPr>
            </w:pPr>
            <w:r>
              <w:rPr>
                <w:rFonts w:ascii="宋体" w:hAnsi="宋体" w:cs="宋体" w:eastAsia="宋体" w:hint="default"/>
                <w:sz w:val="15"/>
                <w:szCs w:val="15"/>
              </w:rPr>
              <w:t>有者权益 内部结转</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7" w:lineRule="exact"/>
              <w:ind w:left="103" w:right="0"/>
              <w:jc w:val="both"/>
              <w:rPr>
                <w:rFonts w:ascii="宋体" w:hAnsi="宋体" w:cs="宋体" w:eastAsia="宋体" w:hint="default"/>
                <w:sz w:val="15"/>
                <w:szCs w:val="15"/>
              </w:rPr>
            </w:pP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．资本公</w:t>
            </w:r>
          </w:p>
          <w:p>
            <w:pPr>
              <w:pStyle w:val="TableParagraph"/>
              <w:spacing w:line="194" w:lineRule="exact" w:before="13"/>
              <w:ind w:left="103" w:right="158"/>
              <w:jc w:val="both"/>
              <w:rPr>
                <w:rFonts w:ascii="宋体" w:hAnsi="宋体" w:cs="宋体" w:eastAsia="宋体" w:hint="default"/>
                <w:sz w:val="15"/>
                <w:szCs w:val="15"/>
              </w:rPr>
            </w:pPr>
            <w:r>
              <w:rPr>
                <w:rFonts w:ascii="宋体" w:hAnsi="宋体" w:cs="宋体" w:eastAsia="宋体" w:hint="default"/>
                <w:sz w:val="15"/>
                <w:szCs w:val="15"/>
              </w:rPr>
              <w:t>积转增资 本（或股 本）</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788"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7" w:lineRule="exact"/>
              <w:ind w:left="103" w:right="0"/>
              <w:jc w:val="both"/>
              <w:rPr>
                <w:rFonts w:ascii="宋体" w:hAnsi="宋体" w:cs="宋体" w:eastAsia="宋体" w:hint="default"/>
                <w:sz w:val="15"/>
                <w:szCs w:val="15"/>
              </w:rPr>
            </w:pPr>
            <w:r>
              <w:rPr>
                <w:rFonts w:ascii="Times New Roman" w:hAnsi="Times New Roman" w:cs="Times New Roman" w:eastAsia="Times New Roman" w:hint="default"/>
                <w:spacing w:val="-4"/>
                <w:sz w:val="15"/>
                <w:szCs w:val="15"/>
              </w:rPr>
              <w:t>2</w:t>
            </w:r>
            <w:r>
              <w:rPr>
                <w:rFonts w:ascii="宋体" w:hAnsi="宋体" w:cs="宋体" w:eastAsia="宋体" w:hint="default"/>
                <w:spacing w:val="-4"/>
                <w:sz w:val="15"/>
                <w:szCs w:val="15"/>
              </w:rPr>
              <w:t>．盈余公</w:t>
            </w:r>
          </w:p>
          <w:p>
            <w:pPr>
              <w:pStyle w:val="TableParagraph"/>
              <w:spacing w:line="194" w:lineRule="exact" w:before="13"/>
              <w:ind w:left="103" w:right="158"/>
              <w:jc w:val="both"/>
              <w:rPr>
                <w:rFonts w:ascii="宋体" w:hAnsi="宋体" w:cs="宋体" w:eastAsia="宋体" w:hint="default"/>
                <w:sz w:val="15"/>
                <w:szCs w:val="15"/>
              </w:rPr>
            </w:pPr>
            <w:r>
              <w:rPr>
                <w:rFonts w:ascii="宋体" w:hAnsi="宋体" w:cs="宋体" w:eastAsia="宋体" w:hint="default"/>
                <w:sz w:val="15"/>
                <w:szCs w:val="15"/>
              </w:rPr>
              <w:t>积转增资 本（或股 本）</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3</w:t>
            </w:r>
            <w:r>
              <w:rPr>
                <w:rFonts w:ascii="宋体" w:hAnsi="宋体" w:cs="宋体" w:eastAsia="宋体" w:hint="default"/>
                <w:spacing w:val="-4"/>
                <w:sz w:val="15"/>
                <w:szCs w:val="15"/>
              </w:rPr>
              <w:t>．盈余公</w:t>
            </w:r>
          </w:p>
          <w:p>
            <w:pPr>
              <w:pStyle w:val="TableParagraph"/>
              <w:spacing w:line="196" w:lineRule="exact" w:before="11"/>
              <w:ind w:left="103" w:right="158"/>
              <w:jc w:val="left"/>
              <w:rPr>
                <w:rFonts w:ascii="宋体" w:hAnsi="宋体" w:cs="宋体" w:eastAsia="宋体" w:hint="default"/>
                <w:sz w:val="15"/>
                <w:szCs w:val="15"/>
              </w:rPr>
            </w:pPr>
            <w:r>
              <w:rPr>
                <w:rFonts w:ascii="宋体" w:hAnsi="宋体" w:cs="宋体" w:eastAsia="宋体" w:hint="default"/>
                <w:sz w:val="15"/>
                <w:szCs w:val="15"/>
              </w:rPr>
              <w:t>积弥补亏 损</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78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both"/>
              <w:rPr>
                <w:rFonts w:ascii="宋体" w:hAnsi="宋体" w:cs="宋体" w:eastAsia="宋体" w:hint="default"/>
                <w:sz w:val="15"/>
                <w:szCs w:val="15"/>
              </w:rPr>
            </w:pPr>
            <w:r>
              <w:rPr>
                <w:rFonts w:ascii="Times New Roman" w:hAnsi="Times New Roman" w:cs="Times New Roman" w:eastAsia="Times New Roman" w:hint="default"/>
                <w:spacing w:val="-4"/>
                <w:sz w:val="15"/>
                <w:szCs w:val="15"/>
              </w:rPr>
              <w:t>4</w:t>
            </w:r>
            <w:r>
              <w:rPr>
                <w:rFonts w:ascii="宋体" w:hAnsi="宋体" w:cs="宋体" w:eastAsia="宋体" w:hint="default"/>
                <w:spacing w:val="-4"/>
                <w:sz w:val="15"/>
                <w:szCs w:val="15"/>
              </w:rPr>
              <w:t>．设定受</w:t>
            </w:r>
          </w:p>
          <w:p>
            <w:pPr>
              <w:pStyle w:val="TableParagraph"/>
              <w:spacing w:line="194" w:lineRule="exact" w:before="13"/>
              <w:ind w:left="103" w:right="158"/>
              <w:jc w:val="both"/>
              <w:rPr>
                <w:rFonts w:ascii="宋体" w:hAnsi="宋体" w:cs="宋体" w:eastAsia="宋体" w:hint="default"/>
                <w:sz w:val="15"/>
                <w:szCs w:val="15"/>
              </w:rPr>
            </w:pPr>
            <w:r>
              <w:rPr>
                <w:rFonts w:ascii="宋体" w:hAnsi="宋体" w:cs="宋体" w:eastAsia="宋体" w:hint="default"/>
                <w:sz w:val="15"/>
                <w:szCs w:val="15"/>
              </w:rPr>
              <w:t>益计划变 动额结转 留存收益</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项储备</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9"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1</w:t>
            </w:r>
            <w:r>
              <w:rPr>
                <w:rFonts w:ascii="宋体" w:hAnsi="宋体" w:cs="宋体" w:eastAsia="宋体" w:hint="default"/>
                <w:spacing w:val="-4"/>
                <w:sz w:val="15"/>
                <w:szCs w:val="15"/>
              </w:rPr>
              <w:t>．本期提</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取</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1"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pacing w:val="-4"/>
                <w:sz w:val="15"/>
                <w:szCs w:val="15"/>
              </w:rPr>
              <w:t>2</w:t>
            </w:r>
            <w:r>
              <w:rPr>
                <w:rFonts w:ascii="宋体" w:hAnsi="宋体" w:cs="宋体" w:eastAsia="宋体" w:hint="default"/>
                <w:spacing w:val="-4"/>
                <w:sz w:val="15"/>
                <w:szCs w:val="15"/>
              </w:rPr>
              <w:t>．本期使</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sz w:val="15"/>
                <w:szCs w:val="15"/>
              </w:rPr>
              <w:t>用</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他</w:t>
            </w:r>
          </w:p>
        </w:tc>
        <w:tc>
          <w:tcPr>
            <w:tcW w:w="1154"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403,090,847.00</w:t>
            </w:r>
          </w:p>
        </w:tc>
        <w:tc>
          <w:tcPr>
            <w:tcW w:w="545"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647,141,880.45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4" w:right="0"/>
              <w:jc w:val="center"/>
              <w:rPr>
                <w:rFonts w:ascii="Times New Roman" w:hAnsi="Times New Roman" w:cs="Times New Roman" w:eastAsia="Times New Roman" w:hint="default"/>
                <w:sz w:val="15"/>
                <w:szCs w:val="15"/>
              </w:rPr>
            </w:pPr>
            <w:r>
              <w:rPr>
                <w:rFonts w:ascii="Times New Roman"/>
                <w:sz w:val="15"/>
              </w:rPr>
              <w:t>94,789,061.50</w:t>
            </w:r>
          </w:p>
        </w:tc>
        <w:tc>
          <w:tcPr>
            <w:tcW w:w="557" w:type="dxa"/>
            <w:tcBorders>
              <w:top w:val="single" w:sz="4" w:space="0" w:color="000000"/>
              <w:left w:val="single" w:sz="4" w:space="0" w:color="000000"/>
              <w:bottom w:val="single" w:sz="4" w:space="0" w:color="000000"/>
              <w:right w:val="single" w:sz="4" w:space="0" w:color="000000"/>
            </w:tcBorders>
          </w:tcPr>
          <w:p>
            <w:pPr/>
          </w:p>
        </w:tc>
        <w:tc>
          <w:tcPr>
            <w:tcW w:w="541"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57,163,657.72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 w:right="0"/>
              <w:jc w:val="center"/>
              <w:rPr>
                <w:rFonts w:ascii="Times New Roman" w:hAnsi="Times New Roman" w:cs="Times New Roman" w:eastAsia="Times New Roman" w:hint="default"/>
                <w:sz w:val="15"/>
                <w:szCs w:val="15"/>
              </w:rPr>
            </w:pPr>
            <w:r>
              <w:rPr>
                <w:rFonts w:ascii="Times New Roman"/>
                <w:sz w:val="15"/>
              </w:rPr>
              <w:t>325,735,178.79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1,338,342,502.46</w:t>
            </w:r>
          </w:p>
        </w:tc>
      </w:tr>
    </w:tbl>
    <w:p>
      <w:pPr>
        <w:spacing w:after="0" w:line="240" w:lineRule="auto"/>
        <w:jc w:val="right"/>
        <w:rPr>
          <w:rFonts w:ascii="Times New Roman" w:hAnsi="Times New Roman" w:cs="Times New Roman" w:eastAsia="Times New Roman" w:hint="default"/>
          <w:sz w:val="15"/>
          <w:szCs w:val="15"/>
        </w:rPr>
        <w:sectPr>
          <w:pgSz w:w="11910" w:h="16840"/>
          <w:pgMar w:header="801" w:footer="1007" w:top="1100" w:bottom="1200" w:left="560" w:right="0"/>
        </w:sectPr>
      </w:pPr>
    </w:p>
    <w:p>
      <w:pPr>
        <w:spacing w:line="240" w:lineRule="auto" w:before="8"/>
        <w:rPr>
          <w:rFonts w:ascii="Times New Roman" w:hAnsi="Times New Roman" w:cs="Times New Roman" w:eastAsia="Times New Roman" w:hint="default"/>
          <w:sz w:val="21"/>
          <w:szCs w:val="21"/>
        </w:rPr>
      </w:pPr>
    </w:p>
    <w:p>
      <w:pPr>
        <w:pStyle w:val="BodyText"/>
        <w:spacing w:line="240" w:lineRule="auto" w:before="35"/>
        <w:ind w:left="994" w:right="1017"/>
        <w:jc w:val="left"/>
      </w:pPr>
      <w:r>
        <w:rPr/>
        <w:t>上期金额</w:t>
      </w:r>
    </w:p>
    <w:p>
      <w:pPr>
        <w:spacing w:line="240" w:lineRule="auto" w:before="11"/>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1043"/>
        <w:gridCol w:w="1153"/>
        <w:gridCol w:w="533"/>
        <w:gridCol w:w="590"/>
        <w:gridCol w:w="370"/>
        <w:gridCol w:w="1155"/>
        <w:gridCol w:w="1157"/>
        <w:gridCol w:w="516"/>
        <w:gridCol w:w="520"/>
        <w:gridCol w:w="1079"/>
        <w:gridCol w:w="1157"/>
        <w:gridCol w:w="1270"/>
      </w:tblGrid>
      <w:tr>
        <w:trPr>
          <w:trHeight w:val="401" w:hRule="exact"/>
        </w:trPr>
        <w:tc>
          <w:tcPr>
            <w:tcW w:w="10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49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16" w:hRule="exact"/>
        </w:trPr>
        <w:tc>
          <w:tcPr>
            <w:tcW w:w="1043" w:type="dxa"/>
            <w:vMerge/>
            <w:tcBorders>
              <w:left w:val="single" w:sz="4" w:space="0" w:color="000000"/>
              <w:right w:val="single" w:sz="4" w:space="0" w:color="000000"/>
            </w:tcBorders>
            <w:shd w:val="clear" w:color="auto" w:fill="D2D2D2"/>
          </w:tcPr>
          <w:p>
            <w:pP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3" w:type="dxa"/>
            <w:gridSpan w:val="3"/>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2"/>
              <w:ind w:left="290"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1"/>
              <w:ind w:left="103" w:right="101"/>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5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4" w:right="103"/>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23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19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104"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99" w:hRule="exact"/>
        </w:trPr>
        <w:tc>
          <w:tcPr>
            <w:tcW w:w="1043" w:type="dxa"/>
            <w:vMerge/>
            <w:tcBorders>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49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155"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27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57"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19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516" w:type="dxa"/>
            <w:vMerge/>
            <w:tcBorders>
              <w:left w:val="single" w:sz="4" w:space="0" w:color="000000"/>
              <w:right w:val="single" w:sz="4" w:space="0" w:color="000000"/>
            </w:tcBorders>
            <w:shd w:val="clear" w:color="auto" w:fill="D2D2D2"/>
          </w:tcPr>
          <w:p>
            <w:pPr/>
          </w:p>
        </w:tc>
        <w:tc>
          <w:tcPr>
            <w:tcW w:w="520" w:type="dxa"/>
            <w:vMerge/>
            <w:tcBorders>
              <w:left w:val="single" w:sz="4" w:space="0" w:color="000000"/>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1157"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right w:val="single" w:sz="4" w:space="0" w:color="000000"/>
            </w:tcBorders>
            <w:shd w:val="clear" w:color="auto" w:fill="D2D2D2"/>
          </w:tcPr>
          <w:p>
            <w:pPr/>
          </w:p>
        </w:tc>
      </w:tr>
      <w:tr>
        <w:trPr>
          <w:trHeight w:val="405" w:hRule="exact"/>
        </w:trPr>
        <w:tc>
          <w:tcPr>
            <w:tcW w:w="1043"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优先</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股</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永续</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债</w:t>
            </w:r>
          </w:p>
        </w:tc>
        <w:tc>
          <w:tcPr>
            <w:tcW w:w="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2" w:lineRule="exact"/>
              <w:ind w:left="104" w:right="0"/>
              <w:jc w:val="left"/>
              <w:rPr>
                <w:rFonts w:ascii="宋体" w:hAnsi="宋体" w:cs="宋体" w:eastAsia="宋体" w:hint="default"/>
                <w:sz w:val="15"/>
                <w:szCs w:val="15"/>
              </w:rPr>
            </w:pPr>
            <w:r>
              <w:rPr>
                <w:rFonts w:ascii="宋体" w:hAnsi="宋体" w:cs="宋体" w:eastAsia="宋体" w:hint="default"/>
                <w:sz w:val="15"/>
                <w:szCs w:val="15"/>
              </w:rPr>
              <w:t>其</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他</w:t>
            </w:r>
          </w:p>
        </w:tc>
        <w:tc>
          <w:tcPr>
            <w:tcW w:w="1155" w:type="dxa"/>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single" w:sz="4" w:space="0" w:color="000000"/>
              <w:right w:val="single" w:sz="4" w:space="0" w:color="000000"/>
            </w:tcBorders>
            <w:shd w:val="clear" w:color="auto" w:fill="D2D2D2"/>
          </w:tcPr>
          <w:p>
            <w:pPr/>
          </w:p>
        </w:tc>
        <w:tc>
          <w:tcPr>
            <w:tcW w:w="516" w:type="dxa"/>
            <w:vMerge/>
            <w:tcBorders>
              <w:left w:val="single" w:sz="4" w:space="0" w:color="000000"/>
              <w:bottom w:val="single" w:sz="4" w:space="0" w:color="000000"/>
              <w:right w:val="single" w:sz="4" w:space="0" w:color="000000"/>
            </w:tcBorders>
            <w:shd w:val="clear" w:color="auto" w:fill="D2D2D2"/>
          </w:tcPr>
          <w:p>
            <w:pPr/>
          </w:p>
        </w:tc>
        <w:tc>
          <w:tcPr>
            <w:tcW w:w="520" w:type="dxa"/>
            <w:vMerge/>
            <w:tcBorders>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spacing w:val="-75"/>
                <w:sz w:val="15"/>
                <w:szCs w:val="15"/>
              </w:rPr>
              <w:t>、</w:t>
            </w:r>
            <w:r>
              <w:rPr>
                <w:rFonts w:ascii="宋体" w:hAnsi="宋体" w:cs="宋体" w:eastAsia="宋体" w:hint="default"/>
                <w:sz w:val="15"/>
                <w:szCs w:val="15"/>
              </w:rPr>
              <w:t>上年期末</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余额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403,059,644.00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594,787,384.84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265,017,689.99</w:t>
            </w: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48,530,257.74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15"/>
                <w:szCs w:val="15"/>
              </w:rPr>
            </w:pPr>
            <w:r>
              <w:rPr>
                <w:rFonts w:ascii="Times New Roman"/>
                <w:sz w:val="15"/>
              </w:rPr>
              <w:t>308,047,043.76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1,089,406,640.35</w:t>
            </w: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加</w:t>
            </w:r>
            <w:r>
              <w:rPr>
                <w:rFonts w:ascii="宋体" w:hAnsi="宋体" w:cs="宋体" w:eastAsia="宋体" w:hint="default"/>
                <w:spacing w:val="-75"/>
                <w:sz w:val="15"/>
                <w:szCs w:val="15"/>
              </w:rPr>
              <w:t>：</w:t>
            </w:r>
            <w:r>
              <w:rPr>
                <w:rFonts w:ascii="宋体" w:hAnsi="宋体" w:cs="宋体" w:eastAsia="宋体" w:hint="default"/>
                <w:sz w:val="15"/>
                <w:szCs w:val="15"/>
              </w:rPr>
              <w:t>会计</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政策变更</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03" w:right="0" w:firstLine="600"/>
              <w:jc w:val="left"/>
              <w:rPr>
                <w:rFonts w:ascii="宋体" w:hAnsi="宋体" w:cs="宋体" w:eastAsia="宋体" w:hint="default"/>
                <w:sz w:val="15"/>
                <w:szCs w:val="15"/>
              </w:rPr>
            </w:pPr>
            <w:r>
              <w:rPr>
                <w:rFonts w:ascii="宋体" w:hAnsi="宋体" w:cs="宋体" w:eastAsia="宋体" w:hint="default"/>
                <w:sz w:val="15"/>
                <w:szCs w:val="15"/>
              </w:rPr>
              <w:t>前</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期差错更正</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703" w:right="0"/>
              <w:jc w:val="left"/>
              <w:rPr>
                <w:rFonts w:ascii="宋体" w:hAnsi="宋体" w:cs="宋体" w:eastAsia="宋体" w:hint="default"/>
                <w:sz w:val="15"/>
                <w:szCs w:val="15"/>
              </w:rPr>
            </w:pPr>
            <w:r>
              <w:rPr>
                <w:rFonts w:ascii="宋体" w:hAnsi="宋体" w:cs="宋体" w:eastAsia="宋体" w:hint="default"/>
                <w:sz w:val="15"/>
                <w:szCs w:val="15"/>
              </w:rPr>
              <w:t>其</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他</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pacing w:val="-75"/>
                <w:sz w:val="15"/>
                <w:szCs w:val="15"/>
              </w:rPr>
              <w:t>、</w:t>
            </w:r>
            <w:r>
              <w:rPr>
                <w:rFonts w:ascii="宋体" w:hAnsi="宋体" w:cs="宋体" w:eastAsia="宋体" w:hint="default"/>
                <w:sz w:val="15"/>
                <w:szCs w:val="15"/>
              </w:rPr>
              <w:t>本年期初</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余额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403,059,644.00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z w:val="15"/>
              </w:rPr>
              <w:t>594,787,384.84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265,017,689.99</w:t>
            </w: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48,530,257.74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 w:right="0"/>
              <w:jc w:val="center"/>
              <w:rPr>
                <w:rFonts w:ascii="Times New Roman" w:hAnsi="Times New Roman" w:cs="Times New Roman" w:eastAsia="Times New Roman" w:hint="default"/>
                <w:sz w:val="15"/>
                <w:szCs w:val="15"/>
              </w:rPr>
            </w:pPr>
            <w:r>
              <w:rPr>
                <w:rFonts w:ascii="Times New Roman"/>
                <w:sz w:val="15"/>
              </w:rPr>
              <w:t>308,047,043.76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1,089,406,640.35</w:t>
            </w:r>
          </w:p>
        </w:tc>
      </w:tr>
      <w:tr>
        <w:trPr>
          <w:trHeight w:val="78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75"/>
                <w:sz w:val="15"/>
                <w:szCs w:val="15"/>
              </w:rPr>
              <w:t>、</w:t>
            </w:r>
            <w:r>
              <w:rPr>
                <w:rFonts w:ascii="宋体" w:hAnsi="宋体" w:cs="宋体" w:eastAsia="宋体" w:hint="default"/>
                <w:sz w:val="15"/>
                <w:szCs w:val="15"/>
              </w:rPr>
              <w:t>本期增减</w:t>
            </w:r>
          </w:p>
          <w:p>
            <w:pPr>
              <w:pStyle w:val="TableParagraph"/>
              <w:spacing w:line="194" w:lineRule="exact" w:before="19"/>
              <w:ind w:left="103" w:right="102"/>
              <w:jc w:val="left"/>
              <w:rPr>
                <w:rFonts w:ascii="宋体" w:hAnsi="宋体" w:cs="宋体" w:eastAsia="宋体" w:hint="default"/>
                <w:sz w:val="15"/>
                <w:szCs w:val="15"/>
              </w:rPr>
            </w:pPr>
            <w:r>
              <w:rPr>
                <w:rFonts w:ascii="宋体" w:hAnsi="宋体" w:cs="宋体" w:eastAsia="宋体" w:hint="default"/>
                <w:spacing w:val="-13"/>
                <w:sz w:val="15"/>
                <w:szCs w:val="15"/>
              </w:rPr>
              <w:t>变动金额（减</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少以</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号 填列）</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00"/>
              <w:jc w:val="right"/>
              <w:rPr>
                <w:rFonts w:ascii="Times New Roman" w:hAnsi="Times New Roman" w:cs="Times New Roman" w:eastAsia="Times New Roman" w:hint="default"/>
                <w:sz w:val="15"/>
                <w:szCs w:val="15"/>
              </w:rPr>
            </w:pPr>
            <w:r>
              <w:rPr>
                <w:rFonts w:ascii="Times New Roman"/>
                <w:spacing w:val="-1"/>
                <w:sz w:val="15"/>
              </w:rPr>
              <w:t>818,978.00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72" w:right="0"/>
              <w:jc w:val="center"/>
              <w:rPr>
                <w:rFonts w:ascii="Times New Roman" w:hAnsi="Times New Roman" w:cs="Times New Roman" w:eastAsia="Times New Roman" w:hint="default"/>
                <w:sz w:val="15"/>
                <w:szCs w:val="15"/>
              </w:rPr>
            </w:pPr>
            <w:r>
              <w:rPr>
                <w:rFonts w:ascii="Times New Roman"/>
                <w:sz w:val="15"/>
              </w:rPr>
              <w:t>32,002,892.42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spacing w:val="-1"/>
                <w:sz w:val="15"/>
              </w:rPr>
              <w:t>-82,629,672.32</w:t>
            </w: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01"/>
              <w:jc w:val="right"/>
              <w:rPr>
                <w:rFonts w:ascii="Times New Roman" w:hAnsi="Times New Roman" w:cs="Times New Roman" w:eastAsia="Times New Roman" w:hint="default"/>
                <w:sz w:val="15"/>
                <w:szCs w:val="15"/>
              </w:rPr>
            </w:pPr>
            <w:r>
              <w:rPr>
                <w:rFonts w:ascii="Times New Roman"/>
                <w:spacing w:val="-1"/>
                <w:sz w:val="15"/>
              </w:rPr>
              <w:t>5,902,323.41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77" w:right="0"/>
              <w:jc w:val="center"/>
              <w:rPr>
                <w:rFonts w:ascii="Times New Roman" w:hAnsi="Times New Roman" w:cs="Times New Roman" w:eastAsia="Times New Roman" w:hint="default"/>
                <w:sz w:val="15"/>
                <w:szCs w:val="15"/>
              </w:rPr>
            </w:pPr>
            <w:r>
              <w:rPr>
                <w:rFonts w:ascii="Times New Roman"/>
                <w:sz w:val="15"/>
              </w:rPr>
              <w:t>25,244,736.36</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02"/>
              <w:jc w:val="right"/>
              <w:rPr>
                <w:rFonts w:ascii="Times New Roman" w:hAnsi="Times New Roman" w:cs="Times New Roman" w:eastAsia="Times New Roman" w:hint="default"/>
                <w:sz w:val="15"/>
                <w:szCs w:val="15"/>
              </w:rPr>
            </w:pPr>
            <w:r>
              <w:rPr>
                <w:rFonts w:ascii="Times New Roman"/>
                <w:spacing w:val="-1"/>
                <w:sz w:val="15"/>
              </w:rPr>
              <w:t>146,598,602.51</w:t>
            </w:r>
          </w:p>
        </w:tc>
      </w:tr>
      <w:tr>
        <w:trPr>
          <w:trHeight w:val="408"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w:t>
            </w:r>
            <w:r>
              <w:rPr>
                <w:rFonts w:ascii="宋体" w:hAnsi="宋体" w:cs="宋体" w:eastAsia="宋体" w:hint="default"/>
                <w:spacing w:val="-75"/>
                <w:sz w:val="15"/>
                <w:szCs w:val="15"/>
              </w:rPr>
              <w:t>）</w:t>
            </w:r>
            <w:r>
              <w:rPr>
                <w:rFonts w:ascii="宋体" w:hAnsi="宋体" w:cs="宋体" w:eastAsia="宋体" w:hint="default"/>
                <w:sz w:val="15"/>
                <w:szCs w:val="15"/>
              </w:rPr>
              <w:t>综合收</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益总额</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7" w:right="0"/>
              <w:jc w:val="center"/>
              <w:rPr>
                <w:rFonts w:ascii="Times New Roman" w:hAnsi="Times New Roman" w:cs="Times New Roman" w:eastAsia="Times New Roman" w:hint="default"/>
                <w:sz w:val="15"/>
                <w:szCs w:val="15"/>
              </w:rPr>
            </w:pPr>
            <w:r>
              <w:rPr>
                <w:rFonts w:ascii="Times New Roman"/>
                <w:sz w:val="15"/>
              </w:rPr>
              <w:t>59,023,234.09</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5"/>
                <w:szCs w:val="15"/>
              </w:rPr>
            </w:pPr>
            <w:r>
              <w:rPr>
                <w:rFonts w:ascii="Times New Roman"/>
                <w:spacing w:val="-1"/>
                <w:sz w:val="15"/>
              </w:rPr>
              <w:t>59,023,234.09</w:t>
            </w:r>
          </w:p>
        </w:tc>
      </w:tr>
      <w:tr>
        <w:trPr>
          <w:trHeight w:val="593"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（二</w:t>
            </w:r>
            <w:r>
              <w:rPr>
                <w:rFonts w:ascii="宋体" w:hAnsi="宋体" w:cs="宋体" w:eastAsia="宋体" w:hint="default"/>
                <w:spacing w:val="-75"/>
                <w:sz w:val="15"/>
                <w:szCs w:val="15"/>
              </w:rPr>
              <w:t>）</w:t>
            </w:r>
            <w:r>
              <w:rPr>
                <w:rFonts w:ascii="宋体" w:hAnsi="宋体" w:cs="宋体" w:eastAsia="宋体" w:hint="default"/>
                <w:sz w:val="15"/>
                <w:szCs w:val="15"/>
              </w:rPr>
              <w:t>所有者</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投入和减少 资本</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818,978.00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32,002,892.42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-81,788,274.22</w:t>
            </w: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114,610,144.64</w:t>
            </w: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auto"/>
              <w:ind w:left="103" w:right="102"/>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 入的普通股</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w:t>
            </w:r>
          </w:p>
          <w:p>
            <w:pPr>
              <w:pStyle w:val="TableParagraph"/>
              <w:spacing w:line="194" w:lineRule="exact" w:before="13"/>
              <w:ind w:left="103" w:right="178"/>
              <w:jc w:val="left"/>
              <w:rPr>
                <w:rFonts w:ascii="宋体" w:hAnsi="宋体" w:cs="宋体" w:eastAsia="宋体" w:hint="default"/>
                <w:sz w:val="15"/>
                <w:szCs w:val="15"/>
              </w:rPr>
            </w:pPr>
            <w:r>
              <w:rPr>
                <w:rFonts w:ascii="宋体" w:hAnsi="宋体" w:cs="宋体" w:eastAsia="宋体" w:hint="default"/>
                <w:sz w:val="15"/>
                <w:szCs w:val="15"/>
              </w:rPr>
              <w:t>工具持有者 投入资本</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w:t>
            </w:r>
          </w:p>
          <w:p>
            <w:pPr>
              <w:pStyle w:val="TableParagraph"/>
              <w:spacing w:line="196" w:lineRule="exact" w:before="11"/>
              <w:ind w:left="103" w:right="178"/>
              <w:jc w:val="left"/>
              <w:rPr>
                <w:rFonts w:ascii="宋体" w:hAnsi="宋体" w:cs="宋体" w:eastAsia="宋体" w:hint="default"/>
                <w:sz w:val="15"/>
                <w:szCs w:val="15"/>
              </w:rPr>
            </w:pPr>
            <w:r>
              <w:rPr>
                <w:rFonts w:ascii="宋体" w:hAnsi="宋体" w:cs="宋体" w:eastAsia="宋体" w:hint="default"/>
                <w:sz w:val="15"/>
                <w:szCs w:val="15"/>
              </w:rPr>
              <w:t>计入所有者 权益的金额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2,685,000.00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19,405,404.21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-81,788,274.22</w:t>
            </w: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103,878,678.43</w:t>
            </w: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-1,866,022.00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12,597,488.21</w:t>
            </w: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5"/>
                <w:szCs w:val="15"/>
              </w:rPr>
            </w:pPr>
            <w:r>
              <w:rPr>
                <w:rFonts w:ascii="Times New Roman"/>
                <w:spacing w:val="-1"/>
                <w:sz w:val="15"/>
              </w:rPr>
              <w:t>10,731,466.21</w:t>
            </w: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（三</w:t>
            </w:r>
            <w:r>
              <w:rPr>
                <w:rFonts w:ascii="宋体" w:hAnsi="宋体" w:cs="宋体" w:eastAsia="宋体" w:hint="default"/>
                <w:spacing w:val="-75"/>
                <w:sz w:val="15"/>
                <w:szCs w:val="15"/>
              </w:rPr>
              <w:t>）</w:t>
            </w:r>
            <w:r>
              <w:rPr>
                <w:rFonts w:ascii="宋体" w:hAnsi="宋体" w:cs="宋体" w:eastAsia="宋体" w:hint="default"/>
                <w:sz w:val="15"/>
                <w:szCs w:val="15"/>
              </w:rPr>
              <w:t>利润分</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配</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-841,398.10</w:t>
            </w: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5,902,323.41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8" w:right="0"/>
              <w:jc w:val="center"/>
              <w:rPr>
                <w:rFonts w:ascii="Times New Roman" w:hAnsi="Times New Roman" w:cs="Times New Roman" w:eastAsia="Times New Roman" w:hint="default"/>
                <w:sz w:val="15"/>
                <w:szCs w:val="15"/>
              </w:rPr>
            </w:pPr>
            <w:r>
              <w:rPr>
                <w:rFonts w:ascii="Times New Roman"/>
                <w:sz w:val="15"/>
              </w:rPr>
              <w:t>-33,778,497.73</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5"/>
                <w:szCs w:val="15"/>
              </w:rPr>
            </w:pPr>
            <w:r>
              <w:rPr>
                <w:rFonts w:ascii="Times New Roman"/>
                <w:spacing w:val="-1"/>
                <w:sz w:val="15"/>
              </w:rPr>
              <w:t>-27,034,776.22</w:t>
            </w: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auto"/>
              <w:ind w:left="103" w:right="102"/>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 公积</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5"/>
                <w:szCs w:val="15"/>
              </w:rPr>
            </w:pPr>
            <w:r>
              <w:rPr>
                <w:rFonts w:ascii="Times New Roman"/>
                <w:spacing w:val="-1"/>
                <w:sz w:val="15"/>
              </w:rPr>
              <w:t>5,902,323.41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2" w:right="0"/>
              <w:jc w:val="center"/>
              <w:rPr>
                <w:rFonts w:ascii="Times New Roman" w:hAnsi="Times New Roman" w:cs="Times New Roman" w:eastAsia="Times New Roman" w:hint="default"/>
                <w:sz w:val="15"/>
                <w:szCs w:val="15"/>
              </w:rPr>
            </w:pPr>
            <w:r>
              <w:rPr>
                <w:rFonts w:ascii="Times New Roman"/>
                <w:sz w:val="15"/>
              </w:rPr>
              <w:t>-5,902,323.41</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．对所有者</w:t>
            </w:r>
          </w:p>
          <w:p>
            <w:pPr>
              <w:pStyle w:val="TableParagraph"/>
              <w:spacing w:line="194" w:lineRule="exact" w:before="14"/>
              <w:ind w:left="103" w:right="102"/>
              <w:jc w:val="left"/>
              <w:rPr>
                <w:rFonts w:ascii="宋体" w:hAnsi="宋体" w:cs="宋体" w:eastAsia="宋体" w:hint="default"/>
                <w:sz w:val="15"/>
                <w:szCs w:val="15"/>
              </w:rPr>
            </w:pPr>
            <w:r>
              <w:rPr>
                <w:rFonts w:ascii="宋体" w:hAnsi="宋体" w:cs="宋体" w:eastAsia="宋体" w:hint="default"/>
                <w:spacing w:val="-13"/>
                <w:sz w:val="15"/>
                <w:szCs w:val="15"/>
              </w:rPr>
              <w:t>（或股东）的</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分配</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-841,398.10</w:t>
            </w: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-27,876,174.32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-27,034,776.22</w:t>
            </w: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75"/>
                <w:sz w:val="15"/>
                <w:szCs w:val="15"/>
              </w:rPr>
              <w:t>）</w:t>
            </w:r>
            <w:r>
              <w:rPr>
                <w:rFonts w:ascii="宋体" w:hAnsi="宋体" w:cs="宋体" w:eastAsia="宋体" w:hint="default"/>
                <w:sz w:val="15"/>
                <w:szCs w:val="15"/>
              </w:rPr>
              <w:t>所有者</w:t>
            </w:r>
          </w:p>
          <w:p>
            <w:pPr>
              <w:pStyle w:val="TableParagraph"/>
              <w:spacing w:line="240" w:lineRule="auto"/>
              <w:ind w:left="103" w:right="178"/>
              <w:jc w:val="left"/>
              <w:rPr>
                <w:rFonts w:ascii="宋体" w:hAnsi="宋体" w:cs="宋体" w:eastAsia="宋体" w:hint="default"/>
                <w:sz w:val="15"/>
                <w:szCs w:val="15"/>
              </w:rPr>
            </w:pPr>
            <w:r>
              <w:rPr>
                <w:rFonts w:ascii="宋体" w:hAnsi="宋体" w:cs="宋体" w:eastAsia="宋体" w:hint="default"/>
                <w:sz w:val="15"/>
                <w:szCs w:val="15"/>
              </w:rPr>
              <w:t>权益内部结 转</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93"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w:t>
            </w:r>
          </w:p>
          <w:p>
            <w:pPr>
              <w:pStyle w:val="TableParagraph"/>
              <w:spacing w:line="194" w:lineRule="exact" w:before="13"/>
              <w:ind w:left="103" w:right="102"/>
              <w:jc w:val="left"/>
              <w:rPr>
                <w:rFonts w:ascii="宋体" w:hAnsi="宋体" w:cs="宋体" w:eastAsia="宋体" w:hint="default"/>
                <w:sz w:val="15"/>
                <w:szCs w:val="15"/>
              </w:rPr>
            </w:pPr>
            <w:r>
              <w:rPr>
                <w:rFonts w:ascii="宋体" w:hAnsi="宋体" w:cs="宋体" w:eastAsia="宋体" w:hint="default"/>
                <w:spacing w:val="-13"/>
                <w:sz w:val="15"/>
                <w:szCs w:val="15"/>
              </w:rPr>
              <w:t>转增资本（或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股本）</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94"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7"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w:t>
            </w:r>
          </w:p>
          <w:p>
            <w:pPr>
              <w:pStyle w:val="TableParagraph"/>
              <w:spacing w:line="194" w:lineRule="exact" w:before="13"/>
              <w:ind w:left="103" w:right="102"/>
              <w:jc w:val="left"/>
              <w:rPr>
                <w:rFonts w:ascii="宋体" w:hAnsi="宋体" w:cs="宋体" w:eastAsia="宋体" w:hint="default"/>
                <w:sz w:val="15"/>
                <w:szCs w:val="15"/>
              </w:rPr>
            </w:pPr>
            <w:r>
              <w:rPr>
                <w:rFonts w:ascii="宋体" w:hAnsi="宋体" w:cs="宋体" w:eastAsia="宋体" w:hint="default"/>
                <w:spacing w:val="-13"/>
                <w:sz w:val="15"/>
                <w:szCs w:val="15"/>
              </w:rPr>
              <w:t>转增资本（或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股本）</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25" w:lineRule="auto"/>
              <w:ind w:left="103" w:right="102"/>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 弥补亏损</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89"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6" w:lineRule="exact"/>
              <w:ind w:left="103" w:right="0"/>
              <w:jc w:val="both"/>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w:t>
            </w:r>
          </w:p>
          <w:p>
            <w:pPr>
              <w:pStyle w:val="TableParagraph"/>
              <w:spacing w:line="237" w:lineRule="auto"/>
              <w:ind w:left="103" w:right="178"/>
              <w:jc w:val="both"/>
              <w:rPr>
                <w:rFonts w:ascii="宋体" w:hAnsi="宋体" w:cs="宋体" w:eastAsia="宋体" w:hint="default"/>
                <w:sz w:val="15"/>
                <w:szCs w:val="15"/>
              </w:rPr>
            </w:pPr>
            <w:r>
              <w:rPr>
                <w:rFonts w:ascii="宋体" w:hAnsi="宋体" w:cs="宋体" w:eastAsia="宋体" w:hint="default"/>
                <w:sz w:val="15"/>
                <w:szCs w:val="15"/>
              </w:rPr>
              <w:t>计划变动额 结转留存收 益</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（五</w:t>
            </w:r>
            <w:r>
              <w:rPr>
                <w:rFonts w:ascii="宋体" w:hAnsi="宋体" w:cs="宋体" w:eastAsia="宋体" w:hint="default"/>
                <w:spacing w:val="-75"/>
                <w:sz w:val="15"/>
                <w:szCs w:val="15"/>
              </w:rPr>
              <w:t>）</w:t>
            </w:r>
            <w:r>
              <w:rPr>
                <w:rFonts w:ascii="宋体" w:hAnsi="宋体" w:cs="宋体" w:eastAsia="宋体" w:hint="default"/>
                <w:sz w:val="15"/>
                <w:szCs w:val="15"/>
              </w:rPr>
              <w:t>专项储</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备</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100" w:bottom="1200" w:left="560" w:right="0"/>
        </w:sectPr>
      </w:pPr>
    </w:p>
    <w:p>
      <w:pPr>
        <w:spacing w:line="240" w:lineRule="auto" w:before="6"/>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043"/>
        <w:gridCol w:w="1153"/>
        <w:gridCol w:w="533"/>
        <w:gridCol w:w="590"/>
        <w:gridCol w:w="370"/>
        <w:gridCol w:w="1155"/>
        <w:gridCol w:w="1157"/>
        <w:gridCol w:w="516"/>
        <w:gridCol w:w="520"/>
        <w:gridCol w:w="1079"/>
        <w:gridCol w:w="1157"/>
        <w:gridCol w:w="1270"/>
      </w:tblGrid>
      <w:tr>
        <w:trPr>
          <w:trHeight w:val="402" w:hRule="exact"/>
        </w:trPr>
        <w:tc>
          <w:tcPr>
            <w:tcW w:w="10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49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14" w:hRule="exact"/>
        </w:trPr>
        <w:tc>
          <w:tcPr>
            <w:tcW w:w="1043" w:type="dxa"/>
            <w:vMerge/>
            <w:tcBorders>
              <w:left w:val="single" w:sz="4" w:space="0" w:color="000000"/>
              <w:right w:val="single" w:sz="4" w:space="0" w:color="000000"/>
            </w:tcBorders>
            <w:shd w:val="clear" w:color="auto" w:fill="D2D2D2"/>
          </w:tcPr>
          <w:p>
            <w:pP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3" w:type="dxa"/>
            <w:gridSpan w:val="3"/>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81"/>
              <w:ind w:left="290"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7" w:type="dxa"/>
            <w:tcBorders>
              <w:top w:val="single" w:sz="4" w:space="0" w:color="000000"/>
              <w:left w:val="single" w:sz="4" w:space="0" w:color="000000"/>
              <w:bottom w:val="nil" w:sz="6" w:space="0" w:color="auto"/>
              <w:right w:val="single" w:sz="4" w:space="0" w:color="000000"/>
            </w:tcBorders>
            <w:shd w:val="clear" w:color="auto" w:fill="D2D2D2"/>
          </w:tcPr>
          <w:p>
            <w:pPr/>
          </w:p>
        </w:tc>
        <w:tc>
          <w:tcPr>
            <w:tcW w:w="5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0"/>
              <w:ind w:left="103" w:right="101"/>
              <w:jc w:val="both"/>
              <w:rPr>
                <w:rFonts w:ascii="宋体" w:hAnsi="宋体" w:cs="宋体" w:eastAsia="宋体" w:hint="default"/>
                <w:sz w:val="15"/>
                <w:szCs w:val="15"/>
              </w:rPr>
            </w:pPr>
            <w:r>
              <w:rPr>
                <w:rFonts w:ascii="宋体" w:hAnsi="宋体" w:cs="宋体" w:eastAsia="宋体" w:hint="default"/>
                <w:sz w:val="15"/>
                <w:szCs w:val="15"/>
              </w:rPr>
              <w:t>其他 综合 收益</w:t>
            </w:r>
          </w:p>
        </w:tc>
        <w:tc>
          <w:tcPr>
            <w:tcW w:w="5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4" w:right="103"/>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0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23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9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1"/>
              <w:ind w:left="104"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00" w:hRule="exact"/>
        </w:trPr>
        <w:tc>
          <w:tcPr>
            <w:tcW w:w="1043" w:type="dxa"/>
            <w:vMerge/>
            <w:tcBorders>
              <w:left w:val="single" w:sz="4" w:space="0" w:color="000000"/>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股本</w:t>
            </w:r>
          </w:p>
        </w:tc>
        <w:tc>
          <w:tcPr>
            <w:tcW w:w="1493"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155"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27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57" w:type="dxa"/>
            <w:vMerge w:val="restart"/>
            <w:tcBorders>
              <w:top w:val="nil" w:sz="6" w:space="0" w:color="auto"/>
              <w:left w:val="single" w:sz="4" w:space="0" w:color="000000"/>
              <w:right w:val="single" w:sz="4" w:space="0" w:color="000000"/>
            </w:tcBorders>
            <w:shd w:val="clear" w:color="auto" w:fill="D2D2D2"/>
          </w:tcPr>
          <w:p>
            <w:pPr>
              <w:pStyle w:val="TableParagraph"/>
              <w:spacing w:line="171" w:lineRule="exact"/>
              <w:ind w:left="19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516" w:type="dxa"/>
            <w:vMerge/>
            <w:tcBorders>
              <w:left w:val="single" w:sz="4" w:space="0" w:color="000000"/>
              <w:right w:val="single" w:sz="4" w:space="0" w:color="000000"/>
            </w:tcBorders>
            <w:shd w:val="clear" w:color="auto" w:fill="D2D2D2"/>
          </w:tcPr>
          <w:p>
            <w:pPr/>
          </w:p>
        </w:tc>
        <w:tc>
          <w:tcPr>
            <w:tcW w:w="520" w:type="dxa"/>
            <w:vMerge/>
            <w:tcBorders>
              <w:left w:val="single" w:sz="4" w:space="0" w:color="000000"/>
              <w:right w:val="single" w:sz="4" w:space="0" w:color="000000"/>
            </w:tcBorders>
            <w:shd w:val="clear" w:color="auto" w:fill="D2D2D2"/>
          </w:tcPr>
          <w:p>
            <w:pPr/>
          </w:p>
        </w:tc>
        <w:tc>
          <w:tcPr>
            <w:tcW w:w="1079" w:type="dxa"/>
            <w:vMerge/>
            <w:tcBorders>
              <w:left w:val="single" w:sz="4" w:space="0" w:color="000000"/>
              <w:right w:val="single" w:sz="4" w:space="0" w:color="000000"/>
            </w:tcBorders>
            <w:shd w:val="clear" w:color="auto" w:fill="D2D2D2"/>
          </w:tcPr>
          <w:p>
            <w:pPr/>
          </w:p>
        </w:tc>
        <w:tc>
          <w:tcPr>
            <w:tcW w:w="1157" w:type="dxa"/>
            <w:vMerge/>
            <w:tcBorders>
              <w:left w:val="single" w:sz="4" w:space="0" w:color="000000"/>
              <w:right w:val="single" w:sz="4" w:space="0" w:color="000000"/>
            </w:tcBorders>
            <w:shd w:val="clear" w:color="auto" w:fill="D2D2D2"/>
          </w:tcPr>
          <w:p>
            <w:pPr/>
          </w:p>
        </w:tc>
        <w:tc>
          <w:tcPr>
            <w:tcW w:w="1270" w:type="dxa"/>
            <w:vMerge/>
            <w:tcBorders>
              <w:left w:val="single" w:sz="4" w:space="0" w:color="000000"/>
              <w:right w:val="single" w:sz="4" w:space="0" w:color="000000"/>
            </w:tcBorders>
            <w:shd w:val="clear" w:color="auto" w:fill="D2D2D2"/>
          </w:tcPr>
          <w:p>
            <w:pPr/>
          </w:p>
        </w:tc>
      </w:tr>
      <w:tr>
        <w:trPr>
          <w:trHeight w:val="406" w:hRule="exact"/>
        </w:trPr>
        <w:tc>
          <w:tcPr>
            <w:tcW w:w="1043" w:type="dxa"/>
            <w:vMerge/>
            <w:tcBorders>
              <w:left w:val="single" w:sz="4" w:space="0" w:color="000000"/>
              <w:bottom w:val="single" w:sz="4" w:space="0" w:color="000000"/>
              <w:right w:val="single" w:sz="4" w:space="0" w:color="000000"/>
            </w:tcBorders>
            <w:shd w:val="clear" w:color="auto" w:fill="D2D2D2"/>
          </w:tcPr>
          <w:p>
            <w:pPr/>
          </w:p>
        </w:tc>
        <w:tc>
          <w:tcPr>
            <w:tcW w:w="1153"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优先</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股</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3" w:lineRule="exact"/>
              <w:ind w:right="0"/>
              <w:jc w:val="center"/>
              <w:rPr>
                <w:rFonts w:ascii="宋体" w:hAnsi="宋体" w:cs="宋体" w:eastAsia="宋体" w:hint="default"/>
                <w:sz w:val="15"/>
                <w:szCs w:val="15"/>
              </w:rPr>
            </w:pPr>
            <w:r>
              <w:rPr>
                <w:rFonts w:ascii="宋体" w:hAnsi="宋体" w:cs="宋体" w:eastAsia="宋体" w:hint="default"/>
                <w:sz w:val="15"/>
                <w:szCs w:val="15"/>
              </w:rPr>
              <w:t>永续</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债</w:t>
            </w:r>
          </w:p>
        </w:tc>
        <w:tc>
          <w:tcPr>
            <w:tcW w:w="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3" w:lineRule="exact"/>
              <w:ind w:left="104" w:right="0"/>
              <w:jc w:val="left"/>
              <w:rPr>
                <w:rFonts w:ascii="宋体" w:hAnsi="宋体" w:cs="宋体" w:eastAsia="宋体" w:hint="default"/>
                <w:sz w:val="15"/>
                <w:szCs w:val="15"/>
              </w:rPr>
            </w:pPr>
            <w:r>
              <w:rPr>
                <w:rFonts w:ascii="宋体" w:hAnsi="宋体" w:cs="宋体" w:eastAsia="宋体" w:hint="default"/>
                <w:sz w:val="15"/>
                <w:szCs w:val="15"/>
              </w:rPr>
              <w:t>其</w:t>
            </w:r>
          </w:p>
          <w:p>
            <w:pPr>
              <w:pStyle w:val="TableParagraph"/>
              <w:spacing w:line="195" w:lineRule="exact"/>
              <w:ind w:left="104" w:right="0"/>
              <w:jc w:val="left"/>
              <w:rPr>
                <w:rFonts w:ascii="宋体" w:hAnsi="宋体" w:cs="宋体" w:eastAsia="宋体" w:hint="default"/>
                <w:sz w:val="15"/>
                <w:szCs w:val="15"/>
              </w:rPr>
            </w:pPr>
            <w:r>
              <w:rPr>
                <w:rFonts w:ascii="宋体" w:hAnsi="宋体" w:cs="宋体" w:eastAsia="宋体" w:hint="default"/>
                <w:sz w:val="15"/>
                <w:szCs w:val="15"/>
              </w:rPr>
              <w:t>他</w:t>
            </w:r>
          </w:p>
        </w:tc>
        <w:tc>
          <w:tcPr>
            <w:tcW w:w="1155" w:type="dxa"/>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single" w:sz="4" w:space="0" w:color="000000"/>
              <w:right w:val="single" w:sz="4" w:space="0" w:color="000000"/>
            </w:tcBorders>
            <w:shd w:val="clear" w:color="auto" w:fill="D2D2D2"/>
          </w:tcPr>
          <w:p>
            <w:pPr/>
          </w:p>
        </w:tc>
        <w:tc>
          <w:tcPr>
            <w:tcW w:w="516" w:type="dxa"/>
            <w:vMerge/>
            <w:tcBorders>
              <w:left w:val="single" w:sz="4" w:space="0" w:color="000000"/>
              <w:bottom w:val="single" w:sz="4" w:space="0" w:color="000000"/>
              <w:right w:val="single" w:sz="4" w:space="0" w:color="000000"/>
            </w:tcBorders>
            <w:shd w:val="clear" w:color="auto" w:fill="D2D2D2"/>
          </w:tcPr>
          <w:p>
            <w:pPr/>
          </w:p>
        </w:tc>
        <w:tc>
          <w:tcPr>
            <w:tcW w:w="520" w:type="dxa"/>
            <w:vMerge/>
            <w:tcBorders>
              <w:left w:val="single" w:sz="4" w:space="0" w:color="000000"/>
              <w:bottom w:val="single" w:sz="4" w:space="0" w:color="000000"/>
              <w:right w:val="single" w:sz="4" w:space="0" w:color="000000"/>
            </w:tcBorders>
            <w:shd w:val="clear" w:color="auto" w:fill="D2D2D2"/>
          </w:tcPr>
          <w:p>
            <w:pPr/>
          </w:p>
        </w:tc>
        <w:tc>
          <w:tcPr>
            <w:tcW w:w="1079" w:type="dxa"/>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single" w:sz="4" w:space="0" w:color="000000"/>
              <w:right w:val="single" w:sz="4" w:space="0" w:color="000000"/>
            </w:tcBorders>
            <w:shd w:val="clear" w:color="auto" w:fill="D2D2D2"/>
          </w:tcPr>
          <w:p>
            <w:pPr/>
          </w:p>
        </w:tc>
        <w:tc>
          <w:tcPr>
            <w:tcW w:w="1270"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5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四</w:t>
            </w:r>
            <w:r>
              <w:rPr>
                <w:rFonts w:ascii="宋体" w:hAnsi="宋体" w:cs="宋体" w:eastAsia="宋体" w:hint="default"/>
                <w:spacing w:val="-75"/>
                <w:sz w:val="15"/>
                <w:szCs w:val="15"/>
              </w:rPr>
              <w:t>、</w:t>
            </w:r>
            <w:r>
              <w:rPr>
                <w:rFonts w:ascii="宋体" w:hAnsi="宋体" w:cs="宋体" w:eastAsia="宋体" w:hint="default"/>
                <w:sz w:val="15"/>
                <w:szCs w:val="15"/>
              </w:rPr>
              <w:t>本期期末</w:t>
            </w:r>
          </w:p>
          <w:p>
            <w:pPr>
              <w:pStyle w:val="TableParagraph"/>
              <w:spacing w:line="196" w:lineRule="exact"/>
              <w:ind w:left="103" w:right="0"/>
              <w:jc w:val="left"/>
              <w:rPr>
                <w:rFonts w:ascii="宋体" w:hAnsi="宋体" w:cs="宋体" w:eastAsia="宋体" w:hint="default"/>
                <w:sz w:val="15"/>
                <w:szCs w:val="15"/>
              </w:rPr>
            </w:pPr>
            <w:r>
              <w:rPr>
                <w:rFonts w:ascii="宋体" w:hAnsi="宋体" w:cs="宋体" w:eastAsia="宋体" w:hint="default"/>
                <w:sz w:val="15"/>
                <w:szCs w:val="15"/>
              </w:rPr>
              <w:t>余额</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Times New Roman" w:hAnsi="Times New Roman" w:cs="Times New Roman" w:eastAsia="Times New Roman" w:hint="default"/>
                <w:sz w:val="15"/>
                <w:szCs w:val="15"/>
              </w:rPr>
            </w:pPr>
            <w:r>
              <w:rPr>
                <w:rFonts w:ascii="Times New Roman"/>
                <w:sz w:val="15"/>
              </w:rPr>
              <w:t>403,878,622.00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Times New Roman" w:hAnsi="Times New Roman" w:cs="Times New Roman" w:eastAsia="Times New Roman" w:hint="default"/>
                <w:sz w:val="15"/>
                <w:szCs w:val="15"/>
              </w:rPr>
            </w:pPr>
            <w:r>
              <w:rPr>
                <w:rFonts w:ascii="Times New Roman"/>
                <w:sz w:val="15"/>
              </w:rPr>
              <w:t>626,790,277.26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6" w:right="0"/>
              <w:jc w:val="left"/>
              <w:rPr>
                <w:rFonts w:ascii="Times New Roman" w:hAnsi="Times New Roman" w:cs="Times New Roman" w:eastAsia="Times New Roman" w:hint="default"/>
                <w:sz w:val="15"/>
                <w:szCs w:val="15"/>
              </w:rPr>
            </w:pPr>
            <w:r>
              <w:rPr>
                <w:rFonts w:ascii="Times New Roman"/>
                <w:sz w:val="15"/>
              </w:rPr>
              <w:t>182,388,017.67</w:t>
            </w:r>
          </w:p>
        </w:tc>
        <w:tc>
          <w:tcPr>
            <w:tcW w:w="516" w:type="dxa"/>
            <w:tcBorders>
              <w:top w:val="single" w:sz="4" w:space="0" w:color="000000"/>
              <w:left w:val="single" w:sz="4" w:space="0" w:color="000000"/>
              <w:bottom w:val="single" w:sz="4" w:space="0" w:color="000000"/>
              <w:right w:val="single" w:sz="4" w:space="0" w:color="000000"/>
            </w:tcBorders>
          </w:tcPr>
          <w:p>
            <w:pPr/>
          </w:p>
        </w:tc>
        <w:tc>
          <w:tcPr>
            <w:tcW w:w="520"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Times New Roman" w:hAnsi="Times New Roman" w:cs="Times New Roman" w:eastAsia="Times New Roman" w:hint="default"/>
                <w:sz w:val="15"/>
                <w:szCs w:val="15"/>
              </w:rPr>
            </w:pPr>
            <w:r>
              <w:rPr>
                <w:rFonts w:ascii="Times New Roman"/>
                <w:sz w:val="15"/>
              </w:rPr>
              <w:t>54,432,581.15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6" w:right="0"/>
              <w:jc w:val="left"/>
              <w:rPr>
                <w:rFonts w:ascii="Times New Roman" w:hAnsi="Times New Roman" w:cs="Times New Roman" w:eastAsia="Times New Roman" w:hint="default"/>
                <w:sz w:val="15"/>
                <w:szCs w:val="15"/>
              </w:rPr>
            </w:pPr>
            <w:r>
              <w:rPr>
                <w:rFonts w:ascii="Times New Roman"/>
                <w:sz w:val="15"/>
              </w:rPr>
              <w:t>333,291,780.12</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5" w:right="0"/>
              <w:jc w:val="left"/>
              <w:rPr>
                <w:rFonts w:ascii="Times New Roman" w:hAnsi="Times New Roman" w:cs="Times New Roman" w:eastAsia="Times New Roman" w:hint="default"/>
                <w:sz w:val="15"/>
                <w:szCs w:val="15"/>
              </w:rPr>
            </w:pPr>
            <w:r>
              <w:rPr>
                <w:rFonts w:ascii="Times New Roman"/>
                <w:sz w:val="15"/>
              </w:rPr>
              <w:t>1,236,005,242.86</w:t>
            </w:r>
          </w:p>
        </w:tc>
      </w:tr>
    </w:tbl>
    <w:p>
      <w:pPr>
        <w:spacing w:line="240" w:lineRule="auto" w:before="7"/>
        <w:rPr>
          <w:rFonts w:ascii="宋体" w:hAnsi="宋体" w:cs="宋体" w:eastAsia="宋体" w:hint="default"/>
          <w:sz w:val="20"/>
          <w:szCs w:val="20"/>
        </w:rPr>
      </w:pPr>
    </w:p>
    <w:p>
      <w:pPr>
        <w:pStyle w:val="Heading2"/>
        <w:spacing w:line="397" w:lineRule="exact"/>
        <w:ind w:left="574" w:right="0"/>
        <w:jc w:val="both"/>
      </w:pPr>
      <w:bookmarkStart w:name="三、公司基本情况" w:id="167"/>
      <w:bookmarkEnd w:id="167"/>
      <w:r>
        <w:rPr/>
      </w:r>
      <w:r>
        <w:rPr/>
        <w:t>三、公司基本情况</w:t>
      </w:r>
    </w:p>
    <w:p>
      <w:pPr>
        <w:spacing w:line="240" w:lineRule="auto" w:before="13"/>
        <w:rPr>
          <w:rFonts w:ascii="微软雅黑" w:hAnsi="微软雅黑" w:cs="微软雅黑" w:eastAsia="微软雅黑" w:hint="default"/>
          <w:sz w:val="24"/>
          <w:szCs w:val="24"/>
        </w:rPr>
      </w:pPr>
    </w:p>
    <w:p>
      <w:pPr>
        <w:pStyle w:val="BodyText"/>
        <w:spacing w:line="288" w:lineRule="auto"/>
        <w:ind w:left="574" w:right="1132" w:firstLine="420"/>
        <w:jc w:val="both"/>
      </w:pPr>
      <w:r>
        <w:rPr>
          <w:spacing w:val="-1"/>
        </w:rPr>
        <w:t>中科创达软件股份有限公司（以下简称本公司）前身为中科创达软件科技（北京）有限公司（以下简</w:t>
      </w:r>
      <w:r>
        <w:rPr/>
        <w:t> </w:t>
      </w:r>
      <w:r>
        <w:rPr>
          <w:spacing w:val="-2"/>
        </w:rPr>
        <w:t>称中科创达有限），系经中关村科技园区海淀园管理委员会以海园发</w:t>
      </w:r>
      <w:r>
        <w:rPr>
          <w:rFonts w:ascii="Times New Roman" w:hAnsi="Times New Roman" w:cs="Times New Roman" w:eastAsia="Times New Roman" w:hint="default"/>
          <w:spacing w:val="-2"/>
        </w:rPr>
        <w:t>[2008]224</w:t>
      </w:r>
      <w:r>
        <w:rPr>
          <w:rFonts w:ascii="Times New Roman" w:hAnsi="Times New Roman" w:cs="Times New Roman" w:eastAsia="Times New Roman" w:hint="default"/>
        </w:rPr>
        <w:t> </w:t>
      </w:r>
      <w:r>
        <w:rPr>
          <w:spacing w:val="-4"/>
        </w:rPr>
        <w:t>号文件批准设立，取得北京</w:t>
      </w:r>
      <w:r>
        <w:rPr>
          <w:spacing w:val="-94"/>
        </w:rPr>
        <w:t> </w:t>
      </w:r>
      <w:r>
        <w:rPr>
          <w:spacing w:val="-94"/>
        </w:rPr>
      </w:r>
      <w:r>
        <w:rPr/>
        <w:t>市人民政府于</w:t>
      </w:r>
      <w:r>
        <w:rPr>
          <w:spacing w:val="-4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日颁发商外资京字</w:t>
      </w:r>
      <w:r>
        <w:rPr>
          <w:rFonts w:ascii="Times New Roman" w:hAnsi="Times New Roman" w:cs="Times New Roman" w:eastAsia="Times New Roman" w:hint="default"/>
        </w:rPr>
        <w:t>[2008]17044</w:t>
      </w:r>
      <w:r>
        <w:rPr>
          <w:rFonts w:ascii="Times New Roman" w:hAnsi="Times New Roman" w:cs="Times New Roman" w:eastAsia="Times New Roman" w:hint="default"/>
          <w:spacing w:val="-10"/>
        </w:rPr>
        <w:t> </w:t>
      </w:r>
      <w:r>
        <w:rPr/>
        <w:t>号中华人民共和国外商投资企业批准证书，北</w:t>
      </w:r>
    </w:p>
    <w:p>
      <w:pPr>
        <w:pStyle w:val="BodyText"/>
        <w:spacing w:line="240" w:lineRule="auto" w:before="3"/>
        <w:ind w:left="574" w:right="0"/>
        <w:jc w:val="both"/>
      </w:pPr>
      <w:r>
        <w:rPr/>
        <w:t>京市工商管理局于</w:t>
      </w:r>
      <w:r>
        <w:rPr>
          <w:spacing w:val="-5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日核发的</w:t>
      </w:r>
      <w:r>
        <w:rPr>
          <w:spacing w:val="-51"/>
        </w:rPr>
        <w:t> </w:t>
      </w:r>
      <w:r>
        <w:rPr>
          <w:rFonts w:ascii="Times New Roman" w:hAnsi="Times New Roman" w:cs="Times New Roman" w:eastAsia="Times New Roman" w:hint="default"/>
        </w:rPr>
        <w:t>110000450044822</w:t>
      </w:r>
      <w:r>
        <w:rPr>
          <w:rFonts w:ascii="Times New Roman" w:hAnsi="Times New Roman" w:cs="Times New Roman" w:eastAsia="Times New Roman" w:hint="default"/>
          <w:spacing w:val="-11"/>
        </w:rPr>
        <w:t> </w:t>
      </w:r>
      <w:r>
        <w:rPr>
          <w:spacing w:val="-5"/>
        </w:rPr>
        <w:t>号《中华人民共和国企业法人营业执照》，初</w:t>
      </w:r>
    </w:p>
    <w:p>
      <w:pPr>
        <w:pStyle w:val="BodyText"/>
        <w:spacing w:line="240" w:lineRule="auto" w:before="49"/>
        <w:ind w:left="574" w:right="0"/>
        <w:jc w:val="both"/>
      </w:pPr>
      <w:r>
        <w:rPr/>
        <w:t>始注册资本</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万元。</w:t>
      </w:r>
    </w:p>
    <w:p>
      <w:pPr>
        <w:spacing w:line="240" w:lineRule="auto" w:before="9"/>
        <w:rPr>
          <w:rFonts w:ascii="宋体" w:hAnsi="宋体" w:cs="宋体" w:eastAsia="宋体" w:hint="default"/>
          <w:sz w:val="16"/>
          <w:szCs w:val="16"/>
        </w:rPr>
      </w:pPr>
    </w:p>
    <w:p>
      <w:pPr>
        <w:pStyle w:val="BodyText"/>
        <w:spacing w:line="240" w:lineRule="auto"/>
        <w:ind w:left="994" w:right="1017"/>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0"/>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日中科创达有限以</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w:t>
      </w:r>
      <w:r>
        <w:rPr>
          <w:spacing w:val="-39"/>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t>日的净资产以发起设立的方式整体变更为股份有限</w:t>
      </w:r>
    </w:p>
    <w:p>
      <w:pPr>
        <w:pStyle w:val="BodyText"/>
        <w:spacing w:line="240" w:lineRule="auto" w:before="50"/>
        <w:ind w:left="574" w:right="0"/>
        <w:jc w:val="both"/>
      </w:pPr>
      <w:r>
        <w:rPr/>
        <w:t>公司，股份公司总股本为</w:t>
      </w:r>
      <w:r>
        <w:rPr>
          <w:spacing w:val="-54"/>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1"/>
        </w:rPr>
        <w:t> </w:t>
      </w:r>
      <w:r>
        <w:rPr/>
        <w:t>万股。</w:t>
      </w:r>
    </w:p>
    <w:p>
      <w:pPr>
        <w:spacing w:line="240" w:lineRule="auto" w:before="9"/>
        <w:rPr>
          <w:rFonts w:ascii="宋体" w:hAnsi="宋体" w:cs="宋体" w:eastAsia="宋体" w:hint="default"/>
          <w:sz w:val="16"/>
          <w:szCs w:val="16"/>
        </w:rPr>
      </w:pPr>
    </w:p>
    <w:p>
      <w:pPr>
        <w:pStyle w:val="BodyText"/>
        <w:spacing w:line="280" w:lineRule="auto"/>
        <w:ind w:left="574" w:right="1133" w:firstLine="420"/>
        <w:jc w:val="both"/>
      </w:pPr>
      <w:r>
        <w:rPr>
          <w:rFonts w:ascii="Times New Roman" w:hAnsi="Times New Roman" w:cs="Times New Roman" w:eastAsia="Times New Roman" w:hint="default"/>
        </w:rPr>
        <w:t>2015 </w:t>
      </w:r>
      <w:r>
        <w:rPr/>
        <w:t>年经中国证券监督管理委员会证监许可（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1372</w:t>
      </w:r>
      <w:r>
        <w:rPr>
          <w:rFonts w:ascii="Times New Roman" w:hAnsi="Times New Roman" w:cs="Times New Roman" w:eastAsia="Times New Roman" w:hint="default"/>
          <w:spacing w:val="25"/>
        </w:rPr>
        <w:t> </w:t>
      </w:r>
      <w:r>
        <w:rPr/>
        <w:t>号文核准，本公司向社会公众发行人民币 普通股（</w:t>
      </w:r>
      <w:r>
        <w:rPr>
          <w:rFonts w:ascii="Times New Roman" w:hAnsi="Times New Roman" w:cs="Times New Roman" w:eastAsia="Times New Roman" w:hint="default"/>
        </w:rPr>
        <w:t>A</w:t>
      </w:r>
      <w:r>
        <w:rPr>
          <w:rFonts w:ascii="Times New Roman" w:hAnsi="Times New Roman" w:cs="Times New Roman" w:eastAsia="Times New Roman" w:hint="default"/>
          <w:spacing w:val="-13"/>
        </w:rPr>
        <w:t> </w:t>
      </w:r>
      <w:r>
        <w:rPr/>
        <w:t>股）</w:t>
      </w:r>
      <w:r>
        <w:rPr>
          <w:rFonts w:ascii="Times New Roman" w:hAnsi="Times New Roman" w:cs="Times New Roman" w:eastAsia="Times New Roman" w:hint="default"/>
        </w:rPr>
        <w:t>25,000,000</w:t>
      </w:r>
      <w:r>
        <w:rPr>
          <w:rFonts w:ascii="Times New Roman" w:hAnsi="Times New Roman" w:cs="Times New Roman" w:eastAsia="Times New Roman" w:hint="default"/>
          <w:spacing w:val="-12"/>
        </w:rPr>
        <w:t> </w:t>
      </w:r>
      <w:r>
        <w:rPr/>
        <w:t>股，变更后的注册资本为人民币</w:t>
      </w:r>
      <w:r>
        <w:rPr>
          <w:spacing w:val="-55"/>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2"/>
        </w:rPr>
        <w:t> </w:t>
      </w:r>
      <w:r>
        <w:rPr/>
        <w:t>元。</w:t>
      </w:r>
    </w:p>
    <w:p>
      <w:pPr>
        <w:pStyle w:val="BodyText"/>
        <w:spacing w:line="280" w:lineRule="auto" w:before="179"/>
        <w:ind w:left="574" w:right="1017" w:firstLine="42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19"/>
        </w:rPr>
        <w:t> </w:t>
      </w:r>
      <w:r>
        <w:rPr/>
        <w:t>年</w:t>
      </w:r>
      <w:r>
        <w:rPr>
          <w:spacing w:val="-66"/>
        </w:rPr>
        <w:t> </w:t>
      </w: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月，根据《关于确认限制性股票授予人数和股份数的议案》有关条款和股东大会授权，向符 合条件的</w:t>
      </w:r>
      <w:r>
        <w:rPr>
          <w:spacing w:val="-75"/>
        </w:rPr>
        <w:t> </w:t>
      </w:r>
      <w:r>
        <w:rPr>
          <w:rFonts w:ascii="Times New Roman" w:hAnsi="Times New Roman" w:cs="Times New Roman" w:eastAsia="Times New Roman" w:hint="default"/>
        </w:rPr>
        <w:t>484</w:t>
      </w:r>
      <w:r>
        <w:rPr>
          <w:rFonts w:ascii="Times New Roman" w:hAnsi="Times New Roman" w:cs="Times New Roman" w:eastAsia="Times New Roman" w:hint="default"/>
          <w:spacing w:val="-30"/>
        </w:rPr>
        <w:t> </w:t>
      </w:r>
      <w:r>
        <w:rPr/>
        <w:t>名激励对象授予</w:t>
      </w:r>
      <w:r>
        <w:rPr>
          <w:spacing w:val="-76"/>
        </w:rPr>
        <w:t> </w:t>
      </w:r>
      <w:r>
        <w:rPr>
          <w:rFonts w:ascii="Times New Roman" w:hAnsi="Times New Roman" w:cs="Times New Roman" w:eastAsia="Times New Roman" w:hint="default"/>
        </w:rPr>
        <w:t>3,137,854</w:t>
      </w:r>
      <w:r>
        <w:rPr>
          <w:rFonts w:ascii="Times New Roman" w:hAnsi="Times New Roman" w:cs="Times New Roman" w:eastAsia="Times New Roman" w:hint="default"/>
          <w:spacing w:val="-28"/>
        </w:rPr>
        <w:t> </w:t>
      </w:r>
      <w:r>
        <w:rPr>
          <w:spacing w:val="-9"/>
        </w:rPr>
        <w:t>股限制性股票，认购价格每股</w:t>
      </w:r>
      <w:r>
        <w:rPr>
          <w:spacing w:val="-75"/>
        </w:rPr>
        <w:t> </w:t>
      </w:r>
      <w:r>
        <w:rPr>
          <w:rFonts w:ascii="Times New Roman" w:hAnsi="Times New Roman" w:cs="Times New Roman" w:eastAsia="Times New Roman" w:hint="default"/>
        </w:rPr>
        <w:t>85.48</w:t>
      </w:r>
      <w:r>
        <w:rPr>
          <w:rFonts w:ascii="Times New Roman" w:hAnsi="Times New Roman" w:cs="Times New Roman" w:eastAsia="Times New Roman" w:hint="default"/>
          <w:spacing w:val="-28"/>
        </w:rPr>
        <w:t> </w:t>
      </w:r>
      <w:r>
        <w:rPr>
          <w:spacing w:val="-14"/>
        </w:rPr>
        <w:t>元，认购金额合计</w:t>
      </w:r>
      <w:r>
        <w:rPr>
          <w:spacing w:val="-75"/>
        </w:rPr>
        <w:t> </w:t>
      </w:r>
      <w:r>
        <w:rPr>
          <w:rFonts w:ascii="Times New Roman" w:hAnsi="Times New Roman" w:cs="Times New Roman" w:eastAsia="Times New Roman" w:hint="default"/>
        </w:rPr>
        <w:t>268,223,759.92</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spacing w:val="-6"/>
        </w:rPr>
        <w:t>元，业经致同会计师事务所（特殊普通合伙）出具的致同验字（</w:t>
      </w:r>
      <w:r>
        <w:rPr>
          <w:rFonts w:ascii="Times New Roman" w:hAnsi="Times New Roman" w:cs="Times New Roman" w:eastAsia="Times New Roman" w:hint="default"/>
          <w:spacing w:val="-6"/>
        </w:rPr>
        <w:t>2016</w:t>
      </w:r>
      <w:r>
        <w:rPr>
          <w:spacing w:val="-6"/>
        </w:rPr>
        <w:t>）第</w:t>
      </w:r>
      <w:r>
        <w:rPr>
          <w:spacing w:val="-48"/>
        </w:rPr>
        <w:t> </w:t>
      </w:r>
      <w:r>
        <w:rPr>
          <w:rFonts w:ascii="Times New Roman" w:hAnsi="Times New Roman" w:cs="Times New Roman" w:eastAsia="Times New Roman" w:hint="default"/>
        </w:rPr>
        <w:t>110ZA0220</w:t>
      </w:r>
      <w:r>
        <w:rPr>
          <w:rFonts w:ascii="Times New Roman" w:hAnsi="Times New Roman" w:cs="Times New Roman" w:eastAsia="Times New Roman" w:hint="default"/>
          <w:spacing w:val="-6"/>
        </w:rPr>
        <w:t> </w:t>
      </w:r>
      <w:r>
        <w:rPr/>
        <w:t>号验资报告予以验证， 并于</w:t>
      </w:r>
      <w:r>
        <w:rPr>
          <w:spacing w:val="-3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日在中国证券登记结算有限责任公司深圳分公司完成登记，变更后股本为</w:t>
      </w:r>
      <w:r>
        <w:rPr>
          <w:spacing w:val="-39"/>
        </w:rPr>
        <w:t> </w:t>
      </w:r>
      <w:r>
        <w:rPr>
          <w:rFonts w:ascii="Times New Roman" w:hAnsi="Times New Roman" w:cs="Times New Roman" w:eastAsia="Times New Roman" w:hint="default"/>
        </w:rPr>
        <w:t>103,137,854 </w:t>
      </w:r>
      <w:r>
        <w:rPr/>
        <w:t>股。</w:t>
      </w:r>
    </w:p>
    <w:p>
      <w:pPr>
        <w:spacing w:line="240" w:lineRule="auto" w:before="1"/>
        <w:rPr>
          <w:rFonts w:ascii="宋体" w:hAnsi="宋体" w:cs="宋体" w:eastAsia="宋体" w:hint="default"/>
          <w:sz w:val="15"/>
          <w:szCs w:val="15"/>
        </w:rPr>
      </w:pPr>
    </w:p>
    <w:p>
      <w:pPr>
        <w:pStyle w:val="BodyText"/>
        <w:spacing w:line="240" w:lineRule="auto"/>
        <w:ind w:left="994" w:right="1017"/>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11"/>
        </w:rPr>
        <w:t> </w:t>
      </w:r>
      <w:r>
        <w:rPr/>
        <w:t>日召开的</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年度股东大会审议通过，以截止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日总股本</w:t>
      </w:r>
      <w:r>
        <w:rPr>
          <w:spacing w:val="-47"/>
        </w:rPr>
        <w:t> </w:t>
      </w:r>
      <w:r>
        <w:rPr>
          <w:rFonts w:ascii="Times New Roman" w:hAnsi="Times New Roman" w:cs="Times New Roman" w:eastAsia="Times New Roman" w:hint="default"/>
        </w:rPr>
        <w:t>100,000,000</w:t>
      </w:r>
    </w:p>
    <w:p>
      <w:pPr>
        <w:pStyle w:val="BodyText"/>
        <w:spacing w:line="240" w:lineRule="auto" w:before="50"/>
        <w:ind w:left="574" w:right="0"/>
        <w:jc w:val="both"/>
      </w:pPr>
      <w:r>
        <w:rPr/>
        <w:t>股为基准，以资本公积金向全体股东每</w:t>
      </w:r>
      <w:r>
        <w:rPr>
          <w:spacing w:val="-3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31"/>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股，合计转增</w:t>
      </w:r>
      <w:r>
        <w:rPr>
          <w:spacing w:val="-31"/>
        </w:rPr>
        <w:t> </w:t>
      </w:r>
      <w:r>
        <w:rPr>
          <w:rFonts w:ascii="Times New Roman" w:hAnsi="Times New Roman" w:cs="Times New Roman" w:eastAsia="Times New Roman" w:hint="default"/>
        </w:rPr>
        <w:t>300,000,000</w:t>
      </w:r>
      <w:r>
        <w:rPr>
          <w:rFonts w:ascii="Times New Roman" w:hAnsi="Times New Roman" w:cs="Times New Roman" w:eastAsia="Times New Roman" w:hint="default"/>
          <w:spacing w:val="3"/>
        </w:rPr>
        <w:t> </w:t>
      </w:r>
      <w:r>
        <w:rPr/>
        <w:t>股，由于限制性股票已于</w:t>
      </w:r>
    </w:p>
    <w:p>
      <w:pPr>
        <w:pStyle w:val="BodyText"/>
        <w:spacing w:line="240" w:lineRule="auto" w:before="50"/>
        <w:ind w:left="574"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3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日完成授予登记，总股本变更为</w:t>
      </w:r>
      <w:r>
        <w:rPr>
          <w:spacing w:val="-34"/>
        </w:rPr>
        <w:t> </w:t>
      </w:r>
      <w:r>
        <w:rPr>
          <w:rFonts w:ascii="Times New Roman" w:hAnsi="Times New Roman" w:cs="Times New Roman" w:eastAsia="Times New Roman" w:hint="default"/>
        </w:rPr>
        <w:t>103,137,854</w:t>
      </w:r>
      <w:r>
        <w:rPr>
          <w:rFonts w:ascii="Times New Roman" w:hAnsi="Times New Roman" w:cs="Times New Roman" w:eastAsia="Times New Roman" w:hint="default"/>
          <w:spacing w:val="-2"/>
        </w:rPr>
        <w:t> </w:t>
      </w:r>
      <w:r>
        <w:rPr/>
        <w:t>股，按照</w:t>
      </w:r>
      <w:r>
        <w:rPr>
          <w:rFonts w:ascii="Times New Roman" w:hAnsi="Times New Roman" w:cs="Times New Roman" w:eastAsia="Times New Roman" w:hint="default"/>
        </w:rPr>
        <w:t>“</w:t>
      </w:r>
      <w:r>
        <w:rPr/>
        <w:t>分配总额不变</w:t>
      </w:r>
      <w:r>
        <w:rPr>
          <w:rFonts w:ascii="Times New Roman" w:hAnsi="Times New Roman" w:cs="Times New Roman" w:eastAsia="Times New Roman" w:hint="default"/>
        </w:rPr>
        <w:t>”</w:t>
      </w:r>
      <w:r>
        <w:rPr/>
        <w:t>的原则，重新计算以</w:t>
      </w:r>
    </w:p>
    <w:p>
      <w:pPr>
        <w:pStyle w:val="BodyText"/>
        <w:spacing w:line="240" w:lineRule="auto" w:before="49"/>
        <w:ind w:left="574" w:right="0"/>
        <w:jc w:val="both"/>
      </w:pPr>
      <w:r>
        <w:rPr/>
        <w:t>资本公积金向全体股东每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股转增</w:t>
      </w:r>
      <w:r>
        <w:rPr>
          <w:spacing w:val="-55"/>
        </w:rPr>
        <w:t> </w:t>
      </w:r>
      <w:r>
        <w:rPr>
          <w:rFonts w:ascii="Times New Roman" w:hAnsi="Times New Roman" w:cs="Times New Roman" w:eastAsia="Times New Roman" w:hint="default"/>
        </w:rPr>
        <w:t>29.087280</w:t>
      </w:r>
      <w:r>
        <w:rPr>
          <w:rFonts w:ascii="Times New Roman" w:hAnsi="Times New Roman" w:cs="Times New Roman" w:eastAsia="Times New Roman" w:hint="default"/>
          <w:spacing w:val="-10"/>
        </w:rPr>
        <w:t> </w:t>
      </w:r>
      <w:r>
        <w:rPr/>
        <w:t>股，此次转增完成后总股本增加至</w:t>
      </w:r>
      <w:r>
        <w:rPr>
          <w:spacing w:val="-53"/>
        </w:rPr>
        <w:t> </w:t>
      </w:r>
      <w:r>
        <w:rPr>
          <w:rFonts w:ascii="Times New Roman" w:hAnsi="Times New Roman" w:cs="Times New Roman" w:eastAsia="Times New Roman" w:hint="default"/>
        </w:rPr>
        <w:t>403,137,817</w:t>
      </w:r>
      <w:r>
        <w:rPr>
          <w:rFonts w:ascii="Times New Roman" w:hAnsi="Times New Roman" w:cs="Times New Roman" w:eastAsia="Times New Roman" w:hint="default"/>
          <w:spacing w:val="-11"/>
        </w:rPr>
        <w:t> </w:t>
      </w:r>
      <w:r>
        <w:rPr/>
        <w:t>股。</w:t>
      </w:r>
    </w:p>
    <w:p>
      <w:pPr>
        <w:spacing w:line="240" w:lineRule="auto" w:before="9"/>
        <w:rPr>
          <w:rFonts w:ascii="宋体" w:hAnsi="宋体" w:cs="宋体" w:eastAsia="宋体" w:hint="default"/>
          <w:sz w:val="16"/>
          <w:szCs w:val="16"/>
        </w:rPr>
      </w:pPr>
    </w:p>
    <w:p>
      <w:pPr>
        <w:pStyle w:val="BodyText"/>
        <w:spacing w:line="240" w:lineRule="auto"/>
        <w:ind w:left="994" w:right="1017"/>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日，因股权激励计划中被激励对象离职，经第二届董事会第九次会议决议和修改后的</w:t>
      </w:r>
    </w:p>
    <w:p>
      <w:pPr>
        <w:pStyle w:val="BodyText"/>
        <w:spacing w:line="280" w:lineRule="auto" w:before="50"/>
        <w:ind w:left="574" w:right="1130"/>
        <w:jc w:val="both"/>
      </w:pPr>
      <w:r>
        <w:rPr/>
        <w:t>公司章程规定，回购并注销股权激励股票</w:t>
      </w:r>
      <w:r>
        <w:rPr>
          <w:spacing w:val="-37"/>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7"/>
        </w:rPr>
        <w:t> </w:t>
      </w:r>
      <w:r>
        <w:rPr/>
        <w:t>股，回购价格每股</w:t>
      </w:r>
      <w:r>
        <w:rPr>
          <w:spacing w:val="-38"/>
        </w:rPr>
        <w:t> </w:t>
      </w:r>
      <w:r>
        <w:rPr>
          <w:rFonts w:ascii="Times New Roman" w:hAnsi="Times New Roman" w:cs="Times New Roman" w:eastAsia="Times New Roman" w:hint="default"/>
        </w:rPr>
        <w:t>85.48</w:t>
      </w:r>
      <w:r>
        <w:rPr>
          <w:rFonts w:ascii="Times New Roman" w:hAnsi="Times New Roman" w:cs="Times New Roman" w:eastAsia="Times New Roman" w:hint="default"/>
          <w:spacing w:val="-8"/>
        </w:rPr>
        <w:t> </w:t>
      </w:r>
      <w:r>
        <w:rPr/>
        <w:t>元，回购金额</w:t>
      </w:r>
      <w:r>
        <w:rPr>
          <w:spacing w:val="-38"/>
        </w:rPr>
        <w:t> </w:t>
      </w:r>
      <w:r>
        <w:rPr>
          <w:rFonts w:ascii="Times New Roman" w:hAnsi="Times New Roman" w:cs="Times New Roman" w:eastAsia="Times New Roman" w:hint="default"/>
        </w:rPr>
        <w:t>1,709,600.00</w:t>
      </w:r>
      <w:r>
        <w:rPr>
          <w:rFonts w:ascii="Times New Roman" w:hAnsi="Times New Roman" w:cs="Times New Roman" w:eastAsia="Times New Roman" w:hint="default"/>
          <w:spacing w:val="-6"/>
        </w:rPr>
        <w:t> </w:t>
      </w:r>
      <w:r>
        <w:rPr/>
        <w:t>元， </w:t>
      </w:r>
      <w:r>
        <w:rPr>
          <w:spacing w:val="-3"/>
        </w:rPr>
        <w:t>业经致同会计师事务所（特殊普通合伙）出具的致同验字（</w:t>
      </w:r>
      <w:r>
        <w:rPr>
          <w:rFonts w:ascii="Times New Roman" w:hAnsi="Times New Roman" w:cs="Times New Roman" w:eastAsia="Times New Roman" w:hint="default"/>
          <w:spacing w:val="-3"/>
        </w:rPr>
        <w:t>2016</w:t>
      </w:r>
      <w:r>
        <w:rPr>
          <w:spacing w:val="-3"/>
        </w:rPr>
        <w:t>）第</w:t>
      </w:r>
      <w:r>
        <w:rPr>
          <w:spacing w:val="-49"/>
        </w:rPr>
        <w:t> </w:t>
      </w:r>
      <w:r>
        <w:rPr>
          <w:rFonts w:ascii="Times New Roman" w:hAnsi="Times New Roman" w:cs="Times New Roman" w:eastAsia="Times New Roman" w:hint="default"/>
        </w:rPr>
        <w:t>110ZA0455</w:t>
      </w:r>
      <w:r>
        <w:rPr>
          <w:rFonts w:ascii="Times New Roman" w:hAnsi="Times New Roman" w:cs="Times New Roman" w:eastAsia="Times New Roman" w:hint="default"/>
          <w:spacing w:val="-7"/>
        </w:rPr>
        <w:t> </w:t>
      </w:r>
      <w:r>
        <w:rPr/>
        <w:t>号验资报告予以验证；此 次回购注销于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2"/>
        </w:rPr>
        <w:t> </w:t>
      </w:r>
      <w:r>
        <w:rPr/>
        <w:t>日完成，晚于上述资本公积转增股本实施日</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4"/>
        </w:rPr>
        <w:t> </w:t>
      </w:r>
      <w:r>
        <w:rPr/>
        <w:t>日，故此次回购</w:t>
      </w:r>
    </w:p>
    <w:p>
      <w:pPr>
        <w:pStyle w:val="BodyText"/>
        <w:spacing w:line="240" w:lineRule="auto" w:before="10"/>
        <w:ind w:left="574" w:right="0"/>
        <w:jc w:val="both"/>
      </w:pPr>
      <w:r>
        <w:rPr/>
        <w:t>注销股份数量由</w:t>
      </w:r>
      <w:r>
        <w:rPr>
          <w:spacing w:val="-53"/>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2"/>
        </w:rPr>
        <w:t> </w:t>
      </w:r>
      <w:r>
        <w:rPr/>
        <w:t>股转增至</w:t>
      </w:r>
      <w:r>
        <w:rPr>
          <w:spacing w:val="-54"/>
        </w:rPr>
        <w:t> </w:t>
      </w:r>
      <w:r>
        <w:rPr>
          <w:rFonts w:ascii="Times New Roman" w:hAnsi="Times New Roman" w:cs="Times New Roman" w:eastAsia="Times New Roman" w:hint="default"/>
        </w:rPr>
        <w:t>78,173</w:t>
      </w:r>
      <w:r>
        <w:rPr>
          <w:rFonts w:ascii="Times New Roman" w:hAnsi="Times New Roman" w:cs="Times New Roman" w:eastAsia="Times New Roman" w:hint="default"/>
          <w:spacing w:val="-11"/>
        </w:rPr>
        <w:t> </w:t>
      </w:r>
      <w:r>
        <w:rPr/>
        <w:t>股，变更后股本为</w:t>
      </w:r>
      <w:r>
        <w:rPr>
          <w:spacing w:val="-53"/>
        </w:rPr>
        <w:t> </w:t>
      </w:r>
      <w:r>
        <w:rPr>
          <w:rFonts w:ascii="Times New Roman" w:hAnsi="Times New Roman" w:cs="Times New Roman" w:eastAsia="Times New Roman" w:hint="default"/>
        </w:rPr>
        <w:t>403,059,644</w:t>
      </w:r>
      <w:r>
        <w:rPr>
          <w:rFonts w:ascii="Times New Roman" w:hAnsi="Times New Roman" w:cs="Times New Roman" w:eastAsia="Times New Roman" w:hint="default"/>
          <w:spacing w:val="-11"/>
        </w:rPr>
        <w:t> </w:t>
      </w:r>
      <w:r>
        <w:rPr/>
        <w:t>股。</w:t>
      </w:r>
    </w:p>
    <w:p>
      <w:pPr>
        <w:spacing w:line="240" w:lineRule="auto" w:before="9"/>
        <w:rPr>
          <w:rFonts w:ascii="宋体" w:hAnsi="宋体" w:cs="宋体" w:eastAsia="宋体" w:hint="default"/>
          <w:sz w:val="16"/>
          <w:szCs w:val="16"/>
        </w:rPr>
      </w:pPr>
    </w:p>
    <w:p>
      <w:pPr>
        <w:pStyle w:val="BodyText"/>
        <w:spacing w:line="288" w:lineRule="auto"/>
        <w:ind w:left="574" w:right="1131" w:firstLine="42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日，因股权激励计划中被激励对象</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人离职，经本公司第二届董事会第十三次会议决 </w:t>
      </w:r>
      <w:r>
        <w:rPr>
          <w:spacing w:val="-1"/>
        </w:rPr>
        <w:t>议和修改后的公司章程规定，回购并注销其已获授权但尚未解锁的全部限制性股票。由于股权激励授予后</w:t>
      </w:r>
      <w:r>
        <w:rPr>
          <w:spacing w:val="-81"/>
        </w:rPr>
        <w:t> </w:t>
      </w:r>
      <w:r>
        <w:rPr>
          <w:spacing w:val="-81"/>
        </w:rPr>
      </w:r>
      <w:r>
        <w:rPr/>
        <w:t>公司实施权益分派，资本公积转增股本，</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名离职员工持股合计由</w:t>
      </w:r>
      <w:r>
        <w:rPr>
          <w:spacing w:val="-36"/>
        </w:rPr>
        <w:t> </w:t>
      </w:r>
      <w:r>
        <w:rPr>
          <w:rFonts w:ascii="Times New Roman" w:hAnsi="Times New Roman" w:cs="Times New Roman" w:eastAsia="Times New Roman" w:hint="default"/>
        </w:rPr>
        <w:t>31,000</w:t>
      </w:r>
      <w:r>
        <w:rPr>
          <w:rFonts w:ascii="Times New Roman" w:hAnsi="Times New Roman" w:cs="Times New Roman" w:eastAsia="Times New Roman" w:hint="default"/>
          <w:spacing w:val="-3"/>
        </w:rPr>
        <w:t> </w:t>
      </w:r>
      <w:r>
        <w:rPr/>
        <w:t>股增加至</w:t>
      </w:r>
      <w:r>
        <w:rPr>
          <w:spacing w:val="-35"/>
        </w:rPr>
        <w:t> </w:t>
      </w:r>
      <w:r>
        <w:rPr>
          <w:rFonts w:ascii="Times New Roman" w:hAnsi="Times New Roman" w:cs="Times New Roman" w:eastAsia="Times New Roman" w:hint="default"/>
        </w:rPr>
        <w:t>121,171</w:t>
      </w:r>
      <w:r>
        <w:rPr>
          <w:rFonts w:ascii="Times New Roman" w:hAnsi="Times New Roman" w:cs="Times New Roman" w:eastAsia="Times New Roman" w:hint="default"/>
          <w:spacing w:val="-3"/>
        </w:rPr>
        <w:t> </w:t>
      </w:r>
      <w:r>
        <w:rPr/>
        <w:t>股，每股回购</w:t>
      </w:r>
    </w:p>
    <w:p>
      <w:pPr>
        <w:pStyle w:val="BodyText"/>
        <w:spacing w:line="240" w:lineRule="auto" w:before="3"/>
        <w:ind w:left="574" w:right="0"/>
        <w:jc w:val="both"/>
      </w:pPr>
      <w:r>
        <w:rPr/>
        <w:t>价格按照激励计划进行调整，回购款总额与合计授予价格一致，回购金额合计 </w:t>
      </w:r>
      <w:r>
        <w:rPr>
          <w:rFonts w:ascii="Times New Roman" w:hAnsi="Times New Roman" w:cs="Times New Roman" w:eastAsia="Times New Roman" w:hint="default"/>
        </w:rPr>
        <w:t>2,649,880.00</w:t>
      </w:r>
      <w:r>
        <w:rPr>
          <w:rFonts w:ascii="Times New Roman" w:hAnsi="Times New Roman" w:cs="Times New Roman" w:eastAsia="Times New Roman" w:hint="default"/>
          <w:spacing w:val="-23"/>
        </w:rPr>
        <w:t> </w:t>
      </w:r>
      <w:r>
        <w:rPr/>
        <w:t>元，业经致同</w:t>
      </w:r>
    </w:p>
    <w:p>
      <w:pPr>
        <w:spacing w:after="0" w:line="240" w:lineRule="auto"/>
        <w:jc w:val="both"/>
        <w:sectPr>
          <w:pgSz w:w="11910" w:h="16840"/>
          <w:pgMar w:header="801" w:footer="1007" w:top="1100" w:bottom="1200" w:left="560" w:right="0"/>
        </w:sectPr>
      </w:pPr>
    </w:p>
    <w:p>
      <w:pPr>
        <w:spacing w:line="240" w:lineRule="auto" w:before="1"/>
        <w:rPr>
          <w:rFonts w:ascii="宋体" w:hAnsi="宋体" w:cs="宋体" w:eastAsia="宋体" w:hint="default"/>
          <w:sz w:val="19"/>
          <w:szCs w:val="19"/>
        </w:rPr>
      </w:pPr>
    </w:p>
    <w:p>
      <w:pPr>
        <w:pStyle w:val="BodyText"/>
        <w:spacing w:line="280" w:lineRule="auto" w:before="35"/>
        <w:ind w:left="154" w:right="1122"/>
        <w:jc w:val="left"/>
      </w:pPr>
      <w:r>
        <w:rPr>
          <w:spacing w:val="-3"/>
        </w:rPr>
        <w:t>会计师事务所（特殊普通合伙）出具的致同验字（</w:t>
      </w:r>
      <w:r>
        <w:rPr>
          <w:rFonts w:ascii="Times New Roman" w:hAnsi="Times New Roman" w:cs="Times New Roman" w:eastAsia="Times New Roman" w:hint="default"/>
          <w:spacing w:val="-3"/>
        </w:rPr>
        <w:t>2017</w:t>
      </w:r>
      <w:r>
        <w:rPr>
          <w:spacing w:val="-3"/>
        </w:rPr>
        <w:t>）第</w:t>
      </w:r>
      <w:r>
        <w:rPr>
          <w:spacing w:val="-49"/>
        </w:rPr>
        <w:t> </w:t>
      </w:r>
      <w:r>
        <w:rPr>
          <w:rFonts w:ascii="Times New Roman" w:hAnsi="Times New Roman" w:cs="Times New Roman" w:eastAsia="Times New Roman" w:hint="default"/>
        </w:rPr>
        <w:t>110ZC0050</w:t>
      </w:r>
      <w:r>
        <w:rPr>
          <w:rFonts w:ascii="Times New Roman" w:hAnsi="Times New Roman" w:cs="Times New Roman" w:eastAsia="Times New Roman" w:hint="default"/>
          <w:spacing w:val="-8"/>
        </w:rPr>
        <w:t> </w:t>
      </w:r>
      <w:r>
        <w:rPr/>
        <w:t>号验资报告予以验证；此次回购注 销于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t>日完成，变更后股本为</w:t>
      </w:r>
      <w:r>
        <w:rPr>
          <w:spacing w:val="-53"/>
        </w:rPr>
        <w:t> </w:t>
      </w:r>
      <w:r>
        <w:rPr>
          <w:rFonts w:ascii="Times New Roman" w:hAnsi="Times New Roman" w:cs="Times New Roman" w:eastAsia="Times New Roman" w:hint="default"/>
        </w:rPr>
        <w:t>402,938,473</w:t>
      </w:r>
      <w:r>
        <w:rPr>
          <w:rFonts w:ascii="Times New Roman" w:hAnsi="Times New Roman" w:cs="Times New Roman" w:eastAsia="Times New Roman" w:hint="default"/>
          <w:spacing w:val="-11"/>
        </w:rPr>
        <w:t> </w:t>
      </w:r>
      <w:r>
        <w:rPr/>
        <w:t>股。</w:t>
      </w:r>
    </w:p>
    <w:p>
      <w:pPr>
        <w:pStyle w:val="BodyText"/>
        <w:spacing w:line="290" w:lineRule="auto" w:before="177"/>
        <w:ind w:left="154" w:right="1131"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39"/>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t>日，因股权激励计划中被激励对象</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人离职，经本公司第二届董事会第十八次会议决 </w:t>
      </w:r>
      <w:r>
        <w:rPr>
          <w:spacing w:val="-1"/>
        </w:rPr>
        <w:t>议和修改后的公司章程规定，回购并注销其已获授权但尚未解锁的全部限制性股票。由于股权激励授予后</w:t>
      </w:r>
      <w:r>
        <w:rPr>
          <w:spacing w:val="-81"/>
        </w:rPr>
        <w:t> </w:t>
      </w:r>
      <w:r>
        <w:rPr>
          <w:spacing w:val="-81"/>
        </w:rPr>
      </w:r>
      <w:r>
        <w:rPr/>
        <w:t>公司实施权益分派，资本公积转增股本，</w:t>
      </w:r>
      <w:r>
        <w:rPr>
          <w:spacing w:val="-2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名离职员工持股合计由</w:t>
      </w:r>
      <w:r>
        <w:rPr>
          <w:spacing w:val="-31"/>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1"/>
        </w:rPr>
        <w:t> </w:t>
      </w:r>
      <w:r>
        <w:rPr/>
        <w:t>股增加至</w:t>
      </w:r>
      <w:r>
        <w:rPr>
          <w:spacing w:val="-30"/>
        </w:rPr>
        <w:t> </w:t>
      </w:r>
      <w:r>
        <w:rPr>
          <w:rFonts w:ascii="Times New Roman" w:hAnsi="Times New Roman" w:cs="Times New Roman" w:eastAsia="Times New Roman" w:hint="default"/>
        </w:rPr>
        <w:t>50,815</w:t>
      </w:r>
      <w:r>
        <w:rPr>
          <w:rFonts w:ascii="Times New Roman" w:hAnsi="Times New Roman" w:cs="Times New Roman" w:eastAsia="Times New Roman" w:hint="default"/>
          <w:spacing w:val="1"/>
        </w:rPr>
        <w:t> </w:t>
      </w:r>
      <w:r>
        <w:rPr/>
        <w:t>股，每股回购</w:t>
      </w:r>
    </w:p>
    <w:p>
      <w:pPr>
        <w:pStyle w:val="BodyText"/>
        <w:spacing w:line="280" w:lineRule="auto"/>
        <w:ind w:left="154" w:right="1130"/>
        <w:jc w:val="both"/>
      </w:pPr>
      <w:r>
        <w:rPr/>
        <w:t>价格按照激励计划进行调整，回购款总额与合计授予价格一致，回购金额合计 </w:t>
      </w:r>
      <w:r>
        <w:rPr>
          <w:rFonts w:ascii="Times New Roman" w:hAnsi="Times New Roman" w:cs="Times New Roman" w:eastAsia="Times New Roman" w:hint="default"/>
        </w:rPr>
        <w:t>1,111,240.00</w:t>
      </w:r>
      <w:r>
        <w:rPr>
          <w:rFonts w:ascii="Times New Roman" w:hAnsi="Times New Roman" w:cs="Times New Roman" w:eastAsia="Times New Roman" w:hint="default"/>
          <w:spacing w:val="-23"/>
        </w:rPr>
        <w:t> </w:t>
      </w:r>
      <w:r>
        <w:rPr/>
        <w:t>元，业经致同 </w:t>
      </w:r>
      <w:r>
        <w:rPr>
          <w:spacing w:val="-3"/>
        </w:rPr>
        <w:t>会计师事务所（特殊普通合伙）出具的致同验字（</w:t>
      </w:r>
      <w:r>
        <w:rPr>
          <w:rFonts w:ascii="Times New Roman" w:hAnsi="Times New Roman" w:cs="Times New Roman" w:eastAsia="Times New Roman" w:hint="default"/>
          <w:spacing w:val="-3"/>
        </w:rPr>
        <w:t>2017</w:t>
      </w:r>
      <w:r>
        <w:rPr>
          <w:spacing w:val="-3"/>
        </w:rPr>
        <w:t>）第</w:t>
      </w:r>
      <w:r>
        <w:rPr>
          <w:spacing w:val="-49"/>
        </w:rPr>
        <w:t> </w:t>
      </w:r>
      <w:r>
        <w:rPr>
          <w:rFonts w:ascii="Times New Roman" w:hAnsi="Times New Roman" w:cs="Times New Roman" w:eastAsia="Times New Roman" w:hint="default"/>
        </w:rPr>
        <w:t>110ZC0143</w:t>
      </w:r>
      <w:r>
        <w:rPr>
          <w:rFonts w:ascii="Times New Roman" w:hAnsi="Times New Roman" w:cs="Times New Roman" w:eastAsia="Times New Roman" w:hint="default"/>
          <w:spacing w:val="-8"/>
        </w:rPr>
        <w:t> </w:t>
      </w:r>
      <w:r>
        <w:rPr/>
        <w:t>号验资报告予以验证；此次回购注 销于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11"/>
        </w:rPr>
        <w:t> </w:t>
      </w:r>
      <w:r>
        <w:rPr/>
        <w:t>日完成，变更后股本为</w:t>
      </w:r>
      <w:r>
        <w:rPr>
          <w:spacing w:val="-53"/>
        </w:rPr>
        <w:t> </w:t>
      </w:r>
      <w:r>
        <w:rPr>
          <w:rFonts w:ascii="Times New Roman" w:hAnsi="Times New Roman" w:cs="Times New Roman" w:eastAsia="Times New Roman" w:hint="default"/>
        </w:rPr>
        <w:t>402,887,658</w:t>
      </w:r>
      <w:r>
        <w:rPr>
          <w:rFonts w:ascii="Times New Roman" w:hAnsi="Times New Roman" w:cs="Times New Roman" w:eastAsia="Times New Roman" w:hint="default"/>
          <w:spacing w:val="-11"/>
        </w:rPr>
        <w:t> </w:t>
      </w:r>
      <w:r>
        <w:rPr/>
        <w:t>股。</w:t>
      </w:r>
    </w:p>
    <w:p>
      <w:pPr>
        <w:pStyle w:val="BodyText"/>
        <w:spacing w:line="283" w:lineRule="auto" w:before="178"/>
        <w:ind w:left="154" w:right="1130"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日，本公司第二届董事会第十九次会议决议通过了《关于公司限制性股票激励计划第 </w:t>
      </w:r>
      <w:r>
        <w:rPr>
          <w:spacing w:val="-1"/>
        </w:rPr>
        <w:t>一个解锁期解锁条件成就的议案》、《关于回购注销限制性股票激励计划部分限制性股票的议案》，取消</w:t>
      </w:r>
      <w:r>
        <w:rPr>
          <w:spacing w:val="-82"/>
        </w:rPr>
        <w:t> </w:t>
      </w:r>
      <w:r>
        <w:rPr>
          <w:spacing w:val="-82"/>
        </w:rPr>
      </w:r>
      <w:r>
        <w:rPr/>
        <w:t>离职人员共计</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人的激励对象资格并回购注销其已获授权但尚未解锁的全部限制性股票；根据《限制性股 票激励计划》之规定，</w:t>
      </w:r>
      <w:r>
        <w:rPr>
          <w:rFonts w:ascii="Times New Roman" w:hAnsi="Times New Roman" w:cs="Times New Roman" w:eastAsia="Times New Roman" w:hint="default"/>
        </w:rPr>
        <w:t>“</w:t>
      </w:r>
      <w:r>
        <w:rPr/>
        <w:t>考核结果为</w:t>
      </w:r>
      <w:r>
        <w:rPr>
          <w:spacing w:val="-57"/>
        </w:rPr>
        <w:t> </w:t>
      </w:r>
      <w:r>
        <w:rPr>
          <w:rFonts w:ascii="Times New Roman" w:hAnsi="Times New Roman" w:cs="Times New Roman" w:eastAsia="Times New Roman" w:hint="default"/>
        </w:rPr>
        <w:t>C</w:t>
      </w:r>
      <w:r>
        <w:rPr>
          <w:rFonts w:ascii="Times New Roman" w:hAnsi="Times New Roman" w:cs="Times New Roman" w:eastAsia="Times New Roman" w:hint="default"/>
          <w:spacing w:val="-15"/>
        </w:rPr>
        <w:t> </w:t>
      </w:r>
      <w:r>
        <w:rPr/>
        <w:t>级的股权激励对象，解锁系数为</w:t>
      </w:r>
      <w:r>
        <w:rPr>
          <w:spacing w:val="-57"/>
        </w:rPr>
        <w:t> </w:t>
      </w:r>
      <w:r>
        <w:rPr>
          <w:rFonts w:ascii="Times New Roman" w:hAnsi="Times New Roman" w:cs="Times New Roman" w:eastAsia="Times New Roman" w:hint="default"/>
        </w:rPr>
        <w:t>0.8”</w:t>
      </w:r>
      <w:r>
        <w:rPr/>
        <w:t>，回购注销</w:t>
      </w:r>
      <w:r>
        <w:rPr>
          <w:spacing w:val="-5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年度考核结果 为</w:t>
      </w:r>
      <w:r>
        <w:rPr>
          <w:spacing w:val="-63"/>
        </w:rPr>
        <w:t> </w:t>
      </w:r>
      <w:r>
        <w:rPr>
          <w:rFonts w:ascii="Times New Roman" w:hAnsi="Times New Roman" w:cs="Times New Roman" w:eastAsia="Times New Roman" w:hint="default"/>
        </w:rPr>
        <w:t>C</w:t>
      </w:r>
      <w:r>
        <w:rPr>
          <w:rFonts w:ascii="Times New Roman" w:hAnsi="Times New Roman" w:cs="Times New Roman" w:eastAsia="Times New Roman" w:hint="default"/>
          <w:spacing w:val="-19"/>
        </w:rPr>
        <w:t> </w:t>
      </w:r>
      <w:r>
        <w:rPr/>
        <w:t>级的</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名股权激励对象本期未能解锁的限制性股票。由于股权激励授予后公司实施权益分派，资本公 积转增股本，因而回购每股单价按照激励计划进行调整，本次回购注销上述限制性股票合计</w:t>
      </w:r>
      <w:r>
        <w:rPr>
          <w:spacing w:val="-75"/>
        </w:rPr>
        <w:t> </w:t>
      </w:r>
      <w:r>
        <w:rPr>
          <w:rFonts w:ascii="Times New Roman" w:hAnsi="Times New Roman" w:cs="Times New Roman" w:eastAsia="Times New Roman" w:hint="default"/>
        </w:rPr>
        <w:t>42,254</w:t>
      </w:r>
      <w:r>
        <w:rPr>
          <w:rFonts w:ascii="Times New Roman" w:hAnsi="Times New Roman" w:cs="Times New Roman" w:eastAsia="Times New Roman" w:hint="default"/>
          <w:spacing w:val="-29"/>
        </w:rPr>
        <w:t> </w:t>
      </w:r>
      <w:r>
        <w:rPr>
          <w:spacing w:val="-8"/>
        </w:rPr>
        <w:t>股，回</w:t>
      </w:r>
    </w:p>
    <w:p>
      <w:pPr>
        <w:pStyle w:val="BodyText"/>
        <w:spacing w:line="240" w:lineRule="auto" w:before="8"/>
        <w:ind w:left="154" w:right="0"/>
        <w:jc w:val="both"/>
      </w:pPr>
      <w:r>
        <w:rPr/>
        <w:t>购款合计</w:t>
      </w:r>
      <w:r>
        <w:rPr>
          <w:spacing w:val="-52"/>
        </w:rPr>
        <w:t> </w:t>
      </w:r>
      <w:r>
        <w:rPr>
          <w:rFonts w:ascii="Times New Roman" w:hAnsi="Times New Roman" w:cs="Times New Roman" w:eastAsia="Times New Roman" w:hint="default"/>
        </w:rPr>
        <w:t>924,038.80</w:t>
      </w:r>
      <w:r>
        <w:rPr>
          <w:rFonts w:ascii="Times New Roman" w:hAnsi="Times New Roman" w:cs="Times New Roman" w:eastAsia="Times New Roman" w:hint="default"/>
          <w:spacing w:val="-10"/>
        </w:rPr>
        <w:t> </w:t>
      </w:r>
      <w:r>
        <w:rPr/>
        <w:t>元。</w:t>
      </w:r>
    </w:p>
    <w:p>
      <w:pPr>
        <w:spacing w:line="240" w:lineRule="auto" w:before="8"/>
        <w:rPr>
          <w:rFonts w:ascii="宋体" w:hAnsi="宋体" w:cs="宋体" w:eastAsia="宋体" w:hint="default"/>
          <w:sz w:val="16"/>
          <w:szCs w:val="16"/>
        </w:rPr>
      </w:pPr>
    </w:p>
    <w:p>
      <w:pPr>
        <w:pStyle w:val="BodyText"/>
        <w:spacing w:line="290" w:lineRule="auto"/>
        <w:ind w:left="154" w:right="1131"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5"/>
        </w:rPr>
        <w:t> </w:t>
      </w:r>
      <w:r>
        <w:rPr/>
        <w:t>日，经本公司第二届董事会第二十次会议决议规定，取消离职人员共计</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人的激励对 </w:t>
      </w:r>
      <w:r>
        <w:rPr>
          <w:spacing w:val="-1"/>
        </w:rPr>
        <w:t>象资格并回购注销其已获授权但尚未解锁的全部限制性股票。由于股权激励授予后公司实施权益分派，资</w:t>
      </w:r>
      <w:r>
        <w:rPr>
          <w:spacing w:val="-81"/>
        </w:rPr>
        <w:t> </w:t>
      </w:r>
      <w:r>
        <w:rPr>
          <w:spacing w:val="-81"/>
        </w:rPr>
      </w:r>
      <w:r>
        <w:rPr/>
        <w:t>本公积转增股本，因而回购每股单价按照激励计划进行调整，本次回购注销限制性股票合计 </w:t>
      </w:r>
      <w:r>
        <w:rPr>
          <w:rFonts w:ascii="Times New Roman" w:hAnsi="Times New Roman" w:cs="Times New Roman" w:eastAsia="Times New Roman" w:hint="default"/>
        </w:rPr>
        <w:t>506,176</w:t>
      </w:r>
      <w:r>
        <w:rPr>
          <w:rFonts w:ascii="Times New Roman" w:hAnsi="Times New Roman" w:cs="Times New Roman" w:eastAsia="Times New Roman" w:hint="default"/>
          <w:spacing w:val="-25"/>
        </w:rPr>
        <w:t> </w:t>
      </w:r>
      <w:r>
        <w:rPr/>
        <w:t>股，</w:t>
      </w:r>
    </w:p>
    <w:p>
      <w:pPr>
        <w:pStyle w:val="BodyText"/>
        <w:spacing w:line="240" w:lineRule="auto"/>
        <w:ind w:left="154" w:right="0"/>
        <w:jc w:val="both"/>
      </w:pPr>
      <w:r>
        <w:rPr/>
        <w:t>回购款合计</w:t>
      </w:r>
      <w:r>
        <w:rPr>
          <w:spacing w:val="-52"/>
        </w:rPr>
        <w:t> </w:t>
      </w:r>
      <w:r>
        <w:rPr>
          <w:rFonts w:ascii="Times New Roman" w:hAnsi="Times New Roman" w:cs="Times New Roman" w:eastAsia="Times New Roman" w:hint="default"/>
        </w:rPr>
        <w:t>11,069,660.00</w:t>
      </w:r>
      <w:r>
        <w:rPr>
          <w:rFonts w:ascii="Times New Roman" w:hAnsi="Times New Roman" w:cs="Times New Roman" w:eastAsia="Times New Roman" w:hint="default"/>
          <w:spacing w:val="-11"/>
        </w:rPr>
        <w:t> </w:t>
      </w:r>
      <w:r>
        <w:rPr/>
        <w:t>元。</w:t>
      </w:r>
    </w:p>
    <w:p>
      <w:pPr>
        <w:spacing w:line="240" w:lineRule="auto" w:before="9"/>
        <w:rPr>
          <w:rFonts w:ascii="宋体" w:hAnsi="宋体" w:cs="宋体" w:eastAsia="宋体" w:hint="default"/>
          <w:sz w:val="16"/>
          <w:szCs w:val="16"/>
        </w:rPr>
      </w:pPr>
    </w:p>
    <w:p>
      <w:pPr>
        <w:pStyle w:val="BodyText"/>
        <w:spacing w:line="240" w:lineRule="auto"/>
        <w:ind w:left="574" w:right="0"/>
        <w:jc w:val="left"/>
      </w:pPr>
      <w:r>
        <w:rPr/>
        <w:t>上述两次回购注销限制性股票合计</w:t>
      </w:r>
      <w:r>
        <w:rPr>
          <w:spacing w:val="-54"/>
        </w:rPr>
        <w:t> </w:t>
      </w:r>
      <w:r>
        <w:rPr>
          <w:rFonts w:ascii="Times New Roman" w:hAnsi="Times New Roman" w:cs="Times New Roman" w:eastAsia="Times New Roman" w:hint="default"/>
        </w:rPr>
        <w:t>548,430</w:t>
      </w:r>
      <w:r>
        <w:rPr>
          <w:rFonts w:ascii="Times New Roman" w:hAnsi="Times New Roman" w:cs="Times New Roman" w:eastAsia="Times New Roman" w:hint="default"/>
          <w:spacing w:val="-11"/>
        </w:rPr>
        <w:t> </w:t>
      </w:r>
      <w:r>
        <w:rPr/>
        <w:t>股，回购款合计</w:t>
      </w:r>
      <w:r>
        <w:rPr>
          <w:spacing w:val="-55"/>
        </w:rPr>
        <w:t> </w:t>
      </w:r>
      <w:r>
        <w:rPr>
          <w:rFonts w:ascii="Times New Roman" w:hAnsi="Times New Roman" w:cs="Times New Roman" w:eastAsia="Times New Roman" w:hint="default"/>
        </w:rPr>
        <w:t>11,993,698.80</w:t>
      </w:r>
      <w:r>
        <w:rPr>
          <w:rFonts w:ascii="Times New Roman" w:hAnsi="Times New Roman" w:cs="Times New Roman" w:eastAsia="Times New Roman" w:hint="default"/>
          <w:spacing w:val="-12"/>
        </w:rPr>
        <w:t> </w:t>
      </w:r>
      <w:r>
        <w:rPr/>
        <w:t>元，业经致同会计师事务所</w:t>
      </w:r>
    </w:p>
    <w:p>
      <w:pPr>
        <w:pStyle w:val="BodyText"/>
        <w:spacing w:line="240" w:lineRule="auto" w:before="50"/>
        <w:ind w:left="154" w:right="0"/>
        <w:jc w:val="both"/>
      </w:pPr>
      <w:r>
        <w:rPr/>
        <w:t>（特殊普通合伙）出具的致同验字（</w:t>
      </w:r>
      <w:r>
        <w:rPr>
          <w:rFonts w:ascii="Times New Roman" w:hAnsi="Times New Roman" w:cs="Times New Roman" w:eastAsia="Times New Roman" w:hint="default"/>
        </w:rPr>
        <w:t>2017</w:t>
      </w:r>
      <w:r>
        <w:rPr/>
        <w:t>）第</w:t>
      </w:r>
      <w:r>
        <w:rPr>
          <w:spacing w:val="-38"/>
        </w:rPr>
        <w:t> </w:t>
      </w:r>
      <w:r>
        <w:rPr>
          <w:rFonts w:ascii="Times New Roman" w:hAnsi="Times New Roman" w:cs="Times New Roman" w:eastAsia="Times New Roman" w:hint="default"/>
        </w:rPr>
        <w:t>110ZC0206</w:t>
      </w:r>
      <w:r>
        <w:rPr>
          <w:rFonts w:ascii="Times New Roman" w:hAnsi="Times New Roman" w:cs="Times New Roman" w:eastAsia="Times New Roman" w:hint="default"/>
          <w:spacing w:val="-5"/>
        </w:rPr>
        <w:t> </w:t>
      </w:r>
      <w:r>
        <w:rPr/>
        <w:t>号验资报告予以验证；此次回购注销于</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p>
    <w:p>
      <w:pPr>
        <w:pStyle w:val="BodyText"/>
        <w:spacing w:line="240" w:lineRule="auto" w:before="50"/>
        <w:ind w:left="154" w:right="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日登记完成，变更后股本为</w:t>
      </w:r>
      <w:r>
        <w:rPr>
          <w:spacing w:val="-55"/>
        </w:rPr>
        <w:t> </w:t>
      </w:r>
      <w:r>
        <w:rPr>
          <w:rFonts w:ascii="Times New Roman" w:hAnsi="Times New Roman" w:cs="Times New Roman" w:eastAsia="Times New Roman" w:hint="default"/>
        </w:rPr>
        <w:t>402,339,228</w:t>
      </w:r>
      <w:r>
        <w:rPr>
          <w:rFonts w:ascii="Times New Roman" w:hAnsi="Times New Roman" w:cs="Times New Roman" w:eastAsia="Times New Roman" w:hint="default"/>
          <w:spacing w:val="-11"/>
        </w:rPr>
        <w:t> </w:t>
      </w:r>
      <w:r>
        <w:rPr/>
        <w:t>股。</w:t>
      </w:r>
    </w:p>
    <w:p>
      <w:pPr>
        <w:spacing w:line="240" w:lineRule="auto" w:before="8"/>
        <w:rPr>
          <w:rFonts w:ascii="宋体" w:hAnsi="宋体" w:cs="宋体" w:eastAsia="宋体" w:hint="default"/>
          <w:sz w:val="16"/>
          <w:szCs w:val="16"/>
        </w:rPr>
      </w:pPr>
    </w:p>
    <w:p>
      <w:pPr>
        <w:pStyle w:val="BodyText"/>
        <w:spacing w:line="240" w:lineRule="auto"/>
        <w:ind w:left="57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t>年</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19"/>
        </w:rPr>
        <w:t> </w:t>
      </w:r>
      <w:r>
        <w:rPr/>
        <w:t>月</w:t>
      </w:r>
      <w:r>
        <w:rPr>
          <w:spacing w:val="-65"/>
        </w:rPr>
        <w:t> </w:t>
      </w:r>
      <w:r>
        <w:rPr>
          <w:rFonts w:ascii="Times New Roman" w:hAnsi="Times New Roman" w:cs="Times New Roman" w:eastAsia="Times New Roman" w:hint="default"/>
        </w:rPr>
        <w:t>11</w:t>
      </w:r>
      <w:r>
        <w:rPr>
          <w:rFonts w:ascii="Times New Roman" w:hAnsi="Times New Roman" w:cs="Times New Roman" w:eastAsia="Times New Roman" w:hint="default"/>
          <w:spacing w:val="-19"/>
        </w:rPr>
        <w:t> </w:t>
      </w:r>
      <w:r>
        <w:rPr/>
        <w:t>日，本公司根据《中科创达软件股份有限公司关于向激励对象授予限制性股票的议案》</w:t>
      </w:r>
    </w:p>
    <w:p>
      <w:pPr>
        <w:pStyle w:val="BodyText"/>
        <w:spacing w:line="240" w:lineRule="auto" w:before="50"/>
        <w:ind w:left="154" w:right="0"/>
        <w:jc w:val="both"/>
        <w:rPr>
          <w:rFonts w:ascii="Times New Roman" w:hAnsi="Times New Roman" w:cs="Times New Roman" w:eastAsia="Times New Roman" w:hint="default"/>
        </w:rPr>
      </w:pPr>
      <w:r>
        <w:rPr/>
        <w:t>有关条款和股东大会授权</w:t>
      </w:r>
      <w:r>
        <w:rPr>
          <w:spacing w:val="-105"/>
        </w:rPr>
        <w:t>，</w:t>
      </w:r>
      <w:r>
        <w:rPr/>
        <w:t>向符合</w:t>
      </w:r>
      <w:r>
        <w:rPr>
          <w:spacing w:val="-2"/>
        </w:rPr>
        <w:t>条</w:t>
      </w:r>
      <w:r>
        <w:rPr/>
        <w:t>件的</w:t>
      </w:r>
      <w:r>
        <w:rPr>
          <w:spacing w:val="-55"/>
        </w:rPr>
        <w:t> </w:t>
      </w:r>
      <w:r>
        <w:rPr>
          <w:rFonts w:ascii="Times New Roman" w:hAnsi="Times New Roman" w:cs="Times New Roman" w:eastAsia="Times New Roman" w:hint="default"/>
        </w:rPr>
        <w:t>199</w:t>
      </w:r>
      <w:r>
        <w:rPr>
          <w:rFonts w:ascii="Times New Roman" w:hAnsi="Times New Roman" w:cs="Times New Roman" w:eastAsia="Times New Roman" w:hint="default"/>
          <w:spacing w:val="-10"/>
        </w:rPr>
        <w:t> </w:t>
      </w:r>
      <w:r>
        <w:rPr>
          <w:spacing w:val="-2"/>
        </w:rPr>
        <w:t>名</w:t>
      </w:r>
      <w:r>
        <w:rPr/>
        <w:t>激励对象授予</w:t>
      </w:r>
      <w:r>
        <w:rPr>
          <w:spacing w:val="-55"/>
        </w:rPr>
        <w:t> </w:t>
      </w:r>
      <w:r>
        <w:rPr>
          <w:rFonts w:ascii="Times New Roman" w:hAnsi="Times New Roman" w:cs="Times New Roman" w:eastAsia="Times New Roman" w:hint="default"/>
        </w:rPr>
        <w:t>2,685,</w:t>
      </w:r>
      <w:r>
        <w:rPr>
          <w:rFonts w:ascii="Times New Roman" w:hAnsi="Times New Roman" w:cs="Times New Roman" w:eastAsia="Times New Roman" w:hint="default"/>
          <w:spacing w:val="-1"/>
        </w:rPr>
        <w:t>0</w:t>
      </w:r>
      <w:r>
        <w:rPr>
          <w:rFonts w:ascii="Times New Roman" w:hAnsi="Times New Roman" w:cs="Times New Roman" w:eastAsia="Times New Roman" w:hint="default"/>
        </w:rPr>
        <w:t>00</w:t>
      </w:r>
      <w:r>
        <w:rPr>
          <w:rFonts w:ascii="Times New Roman" w:hAnsi="Times New Roman" w:cs="Times New Roman" w:eastAsia="Times New Roman" w:hint="default"/>
          <w:spacing w:val="-11"/>
        </w:rPr>
        <w:t> </w:t>
      </w:r>
      <w:r>
        <w:rPr/>
        <w:t>股限制性股票</w:t>
      </w:r>
      <w:r>
        <w:rPr>
          <w:spacing w:val="-105"/>
        </w:rPr>
        <w:t>，</w:t>
      </w:r>
      <w:r>
        <w:rPr/>
        <w:t>认购价</w:t>
      </w:r>
      <w:r>
        <w:rPr>
          <w:spacing w:val="-2"/>
        </w:rPr>
        <w:t>格</w:t>
      </w:r>
      <w:r>
        <w:rPr/>
        <w:t>每股</w:t>
      </w:r>
      <w:r>
        <w:rPr>
          <w:spacing w:val="-53"/>
        </w:rPr>
        <w:t> </w:t>
      </w:r>
      <w:r>
        <w:rPr>
          <w:rFonts w:ascii="Times New Roman" w:hAnsi="Times New Roman" w:cs="Times New Roman" w:eastAsia="Times New Roman" w:hint="default"/>
          <w:spacing w:val="1"/>
        </w:rPr>
        <w:t>13</w:t>
      </w:r>
      <w:r>
        <w:rPr>
          <w:rFonts w:ascii="Times New Roman" w:hAnsi="Times New Roman" w:cs="Times New Roman" w:eastAsia="Times New Roman" w:hint="default"/>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p>
    <w:p>
      <w:pPr>
        <w:pStyle w:val="BodyText"/>
        <w:spacing w:line="240" w:lineRule="auto" w:before="50"/>
        <w:ind w:left="154" w:right="0"/>
        <w:jc w:val="both"/>
      </w:pPr>
      <w:r>
        <w:rPr>
          <w:spacing w:val="-2"/>
        </w:rPr>
        <w:t>元，认购金额合计</w:t>
      </w:r>
      <w:r>
        <w:rPr>
          <w:spacing w:val="-42"/>
        </w:rPr>
        <w:t> </w:t>
      </w:r>
      <w:r>
        <w:rPr>
          <w:rFonts w:ascii="Times New Roman" w:hAnsi="Times New Roman" w:cs="Times New Roman" w:eastAsia="Times New Roman" w:hint="default"/>
          <w:spacing w:val="-1"/>
        </w:rPr>
        <w:t>36,489,150.00</w:t>
      </w:r>
      <w:r>
        <w:rPr>
          <w:rFonts w:ascii="Times New Roman" w:hAnsi="Times New Roman" w:cs="Times New Roman" w:eastAsia="Times New Roman" w:hint="default"/>
          <w:spacing w:val="-2"/>
        </w:rPr>
        <w:t> </w:t>
      </w:r>
      <w:r>
        <w:rPr>
          <w:spacing w:val="-2"/>
        </w:rPr>
        <w:t>元，业经致同会计师事务所（特殊普通合伙）出具的致同验字（</w:t>
      </w:r>
      <w:r>
        <w:rPr>
          <w:rFonts w:ascii="Times New Roman" w:hAnsi="Times New Roman" w:cs="Times New Roman" w:eastAsia="Times New Roman" w:hint="default"/>
          <w:spacing w:val="-2"/>
        </w:rPr>
        <w:t>2017</w:t>
      </w:r>
      <w:r>
        <w:rPr>
          <w:spacing w:val="-2"/>
        </w:rPr>
        <w:t>）第</w:t>
      </w:r>
      <w:r>
        <w:rPr/>
      </w:r>
    </w:p>
    <w:p>
      <w:pPr>
        <w:pStyle w:val="BodyText"/>
        <w:spacing w:line="240" w:lineRule="auto" w:before="49"/>
        <w:ind w:left="154" w:right="0"/>
        <w:jc w:val="both"/>
      </w:pPr>
      <w:r>
        <w:rPr>
          <w:rFonts w:ascii="Times New Roman" w:hAnsi="Times New Roman" w:cs="Times New Roman" w:eastAsia="Times New Roman" w:hint="default"/>
        </w:rPr>
        <w:t>110ZC0346</w:t>
      </w:r>
      <w:r>
        <w:rPr>
          <w:rFonts w:ascii="Times New Roman" w:hAnsi="Times New Roman" w:cs="Times New Roman" w:eastAsia="Times New Roman" w:hint="default"/>
          <w:spacing w:val="-13"/>
        </w:rPr>
        <w:t> </w:t>
      </w:r>
      <w:r>
        <w:rPr/>
        <w:t>号验资报告予以验证，并于</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日在中国证券登记结算有限责任公司深圳分公司完</w:t>
      </w:r>
    </w:p>
    <w:p>
      <w:pPr>
        <w:pStyle w:val="BodyText"/>
        <w:spacing w:line="240" w:lineRule="auto" w:before="50"/>
        <w:ind w:left="154" w:right="0"/>
        <w:jc w:val="both"/>
      </w:pPr>
      <w:r>
        <w:rPr/>
        <w:t>成登记，此次变更后股本为</w:t>
      </w:r>
      <w:r>
        <w:rPr>
          <w:spacing w:val="-52"/>
        </w:rPr>
        <w:t> </w:t>
      </w:r>
      <w:r>
        <w:rPr>
          <w:rFonts w:ascii="Times New Roman" w:hAnsi="Times New Roman" w:cs="Times New Roman" w:eastAsia="Times New Roman" w:hint="default"/>
        </w:rPr>
        <w:t>405,024,228</w:t>
      </w:r>
      <w:r>
        <w:rPr>
          <w:rFonts w:ascii="Times New Roman" w:hAnsi="Times New Roman" w:cs="Times New Roman" w:eastAsia="Times New Roman" w:hint="default"/>
          <w:spacing w:val="-10"/>
        </w:rPr>
        <w:t> </w:t>
      </w:r>
      <w:r>
        <w:rPr/>
        <w:t>股。</w:t>
      </w:r>
    </w:p>
    <w:p>
      <w:pPr>
        <w:spacing w:line="240" w:lineRule="auto" w:before="9"/>
        <w:rPr>
          <w:rFonts w:ascii="宋体" w:hAnsi="宋体" w:cs="宋体" w:eastAsia="宋体" w:hint="default"/>
          <w:sz w:val="16"/>
          <w:szCs w:val="16"/>
        </w:rPr>
      </w:pPr>
    </w:p>
    <w:p>
      <w:pPr>
        <w:pStyle w:val="BodyText"/>
        <w:spacing w:line="292" w:lineRule="auto"/>
        <w:ind w:left="154" w:right="1110" w:firstLine="420"/>
        <w:jc w:val="both"/>
      </w:pPr>
      <w:r>
        <w:rPr/>
        <w:t>根据本公司</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日第二届董事会第二十六次会议决议，取消武楠等</w:t>
      </w:r>
      <w:r>
        <w:rPr>
          <w:spacing w:val="-48"/>
        </w:rPr>
        <w:t> </w:t>
      </w:r>
      <w:r>
        <w:rPr>
          <w:rFonts w:ascii="Times New Roman" w:hAnsi="Times New Roman" w:cs="Times New Roman" w:eastAsia="Times New Roman" w:hint="default"/>
        </w:rPr>
        <w:t>67</w:t>
      </w:r>
      <w:r>
        <w:rPr>
          <w:rFonts w:ascii="Times New Roman" w:hAnsi="Times New Roman" w:cs="Times New Roman" w:eastAsia="Times New Roman" w:hint="default"/>
          <w:spacing w:val="-14"/>
        </w:rPr>
        <w:t> </w:t>
      </w:r>
      <w:r>
        <w:rPr/>
        <w:t>名已离职人员的激</w:t>
      </w:r>
      <w:r>
        <w:rPr>
          <w:spacing w:val="-2"/>
        </w:rPr>
        <w:t> </w:t>
      </w:r>
      <w:r>
        <w:rPr>
          <w:spacing w:val="3"/>
        </w:rPr>
        <w:t>励对象资格并回购注销其已获授权但尚未解锁的全部限制性股票。由于股权激励授予后公司实施权益分</w:t>
      </w:r>
      <w:r>
        <w:rPr>
          <w:spacing w:val="-82"/>
        </w:rPr>
        <w:t> </w:t>
      </w:r>
      <w:r>
        <w:rPr>
          <w:spacing w:val="-82"/>
        </w:rPr>
      </w:r>
      <w:r>
        <w:rPr/>
        <w:t>派，资本公积转增股本，因而回购每股单价按照激励计划进行调整，但回购款总额与合计授予价格一致， 本次回购注销限制性股票合计</w:t>
      </w:r>
      <w:r>
        <w:rPr>
          <w:spacing w:val="-36"/>
        </w:rPr>
        <w:t> </w:t>
      </w:r>
      <w:r>
        <w:rPr>
          <w:rFonts w:ascii="Times New Roman" w:hAnsi="Times New Roman" w:cs="Times New Roman" w:eastAsia="Times New Roman" w:hint="default"/>
        </w:rPr>
        <w:t>1,145,606</w:t>
      </w:r>
      <w:r>
        <w:rPr>
          <w:rFonts w:ascii="Times New Roman" w:hAnsi="Times New Roman" w:cs="Times New Roman" w:eastAsia="Times New Roman" w:hint="default"/>
          <w:spacing w:val="-4"/>
        </w:rPr>
        <w:t> </w:t>
      </w:r>
      <w:r>
        <w:rPr/>
        <w:t>股，回购款合计</w:t>
      </w:r>
      <w:r>
        <w:rPr>
          <w:spacing w:val="-36"/>
        </w:rPr>
        <w:t> </w:t>
      </w:r>
      <w:r>
        <w:rPr>
          <w:rFonts w:ascii="Times New Roman" w:hAnsi="Times New Roman" w:cs="Times New Roman" w:eastAsia="Times New Roman" w:hint="default"/>
        </w:rPr>
        <w:t>25,053,333.20</w:t>
      </w:r>
      <w:r>
        <w:rPr>
          <w:rFonts w:ascii="Times New Roman" w:hAnsi="Times New Roman" w:cs="Times New Roman" w:eastAsia="Times New Roman" w:hint="default"/>
          <w:spacing w:val="-4"/>
        </w:rPr>
        <w:t> </w:t>
      </w:r>
      <w:r>
        <w:rPr/>
        <w:t>元。业经致同会计师事务所（特殊</w:t>
      </w:r>
    </w:p>
    <w:p>
      <w:pPr>
        <w:pStyle w:val="BodyText"/>
        <w:spacing w:line="288" w:lineRule="exact"/>
        <w:ind w:left="154" w:right="0"/>
        <w:jc w:val="both"/>
        <w:rPr>
          <w:rFonts w:ascii="Times New Roman" w:hAnsi="Times New Roman" w:cs="Times New Roman" w:eastAsia="Times New Roman" w:hint="default"/>
        </w:rPr>
      </w:pPr>
      <w:r>
        <w:rPr>
          <w:spacing w:val="-5"/>
        </w:rPr>
        <w:t>普通合伙）出具的致同验字（</w:t>
      </w:r>
      <w:r>
        <w:rPr>
          <w:rFonts w:ascii="Times New Roman" w:hAnsi="Times New Roman" w:cs="Times New Roman" w:eastAsia="Times New Roman" w:hint="default"/>
          <w:spacing w:val="-5"/>
        </w:rPr>
        <w:t>2017</w:t>
      </w:r>
      <w:r>
        <w:rPr>
          <w:spacing w:val="-5"/>
        </w:rPr>
        <w:t>）第</w:t>
      </w:r>
      <w:r>
        <w:rPr>
          <w:spacing w:val="-55"/>
        </w:rPr>
        <w:t> </w:t>
      </w:r>
      <w:r>
        <w:rPr>
          <w:rFonts w:ascii="Times New Roman" w:hAnsi="Times New Roman" w:cs="Times New Roman" w:eastAsia="Times New Roman" w:hint="default"/>
        </w:rPr>
        <w:t>110ZC0455</w:t>
      </w:r>
      <w:r>
        <w:rPr>
          <w:rFonts w:ascii="Times New Roman" w:hAnsi="Times New Roman" w:cs="Times New Roman" w:eastAsia="Times New Roman" w:hint="default"/>
          <w:spacing w:val="-12"/>
        </w:rPr>
        <w:t> </w:t>
      </w:r>
      <w:r>
        <w:rPr/>
        <w:t>号验资报告予以验证；此次回购注销于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56"/>
        </w:rPr>
        <w:t> </w:t>
      </w:r>
      <w:r>
        <w:rPr>
          <w:rFonts w:ascii="Times New Roman" w:hAnsi="Times New Roman" w:cs="Times New Roman" w:eastAsia="Times New Roman" w:hint="default"/>
        </w:rPr>
        <w:t>16</w:t>
      </w:r>
    </w:p>
    <w:p>
      <w:pPr>
        <w:pStyle w:val="BodyText"/>
        <w:spacing w:line="240" w:lineRule="auto" w:before="50"/>
        <w:ind w:left="154" w:right="0"/>
        <w:jc w:val="both"/>
      </w:pPr>
      <w:r>
        <w:rPr/>
        <w:t>日登记完成，变更后股本为</w:t>
      </w:r>
      <w:r>
        <w:rPr>
          <w:spacing w:val="-52"/>
        </w:rPr>
        <w:t> </w:t>
      </w:r>
      <w:r>
        <w:rPr>
          <w:rFonts w:ascii="Times New Roman" w:hAnsi="Times New Roman" w:cs="Times New Roman" w:eastAsia="Times New Roman" w:hint="default"/>
        </w:rPr>
        <w:t>403,878,622</w:t>
      </w:r>
      <w:r>
        <w:rPr>
          <w:rFonts w:ascii="Times New Roman" w:hAnsi="Times New Roman" w:cs="Times New Roman" w:eastAsia="Times New Roman" w:hint="default"/>
          <w:spacing w:val="-10"/>
        </w:rPr>
        <w:t> </w:t>
      </w:r>
      <w:r>
        <w:rPr/>
        <w:t>股。</w:t>
      </w:r>
    </w:p>
    <w:p>
      <w:pPr>
        <w:spacing w:line="240" w:lineRule="auto" w:before="9"/>
        <w:rPr>
          <w:rFonts w:ascii="宋体" w:hAnsi="宋体" w:cs="宋体" w:eastAsia="宋体" w:hint="default"/>
          <w:sz w:val="16"/>
          <w:szCs w:val="16"/>
        </w:rPr>
      </w:pPr>
    </w:p>
    <w:p>
      <w:pPr>
        <w:pStyle w:val="BodyText"/>
        <w:spacing w:line="292" w:lineRule="auto"/>
        <w:ind w:left="154" w:right="1130"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日召开的第二届董事会第三十次会议审议通过了《关于回购注销离职股权激励对象所 </w:t>
      </w:r>
      <w:r>
        <w:rPr>
          <w:spacing w:val="-1"/>
        </w:rPr>
        <w:t>持已获授但尚未解锁的限制性股票的议案》公司限制性股票激励计划原激励对象因个人原因离职，根据公</w:t>
      </w:r>
      <w:r>
        <w:rPr>
          <w:spacing w:val="-81"/>
        </w:rPr>
        <w:t> </w:t>
      </w:r>
      <w:r>
        <w:rPr>
          <w:spacing w:val="-81"/>
        </w:rPr>
      </w:r>
      <w:r>
        <w:rPr>
          <w:spacing w:val="-1"/>
        </w:rPr>
        <w:t>司《激励计划》之规定，取消离职人员的激励对象资格并回购注销其已获授权但尚未解锁的全部限制性股</w:t>
      </w:r>
      <w:r>
        <w:rPr>
          <w:spacing w:val="-83"/>
        </w:rPr>
        <w:t> </w:t>
      </w:r>
      <w:r>
        <w:rPr>
          <w:spacing w:val="-83"/>
        </w:rPr>
      </w:r>
      <w:r>
        <w:rPr/>
        <w:t>票。本次回购注销的股票数量为</w:t>
      </w:r>
      <w:r>
        <w:rPr>
          <w:spacing w:val="-41"/>
        </w:rPr>
        <w:t> </w:t>
      </w:r>
      <w:r>
        <w:rPr>
          <w:rFonts w:ascii="Times New Roman" w:hAnsi="Times New Roman" w:cs="Times New Roman" w:eastAsia="Times New Roman" w:hint="default"/>
        </w:rPr>
        <w:t>257,384</w:t>
      </w:r>
      <w:r>
        <w:rPr>
          <w:rFonts w:ascii="Times New Roman" w:hAnsi="Times New Roman" w:cs="Times New Roman" w:eastAsia="Times New Roman" w:hint="default"/>
          <w:spacing w:val="-8"/>
        </w:rPr>
        <w:t> </w:t>
      </w:r>
      <w:r>
        <w:rPr/>
        <w:t>股，回购款合计</w:t>
      </w:r>
      <w:r>
        <w:rPr>
          <w:spacing w:val="-41"/>
        </w:rPr>
        <w:t> </w:t>
      </w:r>
      <w:r>
        <w:rPr>
          <w:rFonts w:ascii="Times New Roman" w:hAnsi="Times New Roman" w:cs="Times New Roman" w:eastAsia="Times New Roman" w:hint="default"/>
        </w:rPr>
        <w:t>5,268,630.60</w:t>
      </w:r>
      <w:r>
        <w:rPr>
          <w:rFonts w:ascii="Times New Roman" w:hAnsi="Times New Roman" w:cs="Times New Roman" w:eastAsia="Times New Roman" w:hint="default"/>
          <w:spacing w:val="-8"/>
        </w:rPr>
        <w:t> </w:t>
      </w:r>
      <w:r>
        <w:rPr/>
        <w:t>元。业经致同会计师事务所</w:t>
      </w:r>
      <w:r>
        <w:rPr>
          <w:rFonts w:ascii="Times New Roman" w:hAnsi="Times New Roman" w:cs="Times New Roman" w:eastAsia="Times New Roman" w:hint="default"/>
        </w:rPr>
        <w:t>(</w:t>
      </w:r>
      <w:r>
        <w:rPr/>
        <w:t>特殊普</w:t>
      </w:r>
    </w:p>
    <w:p>
      <w:pPr>
        <w:spacing w:after="0" w:line="292" w:lineRule="auto"/>
        <w:jc w:val="both"/>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40" w:lineRule="auto" w:before="35"/>
        <w:ind w:left="154" w:right="0"/>
        <w:jc w:val="left"/>
      </w:pPr>
      <w:r>
        <w:rPr/>
        <w:t>通合伙</w:t>
      </w:r>
      <w:r>
        <w:rPr>
          <w:rFonts w:ascii="Times New Roman" w:hAnsi="Times New Roman" w:cs="Times New Roman" w:eastAsia="Times New Roman" w:hint="default"/>
        </w:rPr>
        <w:t>)</w:t>
      </w:r>
      <w:r>
        <w:rPr/>
        <w:t>出具的致同验字</w:t>
      </w:r>
      <w:r>
        <w:rPr>
          <w:rFonts w:ascii="Times New Roman" w:hAnsi="Times New Roman" w:cs="Times New Roman" w:eastAsia="Times New Roman" w:hint="default"/>
        </w:rPr>
        <w:t>(2018)</w:t>
      </w:r>
      <w:r>
        <w:rPr/>
        <w:t>第</w:t>
      </w:r>
      <w:r>
        <w:rPr>
          <w:spacing w:val="-53"/>
        </w:rPr>
        <w:t> </w:t>
      </w:r>
      <w:r>
        <w:rPr>
          <w:rFonts w:ascii="Times New Roman" w:hAnsi="Times New Roman" w:cs="Times New Roman" w:eastAsia="Times New Roman" w:hint="default"/>
        </w:rPr>
        <w:t>110ZC0141</w:t>
      </w:r>
      <w:r>
        <w:rPr>
          <w:rFonts w:ascii="Times New Roman" w:hAnsi="Times New Roman" w:cs="Times New Roman" w:eastAsia="Times New Roman" w:hint="default"/>
          <w:spacing w:val="-10"/>
        </w:rPr>
        <w:t> </w:t>
      </w:r>
      <w:r>
        <w:rPr>
          <w:spacing w:val="-4"/>
        </w:rPr>
        <w:t>号验资报告予以验证，并于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10"/>
        </w:rPr>
        <w:t> </w:t>
      </w:r>
      <w:r>
        <w:rPr/>
        <w:t>日在中国证券登记</w:t>
      </w:r>
    </w:p>
    <w:p>
      <w:pPr>
        <w:pStyle w:val="BodyText"/>
        <w:spacing w:line="240" w:lineRule="auto" w:before="50"/>
        <w:ind w:left="154" w:right="1116"/>
        <w:jc w:val="left"/>
      </w:pPr>
      <w:r>
        <w:rPr/>
        <w:t>结算有限责任公司深圳分公司完成回购注销，此次变更后股本为</w:t>
      </w:r>
      <w:r>
        <w:rPr>
          <w:spacing w:val="-53"/>
        </w:rPr>
        <w:t> </w:t>
      </w:r>
      <w:r>
        <w:rPr>
          <w:rFonts w:ascii="Times New Roman" w:hAnsi="Times New Roman" w:cs="Times New Roman" w:eastAsia="Times New Roman" w:hint="default"/>
        </w:rPr>
        <w:t>403,621,238</w:t>
      </w:r>
      <w:r>
        <w:rPr>
          <w:rFonts w:ascii="Times New Roman" w:hAnsi="Times New Roman" w:cs="Times New Roman" w:eastAsia="Times New Roman" w:hint="default"/>
          <w:spacing w:val="-11"/>
        </w:rPr>
        <w:t> </w:t>
      </w:r>
      <w:r>
        <w:rPr/>
        <w:t>股。</w:t>
      </w:r>
    </w:p>
    <w:p>
      <w:pPr>
        <w:spacing w:line="240" w:lineRule="auto" w:before="8"/>
        <w:rPr>
          <w:rFonts w:ascii="宋体" w:hAnsi="宋体" w:cs="宋体" w:eastAsia="宋体" w:hint="default"/>
          <w:sz w:val="16"/>
          <w:szCs w:val="16"/>
        </w:rPr>
      </w:pPr>
    </w:p>
    <w:p>
      <w:pPr>
        <w:pStyle w:val="BodyText"/>
        <w:spacing w:line="292" w:lineRule="auto"/>
        <w:ind w:left="154" w:right="1129" w:firstLine="420"/>
        <w:jc w:val="both"/>
      </w:pPr>
      <w:r>
        <w:rPr/>
        <w:t>公司</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15</w:t>
      </w:r>
      <w:r>
        <w:rPr>
          <w:rFonts w:ascii="Times New Roman" w:hAnsi="Times New Roman" w:cs="Times New Roman" w:eastAsia="Times New Roman" w:hint="default"/>
          <w:spacing w:val="-12"/>
        </w:rPr>
        <w:t> </w:t>
      </w:r>
      <w:r>
        <w:rPr/>
        <w:t>日召开的</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年第四次临时股东大会已审议通过《关于回购注销离职股权激励 </w:t>
      </w:r>
      <w:r>
        <w:rPr>
          <w:spacing w:val="-1"/>
        </w:rPr>
        <w:t>对象所持已获授但尚未解锁的限制性股票的议案》和《关于变更注册资本并修改公司章程的议案》公司限</w:t>
      </w:r>
      <w:r>
        <w:rPr>
          <w:spacing w:val="-83"/>
        </w:rPr>
        <w:t> </w:t>
      </w:r>
      <w:r>
        <w:rPr>
          <w:spacing w:val="-83"/>
        </w:rPr>
      </w:r>
      <w:r>
        <w:rPr>
          <w:spacing w:val="-1"/>
        </w:rPr>
        <w:t>制性股票激励计划原激励对象因个人原因离职，根据公司《激励计划》之规定，取消离职人员的激励对象</w:t>
      </w:r>
      <w:r>
        <w:rPr>
          <w:spacing w:val="-85"/>
        </w:rPr>
        <w:t> </w:t>
      </w:r>
      <w:r>
        <w:rPr>
          <w:spacing w:val="-85"/>
        </w:rPr>
      </w:r>
      <w:r>
        <w:rPr/>
        <w:t>资格并回购注销其已获授权但尚未解锁的全部限制性股票，本次回购注销的股票数量为 </w:t>
      </w:r>
      <w:r>
        <w:rPr>
          <w:rFonts w:ascii="Times New Roman" w:hAnsi="Times New Roman" w:cs="Times New Roman" w:eastAsia="Times New Roman" w:hint="default"/>
        </w:rPr>
        <w:t>530,391</w:t>
      </w:r>
      <w:r>
        <w:rPr>
          <w:rFonts w:ascii="Times New Roman" w:hAnsi="Times New Roman" w:cs="Times New Roman" w:eastAsia="Times New Roman" w:hint="default"/>
          <w:spacing w:val="-21"/>
        </w:rPr>
        <w:t> </w:t>
      </w:r>
      <w:r>
        <w:rPr/>
        <w:t>股，回购</w:t>
      </w:r>
    </w:p>
    <w:p>
      <w:pPr>
        <w:pStyle w:val="BodyText"/>
        <w:spacing w:line="290" w:lineRule="exact"/>
        <w:ind w:left="154" w:right="1116"/>
        <w:jc w:val="left"/>
      </w:pPr>
      <w:r>
        <w:rPr/>
        <w:t>款合计</w:t>
      </w:r>
      <w:r>
        <w:rPr>
          <w:spacing w:val="-53"/>
        </w:rPr>
        <w:t> </w:t>
      </w:r>
      <w:r>
        <w:rPr>
          <w:rFonts w:ascii="Times New Roman" w:hAnsi="Times New Roman" w:cs="Times New Roman" w:eastAsia="Times New Roman" w:hint="default"/>
        </w:rPr>
        <w:t>11,023,896.30</w:t>
      </w:r>
      <w:r>
        <w:rPr>
          <w:rFonts w:ascii="Times New Roman" w:hAnsi="Times New Roman" w:cs="Times New Roman" w:eastAsia="Times New Roman" w:hint="default"/>
          <w:spacing w:val="-11"/>
        </w:rPr>
        <w:t> </w:t>
      </w:r>
      <w:r>
        <w:rPr/>
        <w:t>元。此次回购注销于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日登记完成，变更后股本为</w:t>
      </w:r>
      <w:r>
        <w:rPr>
          <w:spacing w:val="-53"/>
        </w:rPr>
        <w:t> </w:t>
      </w:r>
      <w:r>
        <w:rPr>
          <w:rFonts w:ascii="Times New Roman" w:hAnsi="Times New Roman" w:cs="Times New Roman" w:eastAsia="Times New Roman" w:hint="default"/>
        </w:rPr>
        <w:t>403,090,847</w:t>
      </w:r>
      <w:r>
        <w:rPr>
          <w:rFonts w:ascii="Times New Roman" w:hAnsi="Times New Roman" w:cs="Times New Roman" w:eastAsia="Times New Roman" w:hint="default"/>
          <w:spacing w:val="-11"/>
        </w:rPr>
        <w:t> </w:t>
      </w:r>
      <w:r>
        <w:rPr/>
        <w:t>股。</w:t>
      </w:r>
    </w:p>
    <w:p>
      <w:pPr>
        <w:spacing w:line="240" w:lineRule="auto" w:before="9"/>
        <w:rPr>
          <w:rFonts w:ascii="宋体" w:hAnsi="宋体" w:cs="宋体" w:eastAsia="宋体" w:hint="default"/>
          <w:sz w:val="16"/>
          <w:szCs w:val="16"/>
        </w:rPr>
      </w:pPr>
    </w:p>
    <w:p>
      <w:pPr>
        <w:pStyle w:val="BodyText"/>
        <w:spacing w:line="280" w:lineRule="auto"/>
        <w:ind w:left="154" w:right="1129" w:firstLine="420"/>
        <w:jc w:val="both"/>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日本公司取得换发的营业执照，注册资本为人民币</w:t>
      </w:r>
      <w:r>
        <w:rPr>
          <w:spacing w:val="-46"/>
        </w:rPr>
        <w:t> </w:t>
      </w:r>
      <w:r>
        <w:rPr>
          <w:rFonts w:ascii="Times New Roman" w:hAnsi="Times New Roman" w:cs="Times New Roman" w:eastAsia="Times New Roman" w:hint="default"/>
        </w:rPr>
        <w:t>403,090,847.00</w:t>
      </w:r>
      <w:r>
        <w:rPr>
          <w:rFonts w:ascii="Times New Roman" w:hAnsi="Times New Roman" w:cs="Times New Roman" w:eastAsia="Times New Roman" w:hint="default"/>
          <w:spacing w:val="-12"/>
        </w:rPr>
        <w:t> </w:t>
      </w:r>
      <w:r>
        <w:rPr/>
        <w:t>元，统一社会信用代 码为：</w:t>
      </w:r>
      <w:r>
        <w:rPr>
          <w:rFonts w:ascii="Times New Roman" w:hAnsi="Times New Roman" w:cs="Times New Roman" w:eastAsia="Times New Roman" w:hint="default"/>
        </w:rPr>
        <w:t>91110000672354637K</w:t>
      </w:r>
    </w:p>
    <w:p>
      <w:pPr>
        <w:pStyle w:val="BodyText"/>
        <w:spacing w:line="420" w:lineRule="auto" w:before="177"/>
        <w:ind w:left="574" w:right="4145"/>
        <w:jc w:val="left"/>
      </w:pPr>
      <w:r>
        <w:rPr/>
        <w:t>本公司住所：北京市海淀区龙翔路甲</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号泰翔商务楼</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层</w:t>
      </w:r>
      <w:r>
        <w:rPr>
          <w:spacing w:val="-54"/>
        </w:rPr>
        <w:t> </w:t>
      </w:r>
      <w:r>
        <w:rPr>
          <w:rFonts w:ascii="Times New Roman" w:hAnsi="Times New Roman" w:cs="Times New Roman" w:eastAsia="Times New Roman" w:hint="default"/>
        </w:rPr>
        <w:t>401-409</w:t>
      </w:r>
      <w:r>
        <w:rPr/>
        <w:t>。 本公司法定代表人：赵鸿飞。</w:t>
      </w:r>
    </w:p>
    <w:p>
      <w:pPr>
        <w:pStyle w:val="BodyText"/>
        <w:spacing w:line="297" w:lineRule="auto" w:before="76"/>
        <w:ind w:left="154" w:right="1017" w:firstLine="420"/>
        <w:jc w:val="left"/>
      </w:pPr>
      <w:r>
        <w:rPr>
          <w:spacing w:val="-3"/>
        </w:rPr>
        <w:t>本公司建立了股东大会、董事会、监事会的法人治理结构。目前设智能系统事业群、智能汽车事业群、</w:t>
      </w:r>
      <w:r>
        <w:rPr/>
        <w:t> 智能视觉事业群、物联网事业群、新业务中心、战略拓展部、销售中心、经营管理部、财务部、人力资源 部、信息技术部、综合部等部门。</w:t>
      </w:r>
    </w:p>
    <w:p>
      <w:pPr>
        <w:spacing w:line="240" w:lineRule="auto" w:before="0"/>
        <w:rPr>
          <w:rFonts w:ascii="宋体" w:hAnsi="宋体" w:cs="宋体" w:eastAsia="宋体" w:hint="default"/>
          <w:sz w:val="14"/>
          <w:szCs w:val="14"/>
        </w:rPr>
      </w:pPr>
    </w:p>
    <w:p>
      <w:pPr>
        <w:pStyle w:val="BodyText"/>
        <w:spacing w:line="292" w:lineRule="auto"/>
        <w:ind w:left="154" w:right="1131" w:firstLine="420"/>
        <w:jc w:val="both"/>
      </w:pPr>
      <w:r>
        <w:rPr/>
        <w:t>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）主要经营范围：开发计算机软件；销售自行开发的产品；技 </w:t>
      </w:r>
      <w:r>
        <w:rPr>
          <w:spacing w:val="-1"/>
        </w:rPr>
        <w:t>术咨询、技术服务；计算机软件技术培训；商务咨询；从事通讯设备、电子产品的批发及进出口（不涉及</w:t>
      </w:r>
      <w:r>
        <w:rPr>
          <w:spacing w:val="-83"/>
        </w:rPr>
        <w:t> </w:t>
      </w:r>
      <w:r>
        <w:rPr>
          <w:spacing w:val="-83"/>
        </w:rPr>
      </w:r>
      <w:r>
        <w:rPr>
          <w:spacing w:val="-1"/>
        </w:rPr>
        <w:t>国营贸易管理商品；涉及配额、许可证管理商品的按国家有关规定办理申请手续）。（依法须经批准的项</w:t>
      </w:r>
      <w:r>
        <w:rPr>
          <w:spacing w:val="-83"/>
        </w:rPr>
        <w:t> </w:t>
      </w:r>
      <w:r>
        <w:rPr>
          <w:spacing w:val="-83"/>
        </w:rPr>
      </w:r>
      <w:r>
        <w:rPr/>
        <w:t>目，经相关部门批准后依批准的内容开展经营活动）</w:t>
      </w:r>
    </w:p>
    <w:p>
      <w:pPr>
        <w:pStyle w:val="BodyText"/>
        <w:spacing w:line="508" w:lineRule="exact" w:before="25"/>
        <w:ind w:left="574" w:right="1116"/>
        <w:jc w:val="left"/>
      </w:pPr>
      <w:r>
        <w:rPr/>
        <w:t>本财务报表及财务报表附注业经本公司第三届董事会第六次会议于</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日批准。 </w:t>
      </w:r>
      <w:r>
        <w:rPr>
          <w:spacing w:val="-1"/>
        </w:rPr>
        <w:t>本报告期合并财务报表的合并范围包括本公司及全部子公司，本年新增六家子公司包括：重庆创通联</w:t>
      </w:r>
    </w:p>
    <w:p>
      <w:pPr>
        <w:pStyle w:val="BodyText"/>
        <w:spacing w:line="285" w:lineRule="exact"/>
        <w:ind w:left="154" w:right="0"/>
        <w:jc w:val="left"/>
        <w:rPr>
          <w:rFonts w:ascii="Times New Roman" w:hAnsi="Times New Roman" w:cs="Times New Roman" w:eastAsia="Times New Roman" w:hint="default"/>
        </w:rPr>
      </w:pPr>
      <w:r>
        <w:rPr>
          <w:spacing w:val="-3"/>
        </w:rPr>
        <w:t>智物联网有限公司、</w:t>
      </w:r>
      <w:r>
        <w:rPr>
          <w:rFonts w:ascii="Times New Roman" w:hAnsi="Times New Roman" w:cs="Times New Roman" w:eastAsia="Times New Roman" w:hint="default"/>
          <w:spacing w:val="-3"/>
        </w:rPr>
        <w:t>THUNDERSOFT </w:t>
      </w:r>
      <w:r>
        <w:rPr>
          <w:rFonts w:ascii="Times New Roman" w:hAnsi="Times New Roman" w:cs="Times New Roman" w:eastAsia="Times New Roman" w:hint="default"/>
        </w:rPr>
        <w:t>INDIA PRIVATE </w:t>
      </w:r>
      <w:r>
        <w:rPr>
          <w:rFonts w:ascii="Times New Roman" w:hAnsi="Times New Roman" w:cs="Times New Roman" w:eastAsia="Times New Roman" w:hint="default"/>
          <w:spacing w:val="-4"/>
        </w:rPr>
        <w:t>LIMITED</w:t>
      </w:r>
      <w:r>
        <w:rPr>
          <w:spacing w:val="-4"/>
        </w:rPr>
        <w:t>、</w:t>
      </w:r>
      <w:r>
        <w:rPr>
          <w:rFonts w:ascii="Times New Roman" w:hAnsi="Times New Roman" w:cs="Times New Roman" w:eastAsia="Times New Roman" w:hint="default"/>
          <w:spacing w:val="-4"/>
        </w:rPr>
        <w:t>THUNDER </w:t>
      </w:r>
      <w:r>
        <w:rPr>
          <w:rFonts w:ascii="Times New Roman" w:hAnsi="Times New Roman" w:cs="Times New Roman" w:eastAsia="Times New Roman" w:hint="default"/>
        </w:rPr>
        <w:t>SOFTWARE</w:t>
      </w:r>
      <w:r>
        <w:rPr>
          <w:rFonts w:ascii="Times New Roman" w:hAnsi="Times New Roman" w:cs="Times New Roman" w:eastAsia="Times New Roman" w:hint="default"/>
          <w:spacing w:val="-36"/>
        </w:rPr>
        <w:t> </w:t>
      </w:r>
      <w:r>
        <w:rPr>
          <w:rFonts w:ascii="Times New Roman" w:hAnsi="Times New Roman" w:cs="Times New Roman" w:eastAsia="Times New Roman" w:hint="default"/>
        </w:rPr>
        <w:t>TECHNOLOGY</w:t>
      </w:r>
    </w:p>
    <w:p>
      <w:pPr>
        <w:pStyle w:val="BodyText"/>
        <w:spacing w:line="280" w:lineRule="auto" w:before="50"/>
        <w:ind w:left="154" w:right="1024"/>
        <w:jc w:val="left"/>
      </w:pPr>
      <w:r>
        <w:rPr>
          <w:rFonts w:ascii="Times New Roman" w:hAnsi="Times New Roman" w:cs="Times New Roman" w:eastAsia="Times New Roman" w:hint="default"/>
        </w:rPr>
        <w:t>MALAYSIA</w:t>
      </w:r>
      <w:r>
        <w:rPr>
          <w:rFonts w:ascii="Times New Roman" w:hAnsi="Times New Roman" w:cs="Times New Roman" w:eastAsia="Times New Roman" w:hint="default"/>
          <w:spacing w:val="-10"/>
        </w:rPr>
        <w:t> </w:t>
      </w:r>
      <w:r>
        <w:rPr>
          <w:rFonts w:ascii="Times New Roman" w:hAnsi="Times New Roman" w:cs="Times New Roman" w:eastAsia="Times New Roman" w:hint="default"/>
        </w:rPr>
        <w:t>SDN.BHD</w:t>
      </w:r>
      <w:r>
        <w:rPr/>
        <w:t>、</w:t>
      </w:r>
      <w:r>
        <w:rPr>
          <w:rFonts w:ascii="Times New Roman" w:hAnsi="Times New Roman" w:cs="Times New Roman" w:eastAsia="Times New Roman" w:hint="default"/>
        </w:rPr>
        <w:t>Thundercomm</w:t>
      </w:r>
      <w:r>
        <w:rPr>
          <w:rFonts w:ascii="Times New Roman" w:hAnsi="Times New Roman" w:cs="Times New Roman" w:eastAsia="Times New Roman" w:hint="default"/>
          <w:spacing w:val="-12"/>
        </w:rPr>
        <w:t> </w:t>
      </w:r>
      <w:r>
        <w:rPr>
          <w:rFonts w:ascii="Times New Roman" w:hAnsi="Times New Roman" w:cs="Times New Roman" w:eastAsia="Times New Roman" w:hint="default"/>
        </w:rPr>
        <w:t>America</w:t>
      </w:r>
      <w:r>
        <w:rPr>
          <w:rFonts w:ascii="Times New Roman" w:hAnsi="Times New Roman" w:cs="Times New Roman" w:eastAsia="Times New Roman" w:hint="default"/>
          <w:spacing w:val="-10"/>
        </w:rPr>
        <w:t> </w:t>
      </w:r>
      <w:r>
        <w:rPr>
          <w:rFonts w:ascii="Times New Roman" w:hAnsi="Times New Roman" w:cs="Times New Roman" w:eastAsia="Times New Roman" w:hint="default"/>
        </w:rPr>
        <w:t>Corporation</w:t>
      </w:r>
      <w:r>
        <w:rPr/>
        <w:t>、</w:t>
      </w:r>
      <w:r>
        <w:rPr>
          <w:rFonts w:ascii="Times New Roman" w:hAnsi="Times New Roman" w:cs="Times New Roman" w:eastAsia="Times New Roman" w:hint="default"/>
        </w:rPr>
        <w:t>Thundercomm</w:t>
      </w:r>
      <w:r>
        <w:rPr>
          <w:rFonts w:ascii="Times New Roman" w:hAnsi="Times New Roman" w:cs="Times New Roman" w:eastAsia="Times New Roman" w:hint="default"/>
          <w:spacing w:val="-12"/>
        </w:rPr>
        <w:t> </w:t>
      </w:r>
      <w:r>
        <w:rPr>
          <w:rFonts w:ascii="Times New Roman" w:hAnsi="Times New Roman" w:cs="Times New Roman" w:eastAsia="Times New Roman" w:hint="default"/>
        </w:rPr>
        <w:t>HongKong</w:t>
      </w:r>
      <w:r>
        <w:rPr>
          <w:rFonts w:ascii="Times New Roman" w:hAnsi="Times New Roman" w:cs="Times New Roman" w:eastAsia="Times New Roman" w:hint="default"/>
          <w:spacing w:val="-11"/>
        </w:rPr>
        <w:t> </w:t>
      </w:r>
      <w:r>
        <w:rPr>
          <w:rFonts w:ascii="Times New Roman" w:hAnsi="Times New Roman" w:cs="Times New Roman" w:eastAsia="Times New Roman" w:hint="default"/>
        </w:rPr>
        <w:t>Corporation</w:t>
      </w:r>
      <w:r>
        <w:rPr>
          <w:rFonts w:ascii="Times New Roman" w:hAnsi="Times New Roman" w:cs="Times New Roman" w:eastAsia="Times New Roman" w:hint="default"/>
          <w:spacing w:val="-10"/>
        </w:rPr>
        <w:t> </w:t>
      </w:r>
      <w:r>
        <w:rPr>
          <w:rFonts w:ascii="Times New Roman" w:hAnsi="Times New Roman" w:cs="Times New Roman" w:eastAsia="Times New Roman" w:hint="default"/>
        </w:rPr>
        <w:t>Limited</w:t>
      </w:r>
      <w:r>
        <w:rPr/>
        <w:t>、</w:t>
      </w:r>
      <w:r>
        <w:rPr>
          <w:w w:val="99"/>
        </w:rPr>
        <w:t> </w:t>
      </w:r>
      <w:r>
        <w:rPr>
          <w:rFonts w:ascii="Times New Roman" w:hAnsi="Times New Roman" w:cs="Times New Roman" w:eastAsia="Times New Roman" w:hint="default"/>
        </w:rPr>
        <w:t>MM Solutions</w:t>
      </w:r>
      <w:r>
        <w:rPr>
          <w:rFonts w:ascii="Times New Roman" w:hAnsi="Times New Roman" w:cs="Times New Roman" w:eastAsia="Times New Roman" w:hint="default"/>
          <w:spacing w:val="-4"/>
        </w:rPr>
        <w:t> </w:t>
      </w:r>
      <w:r>
        <w:rPr>
          <w:rFonts w:ascii="Times New Roman" w:hAnsi="Times New Roman" w:cs="Times New Roman" w:eastAsia="Times New Roman" w:hint="default"/>
        </w:rPr>
        <w:t>EAD</w:t>
      </w:r>
      <w:r>
        <w:rPr/>
        <w:t>。</w:t>
      </w:r>
    </w:p>
    <w:p>
      <w:pPr>
        <w:pStyle w:val="BodyText"/>
        <w:spacing w:line="280" w:lineRule="auto" w:before="178"/>
        <w:ind w:left="154" w:right="1129" w:firstLine="420"/>
        <w:jc w:val="both"/>
      </w:pPr>
      <w:r>
        <w:rPr/>
        <w:t>本报告期合并范围的变动情况详见本报告</w:t>
      </w:r>
      <w:r>
        <w:rPr>
          <w:rFonts w:ascii="Times New Roman" w:hAnsi="Times New Roman" w:cs="Times New Roman" w:eastAsia="Times New Roman" w:hint="default"/>
        </w:rPr>
        <w:t>“</w:t>
      </w:r>
      <w:r>
        <w:rPr/>
        <w:t>第十一节财务报告</w:t>
      </w:r>
      <w:r>
        <w:rPr>
          <w:spacing w:val="-14"/>
        </w:rPr>
        <w:t> </w:t>
      </w:r>
      <w:r>
        <w:rPr>
          <w:spacing w:val="-5"/>
        </w:rPr>
        <w:t>八、合并范围的变更</w:t>
      </w:r>
      <w:r>
        <w:rPr>
          <w:rFonts w:ascii="Times New Roman" w:hAnsi="Times New Roman" w:cs="Times New Roman" w:eastAsia="Times New Roman" w:hint="default"/>
          <w:spacing w:val="-5"/>
        </w:rPr>
        <w:t>”</w:t>
      </w:r>
      <w:r>
        <w:rPr>
          <w:spacing w:val="-5"/>
        </w:rPr>
        <w:t>。本公司在其他主</w:t>
      </w:r>
      <w:r>
        <w:rPr/>
        <w:t> 体中的权益情况详见本报告</w:t>
      </w:r>
      <w:r>
        <w:rPr>
          <w:rFonts w:ascii="Times New Roman" w:hAnsi="Times New Roman" w:cs="Times New Roman" w:eastAsia="Times New Roman" w:hint="default"/>
        </w:rPr>
        <w:t>“</w:t>
      </w:r>
      <w:r>
        <w:rPr/>
        <w:t>第十一节财务报告</w:t>
      </w:r>
      <w:r>
        <w:rPr>
          <w:spacing w:val="-21"/>
        </w:rPr>
        <w:t> </w:t>
      </w:r>
      <w:r>
        <w:rPr/>
        <w:t>九、在其他主体中的权益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7"/>
          <w:szCs w:val="17"/>
        </w:rPr>
      </w:pPr>
    </w:p>
    <w:p>
      <w:pPr>
        <w:pStyle w:val="Heading2"/>
        <w:spacing w:line="240" w:lineRule="auto"/>
        <w:ind w:left="154" w:right="1116"/>
        <w:jc w:val="left"/>
      </w:pPr>
      <w:bookmarkStart w:name="四、财务报表的编制基础" w:id="168"/>
      <w:bookmarkEnd w:id="168"/>
      <w:r>
        <w:rPr/>
      </w:r>
      <w:r>
        <w:rPr/>
        <w:t>四、财务报表的编制基础</w:t>
      </w:r>
    </w:p>
    <w:p>
      <w:pPr>
        <w:spacing w:line="240" w:lineRule="auto" w:before="10"/>
        <w:rPr>
          <w:rFonts w:ascii="微软雅黑" w:hAnsi="微软雅黑" w:cs="微软雅黑" w:eastAsia="微软雅黑" w:hint="default"/>
          <w:sz w:val="21"/>
          <w:szCs w:val="21"/>
        </w:rPr>
      </w:pPr>
    </w:p>
    <w:p>
      <w:pPr>
        <w:pStyle w:val="BodyText"/>
        <w:spacing w:line="240" w:lineRule="auto"/>
        <w:ind w:left="574" w:right="1116"/>
        <w:jc w:val="left"/>
        <w:rPr>
          <w:rFonts w:ascii="微软雅黑" w:hAnsi="微软雅黑" w:cs="微软雅黑" w:eastAsia="微软雅黑" w:hint="default"/>
        </w:rPr>
      </w:pPr>
      <w:bookmarkStart w:name="1、编制基础" w:id="169"/>
      <w:bookmarkEnd w:id="169"/>
      <w:r>
        <w:rPr/>
      </w:r>
      <w:r>
        <w:rPr>
          <w:rFonts w:ascii="Times New Roman" w:hAnsi="Times New Roman" w:cs="Times New Roman" w:eastAsia="Times New Roman" w:hint="default"/>
        </w:rPr>
        <w:t>1</w:t>
      </w:r>
      <w:r>
        <w:rPr>
          <w:rFonts w:ascii="微软雅黑" w:hAnsi="微软雅黑" w:cs="微软雅黑" w:eastAsia="微软雅黑" w:hint="default"/>
        </w:rPr>
        <w:t>、编制基础</w:t>
      </w:r>
    </w:p>
    <w:p>
      <w:pPr>
        <w:spacing w:line="240" w:lineRule="auto" w:before="7"/>
        <w:rPr>
          <w:rFonts w:ascii="微软雅黑" w:hAnsi="微软雅黑" w:cs="微软雅黑" w:eastAsia="微软雅黑" w:hint="default"/>
          <w:sz w:val="20"/>
          <w:szCs w:val="20"/>
        </w:rPr>
      </w:pPr>
    </w:p>
    <w:p>
      <w:pPr>
        <w:pStyle w:val="BodyText"/>
        <w:spacing w:line="280" w:lineRule="auto"/>
        <w:ind w:left="154" w:right="1129" w:firstLine="420"/>
        <w:jc w:val="both"/>
      </w:pPr>
      <w:r>
        <w:rPr>
          <w:spacing w:val="2"/>
        </w:rPr>
        <w:t>本财务报表按照财政部颁布的企业会计准则及其应用指南、解释及其他有关规定（统称</w:t>
      </w:r>
      <w:r>
        <w:rPr>
          <w:rFonts w:ascii="Times New Roman" w:hAnsi="Times New Roman" w:cs="Times New Roman" w:eastAsia="Times New Roman" w:hint="default"/>
          <w:spacing w:val="2"/>
        </w:rPr>
        <w:t>“</w:t>
      </w:r>
      <w:r>
        <w:rPr>
          <w:spacing w:val="2"/>
        </w:rPr>
        <w:t>企业会计准 </w:t>
      </w:r>
      <w:r>
        <w:rPr/>
        <w:t>则</w:t>
      </w:r>
      <w:r>
        <w:rPr>
          <w:rFonts w:ascii="Times New Roman" w:hAnsi="Times New Roman" w:cs="Times New Roman" w:eastAsia="Times New Roman" w:hint="default"/>
        </w:rPr>
        <w:t>”</w:t>
      </w:r>
      <w:r>
        <w:rPr/>
        <w:t>）编制。此外，本集团还按照中国证监会《公开发行证券的公司信息披露编报规则第</w:t>
      </w:r>
      <w:r>
        <w:rPr>
          <w:spacing w:val="-53"/>
        </w:rPr>
        <w:t> </w:t>
      </w:r>
      <w:r>
        <w:rPr>
          <w:rFonts w:ascii="Times New Roman" w:hAnsi="Times New Roman" w:cs="Times New Roman" w:eastAsia="Times New Roman" w:hint="default"/>
        </w:rPr>
        <w:t>15</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财务报告</w:t>
      </w:r>
      <w:r>
        <w:rPr>
          <w:spacing w:val="-2"/>
        </w:rPr>
        <w:t> </w:t>
      </w:r>
      <w:r>
        <w:rPr/>
        <w:t>的一般规定》（</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年修订）披露有关财务信息。</w:t>
      </w:r>
    </w:p>
    <w:p>
      <w:pPr>
        <w:pStyle w:val="BodyText"/>
        <w:spacing w:line="297" w:lineRule="auto" w:before="178"/>
        <w:ind w:left="154" w:right="1131" w:firstLine="420"/>
        <w:jc w:val="both"/>
      </w:pPr>
      <w:r>
        <w:rPr>
          <w:spacing w:val="-1"/>
        </w:rPr>
        <w:t>本集团会计核算以权责发生制为基础。除某些金融工具外，本财务报表均以历史成本为计量基础。资</w:t>
      </w:r>
      <w:r>
        <w:rPr/>
        <w:t> 产如果发生减值，则按照相关规定计提相应的减值准备。</w:t>
      </w:r>
    </w:p>
    <w:p>
      <w:pPr>
        <w:spacing w:after="0" w:line="297" w:lineRule="auto"/>
        <w:jc w:val="both"/>
        <w:sectPr>
          <w:pgSz w:w="11910" w:h="16840"/>
          <w:pgMar w:header="801" w:footer="1007" w:top="1100" w:bottom="1200" w:left="980" w:right="0"/>
        </w:sectPr>
      </w:pPr>
    </w:p>
    <w:p>
      <w:pPr>
        <w:spacing w:line="240" w:lineRule="auto" w:before="3"/>
        <w:rPr>
          <w:rFonts w:ascii="宋体" w:hAnsi="宋体" w:cs="宋体" w:eastAsia="宋体" w:hint="default"/>
          <w:sz w:val="24"/>
          <w:szCs w:val="24"/>
        </w:rPr>
      </w:pPr>
    </w:p>
    <w:p>
      <w:pPr>
        <w:pStyle w:val="BodyText"/>
        <w:spacing w:line="324" w:lineRule="exact"/>
        <w:ind w:left="574" w:right="1116"/>
        <w:jc w:val="left"/>
        <w:rPr>
          <w:rFonts w:ascii="微软雅黑" w:hAnsi="微软雅黑" w:cs="微软雅黑" w:eastAsia="微软雅黑" w:hint="default"/>
        </w:rPr>
      </w:pPr>
      <w:bookmarkStart w:name="2、持续经营" w:id="170"/>
      <w:bookmarkEnd w:id="170"/>
      <w:r>
        <w:rPr/>
      </w:r>
      <w:r>
        <w:rPr>
          <w:rFonts w:ascii="Times New Roman" w:hAnsi="Times New Roman" w:cs="Times New Roman" w:eastAsia="Times New Roman" w:hint="default"/>
        </w:rPr>
        <w:t>2</w:t>
      </w:r>
      <w:r>
        <w:rPr>
          <w:rFonts w:ascii="微软雅黑" w:hAnsi="微软雅黑" w:cs="微软雅黑" w:eastAsia="微软雅黑" w:hint="default"/>
        </w:rPr>
        <w:t>、持续经营</w:t>
      </w:r>
    </w:p>
    <w:p>
      <w:pPr>
        <w:spacing w:line="240" w:lineRule="auto" w:before="7"/>
        <w:rPr>
          <w:rFonts w:ascii="微软雅黑" w:hAnsi="微软雅黑" w:cs="微软雅黑" w:eastAsia="微软雅黑" w:hint="default"/>
          <w:sz w:val="20"/>
          <w:szCs w:val="20"/>
        </w:rPr>
      </w:pPr>
    </w:p>
    <w:p>
      <w:pPr>
        <w:pStyle w:val="BodyText"/>
        <w:spacing w:line="240" w:lineRule="auto"/>
        <w:ind w:left="574" w:right="1116"/>
        <w:jc w:val="left"/>
      </w:pPr>
      <w:r>
        <w:rPr/>
        <w:t>本财务报表以持续经营为基础列报。</w:t>
      </w:r>
    </w:p>
    <w:p>
      <w:pPr>
        <w:spacing w:line="240" w:lineRule="auto" w:before="9"/>
        <w:rPr>
          <w:rFonts w:ascii="宋体" w:hAnsi="宋体" w:cs="宋体" w:eastAsia="宋体" w:hint="default"/>
          <w:sz w:val="21"/>
          <w:szCs w:val="21"/>
        </w:rPr>
      </w:pPr>
    </w:p>
    <w:p>
      <w:pPr>
        <w:pStyle w:val="Heading2"/>
        <w:spacing w:line="240" w:lineRule="auto"/>
        <w:ind w:left="154" w:right="1116"/>
        <w:jc w:val="left"/>
      </w:pPr>
      <w:bookmarkStart w:name="五、重要会计政策及会计估计" w:id="171"/>
      <w:bookmarkEnd w:id="171"/>
      <w:r>
        <w:rPr/>
      </w:r>
      <w:r>
        <w:rPr/>
        <w:t>五、重要会计政策及会计估计</w:t>
      </w:r>
    </w:p>
    <w:p>
      <w:pPr>
        <w:spacing w:line="240" w:lineRule="auto" w:before="12"/>
        <w:rPr>
          <w:rFonts w:ascii="微软雅黑" w:hAnsi="微软雅黑" w:cs="微软雅黑" w:eastAsia="微软雅黑" w:hint="default"/>
          <w:sz w:val="24"/>
          <w:szCs w:val="24"/>
        </w:rPr>
      </w:pPr>
    </w:p>
    <w:p>
      <w:pPr>
        <w:pStyle w:val="BodyText"/>
        <w:spacing w:line="444" w:lineRule="auto"/>
        <w:ind w:left="574" w:right="6762"/>
        <w:jc w:val="left"/>
      </w:pPr>
      <w:r>
        <w:rPr/>
        <w:t>公司是否需要遵守特殊行业的披露要求 是</w:t>
      </w:r>
    </w:p>
    <w:p>
      <w:pPr>
        <w:pStyle w:val="BodyText"/>
        <w:spacing w:line="444" w:lineRule="auto" w:before="55"/>
        <w:ind w:left="574" w:right="7392"/>
        <w:jc w:val="left"/>
      </w:pPr>
      <w:r>
        <w:rPr/>
        <w:t>软件与信息技术服务业 具体会计政策和会计估计提示：</w:t>
      </w:r>
    </w:p>
    <w:p>
      <w:pPr>
        <w:pStyle w:val="BodyText"/>
        <w:spacing w:line="288" w:lineRule="auto" w:before="55"/>
        <w:ind w:left="154" w:right="1131" w:firstLine="420"/>
        <w:jc w:val="both"/>
      </w:pPr>
      <w:r>
        <w:rPr>
          <w:spacing w:val="-1"/>
        </w:rPr>
        <w:t>本集团根据自身生产经营特点，确定固定资产折旧、无形资产摊销、研发费用资本化条件以及收入确</w:t>
      </w:r>
      <w:r>
        <w:rPr/>
        <w:t> 认政策，具体会计政策参见本报告</w:t>
      </w:r>
      <w:r>
        <w:rPr>
          <w:rFonts w:ascii="Times New Roman" w:hAnsi="Times New Roman" w:cs="Times New Roman" w:eastAsia="Times New Roman" w:hint="default"/>
        </w:rPr>
        <w:t>“</w:t>
      </w:r>
      <w:r>
        <w:rPr/>
        <w:t>第十一节财务报告 五、</w:t>
      </w:r>
      <w:r>
        <w:rPr>
          <w:rFonts w:ascii="Times New Roman" w:hAnsi="Times New Roman" w:cs="Times New Roman" w:eastAsia="Times New Roman" w:hint="default"/>
        </w:rPr>
        <w:t>16”</w:t>
      </w:r>
      <w:r>
        <w:rPr/>
        <w:t>、</w:t>
      </w:r>
      <w:r>
        <w:rPr>
          <w:rFonts w:ascii="Times New Roman" w:hAnsi="Times New Roman" w:cs="Times New Roman" w:eastAsia="Times New Roman" w:hint="default"/>
        </w:rPr>
        <w:t>“</w:t>
      </w:r>
      <w:r>
        <w:rPr/>
        <w:t>第十一节财务报告五、</w:t>
      </w:r>
      <w:r>
        <w:rPr>
          <w:rFonts w:ascii="Times New Roman" w:hAnsi="Times New Roman" w:cs="Times New Roman" w:eastAsia="Times New Roman" w:hint="default"/>
        </w:rPr>
        <w:t>21”</w:t>
      </w:r>
      <w:r>
        <w:rPr/>
        <w:t>、</w:t>
      </w:r>
      <w:r>
        <w:rPr>
          <w:rFonts w:ascii="Times New Roman" w:hAnsi="Times New Roman" w:cs="Times New Roman" w:eastAsia="Times New Roman" w:hint="default"/>
        </w:rPr>
        <w:t>“</w:t>
      </w:r>
      <w:r>
        <w:rPr/>
        <w:t>第十一节</w:t>
      </w:r>
      <w:r>
        <w:rPr>
          <w:spacing w:val="-82"/>
        </w:rPr>
        <w:t> </w:t>
      </w:r>
      <w:r>
        <w:rPr/>
        <w:t>财务报告五、</w:t>
      </w:r>
      <w:r>
        <w:rPr>
          <w:rFonts w:ascii="Times New Roman" w:hAnsi="Times New Roman" w:cs="Times New Roman" w:eastAsia="Times New Roman" w:hint="default"/>
        </w:rPr>
        <w:t>28”</w:t>
      </w:r>
      <w:r>
        <w:rPr/>
        <w:t>。</w:t>
      </w:r>
    </w:p>
    <w:p>
      <w:pPr>
        <w:pStyle w:val="BodyText"/>
        <w:spacing w:line="240" w:lineRule="auto" w:before="164"/>
        <w:ind w:left="574" w:right="1116"/>
        <w:jc w:val="left"/>
        <w:rPr>
          <w:rFonts w:ascii="微软雅黑" w:hAnsi="微软雅黑" w:cs="微软雅黑" w:eastAsia="微软雅黑" w:hint="default"/>
        </w:rPr>
      </w:pPr>
      <w:bookmarkStart w:name="1、遵循企业会计准则的声明" w:id="172"/>
      <w:bookmarkEnd w:id="172"/>
      <w:r>
        <w:rPr/>
      </w:r>
      <w:r>
        <w:rPr>
          <w:rFonts w:ascii="Times New Roman" w:hAnsi="Times New Roman" w:cs="Times New Roman" w:eastAsia="Times New Roman" w:hint="default"/>
        </w:rPr>
        <w:t>1</w:t>
      </w:r>
      <w:r>
        <w:rPr>
          <w:rFonts w:ascii="微软雅黑" w:hAnsi="微软雅黑" w:cs="微软雅黑" w:eastAsia="微软雅黑" w:hint="default"/>
        </w:rPr>
        <w:t>、遵循企业会计准则的声明</w:t>
      </w:r>
    </w:p>
    <w:p>
      <w:pPr>
        <w:spacing w:line="240" w:lineRule="auto" w:before="7"/>
        <w:rPr>
          <w:rFonts w:ascii="微软雅黑" w:hAnsi="微软雅黑" w:cs="微软雅黑" w:eastAsia="微软雅黑" w:hint="default"/>
          <w:sz w:val="20"/>
          <w:szCs w:val="20"/>
        </w:rPr>
      </w:pPr>
    </w:p>
    <w:p>
      <w:pPr>
        <w:pStyle w:val="BodyText"/>
        <w:spacing w:line="240" w:lineRule="auto"/>
        <w:ind w:left="574" w:right="0"/>
        <w:jc w:val="left"/>
      </w:pPr>
      <w:r>
        <w:rPr>
          <w:spacing w:val="-4"/>
        </w:rPr>
        <w:t>本财务报表符合企业会计准则的要求，真实、完整地反映了本公司</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日的合并及公司财</w:t>
      </w:r>
    </w:p>
    <w:p>
      <w:pPr>
        <w:pStyle w:val="BodyText"/>
        <w:spacing w:line="240" w:lineRule="auto" w:before="50"/>
        <w:ind w:left="154" w:right="1116"/>
        <w:jc w:val="left"/>
      </w:pPr>
      <w:r>
        <w:rPr/>
        <w:t>务状况以及</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年度的合并及公司经营成果和合并及公司现金流量等有关信息。</w:t>
      </w:r>
    </w:p>
    <w:p>
      <w:pPr>
        <w:spacing w:line="240" w:lineRule="auto" w:before="2"/>
        <w:rPr>
          <w:rFonts w:ascii="宋体" w:hAnsi="宋体" w:cs="宋体" w:eastAsia="宋体" w:hint="default"/>
          <w:sz w:val="16"/>
          <w:szCs w:val="16"/>
        </w:rPr>
      </w:pPr>
    </w:p>
    <w:p>
      <w:pPr>
        <w:pStyle w:val="BodyText"/>
        <w:spacing w:line="240" w:lineRule="auto"/>
        <w:ind w:left="574" w:right="1116"/>
        <w:jc w:val="left"/>
        <w:rPr>
          <w:rFonts w:ascii="微软雅黑" w:hAnsi="微软雅黑" w:cs="微软雅黑" w:eastAsia="微软雅黑" w:hint="default"/>
        </w:rPr>
      </w:pPr>
      <w:bookmarkStart w:name="2、会计期间" w:id="173"/>
      <w:bookmarkEnd w:id="173"/>
      <w:r>
        <w:rPr/>
      </w:r>
      <w:r>
        <w:rPr>
          <w:rFonts w:ascii="Times New Roman" w:hAnsi="Times New Roman" w:cs="Times New Roman" w:eastAsia="Times New Roman" w:hint="default"/>
        </w:rPr>
        <w:t>2</w:t>
      </w:r>
      <w:r>
        <w:rPr>
          <w:rFonts w:ascii="微软雅黑" w:hAnsi="微软雅黑" w:cs="微软雅黑" w:eastAsia="微软雅黑" w:hint="default"/>
        </w:rPr>
        <w:t>、会计期间</w:t>
      </w:r>
    </w:p>
    <w:p>
      <w:pPr>
        <w:spacing w:line="240" w:lineRule="auto" w:before="7"/>
        <w:rPr>
          <w:rFonts w:ascii="微软雅黑" w:hAnsi="微软雅黑" w:cs="微软雅黑" w:eastAsia="微软雅黑" w:hint="default"/>
          <w:sz w:val="20"/>
          <w:szCs w:val="20"/>
        </w:rPr>
      </w:pPr>
    </w:p>
    <w:p>
      <w:pPr>
        <w:pStyle w:val="BodyText"/>
        <w:spacing w:line="240" w:lineRule="auto"/>
        <w:ind w:left="574" w:right="1116"/>
        <w:jc w:val="left"/>
      </w:pPr>
      <w:r>
        <w:rPr/>
        <w:t>本集团会计期间采用公历年度，即每年自</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w:t>
      </w:r>
    </w:p>
    <w:p>
      <w:pPr>
        <w:spacing w:line="240" w:lineRule="auto" w:before="1"/>
        <w:rPr>
          <w:rFonts w:ascii="宋体" w:hAnsi="宋体" w:cs="宋体" w:eastAsia="宋体" w:hint="default"/>
          <w:sz w:val="16"/>
          <w:szCs w:val="16"/>
        </w:rPr>
      </w:pPr>
    </w:p>
    <w:p>
      <w:pPr>
        <w:pStyle w:val="BodyText"/>
        <w:spacing w:line="240" w:lineRule="auto"/>
        <w:ind w:left="574" w:right="1116"/>
        <w:jc w:val="left"/>
        <w:rPr>
          <w:rFonts w:ascii="微软雅黑" w:hAnsi="微软雅黑" w:cs="微软雅黑" w:eastAsia="微软雅黑" w:hint="default"/>
        </w:rPr>
      </w:pPr>
      <w:bookmarkStart w:name="3、营业周期" w:id="174"/>
      <w:bookmarkEnd w:id="174"/>
      <w:r>
        <w:rPr/>
      </w:r>
      <w:r>
        <w:rPr>
          <w:rFonts w:ascii="Times New Roman" w:hAnsi="Times New Roman" w:cs="Times New Roman" w:eastAsia="Times New Roman" w:hint="default"/>
        </w:rPr>
        <w:t>3</w:t>
      </w:r>
      <w:r>
        <w:rPr>
          <w:rFonts w:ascii="微软雅黑" w:hAnsi="微软雅黑" w:cs="微软雅黑" w:eastAsia="微软雅黑" w:hint="default"/>
        </w:rPr>
        <w:t>、营业周期</w:t>
      </w:r>
    </w:p>
    <w:p>
      <w:pPr>
        <w:spacing w:line="240" w:lineRule="auto" w:before="7"/>
        <w:rPr>
          <w:rFonts w:ascii="微软雅黑" w:hAnsi="微软雅黑" w:cs="微软雅黑" w:eastAsia="微软雅黑" w:hint="default"/>
          <w:sz w:val="20"/>
          <w:szCs w:val="20"/>
        </w:rPr>
      </w:pPr>
    </w:p>
    <w:p>
      <w:pPr>
        <w:pStyle w:val="BodyText"/>
        <w:spacing w:line="240" w:lineRule="auto"/>
        <w:ind w:left="574" w:right="1116"/>
        <w:jc w:val="left"/>
      </w:pPr>
      <w:r>
        <w:rPr/>
        <w:t>本集团的营业周期为</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个月。</w:t>
      </w:r>
    </w:p>
    <w:p>
      <w:pPr>
        <w:spacing w:line="240" w:lineRule="auto" w:before="1"/>
        <w:rPr>
          <w:rFonts w:ascii="宋体" w:hAnsi="宋体" w:cs="宋体" w:eastAsia="宋体" w:hint="default"/>
          <w:sz w:val="16"/>
          <w:szCs w:val="16"/>
        </w:rPr>
      </w:pPr>
    </w:p>
    <w:p>
      <w:pPr>
        <w:pStyle w:val="BodyText"/>
        <w:spacing w:line="240" w:lineRule="auto"/>
        <w:ind w:left="574" w:right="1116"/>
        <w:jc w:val="left"/>
        <w:rPr>
          <w:rFonts w:ascii="微软雅黑" w:hAnsi="微软雅黑" w:cs="微软雅黑" w:eastAsia="微软雅黑" w:hint="default"/>
        </w:rPr>
      </w:pPr>
      <w:bookmarkStart w:name="4、记账本位币" w:id="175"/>
      <w:bookmarkEnd w:id="175"/>
      <w:r>
        <w:rPr/>
      </w:r>
      <w:r>
        <w:rPr>
          <w:rFonts w:ascii="Times New Roman" w:hAnsi="Times New Roman" w:cs="Times New Roman" w:eastAsia="Times New Roman" w:hint="default"/>
        </w:rPr>
        <w:t>4</w:t>
      </w:r>
      <w:r>
        <w:rPr>
          <w:rFonts w:ascii="微软雅黑" w:hAnsi="微软雅黑" w:cs="微软雅黑" w:eastAsia="微软雅黑" w:hint="default"/>
        </w:rPr>
        <w:t>、记账本位币</w:t>
      </w:r>
    </w:p>
    <w:p>
      <w:pPr>
        <w:spacing w:line="240" w:lineRule="auto" w:before="7"/>
        <w:rPr>
          <w:rFonts w:ascii="微软雅黑" w:hAnsi="微软雅黑" w:cs="微软雅黑" w:eastAsia="微软雅黑" w:hint="default"/>
          <w:sz w:val="20"/>
          <w:szCs w:val="20"/>
        </w:rPr>
      </w:pPr>
    </w:p>
    <w:p>
      <w:pPr>
        <w:pStyle w:val="BodyText"/>
        <w:spacing w:line="292" w:lineRule="auto"/>
        <w:ind w:left="154" w:right="1130" w:firstLine="420"/>
        <w:jc w:val="both"/>
      </w:pPr>
      <w:r>
        <w:rPr>
          <w:spacing w:val="-1"/>
        </w:rPr>
        <w:t>本公司及境内子公司以人民币为记账本位币，本公司之境外子公司根据其经营所处的主要经济环境中</w:t>
      </w:r>
      <w:r>
        <w:rPr/>
        <w:t> </w:t>
      </w:r>
      <w:r>
        <w:rPr>
          <w:spacing w:val="-1"/>
        </w:rPr>
        <w:t>的货币确定其记账本位币，重要的境外经营子公司中科创达软件日本株式会社记账本位币为日元，中科创</w:t>
      </w:r>
      <w:r>
        <w:rPr>
          <w:spacing w:val="-81"/>
        </w:rPr>
        <w:t> </w:t>
      </w:r>
      <w:r>
        <w:rPr>
          <w:spacing w:val="-81"/>
        </w:rPr>
      </w:r>
      <w:r>
        <w:rPr/>
        <w:t>达香港有限公司记账本位币为人民币，</w:t>
      </w:r>
      <w:r>
        <w:rPr>
          <w:rFonts w:ascii="Times New Roman" w:hAnsi="Times New Roman" w:cs="Times New Roman" w:eastAsia="Times New Roman" w:hint="default"/>
        </w:rPr>
        <w:t>Rightware</w:t>
      </w:r>
      <w:r>
        <w:rPr>
          <w:rFonts w:ascii="Times New Roman" w:hAnsi="Times New Roman" w:cs="Times New Roman" w:eastAsia="Times New Roman" w:hint="default"/>
          <w:spacing w:val="-16"/>
        </w:rPr>
        <w:t> </w:t>
      </w:r>
      <w:r>
        <w:rPr>
          <w:rFonts w:ascii="Times New Roman" w:hAnsi="Times New Roman" w:cs="Times New Roman" w:eastAsia="Times New Roman" w:hint="default"/>
        </w:rPr>
        <w:t>Oy</w:t>
      </w:r>
      <w:r>
        <w:rPr>
          <w:rFonts w:ascii="Times New Roman" w:hAnsi="Times New Roman" w:cs="Times New Roman" w:eastAsia="Times New Roman" w:hint="default"/>
          <w:spacing w:val="-16"/>
        </w:rPr>
        <w:t> </w:t>
      </w:r>
      <w:r>
        <w:rPr/>
        <w:t>记账本位币为欧元，</w:t>
      </w:r>
      <w:r>
        <w:rPr>
          <w:rFonts w:ascii="Times New Roman" w:hAnsi="Times New Roman" w:cs="Times New Roman" w:eastAsia="Times New Roman" w:hint="default"/>
        </w:rPr>
        <w:t>MM</w:t>
      </w:r>
      <w:r>
        <w:rPr>
          <w:rFonts w:ascii="Times New Roman" w:hAnsi="Times New Roman" w:cs="Times New Roman" w:eastAsia="Times New Roman" w:hint="default"/>
          <w:spacing w:val="-15"/>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16"/>
        </w:rPr>
        <w:t> </w:t>
      </w:r>
      <w:r>
        <w:rPr>
          <w:rFonts w:ascii="Times New Roman" w:hAnsi="Times New Roman" w:cs="Times New Roman" w:eastAsia="Times New Roman" w:hint="default"/>
        </w:rPr>
        <w:t>EAD</w:t>
      </w:r>
      <w:r>
        <w:rPr>
          <w:rFonts w:ascii="Times New Roman" w:hAnsi="Times New Roman" w:cs="Times New Roman" w:eastAsia="Times New Roman" w:hint="default"/>
          <w:spacing w:val="-17"/>
        </w:rPr>
        <w:t> </w:t>
      </w:r>
      <w:r>
        <w:rPr/>
        <w:t>的记账本位币 为列弗，本集团编制本财务报表时所采用的货币为人民币。</w:t>
      </w:r>
    </w:p>
    <w:p>
      <w:pPr>
        <w:spacing w:line="240" w:lineRule="auto" w:before="10"/>
        <w:rPr>
          <w:rFonts w:ascii="宋体" w:hAnsi="宋体" w:cs="宋体" w:eastAsia="宋体" w:hint="default"/>
          <w:sz w:val="13"/>
          <w:szCs w:val="13"/>
        </w:rPr>
      </w:pPr>
    </w:p>
    <w:p>
      <w:pPr>
        <w:pStyle w:val="BodyText"/>
        <w:spacing w:line="240" w:lineRule="auto"/>
        <w:ind w:left="574" w:right="1116"/>
        <w:jc w:val="left"/>
        <w:rPr>
          <w:rFonts w:ascii="微软雅黑" w:hAnsi="微软雅黑" w:cs="微软雅黑" w:eastAsia="微软雅黑" w:hint="default"/>
        </w:rPr>
      </w:pPr>
      <w:bookmarkStart w:name="5、同一控制下和非同一控制下企业合并的会计处理方法" w:id="176"/>
      <w:bookmarkEnd w:id="176"/>
      <w:r>
        <w:rPr/>
      </w:r>
      <w:r>
        <w:rPr>
          <w:rFonts w:ascii="Times New Roman" w:hAnsi="Times New Roman" w:cs="Times New Roman" w:eastAsia="Times New Roman" w:hint="default"/>
        </w:rPr>
        <w:t>5</w:t>
      </w:r>
      <w:r>
        <w:rPr>
          <w:rFonts w:ascii="微软雅黑" w:hAnsi="微软雅黑" w:cs="微软雅黑" w:eastAsia="微软雅黑" w:hint="default"/>
        </w:rPr>
        <w:t>、同一控制下和非同一控制下企业合并的会计处理方法</w:t>
      </w:r>
    </w:p>
    <w:p>
      <w:pPr>
        <w:pStyle w:val="BodyText"/>
        <w:spacing w:line="490" w:lineRule="atLeast" w:before="153"/>
        <w:ind w:left="574" w:right="1116"/>
        <w:jc w:val="left"/>
      </w:pPr>
      <w:r>
        <w:rPr/>
        <w:t>（</w:t>
      </w:r>
      <w:r>
        <w:rPr>
          <w:rFonts w:ascii="Times New Roman" w:hAnsi="Times New Roman" w:cs="Times New Roman" w:eastAsia="Times New Roman" w:hint="default"/>
        </w:rPr>
        <w:t>1</w:t>
      </w:r>
      <w:r>
        <w:rPr/>
        <w:t>）同一控制下的企业合并 </w:t>
      </w:r>
      <w:r>
        <w:rPr>
          <w:spacing w:val="-1"/>
        </w:rPr>
        <w:t>对于同一控制下的企业合并，合并方在合并中取得的被合并方的资产、负债，除因会计政策不同而进</w:t>
      </w:r>
    </w:p>
    <w:p>
      <w:pPr>
        <w:pStyle w:val="BodyText"/>
        <w:spacing w:line="297" w:lineRule="auto" w:before="64"/>
        <w:ind w:left="154" w:right="1116"/>
        <w:jc w:val="left"/>
      </w:pPr>
      <w:r>
        <w:rPr>
          <w:spacing w:val="-1"/>
        </w:rPr>
        <w:t>行的调整以外，按合并日被合并方在最终控制方合并财务报表中的账面价值计量。合并对价的账面价值与</w:t>
      </w:r>
      <w:r>
        <w:rPr>
          <w:spacing w:val="-81"/>
        </w:rPr>
        <w:t> </w:t>
      </w:r>
      <w:r>
        <w:rPr>
          <w:spacing w:val="-81"/>
        </w:rPr>
      </w:r>
      <w:r>
        <w:rPr/>
        <w:t>合并中取得的净资产账面价值的差额调整资本公积，资本公积不足冲减的，调整留存收益。</w:t>
      </w:r>
    </w:p>
    <w:p>
      <w:pPr>
        <w:spacing w:after="0" w:line="297" w:lineRule="auto"/>
        <w:jc w:val="left"/>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40" w:lineRule="auto" w:before="35"/>
        <w:ind w:left="574" w:right="1116"/>
        <w:jc w:val="left"/>
      </w:pPr>
      <w:r>
        <w:rPr/>
        <w:t>通过多次交易分步实现同一控制下的企业合并</w:t>
      </w:r>
    </w:p>
    <w:p>
      <w:pPr>
        <w:spacing w:line="240" w:lineRule="auto" w:before="12"/>
        <w:rPr>
          <w:rFonts w:ascii="宋体" w:hAnsi="宋体" w:cs="宋体" w:eastAsia="宋体" w:hint="default"/>
          <w:sz w:val="17"/>
          <w:szCs w:val="17"/>
        </w:rPr>
      </w:pPr>
    </w:p>
    <w:p>
      <w:pPr>
        <w:pStyle w:val="BodyText"/>
        <w:spacing w:line="297" w:lineRule="auto"/>
        <w:ind w:left="154" w:right="1131" w:firstLine="420"/>
        <w:jc w:val="both"/>
      </w:pPr>
      <w:r>
        <w:rPr>
          <w:spacing w:val="-1"/>
        </w:rPr>
        <w:t>在个别财务报表中，以合并日持股比例计算的合并日应享有被合并方净资产在最终控制方合并财务报</w:t>
      </w:r>
      <w:r>
        <w:rPr/>
        <w:t> </w:t>
      </w:r>
      <w:r>
        <w:rPr>
          <w:spacing w:val="-1"/>
        </w:rPr>
        <w:t>表中的账面价值的份额作为该项投资的初始投资成本；初始投资成本与合并前持有投资的账面价值加上合</w:t>
      </w:r>
      <w:r>
        <w:rPr>
          <w:spacing w:val="-81"/>
        </w:rPr>
        <w:t> </w:t>
      </w:r>
      <w:r>
        <w:rPr>
          <w:spacing w:val="-81"/>
        </w:rPr>
      </w:r>
      <w:r>
        <w:rPr/>
        <w:t>并日新支付对价的账面价值之和的差额，调整资本公积，资本公积不足冲减的，调整留存收益。</w:t>
      </w:r>
    </w:p>
    <w:p>
      <w:pPr>
        <w:spacing w:line="240" w:lineRule="auto" w:before="0"/>
        <w:rPr>
          <w:rFonts w:ascii="宋体" w:hAnsi="宋体" w:cs="宋体" w:eastAsia="宋体" w:hint="default"/>
          <w:sz w:val="14"/>
          <w:szCs w:val="14"/>
        </w:rPr>
      </w:pPr>
    </w:p>
    <w:p>
      <w:pPr>
        <w:pStyle w:val="BodyText"/>
        <w:spacing w:line="297" w:lineRule="auto"/>
        <w:ind w:left="154" w:right="1023" w:firstLine="420"/>
        <w:jc w:val="left"/>
      </w:pPr>
      <w:r>
        <w:rPr/>
        <w:t>在合并财务报表中，合并方在合并中取得的被合并方的资产、负债，除因会计政策不同而进行的调整 以外，按合并日在最终控制方合并财务报表中的账面价值计量；合并前持有投资的账面价值加上合并日新 </w:t>
      </w:r>
      <w:r>
        <w:rPr>
          <w:spacing w:val="-3"/>
        </w:rPr>
        <w:t>支付对价的账面价值之和，与合并中取得的净资产账面价值的差额，调整资本公积，资本公积不足冲减的，</w:t>
      </w:r>
      <w:r>
        <w:rPr>
          <w:spacing w:val="-90"/>
        </w:rPr>
        <w:t> </w:t>
      </w:r>
      <w:r>
        <w:rPr>
          <w:spacing w:val="-90"/>
        </w:rPr>
      </w:r>
      <w:r>
        <w:rPr/>
        <w:t>调整留存收益。合并方在取得被合并方控制权之前持有的长期股权投资，在取得原股权之日与合并方与被</w:t>
      </w:r>
      <w:r>
        <w:rPr/>
        <w:t> 合并方同处于同一方最终控制之日孰晚日起至合并日之间已确认有关损益、其他综合收益和其他所有者权 益变动，应分别冲减比较报表期间的期初留存收益或当期损益。</w:t>
      </w:r>
    </w:p>
    <w:p>
      <w:pPr>
        <w:pStyle w:val="BodyText"/>
        <w:spacing w:line="508" w:lineRule="exact" w:before="22"/>
        <w:ind w:left="574" w:right="1116"/>
        <w:jc w:val="left"/>
      </w:pPr>
      <w:r>
        <w:rPr/>
        <w:t>（</w:t>
      </w:r>
      <w:r>
        <w:rPr>
          <w:rFonts w:ascii="Times New Roman" w:hAnsi="Times New Roman" w:cs="Times New Roman" w:eastAsia="Times New Roman" w:hint="default"/>
        </w:rPr>
        <w:t>2</w:t>
      </w:r>
      <w:r>
        <w:rPr/>
        <w:t>）非同一控制下的企业合并 </w:t>
      </w:r>
      <w:r>
        <w:rPr>
          <w:spacing w:val="-1"/>
        </w:rPr>
        <w:t>对于非同一控制下的企业合并，合并成本为购买日为取得对被购买方的控制权而付出的资产、发生或</w:t>
      </w:r>
    </w:p>
    <w:p>
      <w:pPr>
        <w:pStyle w:val="BodyText"/>
        <w:spacing w:line="297" w:lineRule="auto"/>
        <w:ind w:left="154" w:right="1131"/>
        <w:jc w:val="both"/>
      </w:pPr>
      <w:r>
        <w:rPr>
          <w:spacing w:val="-1"/>
        </w:rPr>
        <w:t>承担的负债以及发行的权益性证券的公允价值。在购买日，取得的被购买方的资产、负债及或有负债按公</w:t>
      </w:r>
      <w:r>
        <w:rPr>
          <w:spacing w:val="-83"/>
        </w:rPr>
        <w:t> </w:t>
      </w:r>
      <w:r>
        <w:rPr>
          <w:spacing w:val="-83"/>
        </w:rPr>
      </w:r>
      <w:r>
        <w:rPr/>
        <w:t>允价值确认。</w:t>
      </w:r>
    </w:p>
    <w:p>
      <w:pPr>
        <w:spacing w:line="240" w:lineRule="auto" w:before="0"/>
        <w:rPr>
          <w:rFonts w:ascii="宋体" w:hAnsi="宋体" w:cs="宋体" w:eastAsia="宋体" w:hint="default"/>
          <w:sz w:val="14"/>
          <w:szCs w:val="14"/>
        </w:rPr>
      </w:pPr>
    </w:p>
    <w:p>
      <w:pPr>
        <w:pStyle w:val="BodyText"/>
        <w:spacing w:line="297" w:lineRule="auto"/>
        <w:ind w:left="154" w:right="1110" w:firstLine="420"/>
        <w:jc w:val="both"/>
      </w:pPr>
      <w:r>
        <w:rPr>
          <w:spacing w:val="-1"/>
        </w:rPr>
        <w:t>对合并成本大于合并中取得的被购买方可辨认净资产公允价值份额的差额，确认为商誉，按成本扣除</w:t>
      </w:r>
      <w:r>
        <w:rPr/>
        <w:t> 累计减值准备进行后续计量；对合并成本小于合并中取得的被购买方可辨认净资产公允价值份额的差额， 经复核后计入当期损益。</w:t>
      </w:r>
    </w:p>
    <w:p>
      <w:pPr>
        <w:pStyle w:val="BodyText"/>
        <w:spacing w:line="508" w:lineRule="exact" w:before="23"/>
        <w:ind w:left="574" w:right="1092"/>
        <w:jc w:val="left"/>
      </w:pPr>
      <w:r>
        <w:rPr/>
        <w:t>通过多次交易分步实现非同一控制下的企业合并 在个别财务报表中，以购买日之前所持被购买方的股权投资的账面价值与购买日新增投资成本之和，</w:t>
      </w:r>
    </w:p>
    <w:p>
      <w:pPr>
        <w:pStyle w:val="BodyText"/>
        <w:spacing w:line="297" w:lineRule="auto"/>
        <w:ind w:left="154" w:right="1131"/>
        <w:jc w:val="both"/>
      </w:pPr>
      <w:r>
        <w:rPr>
          <w:spacing w:val="-1"/>
        </w:rPr>
        <w:t>作为该项投资的初始投资成本。购买日之前持有的股权投资因采用权益法核算而确认的其他综合收益，购</w:t>
      </w:r>
      <w:r>
        <w:rPr>
          <w:spacing w:val="-81"/>
        </w:rPr>
        <w:t> </w:t>
      </w:r>
      <w:r>
        <w:rPr>
          <w:spacing w:val="-81"/>
        </w:rPr>
      </w:r>
      <w:r>
        <w:rPr>
          <w:spacing w:val="-1"/>
        </w:rPr>
        <w:t>买日对这部分其他综合收益不作处理，在处置该项投资时采用与被投资单位直接处置相关资产或负债相同</w:t>
      </w:r>
      <w:r>
        <w:rPr>
          <w:spacing w:val="-81"/>
        </w:rPr>
        <w:t> </w:t>
      </w:r>
      <w:r>
        <w:rPr>
          <w:spacing w:val="-81"/>
        </w:rPr>
      </w:r>
      <w:r>
        <w:rPr>
          <w:spacing w:val="-1"/>
        </w:rPr>
        <w:t>的基础进行会计处理；因被投资方除净损益、其他综合收益和利润分配以外的其他所有者权益变动而确认</w:t>
      </w:r>
      <w:r>
        <w:rPr>
          <w:spacing w:val="-81"/>
        </w:rPr>
        <w:t> </w:t>
      </w:r>
      <w:r>
        <w:rPr>
          <w:spacing w:val="-81"/>
        </w:rPr>
      </w:r>
      <w:r>
        <w:rPr>
          <w:spacing w:val="-1"/>
        </w:rPr>
        <w:t>的所有者权益，在处置该项投资时转入处置期间的当期损益。购买日之前持有的股权投资采用公允价值计</w:t>
      </w:r>
      <w:r>
        <w:rPr>
          <w:spacing w:val="-81"/>
        </w:rPr>
        <w:t> </w:t>
      </w:r>
      <w:r>
        <w:rPr>
          <w:spacing w:val="-81"/>
        </w:rPr>
      </w:r>
      <w:r>
        <w:rPr/>
        <w:t>量的，原计入其他综合收益的累计公允价值变动在改按成本法核算时转入当期损益。</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在合并财务报表中，合并成本为购买日支付的对价与购买日之前已经持有的被购买方的股权在购买日</w:t>
      </w:r>
      <w:r>
        <w:rPr/>
        <w:t> </w:t>
      </w:r>
      <w:r>
        <w:rPr>
          <w:spacing w:val="-1"/>
        </w:rPr>
        <w:t>的公允价值之和。对于购买日之前已经持有的被购买方的股权，按照该股权在购买日的公允价值进行重新</w:t>
      </w:r>
      <w:r>
        <w:rPr>
          <w:spacing w:val="-81"/>
        </w:rPr>
        <w:t> </w:t>
      </w:r>
      <w:r>
        <w:rPr>
          <w:spacing w:val="-81"/>
        </w:rPr>
      </w:r>
      <w:r>
        <w:rPr>
          <w:spacing w:val="-1"/>
        </w:rPr>
        <w:t>计量，公允价值与其账面价值之间的差额计入当期收益；购买日之前已经持有的被购买方的股权涉及其他</w:t>
      </w:r>
      <w:r>
        <w:rPr>
          <w:spacing w:val="-81"/>
        </w:rPr>
        <w:t> </w:t>
      </w:r>
      <w:r>
        <w:rPr>
          <w:spacing w:val="-81"/>
        </w:rPr>
      </w:r>
      <w:r>
        <w:rPr>
          <w:spacing w:val="-1"/>
        </w:rPr>
        <w:t>综合收益、其他所有者权益变动转为购买日当期收益，由于被投资方重新计量设定收益计划净负债或净资</w:t>
      </w:r>
      <w:r>
        <w:rPr>
          <w:spacing w:val="-81"/>
        </w:rPr>
        <w:t> </w:t>
      </w:r>
      <w:r>
        <w:rPr>
          <w:spacing w:val="-81"/>
        </w:rPr>
      </w:r>
      <w:r>
        <w:rPr/>
        <w:t>产变动而产生的其他综合收益除外。</w:t>
      </w:r>
    </w:p>
    <w:p>
      <w:pPr>
        <w:pStyle w:val="BodyText"/>
        <w:spacing w:line="508" w:lineRule="exact" w:before="22"/>
        <w:ind w:left="574" w:right="1116"/>
        <w:jc w:val="left"/>
      </w:pPr>
      <w:r>
        <w:rPr/>
        <w:t>（</w:t>
      </w:r>
      <w:r>
        <w:rPr>
          <w:rFonts w:ascii="Times New Roman" w:hAnsi="Times New Roman" w:cs="Times New Roman" w:eastAsia="Times New Roman" w:hint="default"/>
        </w:rPr>
        <w:t>3</w:t>
      </w:r>
      <w:r>
        <w:rPr/>
        <w:t>）企业合并中有关交易费用的处理 </w:t>
      </w:r>
      <w:r>
        <w:rPr>
          <w:spacing w:val="-1"/>
        </w:rPr>
        <w:t>为进行企业合并发生的审计、法律服务、评估咨询等中介费用以及其他相关管理费用，于发生时计入</w:t>
      </w:r>
    </w:p>
    <w:p>
      <w:pPr>
        <w:pStyle w:val="BodyText"/>
        <w:spacing w:line="297" w:lineRule="auto"/>
        <w:ind w:left="154" w:right="1131"/>
        <w:jc w:val="both"/>
      </w:pPr>
      <w:r>
        <w:rPr>
          <w:spacing w:val="-1"/>
        </w:rPr>
        <w:t>当期损益。作为合并对价发行的权益性证券或债务性证券的交易费用，计入权益性证券或债务性证券的初</w:t>
      </w:r>
      <w:r>
        <w:rPr>
          <w:spacing w:val="-81"/>
        </w:rPr>
        <w:t> </w:t>
      </w:r>
      <w:r>
        <w:rPr>
          <w:spacing w:val="-81"/>
        </w:rPr>
      </w:r>
      <w:r>
        <w:rPr/>
        <w:t>始确认金额。</w:t>
      </w:r>
    </w:p>
    <w:p>
      <w:pPr>
        <w:spacing w:after="0" w:line="297" w:lineRule="auto"/>
        <w:jc w:val="both"/>
        <w:sectPr>
          <w:pgSz w:w="11910" w:h="16840"/>
          <w:pgMar w:header="801" w:footer="1007" w:top="1100" w:bottom="1200" w:left="980" w:right="0"/>
        </w:sectPr>
      </w:pPr>
    </w:p>
    <w:p>
      <w:pPr>
        <w:spacing w:line="240" w:lineRule="auto" w:before="3"/>
        <w:rPr>
          <w:rFonts w:ascii="宋体" w:hAnsi="宋体" w:cs="宋体" w:eastAsia="宋体" w:hint="default"/>
          <w:sz w:val="24"/>
          <w:szCs w:val="24"/>
        </w:rPr>
      </w:pPr>
    </w:p>
    <w:p>
      <w:pPr>
        <w:pStyle w:val="BodyText"/>
        <w:spacing w:line="324" w:lineRule="exact"/>
        <w:ind w:left="574" w:right="1116"/>
        <w:jc w:val="left"/>
        <w:rPr>
          <w:rFonts w:ascii="微软雅黑" w:hAnsi="微软雅黑" w:cs="微软雅黑" w:eastAsia="微软雅黑" w:hint="default"/>
        </w:rPr>
      </w:pPr>
      <w:bookmarkStart w:name="6、合并财务报表的编制方法" w:id="177"/>
      <w:bookmarkEnd w:id="177"/>
      <w:r>
        <w:rPr/>
      </w:r>
      <w:r>
        <w:rPr>
          <w:rFonts w:ascii="Times New Roman" w:hAnsi="Times New Roman" w:cs="Times New Roman" w:eastAsia="Times New Roman" w:hint="default"/>
        </w:rPr>
        <w:t>6</w:t>
      </w:r>
      <w:r>
        <w:rPr>
          <w:rFonts w:ascii="微软雅黑" w:hAnsi="微软雅黑" w:cs="微软雅黑" w:eastAsia="微软雅黑" w:hint="default"/>
        </w:rPr>
        <w:t>、合并财务报表的编制方法</w:t>
      </w:r>
    </w:p>
    <w:p>
      <w:pPr>
        <w:pStyle w:val="BodyText"/>
        <w:spacing w:line="490" w:lineRule="atLeast" w:before="153"/>
        <w:ind w:left="574" w:right="1116"/>
        <w:jc w:val="left"/>
      </w:pPr>
      <w:r>
        <w:rPr/>
        <w:t>（</w:t>
      </w:r>
      <w:r>
        <w:rPr>
          <w:rFonts w:ascii="Times New Roman" w:hAnsi="Times New Roman" w:cs="Times New Roman" w:eastAsia="Times New Roman" w:hint="default"/>
        </w:rPr>
        <w:t>1</w:t>
      </w:r>
      <w:r>
        <w:rPr/>
        <w:t>）合并范围 </w:t>
      </w:r>
      <w:r>
        <w:rPr>
          <w:spacing w:val="-1"/>
        </w:rPr>
        <w:t>合并财务报表的合并范围以控制为基础予以确定。控制，是指本公司拥有对被投资单位的权力，通过</w:t>
      </w:r>
    </w:p>
    <w:p>
      <w:pPr>
        <w:pStyle w:val="BodyText"/>
        <w:spacing w:line="297" w:lineRule="auto" w:before="66"/>
        <w:ind w:left="154" w:right="1131"/>
        <w:jc w:val="both"/>
      </w:pPr>
      <w:r>
        <w:rPr>
          <w:spacing w:val="-1"/>
        </w:rPr>
        <w:t>参与被投资单位的相关活动而享有可变回报，并且有能力运用对被投资单位的权力影响其回报金额。子公</w:t>
      </w:r>
      <w:r>
        <w:rPr>
          <w:spacing w:val="-81"/>
        </w:rPr>
        <w:t> </w:t>
      </w:r>
      <w:r>
        <w:rPr>
          <w:spacing w:val="-81"/>
        </w:rPr>
      </w:r>
      <w:r>
        <w:rPr/>
        <w:t>司，是指被本公司控制的主体（含企业、被投资单位中可分割的部分、结构化主体等）。</w:t>
      </w:r>
    </w:p>
    <w:p>
      <w:pPr>
        <w:pStyle w:val="BodyText"/>
        <w:spacing w:line="508" w:lineRule="exact" w:before="22"/>
        <w:ind w:left="574" w:right="1116"/>
        <w:jc w:val="left"/>
      </w:pPr>
      <w:r>
        <w:rPr/>
        <w:t>（</w:t>
      </w:r>
      <w:r>
        <w:rPr>
          <w:rFonts w:ascii="Times New Roman" w:hAnsi="Times New Roman" w:cs="Times New Roman" w:eastAsia="Times New Roman" w:hint="default"/>
        </w:rPr>
        <w:t>2</w:t>
      </w:r>
      <w:r>
        <w:rPr/>
        <w:t>）合并财务报表的编制方法 </w:t>
      </w:r>
      <w:r>
        <w:rPr>
          <w:spacing w:val="-1"/>
        </w:rPr>
        <w:t>合并财务报表以本公司和子公司的财务报表为基础，根据其他有关资料，由本公司编制。在编制合并</w:t>
      </w:r>
    </w:p>
    <w:p>
      <w:pPr>
        <w:pStyle w:val="BodyText"/>
        <w:spacing w:line="297" w:lineRule="auto"/>
        <w:ind w:left="154" w:right="1131"/>
        <w:jc w:val="both"/>
      </w:pPr>
      <w:r>
        <w:rPr>
          <w:spacing w:val="-1"/>
        </w:rPr>
        <w:t>财务报表时，本公司和子公司的会计政策和会计期间要求保持一致，公司间的重大交易和往来余额予以抵</w:t>
      </w:r>
      <w:r>
        <w:rPr>
          <w:spacing w:val="-81"/>
        </w:rPr>
        <w:t> </w:t>
      </w:r>
      <w:r>
        <w:rPr>
          <w:spacing w:val="-81"/>
        </w:rPr>
      </w:r>
      <w:r>
        <w:rPr/>
        <w:t>销。</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在报告期内因同一控制下企业合并增加的子公司以及业务，视同该子公司以及业务自同受最终控制方</w:t>
      </w:r>
      <w:r>
        <w:rPr/>
        <w:t> </w:t>
      </w:r>
      <w:r>
        <w:rPr>
          <w:spacing w:val="-1"/>
        </w:rPr>
        <w:t>控制之日起纳入本公司的合并范围，将其自同受最终控制方控制之日起的经营成果、现金流量分别纳入合</w:t>
      </w:r>
      <w:r>
        <w:rPr>
          <w:spacing w:val="-81"/>
        </w:rPr>
        <w:t> </w:t>
      </w:r>
      <w:r>
        <w:rPr>
          <w:spacing w:val="-81"/>
        </w:rPr>
      </w:r>
      <w:r>
        <w:rPr/>
        <w:t>并利润表、合并现金流量表中。</w:t>
      </w:r>
    </w:p>
    <w:p>
      <w:pPr>
        <w:spacing w:line="240" w:lineRule="auto" w:before="0"/>
        <w:rPr>
          <w:rFonts w:ascii="宋体" w:hAnsi="宋体" w:cs="宋体" w:eastAsia="宋体" w:hint="default"/>
          <w:sz w:val="14"/>
          <w:szCs w:val="14"/>
        </w:rPr>
      </w:pPr>
    </w:p>
    <w:p>
      <w:pPr>
        <w:pStyle w:val="BodyText"/>
        <w:spacing w:line="297" w:lineRule="auto"/>
        <w:ind w:left="154" w:right="1132" w:firstLine="420"/>
        <w:jc w:val="both"/>
      </w:pPr>
      <w:r>
        <w:rPr>
          <w:spacing w:val="-1"/>
        </w:rPr>
        <w:t>在报告期内因非同一控制下企业合并增加的子公司以及业务，将该子公司以及业务自购买日至报告期</w:t>
      </w:r>
      <w:r>
        <w:rPr/>
        <w:t> 末的收入、费用、利润纳入合并利润表，将其现金流量纳入合并现金流量表。</w:t>
      </w:r>
    </w:p>
    <w:p>
      <w:pPr>
        <w:spacing w:line="240" w:lineRule="auto" w:before="12"/>
        <w:rPr>
          <w:rFonts w:ascii="宋体" w:hAnsi="宋体" w:cs="宋体" w:eastAsia="宋体" w:hint="default"/>
          <w:sz w:val="13"/>
          <w:szCs w:val="13"/>
        </w:rPr>
      </w:pPr>
    </w:p>
    <w:p>
      <w:pPr>
        <w:pStyle w:val="BodyText"/>
        <w:spacing w:line="285" w:lineRule="auto"/>
        <w:ind w:left="154" w:right="1126" w:firstLine="420"/>
        <w:jc w:val="both"/>
      </w:pPr>
      <w:r>
        <w:rPr>
          <w:spacing w:val="-1"/>
        </w:rPr>
        <w:t>子公司的股东权益中不属于本公司所拥有的部分，作为少数股东权益在合并资产负债表中股东权益项</w:t>
      </w:r>
      <w:r>
        <w:rPr/>
        <w:t> </w:t>
      </w:r>
      <w:r>
        <w:rPr>
          <w:spacing w:val="2"/>
        </w:rPr>
        <w:t>下单独列示；子公司当期净损益中属于少数股东权益的份额，在合并利润表中净利润项目下以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w:t>
      </w:r>
      <w:r>
        <w:rPr>
          <w:spacing w:val="-103"/>
        </w:rPr>
        <w:t> </w:t>
      </w:r>
      <w:r>
        <w:rPr/>
        <w:t>损益</w:t>
      </w:r>
      <w:r>
        <w:rPr>
          <w:rFonts w:ascii="Times New Roman" w:hAnsi="Times New Roman" w:cs="Times New Roman" w:eastAsia="Times New Roman" w:hint="default"/>
        </w:rPr>
        <w:t>”</w:t>
      </w:r>
      <w:r>
        <w:rPr/>
        <w:t>项目列示。少数股东分担的子公司的亏损超过了少数股东在该子公司期初所有者权益中所享有的份</w:t>
      </w:r>
      <w:r>
        <w:rPr>
          <w:spacing w:val="-24"/>
        </w:rPr>
        <w:t> </w:t>
      </w:r>
      <w:r>
        <w:rPr>
          <w:spacing w:val="-24"/>
        </w:rPr>
      </w:r>
      <w:r>
        <w:rPr/>
        <w:t>额，其余额仍冲减少数股东权益。</w:t>
      </w:r>
    </w:p>
    <w:p>
      <w:pPr>
        <w:pStyle w:val="BodyText"/>
        <w:spacing w:line="508" w:lineRule="exact" w:before="33"/>
        <w:ind w:left="574" w:right="1116"/>
        <w:jc w:val="left"/>
      </w:pPr>
      <w:r>
        <w:rPr/>
        <w:t>（</w:t>
      </w:r>
      <w:r>
        <w:rPr>
          <w:rFonts w:ascii="Times New Roman" w:hAnsi="Times New Roman" w:cs="Times New Roman" w:eastAsia="Times New Roman" w:hint="default"/>
        </w:rPr>
        <w:t>3</w:t>
      </w:r>
      <w:r>
        <w:rPr/>
        <w:t>）购买子公司少数股东股权 </w:t>
      </w:r>
      <w:r>
        <w:rPr>
          <w:spacing w:val="3"/>
        </w:rPr>
        <w:t>因购买少数股权新取得的长期股权投资成本与按照新增持股比例计算应享有子公司自购买日或合并</w:t>
      </w:r>
    </w:p>
    <w:p>
      <w:pPr>
        <w:pStyle w:val="BodyText"/>
        <w:spacing w:line="297" w:lineRule="auto"/>
        <w:ind w:left="154" w:right="1132"/>
        <w:jc w:val="both"/>
      </w:pPr>
      <w:r>
        <w:rPr>
          <w:spacing w:val="-1"/>
        </w:rPr>
        <w:t>日开始持续计算的净资产份额之间的差额，以及在不丧失控制权的情况下因部分处置对子公司的股权投资</w:t>
      </w:r>
      <w:r>
        <w:rPr>
          <w:spacing w:val="-81"/>
        </w:rPr>
        <w:t> </w:t>
      </w:r>
      <w:r>
        <w:rPr>
          <w:spacing w:val="-81"/>
        </w:rPr>
      </w:r>
      <w:r>
        <w:rPr>
          <w:spacing w:val="3"/>
        </w:rPr>
        <w:t>而取得的处置价款与处置长期股权投资相对应享有子公司自购买日或合并日开始持续计算的净资产份额</w:t>
      </w:r>
      <w:r>
        <w:rPr>
          <w:spacing w:val="-82"/>
        </w:rPr>
        <w:t> </w:t>
      </w:r>
      <w:r>
        <w:rPr>
          <w:spacing w:val="-82"/>
        </w:rPr>
      </w:r>
      <w:r>
        <w:rPr/>
        <w:t>之间的差额，均调整合并资产负债表中的资本公积，资本公积不足冲减的，调整留存收益。</w:t>
      </w:r>
    </w:p>
    <w:p>
      <w:pPr>
        <w:pStyle w:val="BodyText"/>
        <w:spacing w:line="508" w:lineRule="exact" w:before="21"/>
        <w:ind w:left="574" w:right="1116"/>
        <w:jc w:val="left"/>
      </w:pPr>
      <w:r>
        <w:rPr/>
        <w:t>（</w:t>
      </w:r>
      <w:r>
        <w:rPr>
          <w:rFonts w:ascii="Times New Roman" w:hAnsi="Times New Roman" w:cs="Times New Roman" w:eastAsia="Times New Roman" w:hint="default"/>
        </w:rPr>
        <w:t>4</w:t>
      </w:r>
      <w:r>
        <w:rPr/>
        <w:t>）丧失子公司控制权的处理 </w:t>
      </w:r>
      <w:r>
        <w:rPr>
          <w:spacing w:val="-1"/>
        </w:rPr>
        <w:t>因处置部分股权投资或其他原因丧失了对原有子公司控制权的，剩余股权按照其在丧失控制权日的公</w:t>
      </w:r>
    </w:p>
    <w:p>
      <w:pPr>
        <w:pStyle w:val="BodyText"/>
        <w:spacing w:line="297" w:lineRule="auto"/>
        <w:ind w:left="154" w:right="1131"/>
        <w:jc w:val="both"/>
      </w:pPr>
      <w:r>
        <w:rPr>
          <w:spacing w:val="-1"/>
        </w:rPr>
        <w:t>允价值进行重新计量；处置股权取得的对价与剩余股权公允价值之和，减去按原持股比例计算应享有原有</w:t>
      </w:r>
      <w:r>
        <w:rPr>
          <w:spacing w:val="-81"/>
        </w:rPr>
        <w:t> </w:t>
      </w:r>
      <w:r>
        <w:rPr>
          <w:spacing w:val="-81"/>
        </w:rPr>
      </w:r>
      <w:r>
        <w:rPr>
          <w:spacing w:val="-1"/>
        </w:rPr>
        <w:t>子公司自购买日开始持续计算的净资产账面价值的份额与商誉之和，形成的差额计入丧失控制权当期的投</w:t>
      </w:r>
      <w:r>
        <w:rPr>
          <w:spacing w:val="-81"/>
        </w:rPr>
        <w:t> </w:t>
      </w:r>
      <w:r>
        <w:rPr>
          <w:spacing w:val="-81"/>
        </w:rPr>
      </w:r>
      <w:r>
        <w:rPr/>
        <w:t>资收益。</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与原有子公司的股权投资相关的其他综合收益等，在丧失控制权时转入当期损益，由于被投资方重新</w:t>
      </w:r>
      <w:r>
        <w:rPr/>
        <w:t> 计量设定收益计划净负债或净资产变动而产生的其他综合收益除外。</w:t>
      </w:r>
    </w:p>
    <w:p>
      <w:pPr>
        <w:pStyle w:val="BodyText"/>
        <w:spacing w:line="240" w:lineRule="auto" w:before="175"/>
        <w:ind w:left="574" w:right="1116"/>
        <w:jc w:val="left"/>
        <w:rPr>
          <w:rFonts w:ascii="微软雅黑" w:hAnsi="微软雅黑" w:cs="微软雅黑" w:eastAsia="微软雅黑" w:hint="default"/>
        </w:rPr>
      </w:pPr>
      <w:bookmarkStart w:name="7、合营安排分类及共同经营会计处理方法" w:id="178"/>
      <w:bookmarkEnd w:id="178"/>
      <w:r>
        <w:rPr/>
      </w:r>
      <w:r>
        <w:rPr>
          <w:rFonts w:ascii="Times New Roman" w:hAnsi="Times New Roman" w:cs="Times New Roman" w:eastAsia="Times New Roman" w:hint="default"/>
        </w:rPr>
        <w:t>7</w:t>
      </w:r>
      <w:r>
        <w:rPr>
          <w:rFonts w:ascii="微软雅黑" w:hAnsi="微软雅黑" w:cs="微软雅黑" w:eastAsia="微软雅黑" w:hint="default"/>
        </w:rPr>
        <w:t>、合营安排分类及共同经营会计处理方法</w:t>
      </w:r>
    </w:p>
    <w:p>
      <w:pPr>
        <w:spacing w:line="240" w:lineRule="auto" w:before="8"/>
        <w:rPr>
          <w:rFonts w:ascii="微软雅黑" w:hAnsi="微软雅黑" w:cs="微软雅黑" w:eastAsia="微软雅黑" w:hint="default"/>
          <w:sz w:val="20"/>
          <w:szCs w:val="20"/>
        </w:rPr>
      </w:pPr>
    </w:p>
    <w:p>
      <w:pPr>
        <w:pStyle w:val="BodyText"/>
        <w:spacing w:line="297" w:lineRule="auto"/>
        <w:ind w:left="154" w:right="1131" w:firstLine="420"/>
        <w:jc w:val="both"/>
      </w:pPr>
      <w:r>
        <w:rPr>
          <w:spacing w:val="-1"/>
        </w:rPr>
        <w:t>合营安排，是指一项由两个或两个以上的参与方共同控制的安排。本集团合营安排分为共同经营和合</w:t>
      </w:r>
      <w:r>
        <w:rPr/>
        <w:t> 营企业。</w:t>
      </w:r>
    </w:p>
    <w:p>
      <w:pPr>
        <w:spacing w:after="0" w:line="297" w:lineRule="auto"/>
        <w:jc w:val="both"/>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420" w:lineRule="auto" w:before="35"/>
        <w:ind w:left="574" w:right="3192"/>
        <w:jc w:val="left"/>
      </w:pPr>
      <w:r>
        <w:rPr/>
        <w:t>（</w:t>
      </w:r>
      <w:r>
        <w:rPr>
          <w:rFonts w:ascii="Times New Roman" w:hAnsi="Times New Roman" w:cs="Times New Roman" w:eastAsia="Times New Roman" w:hint="default"/>
        </w:rPr>
        <w:t>1</w:t>
      </w:r>
      <w:r>
        <w:rPr/>
        <w:t>）共同经营 共同经营是指本集团享有该安排相关资产且承担该安排相关负债的合营安排。</w:t>
      </w:r>
    </w:p>
    <w:p>
      <w:pPr>
        <w:pStyle w:val="BodyText"/>
        <w:spacing w:line="424" w:lineRule="auto" w:before="75"/>
        <w:ind w:left="574" w:right="1092"/>
        <w:jc w:val="left"/>
      </w:pPr>
      <w:r>
        <w:rPr/>
        <w:t>本集团确认与共同经营中利益份额相关的下列项目，并按照相关企业会计准则的规定进行会计处理： </w:t>
      </w: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pStyle w:val="BodyText"/>
        <w:spacing w:line="420" w:lineRule="auto" w:before="39"/>
        <w:ind w:left="574" w:right="4452"/>
        <w:jc w:val="left"/>
      </w:pPr>
      <w:r>
        <w:rPr/>
        <w:t>（</w:t>
      </w:r>
      <w:r>
        <w:rPr>
          <w:rFonts w:ascii="Times New Roman" w:hAnsi="Times New Roman" w:cs="Times New Roman" w:eastAsia="Times New Roman" w:hint="default"/>
        </w:rPr>
        <w:t>2</w:t>
      </w:r>
      <w:r>
        <w:rPr/>
        <w:t>）合营企业 合营企业是指本集团仅对该安排的净资产享有权利的合营安排。</w:t>
      </w:r>
    </w:p>
    <w:p>
      <w:pPr>
        <w:pStyle w:val="BodyText"/>
        <w:spacing w:line="240" w:lineRule="auto" w:before="76"/>
        <w:ind w:left="574" w:right="1116"/>
        <w:jc w:val="left"/>
      </w:pPr>
      <w:r>
        <w:rPr/>
        <w:t>本集团按照长期股权投资有关权益法核算的规定对合营企业的投资进行会计处理。</w:t>
      </w:r>
    </w:p>
    <w:p>
      <w:pPr>
        <w:spacing w:line="240" w:lineRule="auto" w:before="4"/>
        <w:rPr>
          <w:rFonts w:ascii="宋体" w:hAnsi="宋体" w:cs="宋体" w:eastAsia="宋体" w:hint="default"/>
          <w:sz w:val="17"/>
          <w:szCs w:val="17"/>
        </w:rPr>
      </w:pPr>
    </w:p>
    <w:p>
      <w:pPr>
        <w:pStyle w:val="BodyText"/>
        <w:spacing w:line="240" w:lineRule="auto"/>
        <w:ind w:left="574" w:right="1116"/>
        <w:jc w:val="left"/>
        <w:rPr>
          <w:rFonts w:ascii="微软雅黑" w:hAnsi="微软雅黑" w:cs="微软雅黑" w:eastAsia="微软雅黑" w:hint="default"/>
        </w:rPr>
      </w:pPr>
      <w:bookmarkStart w:name="8、现金及现金等价物的确定标准" w:id="179"/>
      <w:bookmarkEnd w:id="179"/>
      <w:r>
        <w:rPr/>
      </w:r>
      <w:r>
        <w:rPr>
          <w:rFonts w:ascii="Times New Roman" w:hAnsi="Times New Roman" w:cs="Times New Roman" w:eastAsia="Times New Roman" w:hint="default"/>
        </w:rPr>
        <w:t>8</w:t>
      </w:r>
      <w:r>
        <w:rPr>
          <w:rFonts w:ascii="微软雅黑" w:hAnsi="微软雅黑" w:cs="微软雅黑" w:eastAsia="微软雅黑" w:hint="default"/>
        </w:rPr>
        <w:t>、现金及现金等价物的确定标准</w:t>
      </w:r>
    </w:p>
    <w:p>
      <w:pPr>
        <w:spacing w:line="240" w:lineRule="auto" w:before="7"/>
        <w:rPr>
          <w:rFonts w:ascii="微软雅黑" w:hAnsi="微软雅黑" w:cs="微软雅黑" w:eastAsia="微软雅黑" w:hint="default"/>
          <w:sz w:val="20"/>
          <w:szCs w:val="20"/>
        </w:rPr>
      </w:pPr>
    </w:p>
    <w:p>
      <w:pPr>
        <w:pStyle w:val="BodyText"/>
        <w:spacing w:line="297" w:lineRule="auto"/>
        <w:ind w:left="154" w:right="1017" w:firstLine="420"/>
        <w:jc w:val="left"/>
      </w:pPr>
      <w:r>
        <w:rPr>
          <w:spacing w:val="-3"/>
        </w:rPr>
        <w:t>现金是指库存现金以及可以随时用于支付的存款。现金等价物，是指本集团持有的期限短、流动性强、</w:t>
      </w:r>
      <w:r>
        <w:rPr/>
        <w:t> 易于转换为已知金额现金、价值变动风险很小的投资。</w:t>
      </w:r>
    </w:p>
    <w:p>
      <w:pPr>
        <w:pStyle w:val="BodyText"/>
        <w:spacing w:line="240" w:lineRule="auto" w:before="175"/>
        <w:ind w:left="574" w:right="1116"/>
        <w:jc w:val="left"/>
        <w:rPr>
          <w:rFonts w:ascii="微软雅黑" w:hAnsi="微软雅黑" w:cs="微软雅黑" w:eastAsia="微软雅黑" w:hint="default"/>
        </w:rPr>
      </w:pPr>
      <w:bookmarkStart w:name="9、外币业务和外币报表折算" w:id="180"/>
      <w:bookmarkEnd w:id="180"/>
      <w:r>
        <w:rPr/>
      </w:r>
      <w:r>
        <w:rPr>
          <w:rFonts w:ascii="Times New Roman" w:hAnsi="Times New Roman" w:cs="Times New Roman" w:eastAsia="Times New Roman" w:hint="default"/>
        </w:rPr>
        <w:t>9</w:t>
      </w:r>
      <w:r>
        <w:rPr>
          <w:rFonts w:ascii="微软雅黑" w:hAnsi="微软雅黑" w:cs="微软雅黑" w:eastAsia="微软雅黑" w:hint="default"/>
        </w:rPr>
        <w:t>、外币业务和外币报表折算</w:t>
      </w:r>
    </w:p>
    <w:p>
      <w:pPr>
        <w:pStyle w:val="BodyText"/>
        <w:spacing w:line="490" w:lineRule="atLeast" w:before="154"/>
        <w:ind w:left="574" w:right="1116"/>
        <w:jc w:val="left"/>
      </w:pPr>
      <w:r>
        <w:rPr/>
        <w:t>（</w:t>
      </w:r>
      <w:r>
        <w:rPr>
          <w:rFonts w:ascii="Times New Roman" w:hAnsi="Times New Roman" w:cs="Times New Roman" w:eastAsia="Times New Roman" w:hint="default"/>
        </w:rPr>
        <w:t>1</w:t>
      </w:r>
      <w:r>
        <w:rPr/>
        <w:t>）外币业务 </w:t>
      </w:r>
      <w:r>
        <w:rPr>
          <w:spacing w:val="-1"/>
        </w:rPr>
        <w:t>本集团发生外币业务，采用按照系统合理的方法确定的、与交易发生日即期汇率近似的汇率折算为记</w:t>
      </w:r>
    </w:p>
    <w:p>
      <w:pPr>
        <w:pStyle w:val="BodyText"/>
        <w:spacing w:line="240" w:lineRule="auto" w:before="66"/>
        <w:ind w:left="154" w:right="1116"/>
        <w:jc w:val="left"/>
      </w:pPr>
      <w:r>
        <w:rPr/>
        <w:t>账本位币金额。</w:t>
      </w:r>
    </w:p>
    <w:p>
      <w:pPr>
        <w:spacing w:line="240" w:lineRule="auto" w:before="12"/>
        <w:rPr>
          <w:rFonts w:ascii="宋体" w:hAnsi="宋体" w:cs="宋体" w:eastAsia="宋体" w:hint="default"/>
          <w:sz w:val="17"/>
          <w:szCs w:val="17"/>
        </w:rPr>
      </w:pPr>
    </w:p>
    <w:p>
      <w:pPr>
        <w:pStyle w:val="BodyText"/>
        <w:spacing w:line="297" w:lineRule="auto"/>
        <w:ind w:left="154" w:right="1130" w:firstLine="420"/>
        <w:jc w:val="both"/>
      </w:pPr>
      <w:r>
        <w:rPr>
          <w:spacing w:val="-1"/>
        </w:rPr>
        <w:t>资产负债表日，对外币货币性项目，采用资产负债表日即期汇率折算。因资产负债表日即期汇率与初</w:t>
      </w:r>
      <w:r>
        <w:rPr/>
        <w:t> </w:t>
      </w:r>
      <w:r>
        <w:rPr>
          <w:spacing w:val="-1"/>
        </w:rPr>
        <w:t>始确认时或者前一资产负债表日即期汇率不同而产生的汇兑差额，计入当期损益；对以历史成本计量的外</w:t>
      </w:r>
      <w:r>
        <w:rPr>
          <w:spacing w:val="-80"/>
        </w:rPr>
        <w:t> </w:t>
      </w:r>
      <w:r>
        <w:rPr>
          <w:spacing w:val="-80"/>
        </w:rPr>
      </w:r>
      <w:r>
        <w:rPr>
          <w:spacing w:val="-1"/>
        </w:rPr>
        <w:t>币非货币性项目，仍采用交易发生日的即期汇率折算；对以公允价值计量的外币非货币性项目，采用公允</w:t>
      </w:r>
      <w:r>
        <w:rPr>
          <w:spacing w:val="-83"/>
        </w:rPr>
        <w:t> </w:t>
      </w:r>
      <w:r>
        <w:rPr>
          <w:spacing w:val="-83"/>
        </w:rPr>
      </w:r>
      <w:r>
        <w:rPr/>
        <w:t>价值确定日的即期汇率折算，折算后的记账本位币金额与原记账本位币金额的差额，计入当期损益。</w:t>
      </w:r>
    </w:p>
    <w:p>
      <w:pPr>
        <w:pStyle w:val="BodyText"/>
        <w:spacing w:line="508" w:lineRule="exact" w:before="21"/>
        <w:ind w:left="574" w:right="1116"/>
        <w:jc w:val="left"/>
      </w:pPr>
      <w:r>
        <w:rPr/>
        <w:t>（</w:t>
      </w:r>
      <w:r>
        <w:rPr>
          <w:rFonts w:ascii="Times New Roman" w:hAnsi="Times New Roman" w:cs="Times New Roman" w:eastAsia="Times New Roman" w:hint="default"/>
        </w:rPr>
        <w:t>2</w:t>
      </w:r>
      <w:r>
        <w:rPr/>
        <w:t>）外币财务报表的折算 </w:t>
      </w:r>
      <w:r>
        <w:rPr>
          <w:spacing w:val="-1"/>
        </w:rPr>
        <w:t>资产负债表日，对境外子公司外币财务报表进行折算时，资产负债表中的资产和负债项目，采用资产</w:t>
      </w:r>
    </w:p>
    <w:p>
      <w:pPr>
        <w:pStyle w:val="BodyText"/>
        <w:spacing w:line="285" w:lineRule="exact"/>
        <w:ind w:left="154" w:right="1116"/>
        <w:jc w:val="left"/>
      </w:pPr>
      <w:r>
        <w:rPr/>
        <w:t>负债表日的即期汇率折算，股东权益项目除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外，其他项目采用发生日的即期汇率折算。</w:t>
      </w:r>
    </w:p>
    <w:p>
      <w:pPr>
        <w:spacing w:line="240" w:lineRule="auto" w:before="8"/>
        <w:rPr>
          <w:rFonts w:ascii="宋体" w:hAnsi="宋体" w:cs="宋体" w:eastAsia="宋体" w:hint="default"/>
          <w:sz w:val="16"/>
          <w:szCs w:val="16"/>
        </w:rPr>
      </w:pPr>
    </w:p>
    <w:p>
      <w:pPr>
        <w:pStyle w:val="BodyText"/>
        <w:spacing w:line="297" w:lineRule="auto"/>
        <w:ind w:left="154" w:right="1131" w:firstLine="420"/>
        <w:jc w:val="both"/>
      </w:pPr>
      <w:r>
        <w:rPr>
          <w:spacing w:val="-1"/>
        </w:rPr>
        <w:t>利润表中的收入和费用项目，采用按照系统合理的方法确定的、与交易发生日即期汇率近似的汇率折</w:t>
      </w:r>
      <w:r>
        <w:rPr/>
        <w:t> 算。</w:t>
      </w:r>
    </w:p>
    <w:p>
      <w:pPr>
        <w:spacing w:line="240" w:lineRule="auto" w:before="0"/>
        <w:rPr>
          <w:rFonts w:ascii="宋体" w:hAnsi="宋体" w:cs="宋体" w:eastAsia="宋体" w:hint="default"/>
          <w:sz w:val="14"/>
          <w:szCs w:val="14"/>
        </w:rPr>
      </w:pPr>
    </w:p>
    <w:p>
      <w:pPr>
        <w:pStyle w:val="BodyText"/>
        <w:spacing w:line="288" w:lineRule="auto"/>
        <w:ind w:left="154" w:right="1131" w:firstLine="420"/>
        <w:jc w:val="both"/>
      </w:pPr>
      <w:r>
        <w:rPr>
          <w:spacing w:val="-1"/>
        </w:rPr>
        <w:t>现金流量表所有项目均按照系统合理的方法确定的、与现金流量发生日即期汇率近似的汇率折算。汇</w:t>
      </w:r>
      <w:r>
        <w:rPr/>
        <w:t> 率变动对现金的影响额作为调节项目，在现金流量表中单独列示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 目反映。</w:t>
      </w:r>
    </w:p>
    <w:p>
      <w:pPr>
        <w:spacing w:after="0" w:line="288" w:lineRule="auto"/>
        <w:jc w:val="both"/>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40" w:lineRule="auto" w:before="35"/>
        <w:ind w:left="574" w:right="1116"/>
        <w:jc w:val="left"/>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w:t>
      </w:r>
    </w:p>
    <w:p>
      <w:pPr>
        <w:spacing w:line="240" w:lineRule="auto" w:before="9"/>
        <w:rPr>
          <w:rFonts w:ascii="宋体" w:hAnsi="宋体" w:cs="宋体" w:eastAsia="宋体" w:hint="default"/>
          <w:sz w:val="16"/>
          <w:szCs w:val="16"/>
        </w:rPr>
      </w:pPr>
    </w:p>
    <w:p>
      <w:pPr>
        <w:pStyle w:val="BodyText"/>
        <w:spacing w:line="297" w:lineRule="auto"/>
        <w:ind w:left="154" w:right="1116" w:firstLine="420"/>
        <w:jc w:val="left"/>
      </w:pPr>
      <w:r>
        <w:rPr>
          <w:spacing w:val="-1"/>
        </w:rPr>
        <w:t>处置境外经营并丧失控制权时，将资产负债表中项目下列示的、与该境外经营相关的外币报表折算差</w:t>
      </w:r>
      <w:r>
        <w:rPr/>
        <w:t> 额，全部或按处置该境外经营的比例转入处置当期损益。</w:t>
      </w:r>
    </w:p>
    <w:p>
      <w:pPr>
        <w:pStyle w:val="BodyText"/>
        <w:spacing w:line="240" w:lineRule="auto" w:before="176"/>
        <w:ind w:left="574" w:right="1116"/>
        <w:jc w:val="left"/>
        <w:rPr>
          <w:rFonts w:ascii="微软雅黑" w:hAnsi="微软雅黑" w:cs="微软雅黑" w:eastAsia="微软雅黑" w:hint="default"/>
        </w:rPr>
      </w:pPr>
      <w:bookmarkStart w:name="10、金融工具" w:id="181"/>
      <w:bookmarkEnd w:id="181"/>
      <w:r>
        <w:rPr/>
      </w:r>
      <w:r>
        <w:rPr>
          <w:rFonts w:ascii="Times New Roman" w:hAnsi="Times New Roman" w:cs="Times New Roman" w:eastAsia="Times New Roman" w:hint="default"/>
        </w:rPr>
        <w:t>10</w:t>
      </w:r>
      <w:r>
        <w:rPr>
          <w:rFonts w:ascii="微软雅黑" w:hAnsi="微软雅黑" w:cs="微软雅黑" w:eastAsia="微软雅黑" w:hint="default"/>
        </w:rPr>
        <w:t>、金融工具</w:t>
      </w:r>
    </w:p>
    <w:p>
      <w:pPr>
        <w:spacing w:line="240" w:lineRule="auto" w:before="7"/>
        <w:rPr>
          <w:rFonts w:ascii="微软雅黑" w:hAnsi="微软雅黑" w:cs="微软雅黑" w:eastAsia="微软雅黑" w:hint="default"/>
          <w:sz w:val="20"/>
          <w:szCs w:val="20"/>
        </w:rPr>
      </w:pPr>
    </w:p>
    <w:p>
      <w:pPr>
        <w:pStyle w:val="BodyText"/>
        <w:spacing w:line="240" w:lineRule="auto"/>
        <w:ind w:left="574" w:right="1116"/>
        <w:jc w:val="left"/>
      </w:pPr>
      <w:r>
        <w:rPr/>
        <w:t>金融工具是指形成一个企业的金融资产，并形成其他单位的金融负债或权益工具的合同。</w:t>
      </w:r>
    </w:p>
    <w:p>
      <w:pPr>
        <w:spacing w:line="240" w:lineRule="auto" w:before="12"/>
        <w:rPr>
          <w:rFonts w:ascii="宋体" w:hAnsi="宋体" w:cs="宋体" w:eastAsia="宋体" w:hint="default"/>
          <w:sz w:val="17"/>
          <w:szCs w:val="17"/>
        </w:rPr>
      </w:pPr>
    </w:p>
    <w:p>
      <w:pPr>
        <w:pStyle w:val="BodyText"/>
        <w:spacing w:line="432" w:lineRule="auto"/>
        <w:ind w:left="574" w:right="4032"/>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66"/>
        <w:ind w:left="574" w:right="1116"/>
        <w:jc w:val="left"/>
      </w:pPr>
      <w:r>
        <w:rPr/>
        <w:t>①收取该金融资产现金流量的合同权利终止；</w:t>
      </w:r>
    </w:p>
    <w:p>
      <w:pPr>
        <w:pStyle w:val="BodyText"/>
        <w:spacing w:line="500" w:lineRule="atLeast" w:before="9"/>
        <w:ind w:left="574" w:right="1116"/>
        <w:jc w:val="left"/>
      </w:pPr>
      <w:r>
        <w:rPr/>
        <w:t>②该金融资产已转移，且符合下述金融资产转移的终止确认条件。 </w:t>
      </w:r>
      <w:r>
        <w:rPr>
          <w:spacing w:val="-1"/>
        </w:rPr>
        <w:t>金融负债的现时义务全部或部分已经解除的，终止确认该金融负债或其一部分。本集团（债务人）与</w:t>
      </w:r>
    </w:p>
    <w:p>
      <w:pPr>
        <w:pStyle w:val="BodyText"/>
        <w:spacing w:line="297" w:lineRule="auto" w:before="66"/>
        <w:ind w:left="154" w:right="1131"/>
        <w:jc w:val="both"/>
      </w:pPr>
      <w:r>
        <w:rPr>
          <w:spacing w:val="-1"/>
        </w:rPr>
        <w:t>债权人之间签订协议，以承担新金融负债方式替换现存金融负债，且新金融负债与现存金融负债的合同条</w:t>
      </w:r>
      <w:r>
        <w:rPr>
          <w:spacing w:val="-81"/>
        </w:rPr>
        <w:t> </w:t>
      </w:r>
      <w:r>
        <w:rPr>
          <w:spacing w:val="-81"/>
        </w:rPr>
      </w:r>
      <w:r>
        <w:rPr/>
        <w:t>款实质上不同的，终止确认现存金融负债，并同时确认新金融负债。</w:t>
      </w:r>
    </w:p>
    <w:p>
      <w:pPr>
        <w:spacing w:line="240" w:lineRule="auto" w:before="0"/>
        <w:rPr>
          <w:rFonts w:ascii="宋体" w:hAnsi="宋体" w:cs="宋体" w:eastAsia="宋体" w:hint="default"/>
          <w:sz w:val="14"/>
          <w:szCs w:val="14"/>
        </w:rPr>
      </w:pPr>
    </w:p>
    <w:p>
      <w:pPr>
        <w:pStyle w:val="BodyText"/>
        <w:spacing w:line="240" w:lineRule="auto"/>
        <w:ind w:left="574" w:right="1116"/>
        <w:jc w:val="left"/>
      </w:pPr>
      <w:r>
        <w:rPr/>
        <w:t>以常规方式买卖金融资产，按交易日进行会计确认和终止确认。</w:t>
      </w:r>
    </w:p>
    <w:p>
      <w:pPr>
        <w:pStyle w:val="BodyText"/>
        <w:spacing w:line="490" w:lineRule="atLeast" w:before="34"/>
        <w:ind w:left="574" w:right="1092"/>
        <w:jc w:val="left"/>
      </w:pPr>
      <w:r>
        <w:rPr/>
        <w:t>（</w:t>
      </w:r>
      <w:r>
        <w:rPr>
          <w:rFonts w:ascii="Times New Roman" w:hAnsi="Times New Roman" w:cs="Times New Roman" w:eastAsia="Times New Roman" w:hint="default"/>
        </w:rPr>
        <w:t>2</w:t>
      </w:r>
      <w:r>
        <w:rPr/>
        <w:t>）金融资产分类和计量 本集团的金融资产于初始确认时分为以下四类：以公允价值计量且其变动计入当期损益的金融资产、</w:t>
      </w:r>
    </w:p>
    <w:p>
      <w:pPr>
        <w:pStyle w:val="BodyText"/>
        <w:spacing w:line="297" w:lineRule="auto" w:before="66"/>
        <w:ind w:left="154" w:right="1131"/>
        <w:jc w:val="both"/>
      </w:pPr>
      <w:r>
        <w:rPr>
          <w:spacing w:val="-1"/>
        </w:rPr>
        <w:t>持有至到期投资、贷款和应收款项、可供出售金融资产。金融资产在初始确认时以公允价值计量。对于以</w:t>
      </w:r>
      <w:r>
        <w:rPr>
          <w:spacing w:val="-86"/>
        </w:rPr>
        <w:t> </w:t>
      </w:r>
      <w:r>
        <w:rPr>
          <w:spacing w:val="-86"/>
        </w:rPr>
      </w:r>
      <w:r>
        <w:rPr>
          <w:spacing w:val="-1"/>
        </w:rPr>
        <w:t>公允价值计量且其变动计入当期损益的金融资产，相关交易费用直接计入当期损益，其他类别的金融资产</w:t>
      </w:r>
      <w:r>
        <w:rPr>
          <w:spacing w:val="-81"/>
        </w:rPr>
        <w:t> </w:t>
      </w:r>
      <w:r>
        <w:rPr>
          <w:spacing w:val="-81"/>
        </w:rPr>
      </w:r>
      <w:r>
        <w:rPr/>
        <w:t>相关交易费用计入其初始确认金额。</w:t>
      </w:r>
    </w:p>
    <w:p>
      <w:pPr>
        <w:pStyle w:val="BodyText"/>
        <w:spacing w:line="508" w:lineRule="exact" w:before="22"/>
        <w:ind w:left="574" w:right="1116"/>
        <w:jc w:val="left"/>
      </w:pPr>
      <w:r>
        <w:rPr/>
        <w:t>以公允价值计量且其变动计入当期损益的金融资产 </w:t>
      </w:r>
      <w:r>
        <w:rPr>
          <w:spacing w:val="-1"/>
        </w:rPr>
        <w:t>以公允价值计量且其变动计入当期损益的金融资产，包括交易性金融资产和初始确认时指定为以公允</w:t>
      </w:r>
    </w:p>
    <w:p>
      <w:pPr>
        <w:pStyle w:val="BodyText"/>
        <w:spacing w:line="297" w:lineRule="auto"/>
        <w:ind w:left="154" w:right="1131"/>
        <w:jc w:val="both"/>
      </w:pPr>
      <w:r>
        <w:rPr>
          <w:spacing w:val="-1"/>
        </w:rPr>
        <w:t>价值计量且其变动计入当期损益的金融资产。对于此类金融资产，采用公允价值进行后续计量，公允价值</w:t>
      </w:r>
      <w:r>
        <w:rPr>
          <w:spacing w:val="-83"/>
        </w:rPr>
        <w:t> </w:t>
      </w:r>
      <w:r>
        <w:rPr>
          <w:spacing w:val="-83"/>
        </w:rPr>
      </w:r>
      <w:r>
        <w:rPr/>
        <w:t>变动形成的利得或损失以及与该等金融资产相关的股利和利息收入计入当期损益。</w:t>
      </w:r>
    </w:p>
    <w:p>
      <w:pPr>
        <w:pStyle w:val="BodyText"/>
        <w:spacing w:line="508" w:lineRule="exact" w:before="21"/>
        <w:ind w:left="574" w:right="1116"/>
        <w:jc w:val="left"/>
      </w:pPr>
      <w:r>
        <w:rPr/>
        <w:t>持有至到期投资 </w:t>
      </w:r>
      <w:r>
        <w:rPr>
          <w:spacing w:val="-1"/>
        </w:rPr>
        <w:t>持有至到期投资，是指到期日固定、回收金额固定或可确定，且本集团有明确意图和能力持有至到期</w:t>
      </w:r>
    </w:p>
    <w:p>
      <w:pPr>
        <w:pStyle w:val="BodyText"/>
        <w:spacing w:line="297" w:lineRule="auto"/>
        <w:ind w:left="154" w:right="1133"/>
        <w:jc w:val="both"/>
      </w:pPr>
      <w:r>
        <w:rPr>
          <w:spacing w:val="-1"/>
        </w:rPr>
        <w:t>的非衍生金融资产。持有至到期投资采用实际利率法，按照摊余成本进行后续计量，其终止确认、发生减</w:t>
      </w:r>
      <w:r>
        <w:rPr>
          <w:spacing w:val="-86"/>
        </w:rPr>
        <w:t> </w:t>
      </w:r>
      <w:r>
        <w:rPr>
          <w:spacing w:val="-86"/>
        </w:rPr>
      </w:r>
      <w:r>
        <w:rPr/>
        <w:t>值或摊销产生的利得或损失，均计入当期损益。</w:t>
      </w:r>
    </w:p>
    <w:p>
      <w:pPr>
        <w:pStyle w:val="BodyText"/>
        <w:spacing w:line="510" w:lineRule="exact" w:before="19"/>
        <w:ind w:left="574" w:right="1116"/>
        <w:jc w:val="left"/>
      </w:pPr>
      <w:r>
        <w:rPr/>
        <w:t>应收款项 </w:t>
      </w:r>
      <w:r>
        <w:rPr>
          <w:spacing w:val="-1"/>
        </w:rPr>
        <w:t>应收款项，是指在活跃市场中没有报价、回收金额固定或可确定的非衍生金融资产，包括应收账款和</w:t>
      </w:r>
    </w:p>
    <w:p>
      <w:pPr>
        <w:pStyle w:val="BodyText"/>
        <w:spacing w:line="280" w:lineRule="auto"/>
        <w:ind w:left="154" w:right="1132"/>
        <w:jc w:val="both"/>
      </w:pPr>
      <w:r>
        <w:rPr>
          <w:spacing w:val="-1"/>
        </w:rPr>
        <w:t>其他应收款等（附注五、</w:t>
      </w:r>
      <w:r>
        <w:rPr>
          <w:rFonts w:ascii="Times New Roman" w:hAnsi="Times New Roman" w:cs="Times New Roman" w:eastAsia="Times New Roman" w:hint="default"/>
          <w:spacing w:val="-1"/>
        </w:rPr>
        <w:t>11</w:t>
      </w:r>
      <w:r>
        <w:rPr>
          <w:spacing w:val="-1"/>
        </w:rPr>
        <w:t>）。应收款项采用实际利率法，按摊余成本进行后续计量，在终止确认、发生</w:t>
      </w:r>
      <w:r>
        <w:rPr>
          <w:spacing w:val="-85"/>
        </w:rPr>
        <w:t> </w:t>
      </w:r>
      <w:r>
        <w:rPr>
          <w:spacing w:val="-85"/>
        </w:rPr>
      </w:r>
      <w:r>
        <w:rPr/>
        <w:t>减值或摊销时产生的利得或损失，计入当期损益。</w:t>
      </w:r>
    </w:p>
    <w:p>
      <w:pPr>
        <w:spacing w:after="0" w:line="280" w:lineRule="auto"/>
        <w:jc w:val="both"/>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40" w:lineRule="auto" w:before="35"/>
        <w:ind w:left="574" w:right="1116"/>
        <w:jc w:val="left"/>
      </w:pPr>
      <w:r>
        <w:rPr/>
        <w:t>可供出售金融资产</w:t>
      </w:r>
    </w:p>
    <w:p>
      <w:pPr>
        <w:spacing w:line="240" w:lineRule="auto" w:before="12"/>
        <w:rPr>
          <w:rFonts w:ascii="宋体" w:hAnsi="宋体" w:cs="宋体" w:eastAsia="宋体" w:hint="default"/>
          <w:sz w:val="17"/>
          <w:szCs w:val="17"/>
        </w:rPr>
      </w:pPr>
    </w:p>
    <w:p>
      <w:pPr>
        <w:pStyle w:val="BodyText"/>
        <w:spacing w:line="297" w:lineRule="auto"/>
        <w:ind w:left="154" w:right="1131" w:firstLine="420"/>
        <w:jc w:val="both"/>
      </w:pPr>
      <w:r>
        <w:rPr>
          <w:spacing w:val="-1"/>
        </w:rPr>
        <w:t>可供出售金融资产，是指初始确认时即指定为可供出售的非衍生金融资产，以及除上述金融资产类别</w:t>
      </w:r>
      <w:r>
        <w:rPr/>
        <w:t> </w:t>
      </w:r>
      <w:r>
        <w:rPr>
          <w:spacing w:val="-1"/>
        </w:rPr>
        <w:t>以外的金融资产。可供出售金融资产采用公允价值进行后续计量，其折溢价采用实际利率法摊销并确认为</w:t>
      </w:r>
      <w:r>
        <w:rPr>
          <w:spacing w:val="-81"/>
        </w:rPr>
        <w:t> </w:t>
      </w:r>
      <w:r>
        <w:rPr>
          <w:spacing w:val="-81"/>
        </w:rPr>
      </w:r>
      <w:r>
        <w:rPr>
          <w:spacing w:val="-1"/>
        </w:rPr>
        <w:t>利息收入。除减值损失及外币货币性金融资产的汇兑差额确认为当期损益外，可供出售金融资产的公允价</w:t>
      </w:r>
      <w:r>
        <w:rPr>
          <w:spacing w:val="-81"/>
        </w:rPr>
        <w:t> </w:t>
      </w:r>
      <w:r>
        <w:rPr>
          <w:spacing w:val="-81"/>
        </w:rPr>
      </w:r>
      <w:r>
        <w:rPr>
          <w:spacing w:val="-1"/>
        </w:rPr>
        <w:t>值变动确认为其他综合收益，在该金融资产终止确认时转出，计入当期损益。与可供出售金融资产相关的</w:t>
      </w:r>
      <w:r>
        <w:rPr>
          <w:spacing w:val="-83"/>
        </w:rPr>
        <w:t> </w:t>
      </w:r>
      <w:r>
        <w:rPr>
          <w:spacing w:val="-83"/>
        </w:rPr>
      </w:r>
      <w:r>
        <w:rPr/>
        <w:t>股利或利息收入，计入当期损益。</w:t>
      </w:r>
    </w:p>
    <w:p>
      <w:pPr>
        <w:spacing w:line="240" w:lineRule="auto" w:before="0"/>
        <w:rPr>
          <w:rFonts w:ascii="宋体" w:hAnsi="宋体" w:cs="宋体" w:eastAsia="宋体" w:hint="default"/>
          <w:sz w:val="14"/>
          <w:szCs w:val="14"/>
        </w:rPr>
      </w:pPr>
    </w:p>
    <w:p>
      <w:pPr>
        <w:pStyle w:val="BodyText"/>
        <w:spacing w:line="297" w:lineRule="auto"/>
        <w:ind w:left="154" w:right="1116" w:firstLine="420"/>
        <w:jc w:val="left"/>
      </w:pPr>
      <w:r>
        <w:rPr>
          <w:spacing w:val="-1"/>
        </w:rPr>
        <w:t>对于在活跃市场中没有报价且其公允价值不能可靠计量的权益工具投资，以及与该权益工具挂钩并须</w:t>
      </w:r>
      <w:r>
        <w:rPr/>
        <w:t> 通过交付该权益工具结算的衍生金融资产，按成本计量。</w:t>
      </w:r>
    </w:p>
    <w:p>
      <w:pPr>
        <w:pStyle w:val="BodyText"/>
        <w:spacing w:line="508" w:lineRule="exact" w:before="22"/>
        <w:ind w:left="574" w:right="1116"/>
        <w:jc w:val="left"/>
      </w:pPr>
      <w:r>
        <w:rPr/>
        <w:t>（</w:t>
      </w:r>
      <w:r>
        <w:rPr>
          <w:rFonts w:ascii="Times New Roman" w:hAnsi="Times New Roman" w:cs="Times New Roman" w:eastAsia="Times New Roman" w:hint="default"/>
        </w:rPr>
        <w:t>3</w:t>
      </w:r>
      <w:r>
        <w:rPr/>
        <w:t>）金融负债分类和计量 </w:t>
      </w:r>
      <w:r>
        <w:rPr>
          <w:spacing w:val="-1"/>
        </w:rPr>
        <w:t>本集团的金融负债于初始确认时分类为：以公允价值计量且其变动计入当期损益的金融负债、其他金</w:t>
      </w:r>
    </w:p>
    <w:p>
      <w:pPr>
        <w:pStyle w:val="BodyText"/>
        <w:spacing w:line="297" w:lineRule="auto"/>
        <w:ind w:left="154" w:right="1116"/>
        <w:jc w:val="left"/>
      </w:pPr>
      <w:r>
        <w:rPr>
          <w:spacing w:val="-1"/>
        </w:rPr>
        <w:t>融负债。对于未划分为以公允价值计量且其变动计入当期损益的金融负债的，相关交易费用计入其初始确</w:t>
      </w:r>
      <w:r>
        <w:rPr>
          <w:spacing w:val="-81"/>
        </w:rPr>
        <w:t> </w:t>
      </w:r>
      <w:r>
        <w:rPr>
          <w:spacing w:val="-81"/>
        </w:rPr>
      </w:r>
      <w:r>
        <w:rPr/>
        <w:t>认金额。</w:t>
      </w:r>
    </w:p>
    <w:p>
      <w:pPr>
        <w:pStyle w:val="BodyText"/>
        <w:spacing w:line="508" w:lineRule="exact" w:before="21"/>
        <w:ind w:left="574" w:right="1116"/>
        <w:jc w:val="left"/>
      </w:pPr>
      <w:r>
        <w:rPr/>
        <w:t>以公允价值计量且其变动计入当期损益的金融负债 </w:t>
      </w:r>
      <w:r>
        <w:rPr>
          <w:spacing w:val="-1"/>
        </w:rPr>
        <w:t>以公允价值计量且其变动计入当期损益的金融负债，包括交易性金融负债和初始确认时指定为以公允</w:t>
      </w:r>
    </w:p>
    <w:p>
      <w:pPr>
        <w:pStyle w:val="BodyText"/>
        <w:spacing w:line="297" w:lineRule="auto"/>
        <w:ind w:left="154" w:right="1116"/>
        <w:jc w:val="left"/>
      </w:pPr>
      <w:r>
        <w:rPr>
          <w:spacing w:val="-1"/>
        </w:rPr>
        <w:t>价值计量且其变动计入当期损益的金融负债。对于此类金融负债，按照公允价值进行后续计量，公允价值</w:t>
      </w:r>
      <w:r>
        <w:rPr>
          <w:spacing w:val="-83"/>
        </w:rPr>
        <w:t> </w:t>
      </w:r>
      <w:r>
        <w:rPr>
          <w:spacing w:val="-83"/>
        </w:rPr>
      </w:r>
      <w:r>
        <w:rPr/>
        <w:t>变动形成的利得或损失以及与该等金融负债相关的股利和利息支出计入当期损益。</w:t>
      </w:r>
    </w:p>
    <w:p>
      <w:pPr>
        <w:pStyle w:val="BodyText"/>
        <w:spacing w:line="510" w:lineRule="exact" w:before="21"/>
        <w:ind w:left="574" w:right="1116"/>
        <w:jc w:val="left"/>
      </w:pPr>
      <w:r>
        <w:rPr/>
        <w:t>其他金融负债 </w:t>
      </w:r>
      <w:r>
        <w:rPr>
          <w:spacing w:val="-1"/>
        </w:rPr>
        <w:t>与在活跃市场中没有报价、公允价值不能可靠计量的权益工具挂钩并须通过交付该权益工具结算的衍</w:t>
      </w:r>
    </w:p>
    <w:p>
      <w:pPr>
        <w:pStyle w:val="BodyText"/>
        <w:spacing w:line="297" w:lineRule="auto"/>
        <w:ind w:left="154" w:right="1116"/>
        <w:jc w:val="left"/>
      </w:pP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spacing w:line="240" w:lineRule="auto" w:before="0"/>
        <w:rPr>
          <w:rFonts w:ascii="宋体" w:hAnsi="宋体" w:cs="宋体" w:eastAsia="宋体" w:hint="default"/>
          <w:sz w:val="14"/>
          <w:szCs w:val="14"/>
        </w:rPr>
      </w:pPr>
    </w:p>
    <w:p>
      <w:pPr>
        <w:pStyle w:val="BodyText"/>
        <w:spacing w:line="444" w:lineRule="auto"/>
        <w:ind w:left="574" w:right="6342"/>
        <w:jc w:val="left"/>
      </w:pPr>
      <w:r>
        <w:rPr/>
        <w:t>金融负债与权益工具的区分 金融负债，是指符合下列条件之一的负债：</w:t>
      </w:r>
    </w:p>
    <w:p>
      <w:pPr>
        <w:pStyle w:val="BodyText"/>
        <w:spacing w:line="240" w:lineRule="auto" w:before="54"/>
        <w:ind w:left="574" w:right="1116"/>
        <w:jc w:val="left"/>
      </w:pPr>
      <w:r>
        <w:rPr/>
        <w:t>①向其他方交付现金或其他金融资产的合同义务。</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②在潜在不利条件下，与其他方交换金融资产或金融负债的合同义务。</w:t>
      </w:r>
    </w:p>
    <w:p>
      <w:pPr>
        <w:spacing w:line="240" w:lineRule="auto" w:before="12"/>
        <w:rPr>
          <w:rFonts w:ascii="宋体" w:hAnsi="宋体" w:cs="宋体" w:eastAsia="宋体" w:hint="default"/>
          <w:sz w:val="17"/>
          <w:szCs w:val="17"/>
        </w:rPr>
      </w:pPr>
    </w:p>
    <w:p>
      <w:pPr>
        <w:pStyle w:val="BodyText"/>
        <w:spacing w:line="297" w:lineRule="auto"/>
        <w:ind w:left="154" w:right="1116" w:firstLine="420"/>
        <w:jc w:val="left"/>
      </w:pPr>
      <w:r>
        <w:rPr>
          <w:spacing w:val="-1"/>
        </w:rPr>
        <w:t>③将来须用或可用企业自身权益工具进行结算的非衍生工具合同，且企业根据该合同将交付可变数量</w:t>
      </w:r>
      <w:r>
        <w:rPr/>
        <w:t> 的自身权益工具。</w:t>
      </w:r>
    </w:p>
    <w:p>
      <w:pPr>
        <w:spacing w:line="240" w:lineRule="auto" w:before="0"/>
        <w:rPr>
          <w:rFonts w:ascii="宋体" w:hAnsi="宋体" w:cs="宋体" w:eastAsia="宋体" w:hint="default"/>
          <w:sz w:val="14"/>
          <w:szCs w:val="14"/>
        </w:rPr>
      </w:pPr>
    </w:p>
    <w:p>
      <w:pPr>
        <w:pStyle w:val="BodyText"/>
        <w:spacing w:line="297" w:lineRule="auto"/>
        <w:ind w:left="154" w:right="1116" w:firstLine="420"/>
        <w:jc w:val="left"/>
      </w:pPr>
      <w:r>
        <w:rPr>
          <w:spacing w:val="-1"/>
        </w:rPr>
        <w:t>④将来须用或可用企业自身权益工具进行结算的衍生工具合同，但以固定数量的自身权益工具交换固</w:t>
      </w:r>
      <w:r>
        <w:rPr/>
        <w:t> 定金额的现金或其他金融资产的衍生工具合同除外。</w:t>
      </w:r>
    </w:p>
    <w:p>
      <w:pPr>
        <w:pStyle w:val="BodyText"/>
        <w:spacing w:line="510" w:lineRule="exact" w:before="19"/>
        <w:ind w:left="574" w:right="1116"/>
        <w:jc w:val="left"/>
      </w:pPr>
      <w:r>
        <w:rPr/>
        <w:t>权益工具，是指能证明拥有某个企业在扣除所有负债后的资产中剩余权益的合同。 </w:t>
      </w:r>
      <w:r>
        <w:rPr>
          <w:spacing w:val="-1"/>
        </w:rPr>
        <w:t>如果本集团不能无条件地避免以交付现金或其他金融资产来履行一项合同义务，则该合同义务符合金</w:t>
      </w:r>
    </w:p>
    <w:p>
      <w:pPr>
        <w:pStyle w:val="BodyText"/>
        <w:spacing w:line="444" w:lineRule="auto"/>
        <w:ind w:left="574" w:right="1116" w:hanging="420"/>
        <w:jc w:val="left"/>
      </w:pPr>
      <w:r>
        <w:rPr/>
        <w:t>融负债的定义。 </w:t>
      </w:r>
      <w:r>
        <w:rPr>
          <w:spacing w:val="-1"/>
        </w:rPr>
        <w:t>如果一项金融工具须用或可用本集团自身权益工具进行结算，需要考虑用于结算该工具的本集团自身</w:t>
      </w:r>
    </w:p>
    <w:p>
      <w:pPr>
        <w:spacing w:after="0" w:line="444" w:lineRule="auto"/>
        <w:jc w:val="left"/>
        <w:sectPr>
          <w:pgSz w:w="11910" w:h="16840"/>
          <w:pgMar w:header="801" w:footer="1007" w:top="1100" w:bottom="1200" w:left="980" w:right="0"/>
        </w:sectPr>
      </w:pPr>
    </w:p>
    <w:p>
      <w:pPr>
        <w:spacing w:line="240" w:lineRule="auto" w:before="1"/>
        <w:rPr>
          <w:rFonts w:ascii="宋体" w:hAnsi="宋体" w:cs="宋体" w:eastAsia="宋体" w:hint="default"/>
          <w:sz w:val="19"/>
          <w:szCs w:val="19"/>
        </w:rPr>
      </w:pPr>
    </w:p>
    <w:p>
      <w:pPr>
        <w:pStyle w:val="BodyText"/>
        <w:spacing w:line="297" w:lineRule="auto" w:before="35"/>
        <w:ind w:left="154" w:right="1131"/>
        <w:jc w:val="both"/>
      </w:pPr>
      <w:r>
        <w:rPr>
          <w:spacing w:val="-1"/>
        </w:rPr>
        <w:t>权益工具，是作为现金或其他金融资产的替代品，还是为了使该工具持有方享有在发行方扣除所有负债后</w:t>
      </w:r>
      <w:r>
        <w:rPr>
          <w:spacing w:val="-81"/>
        </w:rPr>
        <w:t> </w:t>
      </w:r>
      <w:r>
        <w:rPr>
          <w:spacing w:val="-81"/>
        </w:rPr>
      </w:r>
      <w:r>
        <w:rPr>
          <w:spacing w:val="-1"/>
        </w:rPr>
        <w:t>的资产中的剩余权益。如果是前者，该工具是本集团的金融负债；如果是后者，该工具是本集团的权益工</w:t>
      </w:r>
      <w:r>
        <w:rPr>
          <w:spacing w:val="-86"/>
        </w:rPr>
        <w:t> </w:t>
      </w:r>
      <w:r>
        <w:rPr>
          <w:spacing w:val="-86"/>
        </w:rPr>
      </w:r>
      <w:r>
        <w:rPr/>
        <w:t>具。</w:t>
      </w:r>
    </w:p>
    <w:p>
      <w:pPr>
        <w:pStyle w:val="BodyText"/>
        <w:spacing w:line="508" w:lineRule="exact" w:before="23"/>
        <w:ind w:left="574" w:right="1116"/>
        <w:jc w:val="left"/>
      </w:pPr>
      <w:r>
        <w:rPr/>
        <w:t>（</w:t>
      </w:r>
      <w:r>
        <w:rPr>
          <w:rFonts w:ascii="Times New Roman" w:hAnsi="Times New Roman" w:cs="Times New Roman" w:eastAsia="Times New Roman" w:hint="default"/>
        </w:rPr>
        <w:t>4</w:t>
      </w:r>
      <w:r>
        <w:rPr/>
        <w:t>）衍生金融工具及嵌入衍生工具 </w:t>
      </w:r>
      <w:r>
        <w:rPr>
          <w:spacing w:val="-1"/>
        </w:rPr>
        <w:t>本集团衍生金融工具包括远期外汇合约、货币汇率互换合同、利率互换合同及外汇期权合同等。初始</w:t>
      </w:r>
    </w:p>
    <w:p>
      <w:pPr>
        <w:pStyle w:val="BodyText"/>
        <w:spacing w:line="297" w:lineRule="auto"/>
        <w:ind w:left="154" w:right="1130"/>
        <w:jc w:val="both"/>
      </w:pPr>
      <w:r>
        <w:rPr>
          <w:spacing w:val="-1"/>
        </w:rPr>
        <w:t>以衍生交易合同签订当日的公允价值进行计量，并以其公允价值进行后续计量。公允价值为正数的衍生金</w:t>
      </w:r>
      <w:r>
        <w:rPr>
          <w:spacing w:val="-81"/>
        </w:rPr>
        <w:t> </w:t>
      </w:r>
      <w:r>
        <w:rPr>
          <w:spacing w:val="-81"/>
        </w:rPr>
      </w:r>
      <w:r>
        <w:rPr>
          <w:spacing w:val="-1"/>
        </w:rPr>
        <w:t>融工具确认为一项资产，公允价值为负数的确认为一项负债。因公允价值变动而产生的任何不符合套期会</w:t>
      </w:r>
      <w:r>
        <w:rPr>
          <w:spacing w:val="-80"/>
        </w:rPr>
        <w:t> </w:t>
      </w:r>
      <w:r>
        <w:rPr>
          <w:spacing w:val="-80"/>
        </w:rPr>
      </w:r>
      <w:r>
        <w:rPr/>
        <w:t>计规定的利得或损失，直接计入当期损益。</w:t>
      </w:r>
    </w:p>
    <w:p>
      <w:pPr>
        <w:spacing w:line="240" w:lineRule="auto" w:before="0"/>
        <w:rPr>
          <w:rFonts w:ascii="宋体" w:hAnsi="宋体" w:cs="宋体" w:eastAsia="宋体" w:hint="default"/>
          <w:sz w:val="14"/>
          <w:szCs w:val="14"/>
        </w:rPr>
      </w:pPr>
    </w:p>
    <w:p>
      <w:pPr>
        <w:pStyle w:val="BodyText"/>
        <w:spacing w:line="297" w:lineRule="auto"/>
        <w:ind w:left="154" w:right="1110" w:firstLine="420"/>
        <w:jc w:val="both"/>
      </w:pPr>
      <w:r>
        <w:rPr>
          <w:spacing w:val="-1"/>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spacing w:line="240" w:lineRule="auto" w:before="0"/>
        <w:rPr>
          <w:rFonts w:ascii="宋体" w:hAnsi="宋体" w:cs="宋体" w:eastAsia="宋体" w:hint="default"/>
          <w:sz w:val="14"/>
          <w:szCs w:val="14"/>
        </w:rPr>
      </w:pPr>
    </w:p>
    <w:p>
      <w:pPr>
        <w:pStyle w:val="BodyText"/>
        <w:spacing w:line="420" w:lineRule="auto"/>
        <w:ind w:left="574" w:right="6342"/>
        <w:jc w:val="left"/>
      </w:pPr>
      <w:r>
        <w:rPr/>
        <w:t>（</w:t>
      </w:r>
      <w:r>
        <w:rPr>
          <w:rFonts w:ascii="Times New Roman" w:hAnsi="Times New Roman" w:cs="Times New Roman" w:eastAsia="Times New Roman" w:hint="default"/>
        </w:rPr>
        <w:t>5</w:t>
      </w:r>
      <w:r>
        <w:rPr/>
        <w:t>）金融工具的公允价值 金融资产和金融负债的公允价值确定方法：</w:t>
      </w:r>
    </w:p>
    <w:p>
      <w:pPr>
        <w:pStyle w:val="BodyText"/>
        <w:spacing w:line="297" w:lineRule="auto" w:before="75"/>
        <w:ind w:left="154" w:right="1132" w:firstLine="420"/>
        <w:jc w:val="both"/>
      </w:pPr>
      <w:r>
        <w:rPr>
          <w:spacing w:val="-1"/>
        </w:rPr>
        <w:t>公允价值是指市场参与者在计量日发生的有序交易中，出售一项资产所能收到或者转移一项负债所需</w:t>
      </w:r>
      <w:r>
        <w:rPr/>
        <w:t> 支付的价格。</w:t>
      </w:r>
    </w:p>
    <w:p>
      <w:pPr>
        <w:spacing w:line="240" w:lineRule="auto" w:before="1"/>
        <w:rPr>
          <w:rFonts w:ascii="宋体" w:hAnsi="宋体" w:cs="宋体" w:eastAsia="宋体" w:hint="default"/>
          <w:sz w:val="14"/>
          <w:szCs w:val="14"/>
        </w:rPr>
      </w:pPr>
    </w:p>
    <w:p>
      <w:pPr>
        <w:pStyle w:val="BodyText"/>
        <w:spacing w:line="297" w:lineRule="auto"/>
        <w:ind w:left="154" w:right="1130" w:firstLine="420"/>
        <w:jc w:val="both"/>
      </w:pPr>
      <w:r>
        <w:rPr>
          <w:spacing w:val="-1"/>
        </w:rPr>
        <w:t>本集团以公允价值计量相关资产或负债，假定出售资产或者转移负债的有序交易在相关资产或负债的</w:t>
      </w:r>
      <w:r>
        <w:rPr/>
        <w:t> </w:t>
      </w:r>
      <w:r>
        <w:rPr>
          <w:spacing w:val="-5"/>
        </w:rPr>
        <w:t>主要市场进行；不存在主要市场的，本集团假定该交易在相关资产或负债的最有利市场进行。主要市场（或</w:t>
      </w:r>
      <w:r>
        <w:rPr>
          <w:spacing w:val="-102"/>
        </w:rPr>
        <w:t> </w:t>
      </w:r>
      <w:r>
        <w:rPr>
          <w:spacing w:val="-102"/>
        </w:rPr>
      </w:r>
      <w:r>
        <w:rPr>
          <w:spacing w:val="-1"/>
        </w:rPr>
        <w:t>最有利市场）是本集团在计量日能够进入的交易市场。本集团采用市场参与者在对该资产或负债定价时为</w:t>
      </w:r>
      <w:r>
        <w:rPr>
          <w:spacing w:val="-81"/>
        </w:rPr>
        <w:t> </w:t>
      </w:r>
      <w:r>
        <w:rPr>
          <w:spacing w:val="-81"/>
        </w:rPr>
      </w:r>
      <w:r>
        <w:rPr/>
        <w:t>实现其经济利益最大化所使用的假设。</w:t>
      </w:r>
    </w:p>
    <w:p>
      <w:pPr>
        <w:spacing w:line="240" w:lineRule="auto" w:before="0"/>
        <w:rPr>
          <w:rFonts w:ascii="宋体" w:hAnsi="宋体" w:cs="宋体" w:eastAsia="宋体" w:hint="default"/>
          <w:sz w:val="14"/>
          <w:szCs w:val="14"/>
        </w:rPr>
      </w:pPr>
    </w:p>
    <w:p>
      <w:pPr>
        <w:pStyle w:val="BodyText"/>
        <w:spacing w:line="297" w:lineRule="auto"/>
        <w:ind w:left="154" w:right="1130" w:firstLine="420"/>
        <w:jc w:val="both"/>
      </w:pPr>
      <w:r>
        <w:rPr>
          <w:spacing w:val="-1"/>
        </w:rPr>
        <w:t>存在活跃市场的金融资产或金融负债，本集团采用活跃市场中的报价确定其公允价值。金融工具不存</w:t>
      </w:r>
      <w:r>
        <w:rPr/>
        <w:t> 在活跃市场的，本集团采用估值技术确定其公允价值。</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以公允价值计量非金融资产的，考虑市场参与者将该资产用于最佳用途产生经济利益的能力，或者将</w:t>
      </w:r>
      <w:r>
        <w:rPr/>
        <w:t> 该资产出售给能够用于最佳用途的其他市场参与者产生经济利益的能力。</w:t>
      </w:r>
    </w:p>
    <w:p>
      <w:pPr>
        <w:spacing w:line="240" w:lineRule="auto" w:before="12"/>
        <w:rPr>
          <w:rFonts w:ascii="宋体" w:hAnsi="宋体" w:cs="宋体" w:eastAsia="宋体" w:hint="default"/>
          <w:sz w:val="13"/>
          <w:szCs w:val="13"/>
        </w:rPr>
      </w:pPr>
    </w:p>
    <w:p>
      <w:pPr>
        <w:pStyle w:val="BodyText"/>
        <w:spacing w:line="297" w:lineRule="auto"/>
        <w:ind w:left="154" w:right="1132" w:firstLine="420"/>
        <w:jc w:val="both"/>
      </w:pPr>
      <w:r>
        <w:rPr>
          <w:spacing w:val="-1"/>
        </w:rPr>
        <w:t>本集团采用在当前情况下适用并且有足够可利用数据和其他信息支持的估值技术，优先使用相关可观</w:t>
      </w:r>
      <w:r>
        <w:rPr/>
        <w:t> 察输入值，只有在可观察输入值无法取得或取得不切实可行的情况下，才使用不可观察输入值。</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在财务报表中以公允价值计量或披露的资产和负债，根据对公允价值计量整体而言具有重要意义的最</w:t>
      </w:r>
      <w:r>
        <w:rPr/>
        <w:t> </w:t>
      </w:r>
      <w:r>
        <w:rPr>
          <w:spacing w:val="-1"/>
        </w:rPr>
        <w:t>低层次输入值，确定所属的公允价值层次：第一层次输入值，是在计量日能够取得的相同资产或负债在活</w:t>
      </w:r>
      <w:r>
        <w:rPr>
          <w:spacing w:val="-83"/>
        </w:rPr>
        <w:t> </w:t>
      </w:r>
      <w:r>
        <w:rPr>
          <w:spacing w:val="-83"/>
        </w:rPr>
      </w:r>
      <w:r>
        <w:rPr>
          <w:spacing w:val="-1"/>
        </w:rPr>
        <w:t>跃市场上未经调整的报价；第二层次输入值，是除第一层次输入值外相关资产或负债直接或间接可观察的</w:t>
      </w:r>
      <w:r>
        <w:rPr>
          <w:spacing w:val="-81"/>
        </w:rPr>
        <w:t> </w:t>
      </w:r>
      <w:r>
        <w:rPr>
          <w:spacing w:val="-81"/>
        </w:rPr>
      </w:r>
      <w:r>
        <w:rPr/>
        <w:t>输入值；第三层次输入值，是相关资产或负债的不可观察输入值。</w:t>
      </w:r>
    </w:p>
    <w:p>
      <w:pPr>
        <w:spacing w:line="240" w:lineRule="auto" w:before="13"/>
        <w:rPr>
          <w:rFonts w:ascii="宋体" w:hAnsi="宋体" w:cs="宋体" w:eastAsia="宋体" w:hint="default"/>
          <w:sz w:val="13"/>
          <w:szCs w:val="13"/>
        </w:rPr>
      </w:pPr>
    </w:p>
    <w:p>
      <w:pPr>
        <w:pStyle w:val="BodyText"/>
        <w:spacing w:line="297" w:lineRule="auto"/>
        <w:ind w:left="154" w:right="1110" w:firstLine="420"/>
        <w:jc w:val="both"/>
      </w:pPr>
      <w:r>
        <w:rPr/>
        <w:t>每个资产负债表日，本集团对在财务报表中确认的持续以公允价值计量的资产和负债进行重新评估， 以确定是否在公允价值计量层次之间发生转换</w:t>
      </w:r>
    </w:p>
    <w:p>
      <w:pPr>
        <w:spacing w:line="240" w:lineRule="auto" w:before="0"/>
        <w:rPr>
          <w:rFonts w:ascii="宋体" w:hAnsi="宋体" w:cs="宋体" w:eastAsia="宋体" w:hint="default"/>
          <w:sz w:val="14"/>
          <w:szCs w:val="14"/>
        </w:rPr>
      </w:pPr>
    </w:p>
    <w:p>
      <w:pPr>
        <w:pStyle w:val="BodyText"/>
        <w:spacing w:line="240" w:lineRule="auto"/>
        <w:ind w:left="574" w:right="1116"/>
        <w:jc w:val="left"/>
      </w:pPr>
      <w:r>
        <w:rPr/>
        <w:t>（</w:t>
      </w:r>
      <w:r>
        <w:rPr>
          <w:rFonts w:ascii="Times New Roman" w:hAnsi="Times New Roman" w:cs="Times New Roman" w:eastAsia="Times New Roman" w:hint="default"/>
        </w:rPr>
        <w:t>6</w:t>
      </w:r>
      <w:r>
        <w:rPr/>
        <w:t>）金融资产减值</w:t>
      </w:r>
    </w:p>
    <w:p>
      <w:pPr>
        <w:spacing w:after="0" w:line="240" w:lineRule="auto"/>
        <w:jc w:val="left"/>
        <w:sectPr>
          <w:footerReference w:type="default" r:id="rId18"/>
          <w:pgSz w:w="11910" w:h="16840"/>
          <w:pgMar w:footer="1007" w:header="801" w:top="1100" w:bottom="1200" w:left="980" w:right="0"/>
        </w:sectPr>
      </w:pPr>
    </w:p>
    <w:p>
      <w:pPr>
        <w:spacing w:line="240" w:lineRule="auto" w:before="1"/>
        <w:rPr>
          <w:rFonts w:ascii="宋体" w:hAnsi="宋体" w:cs="宋体" w:eastAsia="宋体" w:hint="default"/>
          <w:sz w:val="19"/>
          <w:szCs w:val="19"/>
        </w:rPr>
      </w:pPr>
    </w:p>
    <w:p>
      <w:pPr>
        <w:pStyle w:val="BodyText"/>
        <w:spacing w:line="297" w:lineRule="auto" w:before="35"/>
        <w:ind w:left="154" w:right="1131" w:firstLine="420"/>
        <w:jc w:val="both"/>
      </w:pPr>
      <w:r>
        <w:rPr>
          <w:spacing w:val="-1"/>
        </w:rPr>
        <w:t>除了以公允价值计量且其变动计入当期损益的金融资产外，本集团于资产负债表日对其他金融资产的</w:t>
      </w:r>
      <w:r>
        <w:rPr/>
        <w:t> </w:t>
      </w:r>
      <w:r>
        <w:rPr>
          <w:spacing w:val="-1"/>
        </w:rPr>
        <w:t>账面价值进行检查，有客观证据表明该金融资产发生减值的，计提减值准备。表明金融资产发生减值的客</w:t>
      </w:r>
      <w:r>
        <w:rPr>
          <w:spacing w:val="-83"/>
        </w:rPr>
        <w:t> </w:t>
      </w:r>
      <w:r>
        <w:rPr>
          <w:spacing w:val="-83"/>
        </w:rPr>
      </w:r>
      <w:r>
        <w:rPr>
          <w:spacing w:val="-1"/>
        </w:rPr>
        <w:t>观证据，是指金融资产初始确认后实际发生的、对该金融资产的预计未来现金流量有影响，且企业能够对</w:t>
      </w:r>
      <w:r>
        <w:rPr>
          <w:spacing w:val="-83"/>
        </w:rPr>
        <w:t> </w:t>
      </w:r>
      <w:r>
        <w:rPr>
          <w:spacing w:val="-83"/>
        </w:rPr>
      </w:r>
      <w:r>
        <w:rPr/>
        <w:t>该影响进行可靠计量的事项。</w:t>
      </w:r>
    </w:p>
    <w:p>
      <w:pPr>
        <w:spacing w:line="240" w:lineRule="auto" w:before="1"/>
        <w:rPr>
          <w:rFonts w:ascii="宋体" w:hAnsi="宋体" w:cs="宋体" w:eastAsia="宋体" w:hint="default"/>
          <w:sz w:val="14"/>
          <w:szCs w:val="14"/>
        </w:rPr>
      </w:pPr>
    </w:p>
    <w:p>
      <w:pPr>
        <w:pStyle w:val="BodyText"/>
        <w:spacing w:line="240" w:lineRule="auto"/>
        <w:ind w:left="574" w:right="1116"/>
        <w:jc w:val="left"/>
      </w:pPr>
      <w:r>
        <w:rPr/>
        <w:t>金融资产发生减值的客观证据，包括下列可观察到的情形：</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①发行方或债务人发生严重财务困难；</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②债务人违反了合同条款，如偿付利息或本金发生违约或逾期等；</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③本集团出于经济或法律等方面因素的考虑，对发生财务困难的债务人作出让步；</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④债务人很可能倒闭或者进行其他财务重组；</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⑤因发行方发生重大财务困难，导致金融资产无法在活跃市场继续交易；</w:t>
      </w:r>
    </w:p>
    <w:p>
      <w:pPr>
        <w:spacing w:line="240" w:lineRule="auto" w:before="12"/>
        <w:rPr>
          <w:rFonts w:ascii="宋体" w:hAnsi="宋体" w:cs="宋体" w:eastAsia="宋体" w:hint="default"/>
          <w:sz w:val="17"/>
          <w:szCs w:val="17"/>
        </w:rPr>
      </w:pPr>
    </w:p>
    <w:p>
      <w:pPr>
        <w:pStyle w:val="BodyText"/>
        <w:spacing w:line="297" w:lineRule="auto"/>
        <w:ind w:left="154" w:right="1131" w:firstLine="420"/>
        <w:jc w:val="both"/>
      </w:pPr>
      <w:r>
        <w:rPr>
          <w:spacing w:val="-1"/>
        </w:rPr>
        <w:t>⑥无法辨认一组金融资产中的某项资产的现金流量是否已经减少，但根据公开的数据对其进行总体评</w:t>
      </w:r>
      <w:r>
        <w:rPr/>
        <w:t> 价后发现，该组金融资产自初始确认以来的预计未来现金流量确已减少且可计量，包括：</w:t>
      </w:r>
    </w:p>
    <w:p>
      <w:pPr>
        <w:spacing w:line="240" w:lineRule="auto" w:before="12"/>
        <w:rPr>
          <w:rFonts w:ascii="宋体" w:hAnsi="宋体" w:cs="宋体" w:eastAsia="宋体" w:hint="default"/>
          <w:sz w:val="13"/>
          <w:szCs w:val="13"/>
        </w:rPr>
      </w:pPr>
    </w:p>
    <w:p>
      <w:pPr>
        <w:pStyle w:val="BodyText"/>
        <w:spacing w:line="240" w:lineRule="auto"/>
        <w:ind w:left="994" w:right="1116"/>
        <w:jc w:val="left"/>
      </w:pPr>
      <w:r>
        <w:rPr>
          <w:rFonts w:ascii="Times New Roman" w:hAnsi="Times New Roman" w:cs="Times New Roman" w:eastAsia="Times New Roman" w:hint="default"/>
        </w:rPr>
        <w:t>-</w:t>
      </w:r>
      <w:r>
        <w:rPr/>
        <w:t>该组金融资产的债务人支付能力逐步恶化；</w:t>
      </w:r>
    </w:p>
    <w:p>
      <w:pPr>
        <w:spacing w:line="240" w:lineRule="auto" w:before="9"/>
        <w:rPr>
          <w:rFonts w:ascii="宋体" w:hAnsi="宋体" w:cs="宋体" w:eastAsia="宋体" w:hint="default"/>
          <w:sz w:val="16"/>
          <w:szCs w:val="16"/>
        </w:rPr>
      </w:pPr>
    </w:p>
    <w:p>
      <w:pPr>
        <w:pStyle w:val="BodyText"/>
        <w:spacing w:line="240" w:lineRule="auto"/>
        <w:ind w:left="994" w:right="1116"/>
        <w:jc w:val="left"/>
      </w:pPr>
      <w:r>
        <w:rPr>
          <w:rFonts w:ascii="Times New Roman" w:hAnsi="Times New Roman" w:cs="Times New Roman" w:eastAsia="Times New Roman" w:hint="default"/>
        </w:rPr>
        <w:t>-</w:t>
      </w:r>
      <w:r>
        <w:rPr/>
        <w:t>债务人所在国家或地区经济出现了可能导致该组金融资产无法支付的状况；</w:t>
      </w:r>
    </w:p>
    <w:p>
      <w:pPr>
        <w:spacing w:line="240" w:lineRule="auto" w:before="9"/>
        <w:rPr>
          <w:rFonts w:ascii="宋体" w:hAnsi="宋体" w:cs="宋体" w:eastAsia="宋体" w:hint="default"/>
          <w:sz w:val="16"/>
          <w:szCs w:val="16"/>
        </w:rPr>
      </w:pPr>
    </w:p>
    <w:p>
      <w:pPr>
        <w:pStyle w:val="BodyText"/>
        <w:spacing w:line="297" w:lineRule="auto"/>
        <w:ind w:left="154" w:right="1131" w:firstLine="420"/>
        <w:jc w:val="both"/>
      </w:pPr>
      <w:r>
        <w:rPr>
          <w:spacing w:val="-1"/>
        </w:rPr>
        <w:t>⑦债务人经营所处的技术、市场、经济或法律环境等发生重大不利变化，使权益工具投资人可能无法</w:t>
      </w:r>
      <w:r>
        <w:rPr/>
        <w:t> 收回投资成本；</w:t>
      </w:r>
    </w:p>
    <w:p>
      <w:pPr>
        <w:spacing w:line="240" w:lineRule="auto" w:before="0"/>
        <w:rPr>
          <w:rFonts w:ascii="宋体" w:hAnsi="宋体" w:cs="宋体" w:eastAsia="宋体" w:hint="default"/>
          <w:sz w:val="14"/>
          <w:szCs w:val="14"/>
        </w:rPr>
      </w:pPr>
    </w:p>
    <w:p>
      <w:pPr>
        <w:pStyle w:val="BodyText"/>
        <w:spacing w:line="285" w:lineRule="auto"/>
        <w:ind w:left="154" w:right="1130" w:firstLine="420"/>
        <w:jc w:val="both"/>
      </w:pPr>
      <w:r>
        <w:rPr>
          <w:spacing w:val="-1"/>
        </w:rPr>
        <w:t>⑧权益工具投资的公允价值发生严重或非暂时性下跌，如权益工具投资于资产负债表日的公允价值低</w:t>
      </w:r>
      <w:r>
        <w:rPr/>
        <w:t> 于其初始投资成本超过</w:t>
      </w:r>
      <w:r>
        <w:rPr>
          <w:spacing w:val="-55"/>
        </w:rPr>
        <w:t> </w:t>
      </w:r>
      <w:r>
        <w:rPr>
          <w:rFonts w:ascii="Times New Roman" w:hAnsi="Times New Roman" w:cs="Times New Roman" w:eastAsia="Times New Roman" w:hint="default"/>
        </w:rPr>
        <w:t>50%</w:t>
      </w:r>
      <w:r>
        <w:rPr/>
        <w:t>（含</w:t>
      </w:r>
      <w:r>
        <w:rPr>
          <w:spacing w:val="-57"/>
        </w:rPr>
        <w:t> </w:t>
      </w:r>
      <w:r>
        <w:rPr>
          <w:rFonts w:ascii="Times New Roman" w:hAnsi="Times New Roman" w:cs="Times New Roman" w:eastAsia="Times New Roman" w:hint="default"/>
        </w:rPr>
        <w:t>50%</w:t>
      </w:r>
      <w:r>
        <w:rPr/>
        <w:t>）或低于其初始投资成本持续时间超过</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spacing w:val="-3"/>
        </w:rPr>
        <w:t>个月（含</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spacing w:val="-3"/>
        </w:rPr>
        <w:t>个月）。低于</w:t>
      </w:r>
      <w:r>
        <w:rPr/>
        <w:t> 其初始投资成本持续时间超过</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9"/>
        </w:rPr>
        <w:t>个月（含</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4"/>
        </w:rPr>
        <w:t>个月）是指，权益工具投资公允价值月度均值连续</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个月均 低于其初始投资成本。</w:t>
      </w:r>
    </w:p>
    <w:p>
      <w:pPr>
        <w:spacing w:line="240" w:lineRule="auto" w:before="11"/>
        <w:rPr>
          <w:rFonts w:ascii="宋体" w:hAnsi="宋体" w:cs="宋体" w:eastAsia="宋体" w:hint="default"/>
          <w:sz w:val="14"/>
          <w:szCs w:val="14"/>
        </w:rPr>
      </w:pPr>
    </w:p>
    <w:p>
      <w:pPr>
        <w:pStyle w:val="BodyText"/>
        <w:spacing w:line="444" w:lineRule="auto"/>
        <w:ind w:left="574" w:right="6342"/>
        <w:jc w:val="left"/>
      </w:pPr>
      <w:r>
        <w:rPr/>
        <w:t>⑨其他表明金融资产发生减值的客观证据。 以摊余成本计量的金融资产</w:t>
      </w:r>
    </w:p>
    <w:p>
      <w:pPr>
        <w:pStyle w:val="BodyText"/>
        <w:spacing w:line="297" w:lineRule="auto" w:before="55"/>
        <w:ind w:left="154" w:right="1131" w:firstLine="420"/>
        <w:jc w:val="both"/>
      </w:pPr>
      <w:r>
        <w:rPr>
          <w:spacing w:val="-1"/>
        </w:rPr>
        <w:t>如果有客观证据表明该金融资产发生减值，则将该金融资产的账面价值减记至预计未来现金流量（不</w:t>
      </w:r>
      <w:r>
        <w:rPr/>
        <w:t> </w:t>
      </w:r>
      <w:r>
        <w:rPr>
          <w:spacing w:val="-1"/>
        </w:rPr>
        <w:t>包括尚未发生的未来信用损失）现值，减记金额计入当期损益。预计未来现金流量现值，按照该金融资产</w:t>
      </w:r>
      <w:r>
        <w:rPr>
          <w:spacing w:val="-86"/>
        </w:rPr>
        <w:t> </w:t>
      </w:r>
      <w:r>
        <w:rPr>
          <w:spacing w:val="-86"/>
        </w:rPr>
      </w:r>
      <w:r>
        <w:rPr/>
        <w:t>原实际利率折现确定，并考虑相关担保物的价值。</w:t>
      </w:r>
    </w:p>
    <w:p>
      <w:pPr>
        <w:spacing w:line="240" w:lineRule="auto" w:before="12"/>
        <w:rPr>
          <w:rFonts w:ascii="宋体" w:hAnsi="宋体" w:cs="宋体" w:eastAsia="宋体" w:hint="default"/>
          <w:sz w:val="13"/>
          <w:szCs w:val="13"/>
        </w:rPr>
      </w:pPr>
    </w:p>
    <w:p>
      <w:pPr>
        <w:pStyle w:val="BodyText"/>
        <w:spacing w:line="297" w:lineRule="auto"/>
        <w:ind w:left="154" w:right="1130" w:firstLine="420"/>
        <w:jc w:val="both"/>
      </w:pPr>
      <w:r>
        <w:rPr>
          <w:spacing w:val="-1"/>
        </w:rPr>
        <w:t>对单项金额重大的金融资产单独进行减值测试，如有客观证据表明其已发生减值，确认减值损失，计</w:t>
      </w:r>
      <w:r>
        <w:rPr/>
        <w:t> </w:t>
      </w:r>
      <w:r>
        <w:rPr>
          <w:spacing w:val="-1"/>
        </w:rPr>
        <w:t>入当期损益。对单项金额不重大的金融资产，单独进行减值测试或包括在具有类似信用风险特征的金融资</w:t>
      </w:r>
      <w:r>
        <w:rPr>
          <w:spacing w:val="-81"/>
        </w:rPr>
        <w:t> </w:t>
      </w:r>
      <w:r>
        <w:rPr>
          <w:spacing w:val="-81"/>
        </w:rPr>
      </w:r>
      <w:r>
        <w:rPr>
          <w:spacing w:val="-1"/>
        </w:rPr>
        <w:t>产组合中进行减值测试。单独测试未发生减值的金融资产（包括单项金额重大和不重大的金融资产），包</w:t>
      </w:r>
      <w:r>
        <w:rPr>
          <w:spacing w:val="-85"/>
        </w:rPr>
        <w:t> </w:t>
      </w:r>
      <w:r>
        <w:rPr>
          <w:spacing w:val="-85"/>
        </w:rPr>
      </w:r>
      <w:r>
        <w:rPr>
          <w:spacing w:val="-1"/>
        </w:rPr>
        <w:t>括在具有类似信用风险特征的金融资产组合中再进行减值测试。已单项确认减值损失的金融资产，不包括</w:t>
      </w:r>
      <w:r>
        <w:rPr>
          <w:spacing w:val="-81"/>
        </w:rPr>
        <w:t> </w:t>
      </w:r>
      <w:r>
        <w:rPr>
          <w:spacing w:val="-81"/>
        </w:rPr>
      </w:r>
      <w:r>
        <w:rPr/>
        <w:t>在具有类似信用风险特征的金融资产组合中进行减值测试。</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本集团对以摊余成本计量的金融资产确认减值损失后，如有客观证据表明该金融资产价值已恢复，且</w:t>
      </w:r>
      <w:r>
        <w:rPr/>
        <w:t> </w:t>
      </w:r>
      <w:r>
        <w:rPr>
          <w:spacing w:val="-1"/>
        </w:rPr>
        <w:t>客观上与确认该损失后发生的事项有关，原确认的减值损失予以转回，计入当期损益。但是，该转回后的</w:t>
      </w:r>
      <w:r>
        <w:rPr>
          <w:spacing w:val="-85"/>
        </w:rPr>
        <w:t> </w:t>
      </w:r>
      <w:r>
        <w:rPr>
          <w:spacing w:val="-85"/>
        </w:rPr>
      </w:r>
      <w:r>
        <w:rPr/>
        <w:t>账面价值不超过假定不计提减值准备情况下该金融资产在转回日的摊余成本。</w:t>
      </w:r>
    </w:p>
    <w:p>
      <w:pPr>
        <w:spacing w:after="0" w:line="297" w:lineRule="auto"/>
        <w:jc w:val="both"/>
        <w:sectPr>
          <w:footerReference w:type="default" r:id="rId19"/>
          <w:pgSz w:w="11910" w:h="16840"/>
          <w:pgMar w:footer="1007" w:header="801" w:top="1100" w:bottom="1200" w:left="980" w:right="0"/>
          <w:pgNumType w:start="101"/>
        </w:sectPr>
      </w:pPr>
    </w:p>
    <w:p>
      <w:pPr>
        <w:spacing w:line="240" w:lineRule="auto" w:before="1"/>
        <w:rPr>
          <w:rFonts w:ascii="宋体" w:hAnsi="宋体" w:cs="宋体" w:eastAsia="宋体" w:hint="default"/>
          <w:sz w:val="19"/>
          <w:szCs w:val="19"/>
        </w:rPr>
      </w:pPr>
    </w:p>
    <w:p>
      <w:pPr>
        <w:pStyle w:val="BodyText"/>
        <w:spacing w:line="240" w:lineRule="auto" w:before="35"/>
        <w:ind w:right="1016"/>
        <w:jc w:val="left"/>
      </w:pPr>
      <w:r>
        <w:rPr/>
        <w:t>可供出售金融资产</w:t>
      </w:r>
    </w:p>
    <w:p>
      <w:pPr>
        <w:spacing w:line="240" w:lineRule="auto" w:before="12"/>
        <w:rPr>
          <w:rFonts w:ascii="宋体" w:hAnsi="宋体" w:cs="宋体" w:eastAsia="宋体" w:hint="default"/>
          <w:sz w:val="17"/>
          <w:szCs w:val="17"/>
        </w:rPr>
      </w:pPr>
    </w:p>
    <w:p>
      <w:pPr>
        <w:pStyle w:val="BodyText"/>
        <w:spacing w:line="297" w:lineRule="auto"/>
        <w:ind w:left="214" w:right="1132" w:firstLine="420"/>
        <w:jc w:val="both"/>
      </w:pPr>
      <w:r>
        <w:rPr>
          <w:spacing w:val="-1"/>
        </w:rPr>
        <w:t>如果有客观证据表明该金融资产发生减值，原直接计入其他综合收益的因公允价值下降形成的累计损</w:t>
      </w:r>
      <w:r>
        <w:rPr/>
        <w:t> </w:t>
      </w:r>
      <w:r>
        <w:rPr>
          <w:spacing w:val="-1"/>
        </w:rPr>
        <w:t>失，予以转出，计入当期损益。该转出的累计损失，为可供出售金融资产的初始取得成本扣除已收回本金</w:t>
      </w:r>
      <w:r>
        <w:rPr>
          <w:spacing w:val="-86"/>
        </w:rPr>
        <w:t> </w:t>
      </w:r>
      <w:r>
        <w:rPr>
          <w:spacing w:val="-86"/>
        </w:rPr>
      </w:r>
      <w:r>
        <w:rPr/>
        <w:t>和已摊销金额、当前公允价值和原已计入损益的减值损失后的余额。</w:t>
      </w:r>
    </w:p>
    <w:p>
      <w:pPr>
        <w:spacing w:line="240" w:lineRule="auto" w:before="0"/>
        <w:rPr>
          <w:rFonts w:ascii="宋体" w:hAnsi="宋体" w:cs="宋体" w:eastAsia="宋体" w:hint="default"/>
          <w:sz w:val="14"/>
          <w:szCs w:val="14"/>
        </w:rPr>
      </w:pPr>
    </w:p>
    <w:p>
      <w:pPr>
        <w:pStyle w:val="BodyText"/>
        <w:spacing w:line="297" w:lineRule="auto"/>
        <w:ind w:left="214" w:right="1130" w:firstLine="420"/>
        <w:jc w:val="both"/>
      </w:pPr>
      <w:r>
        <w:rPr>
          <w:spacing w:val="-1"/>
        </w:rPr>
        <w:t>对于已确认减值损失的可供出售债务工具，在随后的会计期间公允价值已上升且客观上与确认原减值</w:t>
      </w:r>
      <w:r>
        <w:rPr/>
        <w:t> </w:t>
      </w:r>
      <w:r>
        <w:rPr>
          <w:spacing w:val="-1"/>
        </w:rPr>
        <w:t>损失确认后发生的事项有关的，原确认的减值损失予以转回，计入当期损益。可供出售权益工具投资发生</w:t>
      </w:r>
      <w:r>
        <w:rPr>
          <w:spacing w:val="-82"/>
        </w:rPr>
        <w:t> </w:t>
      </w:r>
      <w:r>
        <w:rPr>
          <w:spacing w:val="-82"/>
        </w:rPr>
      </w:r>
      <w:r>
        <w:rPr/>
        <w:t>的减值损失，不通过损益转回。</w:t>
      </w:r>
    </w:p>
    <w:p>
      <w:pPr>
        <w:pStyle w:val="BodyText"/>
        <w:spacing w:line="508" w:lineRule="exact" w:before="22"/>
        <w:ind w:right="1016"/>
        <w:jc w:val="left"/>
      </w:pPr>
      <w:r>
        <w:rPr/>
        <w:t>以成本计量的金融资产 </w:t>
      </w:r>
      <w:r>
        <w:rPr>
          <w:spacing w:val="-1"/>
        </w:rPr>
        <w:t>在活跃市场中没有报价且其公允价值不能可靠计量的权益工具投资，或与该权益工具挂钩并须通过交</w:t>
      </w:r>
    </w:p>
    <w:p>
      <w:pPr>
        <w:pStyle w:val="BodyText"/>
        <w:spacing w:line="297" w:lineRule="auto"/>
        <w:ind w:left="214" w:right="1131"/>
        <w:jc w:val="both"/>
      </w:pPr>
      <w:r>
        <w:rPr>
          <w:spacing w:val="-1"/>
        </w:rPr>
        <w:t>付该权益工具结算的衍生金融资产发生减值时，将该金融资产的账面价值，与按照类似金融资产当时市场</w:t>
      </w:r>
      <w:r>
        <w:rPr>
          <w:spacing w:val="-81"/>
        </w:rPr>
        <w:t> </w:t>
      </w:r>
      <w:r>
        <w:rPr>
          <w:spacing w:val="-81"/>
        </w:rPr>
      </w:r>
      <w:r>
        <w:rPr>
          <w:spacing w:val="-1"/>
        </w:rPr>
        <w:t>收益率对未来现金流量折现确定的现值之间的差额，确认为减值损失，计入当期损益。发生的减值损失一</w:t>
      </w:r>
      <w:r>
        <w:rPr>
          <w:spacing w:val="-83"/>
        </w:rPr>
        <w:t> </w:t>
      </w:r>
      <w:r>
        <w:rPr>
          <w:spacing w:val="-83"/>
        </w:rPr>
      </w:r>
      <w:r>
        <w:rPr/>
        <w:t>经确认，不得转回。</w:t>
      </w:r>
    </w:p>
    <w:p>
      <w:pPr>
        <w:pStyle w:val="BodyText"/>
        <w:spacing w:line="508" w:lineRule="exact" w:before="21"/>
        <w:ind w:right="1016"/>
        <w:jc w:val="left"/>
      </w:pPr>
      <w:r>
        <w:rPr/>
        <w:t>（</w:t>
      </w:r>
      <w:r>
        <w:rPr>
          <w:rFonts w:ascii="Times New Roman" w:hAnsi="Times New Roman" w:cs="Times New Roman" w:eastAsia="Times New Roman" w:hint="default"/>
        </w:rPr>
        <w:t>7</w:t>
      </w:r>
      <w:r>
        <w:rPr/>
        <w:t>）金融资产转移 金融资产转移，是指将金融资产让与或交付给该金融资产发行方以外的另一方（转入方）。 </w:t>
      </w:r>
      <w:r>
        <w:rPr>
          <w:spacing w:val="-1"/>
        </w:rPr>
        <w:t>本集团已将金融资产所有权上几乎所有的风险和报酬转移给转入方的，终止确认该金融资产；保留了</w:t>
      </w:r>
    </w:p>
    <w:p>
      <w:pPr>
        <w:pStyle w:val="BodyText"/>
        <w:spacing w:line="268" w:lineRule="exact"/>
        <w:ind w:left="214" w:right="0"/>
        <w:jc w:val="both"/>
      </w:pPr>
      <w:r>
        <w:rPr/>
        <w:t>金融资产所有权上几乎所有的风险和报酬的，不终止确认该金融资产。</w:t>
      </w:r>
    </w:p>
    <w:p>
      <w:pPr>
        <w:spacing w:line="240" w:lineRule="auto" w:before="12"/>
        <w:rPr>
          <w:rFonts w:ascii="宋体" w:hAnsi="宋体" w:cs="宋体" w:eastAsia="宋体" w:hint="default"/>
          <w:sz w:val="17"/>
          <w:szCs w:val="17"/>
        </w:rPr>
      </w:pPr>
    </w:p>
    <w:p>
      <w:pPr>
        <w:pStyle w:val="BodyText"/>
        <w:spacing w:line="297" w:lineRule="auto"/>
        <w:ind w:left="214" w:right="1131" w:firstLine="420"/>
        <w:jc w:val="both"/>
      </w:pPr>
      <w:r>
        <w:rPr>
          <w:spacing w:val="-1"/>
        </w:rPr>
        <w:t>本集团既没有转移也没有保留金融资产所有权上几乎所有的风险和报酬的，分别下列情况处理：放弃</w:t>
      </w:r>
      <w:r>
        <w:rPr/>
        <w:t> </w:t>
      </w:r>
      <w:r>
        <w:rPr>
          <w:spacing w:val="-1"/>
        </w:rPr>
        <w:t>了对该金融资产控制的，终止确认该金融资产并确认产生的资产和负债；未放弃对该金融资产控制的，按</w:t>
      </w:r>
      <w:r>
        <w:rPr>
          <w:spacing w:val="-83"/>
        </w:rPr>
        <w:t> </w:t>
      </w:r>
      <w:r>
        <w:rPr>
          <w:spacing w:val="-83"/>
        </w:rPr>
      </w:r>
      <w:r>
        <w:rPr/>
        <w:t>照其继续涉入所转移金融资产的程度确认有关金融资产，并相应确认有关负债。</w:t>
      </w:r>
    </w:p>
    <w:p>
      <w:pPr>
        <w:pStyle w:val="BodyText"/>
        <w:spacing w:line="508" w:lineRule="exact" w:before="22"/>
        <w:ind w:right="1016"/>
        <w:jc w:val="left"/>
      </w:pPr>
      <w:r>
        <w:rPr/>
        <w:t>（</w:t>
      </w:r>
      <w:r>
        <w:rPr>
          <w:rFonts w:ascii="Times New Roman" w:hAnsi="Times New Roman" w:cs="Times New Roman" w:eastAsia="Times New Roman" w:hint="default"/>
        </w:rPr>
        <w:t>8</w:t>
      </w:r>
      <w:r>
        <w:rPr/>
        <w:t>）金融资产和金融负债的抵销 </w:t>
      </w:r>
      <w:r>
        <w:rPr>
          <w:spacing w:val="-1"/>
        </w:rPr>
        <w:t>当本集团具有抵销已确认金融资产和金融负债的法定权利，且目前可执行该种法定权利，同时本集团</w:t>
      </w:r>
    </w:p>
    <w:p>
      <w:pPr>
        <w:pStyle w:val="BodyText"/>
        <w:spacing w:line="297" w:lineRule="auto"/>
        <w:ind w:left="214" w:right="1131"/>
        <w:jc w:val="both"/>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240" w:lineRule="auto" w:before="176"/>
        <w:ind w:right="1016"/>
        <w:jc w:val="left"/>
        <w:rPr>
          <w:rFonts w:ascii="微软雅黑" w:hAnsi="微软雅黑" w:cs="微软雅黑" w:eastAsia="微软雅黑" w:hint="default"/>
        </w:rPr>
      </w:pPr>
      <w:bookmarkStart w:name="11、应收票据及应收账款" w:id="182"/>
      <w:bookmarkEnd w:id="182"/>
      <w:r>
        <w:rPr/>
      </w:r>
      <w:r>
        <w:rPr>
          <w:rFonts w:ascii="Times New Roman" w:hAnsi="Times New Roman" w:cs="Times New Roman" w:eastAsia="Times New Roman" w:hint="default"/>
        </w:rPr>
        <w:t>11</w:t>
      </w:r>
      <w:r>
        <w:rPr>
          <w:rFonts w:ascii="微软雅黑" w:hAnsi="微软雅黑" w:cs="微软雅黑" w:eastAsia="微软雅黑" w:hint="default"/>
        </w:rPr>
        <w:t>、应收票据及应收账款</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单项金额重大并单独计提坏账准备的应收款项" w:id="183"/>
      <w:bookmarkEnd w:id="183"/>
      <w:r>
        <w:rPr/>
      </w:r>
      <w:r>
        <w:rPr/>
        <w:t>（</w:t>
      </w:r>
      <w:r>
        <w:rPr>
          <w:rFonts w:ascii="Times New Roman" w:hAnsi="Times New Roman" w:cs="Times New Roman" w:eastAsia="Times New Roman" w:hint="default"/>
        </w:rPr>
        <w:t>1</w:t>
      </w:r>
      <w:r>
        <w:rPr/>
        <w:t>）单项金额重大并单独计提坏账准备的应收款项</w:t>
      </w:r>
    </w:p>
    <w:p>
      <w:pPr>
        <w:spacing w:line="240" w:lineRule="auto" w:before="5"/>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76"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期末余额达到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万元）以上的应收款项为单</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项金额重大的应收款项。</w:t>
            </w:r>
          </w:p>
        </w:tc>
      </w:tr>
      <w:tr>
        <w:trPr>
          <w:trHeight w:val="712"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w:t>
            </w:r>
          </w:p>
          <w:p>
            <w:pPr>
              <w:pStyle w:val="TableParagraph"/>
              <w:spacing w:line="240" w:lineRule="auto"/>
              <w:ind w:left="103" w:right="132"/>
              <w:jc w:val="left"/>
              <w:rPr>
                <w:rFonts w:ascii="宋体" w:hAnsi="宋体" w:cs="宋体" w:eastAsia="宋体" w:hint="default"/>
                <w:sz w:val="18"/>
                <w:szCs w:val="18"/>
              </w:rPr>
            </w:pPr>
            <w:r>
              <w:rPr>
                <w:rFonts w:ascii="宋体" w:hAnsi="宋体" w:cs="宋体" w:eastAsia="宋体" w:hint="default"/>
                <w:sz w:val="18"/>
                <w:szCs w:val="18"/>
              </w:rPr>
              <w:t>据表明发生了减值，根据其未来现金流量现值低于其账面价 值的差额计提坏账准备。</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2）按信用风险特征组合计提坏账准备的应收款项" w:id="184"/>
      <w:bookmarkEnd w:id="184"/>
      <w:r>
        <w:rPr/>
      </w:r>
      <w:r>
        <w:rPr/>
        <w:t>（</w:t>
      </w:r>
      <w:r>
        <w:rPr>
          <w:rFonts w:ascii="Times New Roman" w:hAnsi="Times New Roman" w:cs="Times New Roman" w:eastAsia="Times New Roman" w:hint="default"/>
        </w:rPr>
        <w:t>2</w:t>
      </w:r>
      <w:r>
        <w:rPr/>
        <w:t>）按信用风险特征组合计提坏账准备的应收款项</w:t>
      </w:r>
    </w:p>
    <w:p>
      <w:pPr>
        <w:spacing w:line="240" w:lineRule="auto" w:before="5"/>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06"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after="0" w:line="240" w:lineRule="auto"/>
        <w:jc w:val="left"/>
        <w:rPr>
          <w:rFonts w:ascii="宋体" w:hAnsi="宋体" w:cs="宋体" w:eastAsia="宋体" w:hint="default"/>
          <w:sz w:val="18"/>
          <w:szCs w:val="18"/>
        </w:rPr>
        <w:sectPr>
          <w:pgSz w:w="11910" w:h="16840"/>
          <w:pgMar w:header="801" w:footer="1007" w:top="1100" w:bottom="1200" w:left="920" w:right="0"/>
        </w:sect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332" w:hRule="exact"/>
        </w:trPr>
        <w:tc>
          <w:tcPr>
            <w:tcW w:w="4928" w:type="dxa"/>
            <w:tcBorders>
              <w:top w:val="single" w:sz="6" w:space="0" w:color="000000"/>
              <w:left w:val="nil" w:sz="6" w:space="0" w:color="auto"/>
              <w:bottom w:val="single" w:sz="4" w:space="0" w:color="000000"/>
              <w:right w:val="nil" w:sz="6" w:space="0" w:color="auto"/>
            </w:tcBorders>
          </w:tcPr>
          <w:p>
            <w:pPr/>
          </w:p>
        </w:tc>
        <w:tc>
          <w:tcPr>
            <w:tcW w:w="4928" w:type="dxa"/>
            <w:tcBorders>
              <w:top w:val="single" w:sz="6" w:space="0" w:color="000000"/>
              <w:left w:val="nil" w:sz="6" w:space="0" w:color="auto"/>
              <w:bottom w:val="single" w:sz="4" w:space="0" w:color="000000"/>
              <w:right w:val="nil" w:sz="6" w:space="0" w:color="auto"/>
            </w:tcBorders>
          </w:tcPr>
          <w:p>
            <w:pP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line="240" w:lineRule="auto" w:before="12"/>
        <w:rPr>
          <w:rFonts w:ascii="宋体" w:hAnsi="宋体" w:cs="宋体" w:eastAsia="宋体" w:hint="default"/>
          <w:sz w:val="8"/>
          <w:szCs w:val="8"/>
        </w:rPr>
      </w:pPr>
    </w:p>
    <w:p>
      <w:pPr>
        <w:pStyle w:val="BodyText"/>
        <w:spacing w:line="240" w:lineRule="auto" w:before="35"/>
        <w:ind w:right="1016"/>
        <w:jc w:val="left"/>
      </w:pPr>
      <w:r>
        <w:rPr/>
        <w:t>组合中，采用账龄分析法计提坏账准备的：</w:t>
      </w:r>
    </w:p>
    <w:p>
      <w:pPr>
        <w:spacing w:line="240" w:lineRule="auto" w:before="10"/>
        <w:rPr>
          <w:rFonts w:ascii="宋体" w:hAnsi="宋体" w:cs="宋体" w:eastAsia="宋体" w:hint="default"/>
          <w:sz w:val="17"/>
          <w:szCs w:val="17"/>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7"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50.00%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70.00%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组合中，采用余额百分比法计提坏账准备的：</w:t>
      </w:r>
    </w:p>
    <w:p>
      <w:pPr>
        <w:spacing w:line="240" w:lineRule="auto" w:before="12"/>
        <w:rPr>
          <w:rFonts w:ascii="宋体" w:hAnsi="宋体" w:cs="宋体" w:eastAsia="宋体" w:hint="default"/>
          <w:sz w:val="17"/>
          <w:szCs w:val="17"/>
        </w:rPr>
      </w:pPr>
    </w:p>
    <w:p>
      <w:pPr>
        <w:pStyle w:val="BodyText"/>
        <w:spacing w:line="420" w:lineRule="auto"/>
        <w:ind w:right="65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w:t>
      </w:r>
    </w:p>
    <w:p>
      <w:pPr>
        <w:pStyle w:val="BodyText"/>
        <w:spacing w:line="240" w:lineRule="auto" w:before="75"/>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6"/>
          <w:szCs w:val="16"/>
        </w:rPr>
      </w:pPr>
    </w:p>
    <w:p>
      <w:pPr>
        <w:pStyle w:val="BodyText"/>
        <w:spacing w:line="240" w:lineRule="auto"/>
        <w:ind w:right="1016"/>
        <w:jc w:val="left"/>
      </w:pPr>
      <w:bookmarkStart w:name="（3）单项金额不重大但单独计提坏账准备的应收款项" w:id="185"/>
      <w:bookmarkEnd w:id="185"/>
      <w:r>
        <w:rPr/>
      </w:r>
      <w:r>
        <w:rPr/>
        <w:t>（</w:t>
      </w:r>
      <w:r>
        <w:rPr>
          <w:rFonts w:ascii="Times New Roman" w:hAnsi="Times New Roman" w:cs="Times New Roman" w:eastAsia="Times New Roman" w:hint="default"/>
        </w:rPr>
        <w:t>3</w:t>
      </w:r>
      <w:r>
        <w:rPr/>
        <w:t>）单项金额不重大但单独计提坏账准备的应收款项</w:t>
      </w:r>
    </w:p>
    <w:p>
      <w:pPr>
        <w:spacing w:line="240" w:lineRule="auto" w:before="5"/>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478"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p>
        </w:tc>
      </w:tr>
    </w:tbl>
    <w:p>
      <w:pPr>
        <w:spacing w:line="240" w:lineRule="auto" w:before="12"/>
        <w:rPr>
          <w:rFonts w:ascii="宋体" w:hAnsi="宋体" w:cs="宋体" w:eastAsia="宋体" w:hint="default"/>
          <w:sz w:val="8"/>
          <w:szCs w:val="8"/>
        </w:rPr>
      </w:pPr>
    </w:p>
    <w:p>
      <w:pPr>
        <w:pStyle w:val="BodyText"/>
        <w:spacing w:line="324" w:lineRule="exact"/>
        <w:ind w:right="1016"/>
        <w:jc w:val="left"/>
        <w:rPr>
          <w:rFonts w:ascii="微软雅黑" w:hAnsi="微软雅黑" w:cs="微软雅黑" w:eastAsia="微软雅黑" w:hint="default"/>
        </w:rPr>
      </w:pPr>
      <w:bookmarkStart w:name="12、存货" w:id="186"/>
      <w:bookmarkEnd w:id="186"/>
      <w:r>
        <w:rPr/>
      </w:r>
      <w:r>
        <w:rPr>
          <w:rFonts w:ascii="Times New Roman" w:hAnsi="Times New Roman" w:cs="Times New Roman" w:eastAsia="Times New Roman" w:hint="default"/>
        </w:rPr>
        <w:t>12</w:t>
      </w:r>
      <w:r>
        <w:rPr>
          <w:rFonts w:ascii="微软雅黑" w:hAnsi="微软雅黑" w:cs="微软雅黑" w:eastAsia="微软雅黑" w:hint="default"/>
        </w:rPr>
        <w:t>、存货</w:t>
      </w:r>
    </w:p>
    <w:p>
      <w:pPr>
        <w:spacing w:line="240" w:lineRule="auto" w:before="7"/>
        <w:rPr>
          <w:rFonts w:ascii="微软雅黑" w:hAnsi="微软雅黑" w:cs="微软雅黑" w:eastAsia="微软雅黑" w:hint="default"/>
          <w:sz w:val="20"/>
          <w:szCs w:val="20"/>
        </w:rPr>
      </w:pPr>
    </w:p>
    <w:p>
      <w:pPr>
        <w:pStyle w:val="BodyText"/>
        <w:spacing w:line="444" w:lineRule="auto"/>
        <w:ind w:right="6762"/>
        <w:jc w:val="left"/>
      </w:pPr>
      <w:r>
        <w:rPr/>
        <w:t>公司是否需要遵守特殊行业的披露要求 是</w:t>
      </w:r>
    </w:p>
    <w:p>
      <w:pPr>
        <w:pStyle w:val="BodyText"/>
        <w:spacing w:line="240" w:lineRule="auto" w:before="54"/>
        <w:ind w:right="1016"/>
        <w:jc w:val="left"/>
      </w:pPr>
      <w:r>
        <w:rPr/>
        <w:t>软件与信息技术服务业</w:t>
      </w:r>
    </w:p>
    <w:p>
      <w:pPr>
        <w:spacing w:line="240" w:lineRule="auto" w:before="12"/>
        <w:rPr>
          <w:rFonts w:ascii="宋体" w:hAnsi="宋体" w:cs="宋体" w:eastAsia="宋体" w:hint="default"/>
          <w:sz w:val="17"/>
          <w:szCs w:val="17"/>
        </w:rPr>
      </w:pPr>
    </w:p>
    <w:p>
      <w:pPr>
        <w:pStyle w:val="BodyText"/>
        <w:spacing w:line="420" w:lineRule="auto"/>
        <w:ind w:right="2982"/>
        <w:jc w:val="left"/>
      </w:pPr>
      <w:r>
        <w:rPr>
          <w:rFonts w:ascii="Times New Roman" w:hAnsi="Times New Roman" w:cs="Times New Roman" w:eastAsia="Times New Roman" w:hint="default"/>
        </w:rPr>
        <w:t>1</w:t>
      </w:r>
      <w:r>
        <w:rPr/>
        <w:t>）存货的分类 本集团存货分为原材料、委托加工物资、库存商品、发出商品、低值易耗品等。</w:t>
      </w:r>
    </w:p>
    <w:p>
      <w:pPr>
        <w:pStyle w:val="BodyText"/>
        <w:spacing w:line="420" w:lineRule="auto" w:before="75"/>
        <w:ind w:right="1302"/>
        <w:jc w:val="left"/>
      </w:pPr>
      <w:r>
        <w:rPr/>
        <w:t>（</w:t>
      </w:r>
      <w:r>
        <w:rPr>
          <w:rFonts w:ascii="Times New Roman" w:hAnsi="Times New Roman" w:cs="Times New Roman" w:eastAsia="Times New Roman" w:hint="default"/>
        </w:rPr>
        <w:t>2</w:t>
      </w:r>
      <w:r>
        <w:rPr/>
        <w:t>）发出存货的计价方法 本集团存货取得时按实际成本计价。原材料、在产品、发出商品、库存商品采用加权平均法计价。</w:t>
      </w:r>
    </w:p>
    <w:p>
      <w:pPr>
        <w:pStyle w:val="BodyText"/>
        <w:spacing w:line="240" w:lineRule="auto" w:before="77"/>
        <w:ind w:right="1016"/>
        <w:jc w:val="left"/>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9"/>
        <w:rPr>
          <w:rFonts w:ascii="宋体" w:hAnsi="宋体" w:cs="宋体" w:eastAsia="宋体" w:hint="default"/>
          <w:sz w:val="16"/>
          <w:szCs w:val="16"/>
        </w:rPr>
      </w:pPr>
    </w:p>
    <w:p>
      <w:pPr>
        <w:pStyle w:val="BodyText"/>
        <w:spacing w:line="297" w:lineRule="auto"/>
        <w:ind w:left="214" w:right="1131" w:firstLine="420"/>
        <w:jc w:val="both"/>
      </w:pPr>
      <w:r>
        <w:rPr>
          <w:spacing w:val="-1"/>
        </w:rPr>
        <w:t>存货可变现净值是按存货的估计售价减去至完工时估计将要发生的成本、估计的销售费用以及相关税</w:t>
      </w:r>
      <w:r>
        <w:rPr/>
        <w:t> </w:t>
      </w:r>
      <w:r>
        <w:rPr>
          <w:spacing w:val="-1"/>
        </w:rPr>
        <w:t>费后的金额。在确定存货的可变现净值时，以取得的确凿证据为基础，同时考虑持有存货的目的以及资产</w:t>
      </w:r>
      <w:r>
        <w:rPr>
          <w:spacing w:val="-83"/>
        </w:rPr>
        <w:t> </w:t>
      </w:r>
      <w:r>
        <w:rPr>
          <w:spacing w:val="-83"/>
        </w:rPr>
      </w:r>
      <w:r>
        <w:rPr/>
        <w:t>负债表日后事项的影响。</w:t>
      </w:r>
    </w:p>
    <w:p>
      <w:pPr>
        <w:spacing w:after="0" w:line="297" w:lineRule="auto"/>
        <w:jc w:val="both"/>
        <w:sectPr>
          <w:pgSz w:w="11910" w:h="16840"/>
          <w:pgMar w:header="801" w:footer="1007" w:top="1080" w:bottom="1200" w:left="920" w:right="0"/>
        </w:sect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0"/>
          <w:szCs w:val="20"/>
        </w:rPr>
      </w:pPr>
    </w:p>
    <w:p>
      <w:pPr>
        <w:pStyle w:val="BodyText"/>
        <w:spacing w:line="297" w:lineRule="auto" w:before="35"/>
        <w:ind w:left="154" w:right="1131" w:firstLine="420"/>
        <w:jc w:val="both"/>
      </w:pPr>
      <w:r>
        <w:rPr>
          <w:spacing w:val="-1"/>
        </w:rPr>
        <w:t>资产负债表日，存货成本高于其可变现净值的，计提存货跌价准备。本集团通常按照单个存货项目计</w:t>
      </w:r>
      <w:r>
        <w:rPr/>
        <w:t> </w:t>
      </w:r>
      <w:r>
        <w:rPr>
          <w:spacing w:val="-1"/>
        </w:rPr>
        <w:t>提存货跌价准备，资产负债表日，以前减记存货价值的影响因素已经消失的，存货跌价准备在原已计提的</w:t>
      </w:r>
      <w:r>
        <w:rPr>
          <w:spacing w:val="-83"/>
        </w:rPr>
        <w:t> </w:t>
      </w:r>
      <w:r>
        <w:rPr>
          <w:spacing w:val="-83"/>
        </w:rPr>
      </w:r>
      <w:r>
        <w:rPr/>
        <w:t>金额内转回。</w:t>
      </w:r>
    </w:p>
    <w:p>
      <w:pPr>
        <w:spacing w:line="240" w:lineRule="auto" w:before="1"/>
        <w:rPr>
          <w:rFonts w:ascii="宋体" w:hAnsi="宋体" w:cs="宋体" w:eastAsia="宋体" w:hint="default"/>
          <w:sz w:val="14"/>
          <w:szCs w:val="14"/>
        </w:rPr>
      </w:pPr>
    </w:p>
    <w:p>
      <w:pPr>
        <w:pStyle w:val="BodyText"/>
        <w:spacing w:line="420" w:lineRule="auto"/>
        <w:ind w:left="574" w:right="6762"/>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434" w:lineRule="auto" w:before="75"/>
        <w:ind w:left="574" w:right="5292"/>
        <w:jc w:val="left"/>
        <w:rPr>
          <w:rFonts w:ascii="微软雅黑" w:hAnsi="微软雅黑" w:cs="微软雅黑" w:eastAsia="微软雅黑" w:hint="default"/>
        </w:rPr>
      </w:pPr>
      <w:r>
        <w:rPr/>
        <w:t>（</w:t>
      </w:r>
      <w:r>
        <w:rPr>
          <w:rFonts w:ascii="Times New Roman" w:hAnsi="Times New Roman" w:cs="Times New Roman" w:eastAsia="Times New Roman" w:hint="default"/>
        </w:rPr>
        <w:t>5</w:t>
      </w:r>
      <w:r>
        <w:rPr/>
        <w:t>）低值易耗品和包装物的摊销方法 本集团低值易耗品领用时采用一次转销法摊销。 周转用包装物按照预计的使用次数分次计入成本费用。 </w:t>
      </w:r>
      <w:bookmarkStart w:name="13、持有待售资产" w:id="187"/>
      <w:bookmarkEnd w:id="187"/>
      <w:r>
        <w:rPr/>
      </w:r>
      <w:r>
        <w:rPr>
          <w:rFonts w:ascii="Times New Roman" w:hAnsi="Times New Roman" w:cs="Times New Roman" w:eastAsia="Times New Roman" w:hint="default"/>
        </w:rPr>
        <w:t>13</w:t>
      </w:r>
      <w:r>
        <w:rPr>
          <w:rFonts w:ascii="微软雅黑" w:hAnsi="微软雅黑" w:cs="微软雅黑" w:eastAsia="微软雅黑" w:hint="default"/>
        </w:rPr>
        <w:t>、持有待售资产</w:t>
      </w:r>
    </w:p>
    <w:p>
      <w:pPr>
        <w:pStyle w:val="BodyText"/>
        <w:spacing w:line="240" w:lineRule="auto" w:before="128"/>
        <w:ind w:left="574" w:right="1116"/>
        <w:jc w:val="left"/>
      </w:pPr>
      <w:r>
        <w:rPr/>
        <w:t>（</w:t>
      </w:r>
      <w:r>
        <w:rPr>
          <w:rFonts w:ascii="Times New Roman" w:hAnsi="Times New Roman" w:cs="Times New Roman" w:eastAsia="Times New Roman" w:hint="default"/>
        </w:rPr>
        <w:t>1</w:t>
      </w:r>
      <w:r>
        <w:rPr/>
        <w:t>）持有待售的非流动资产或处置组的分类与计量</w:t>
      </w:r>
    </w:p>
    <w:p>
      <w:pPr>
        <w:spacing w:line="240" w:lineRule="auto" w:before="8"/>
        <w:rPr>
          <w:rFonts w:ascii="宋体" w:hAnsi="宋体" w:cs="宋体" w:eastAsia="宋体" w:hint="default"/>
          <w:sz w:val="16"/>
          <w:szCs w:val="16"/>
        </w:rPr>
      </w:pPr>
    </w:p>
    <w:p>
      <w:pPr>
        <w:pStyle w:val="BodyText"/>
        <w:spacing w:line="297" w:lineRule="auto"/>
        <w:ind w:left="154" w:right="1131" w:firstLine="420"/>
        <w:jc w:val="both"/>
      </w:pPr>
      <w:r>
        <w:rPr>
          <w:spacing w:val="-1"/>
        </w:rPr>
        <w:t>本集团主要通过出售（包括具有商业实质的非货币性资产交换）而非持续使用一项非流动资产或处置</w:t>
      </w:r>
      <w:r>
        <w:rPr/>
        <w:t> 组收回其账面价值时，该非流动资产或处置组被划分为持有待售类别。</w:t>
      </w:r>
    </w:p>
    <w:p>
      <w:pPr>
        <w:spacing w:line="240" w:lineRule="auto" w:before="0"/>
        <w:rPr>
          <w:rFonts w:ascii="宋体" w:hAnsi="宋体" w:cs="宋体" w:eastAsia="宋体" w:hint="default"/>
          <w:sz w:val="14"/>
          <w:szCs w:val="14"/>
        </w:rPr>
      </w:pPr>
    </w:p>
    <w:p>
      <w:pPr>
        <w:pStyle w:val="BodyText"/>
        <w:spacing w:line="297" w:lineRule="auto"/>
        <w:ind w:left="154" w:right="1132" w:firstLine="420"/>
        <w:jc w:val="both"/>
      </w:pPr>
      <w:r>
        <w:rPr>
          <w:spacing w:val="-1"/>
        </w:rPr>
        <w:t>上述非流动资产不包括采用公允价值模式进行后续计量的投资性房地产、采用公允价值减去出售费用</w:t>
      </w:r>
      <w:r>
        <w:rPr/>
        <w:t> 后的净额计量的生物资产、职工薪酬形成的资产、金融资产、递延所得税资产及保险合同产生的权利。</w:t>
      </w:r>
    </w:p>
    <w:p>
      <w:pPr>
        <w:spacing w:line="240" w:lineRule="auto" w:before="12"/>
        <w:rPr>
          <w:rFonts w:ascii="宋体" w:hAnsi="宋体" w:cs="宋体" w:eastAsia="宋体" w:hint="default"/>
          <w:sz w:val="13"/>
          <w:szCs w:val="13"/>
        </w:rPr>
      </w:pPr>
    </w:p>
    <w:p>
      <w:pPr>
        <w:pStyle w:val="BodyText"/>
        <w:spacing w:line="297" w:lineRule="auto"/>
        <w:ind w:left="154" w:right="1131" w:firstLine="420"/>
        <w:jc w:val="both"/>
      </w:pPr>
      <w:r>
        <w:rPr>
          <w:spacing w:val="-1"/>
        </w:rPr>
        <w:t>处置组，是指在一项交易中作为整体通过出售或其他方式一并处置的一组资产，以及在该交易中转让</w:t>
      </w:r>
      <w:r>
        <w:rPr/>
        <w:t> 的与这些资产直接相关的负债。在特定情况下，处置组包括企业合并中取得的商誉等。</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同时满足下列条件的非流动资产或处置组被划分为持有待售类别：根据类似交易中出售此类资产或处</w:t>
      </w:r>
      <w:r>
        <w:rPr/>
        <w:t> </w:t>
      </w:r>
      <w:r>
        <w:rPr>
          <w:spacing w:val="-1"/>
        </w:rPr>
        <w:t>置组的惯例，该非流动资产或处置组在当前状况下即可立即出售；出售极可能发生，即已经就一项出售计</w:t>
      </w:r>
      <w:r>
        <w:rPr>
          <w:spacing w:val="-83"/>
        </w:rPr>
        <w:t> </w:t>
      </w:r>
      <w:r>
        <w:rPr>
          <w:spacing w:val="-83"/>
        </w:rPr>
      </w:r>
      <w:r>
        <w:rPr>
          <w:spacing w:val="-1"/>
        </w:rPr>
        <w:t>划作出决议且获得确定的购买承诺，预计出售将在一年内完成。因出售对子公司的投资等原因导致丧失对</w:t>
      </w:r>
      <w:r>
        <w:rPr>
          <w:spacing w:val="-81"/>
        </w:rPr>
        <w:t> </w:t>
      </w:r>
      <w:r>
        <w:rPr>
          <w:spacing w:val="-81"/>
        </w:rPr>
      </w:r>
      <w:r>
        <w:rPr>
          <w:spacing w:val="-1"/>
        </w:rPr>
        <w:t>子公司控制权的，无论出售后本集团是否保留部分权益性投资，在拟出售的对子公司投资满足持有待售类</w:t>
      </w:r>
      <w:r>
        <w:rPr>
          <w:spacing w:val="-81"/>
        </w:rPr>
        <w:t> </w:t>
      </w:r>
      <w:r>
        <w:rPr>
          <w:spacing w:val="-81"/>
        </w:rPr>
      </w:r>
      <w:r>
        <w:rPr>
          <w:spacing w:val="-1"/>
        </w:rPr>
        <w:t>别划分条件时，在个别财务报表中将对子公司投资整体划分为持有待售类别，在合并财务报表中将子公司</w:t>
      </w:r>
      <w:r>
        <w:rPr>
          <w:spacing w:val="-81"/>
        </w:rPr>
        <w:t> </w:t>
      </w:r>
      <w:r>
        <w:rPr>
          <w:spacing w:val="-81"/>
        </w:rPr>
      </w:r>
      <w:r>
        <w:rPr/>
        <w:t>所有资产和负债划分为持有待售类别。</w:t>
      </w:r>
    </w:p>
    <w:p>
      <w:pPr>
        <w:spacing w:line="240" w:lineRule="auto" w:before="0"/>
        <w:rPr>
          <w:rFonts w:ascii="宋体" w:hAnsi="宋体" w:cs="宋体" w:eastAsia="宋体" w:hint="default"/>
          <w:sz w:val="14"/>
          <w:szCs w:val="14"/>
        </w:rPr>
      </w:pPr>
    </w:p>
    <w:p>
      <w:pPr>
        <w:pStyle w:val="BodyText"/>
        <w:spacing w:line="297" w:lineRule="auto"/>
        <w:ind w:left="154" w:right="1110" w:firstLine="420"/>
        <w:jc w:val="right"/>
      </w:pPr>
      <w:r>
        <w:rPr>
          <w:spacing w:val="-1"/>
        </w:rPr>
        <w:t>初始计量或在资产负债表日重新计量持有待售的非流动资产或处置组时，账面价值高于公允价值减去</w:t>
      </w:r>
      <w:r>
        <w:rPr/>
        <w:t> </w:t>
      </w:r>
      <w:r>
        <w:rPr>
          <w:spacing w:val="-1"/>
        </w:rPr>
        <w:t>出售费用后净额的差额确认为资产减值损失。对于持有待售的处置组确认的资产减值损失金额，先抵减处</w:t>
      </w:r>
      <w:r>
        <w:rPr/>
        <w:t> 置组中商誉的账面价值，再根据处置组中的各项非流动资产账面价值所占比重，按比例抵减其账面价值。</w:t>
      </w:r>
    </w:p>
    <w:p>
      <w:pPr>
        <w:spacing w:line="240" w:lineRule="auto" w:before="0"/>
        <w:rPr>
          <w:rFonts w:ascii="宋体" w:hAnsi="宋体" w:cs="宋体" w:eastAsia="宋体" w:hint="default"/>
          <w:sz w:val="14"/>
          <w:szCs w:val="14"/>
        </w:rPr>
      </w:pPr>
    </w:p>
    <w:p>
      <w:pPr>
        <w:pStyle w:val="BodyText"/>
        <w:spacing w:line="297" w:lineRule="auto"/>
        <w:ind w:left="154" w:right="1110" w:firstLine="420"/>
        <w:jc w:val="both"/>
      </w:pPr>
      <w:r>
        <w:rPr>
          <w:spacing w:val="-1"/>
        </w:rPr>
        <w:t>后续资产负债表日持有待售的非流动资产或处置组公允价值减去出售费用后的净额增加的，以前减记</w:t>
      </w:r>
      <w:r>
        <w:rPr/>
        <w:t> 的金额予以恢复，并在划分为持有待售类别后确认的资产减值损失金额内转回，转回金额计入当期损益。 已抵减的商誉账面价值不得转回。</w:t>
      </w:r>
    </w:p>
    <w:p>
      <w:pPr>
        <w:spacing w:line="240" w:lineRule="auto" w:before="0"/>
        <w:rPr>
          <w:rFonts w:ascii="宋体" w:hAnsi="宋体" w:cs="宋体" w:eastAsia="宋体" w:hint="default"/>
          <w:sz w:val="14"/>
          <w:szCs w:val="14"/>
        </w:rPr>
      </w:pPr>
    </w:p>
    <w:p>
      <w:pPr>
        <w:pStyle w:val="BodyText"/>
        <w:spacing w:line="297" w:lineRule="auto"/>
        <w:ind w:left="154" w:right="1110" w:firstLine="420"/>
        <w:jc w:val="both"/>
      </w:pPr>
      <w:r>
        <w:rPr>
          <w:spacing w:val="-1"/>
        </w:rPr>
        <w:t>持有待售的非流动资产和持有待售的处置组中的资产不计提折旧或进行摊销；持有待售的处置组中负</w:t>
      </w:r>
      <w:r>
        <w:rPr/>
        <w:t> </w:t>
      </w:r>
      <w:r>
        <w:rPr>
          <w:spacing w:val="-1"/>
        </w:rPr>
        <w:t>债的利息和其他费用继续予以确认。被划分为持有待售的联营企业或合营企业的全部或部分投资，对于划</w:t>
      </w:r>
      <w:r>
        <w:rPr>
          <w:spacing w:val="-81"/>
        </w:rPr>
        <w:t> </w:t>
      </w:r>
      <w:r>
        <w:rPr>
          <w:spacing w:val="-81"/>
        </w:rPr>
      </w:r>
      <w:r>
        <w:rPr/>
        <w:t>分为持有待售的部分停止权益法核算，保留的部分（未被划分为持有待售类别）则继续采用权益法核算； 当本集团因出售丧失对联营企业和合营企业的重大影响时，停止使用权益法。</w:t>
      </w:r>
    </w:p>
    <w:p>
      <w:pPr>
        <w:spacing w:line="240" w:lineRule="auto" w:before="0"/>
        <w:rPr>
          <w:rFonts w:ascii="宋体" w:hAnsi="宋体" w:cs="宋体" w:eastAsia="宋体" w:hint="default"/>
          <w:sz w:val="14"/>
          <w:szCs w:val="14"/>
        </w:rPr>
      </w:pPr>
    </w:p>
    <w:p>
      <w:pPr>
        <w:pStyle w:val="BodyText"/>
        <w:spacing w:line="240" w:lineRule="auto"/>
        <w:ind w:left="574" w:right="0"/>
        <w:jc w:val="left"/>
      </w:pPr>
      <w:r>
        <w:rPr/>
        <w:t>某项非流动资产或处置组被划分为持有待售类别，但后来不再满足持有待售类别划分条件的，本集团</w:t>
      </w:r>
    </w:p>
    <w:p>
      <w:pPr>
        <w:spacing w:after="0" w:line="240" w:lineRule="auto"/>
        <w:jc w:val="left"/>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40" w:lineRule="auto" w:before="35"/>
        <w:ind w:left="154" w:right="1116"/>
        <w:jc w:val="left"/>
      </w:pPr>
      <w:r>
        <w:rPr/>
        <w:t>停止将其划分为持有待售类别，并按照下列两项金额中较低者计量：</w:t>
      </w:r>
    </w:p>
    <w:p>
      <w:pPr>
        <w:spacing w:line="240" w:lineRule="auto" w:before="12"/>
        <w:rPr>
          <w:rFonts w:ascii="宋体" w:hAnsi="宋体" w:cs="宋体" w:eastAsia="宋体" w:hint="default"/>
          <w:sz w:val="17"/>
          <w:szCs w:val="17"/>
        </w:rPr>
      </w:pPr>
    </w:p>
    <w:p>
      <w:pPr>
        <w:pStyle w:val="BodyText"/>
        <w:spacing w:line="297" w:lineRule="auto"/>
        <w:ind w:left="154" w:right="1132" w:firstLine="420"/>
        <w:jc w:val="both"/>
      </w:pPr>
      <w:r>
        <w:rPr>
          <w:spacing w:val="-1"/>
        </w:rPr>
        <w:t>①该资产或处置组被划分为持有待售类别之前的账面价值，按照其假定在没有被划分为持有待售类别</w:t>
      </w:r>
      <w:r>
        <w:rPr/>
        <w:t> 的情况下本应确认的折旧、摊销或减值进行调整后的金额；</w:t>
      </w:r>
    </w:p>
    <w:p>
      <w:pPr>
        <w:spacing w:line="240" w:lineRule="auto" w:before="1"/>
        <w:rPr>
          <w:rFonts w:ascii="宋体" w:hAnsi="宋体" w:cs="宋体" w:eastAsia="宋体" w:hint="default"/>
          <w:sz w:val="14"/>
          <w:szCs w:val="14"/>
        </w:rPr>
      </w:pPr>
    </w:p>
    <w:p>
      <w:pPr>
        <w:pStyle w:val="BodyText"/>
        <w:spacing w:line="240" w:lineRule="auto"/>
        <w:ind w:left="574" w:right="1116"/>
        <w:jc w:val="left"/>
      </w:pPr>
      <w:r>
        <w:rPr/>
        <w:t>②可收回金额。</w:t>
      </w:r>
    </w:p>
    <w:p>
      <w:pPr>
        <w:pStyle w:val="BodyText"/>
        <w:spacing w:line="490" w:lineRule="atLeast" w:before="34"/>
        <w:ind w:left="574" w:right="1116"/>
        <w:jc w:val="left"/>
      </w:pPr>
      <w:r>
        <w:rPr/>
        <w:t>（</w:t>
      </w:r>
      <w:r>
        <w:rPr>
          <w:rFonts w:ascii="Times New Roman" w:hAnsi="Times New Roman" w:cs="Times New Roman" w:eastAsia="Times New Roman" w:hint="default"/>
        </w:rPr>
        <w:t>2</w:t>
      </w:r>
      <w:r>
        <w:rPr/>
        <w:t>）终止经营 </w:t>
      </w:r>
      <w:r>
        <w:rPr>
          <w:spacing w:val="-1"/>
        </w:rPr>
        <w:t>终止经营，是指满足下列条件之一的已被本集团处置或被本集团划分为持有待售类别的、能够单独区</w:t>
      </w:r>
    </w:p>
    <w:p>
      <w:pPr>
        <w:pStyle w:val="BodyText"/>
        <w:spacing w:line="240" w:lineRule="auto" w:before="66"/>
        <w:ind w:left="154" w:right="1116"/>
        <w:jc w:val="left"/>
      </w:pPr>
      <w:r>
        <w:rPr/>
        <w:t>分的组成部分：</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①该组成部分代表一项独立的主要业务或一个单独的主要经营地区。</w:t>
      </w:r>
    </w:p>
    <w:p>
      <w:pPr>
        <w:spacing w:line="240" w:lineRule="auto" w:before="12"/>
        <w:rPr>
          <w:rFonts w:ascii="宋体" w:hAnsi="宋体" w:cs="宋体" w:eastAsia="宋体" w:hint="default"/>
          <w:sz w:val="17"/>
          <w:szCs w:val="17"/>
        </w:rPr>
      </w:pPr>
    </w:p>
    <w:p>
      <w:pPr>
        <w:pStyle w:val="BodyText"/>
        <w:spacing w:line="297" w:lineRule="auto"/>
        <w:ind w:left="154" w:right="1136" w:firstLine="420"/>
        <w:jc w:val="both"/>
      </w:pPr>
      <w:r>
        <w:rPr>
          <w:spacing w:val="3"/>
        </w:rPr>
        <w:t>②该组成部分是拟对一项独立的主要业务或一个单独的主要经营地区进行处置的一项相关联计划的</w:t>
      </w:r>
      <w:r>
        <w:rPr/>
        <w:t> 一部分。</w:t>
      </w:r>
    </w:p>
    <w:p>
      <w:pPr>
        <w:spacing w:line="240" w:lineRule="auto" w:before="0"/>
        <w:rPr>
          <w:rFonts w:ascii="宋体" w:hAnsi="宋体" w:cs="宋体" w:eastAsia="宋体" w:hint="default"/>
          <w:sz w:val="14"/>
          <w:szCs w:val="14"/>
        </w:rPr>
      </w:pPr>
    </w:p>
    <w:p>
      <w:pPr>
        <w:pStyle w:val="BodyText"/>
        <w:spacing w:line="240" w:lineRule="auto"/>
        <w:ind w:left="574" w:right="1116"/>
        <w:jc w:val="left"/>
      </w:pPr>
      <w:r>
        <w:rPr/>
        <w:t>③该组成部分是专为转售而取得的子公司。</w:t>
      </w:r>
    </w:p>
    <w:p>
      <w:pPr>
        <w:pStyle w:val="BodyText"/>
        <w:spacing w:line="500" w:lineRule="atLeast" w:before="24"/>
        <w:ind w:left="574" w:right="1116"/>
        <w:jc w:val="left"/>
      </w:pPr>
      <w:r>
        <w:rPr/>
        <w:t>（</w:t>
      </w:r>
      <w:r>
        <w:rPr>
          <w:rFonts w:ascii="Times New Roman" w:hAnsi="Times New Roman" w:cs="Times New Roman" w:eastAsia="Times New Roman" w:hint="default"/>
        </w:rPr>
        <w:t>3</w:t>
      </w:r>
      <w:r>
        <w:rPr/>
        <w:t>）列报 </w:t>
      </w:r>
      <w:r>
        <w:rPr>
          <w:spacing w:val="6"/>
        </w:rPr>
        <w:t>本集团在资产负债表中将持有待售的非流动资产或持有待售的处置组中的资产列报于</w:t>
      </w:r>
      <w:r>
        <w:rPr>
          <w:rFonts w:ascii="Times New Roman" w:hAnsi="Times New Roman" w:cs="Times New Roman" w:eastAsia="Times New Roman" w:hint="default"/>
          <w:spacing w:val="6"/>
        </w:rPr>
        <w:t>“</w:t>
      </w:r>
      <w:r>
        <w:rPr>
          <w:spacing w:val="6"/>
        </w:rPr>
        <w:t>持有待售资</w:t>
      </w:r>
    </w:p>
    <w:p>
      <w:pPr>
        <w:pStyle w:val="BodyText"/>
        <w:spacing w:line="240" w:lineRule="auto" w:before="50"/>
        <w:ind w:left="154" w:right="1116"/>
        <w:jc w:val="left"/>
      </w:pPr>
      <w:r>
        <w:rPr/>
        <w:t>产</w:t>
      </w:r>
      <w:r>
        <w:rPr>
          <w:rFonts w:ascii="Times New Roman" w:hAnsi="Times New Roman" w:cs="Times New Roman" w:eastAsia="Times New Roman" w:hint="default"/>
        </w:rPr>
        <w:t>”</w:t>
      </w:r>
      <w:r>
        <w:rPr/>
        <w:t>，将持有待售的处置组中的负债列报于</w:t>
      </w:r>
      <w:r>
        <w:rPr>
          <w:rFonts w:ascii="Times New Roman" w:hAnsi="Times New Roman" w:cs="Times New Roman" w:eastAsia="Times New Roman" w:hint="default"/>
        </w:rPr>
        <w:t>“</w:t>
      </w:r>
      <w:r>
        <w:rPr/>
        <w:t>持有待售负债</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297" w:lineRule="auto"/>
        <w:ind w:left="154" w:right="1131" w:firstLine="420"/>
        <w:jc w:val="both"/>
      </w:pPr>
      <w:r>
        <w:rPr>
          <w:spacing w:val="-1"/>
        </w:rPr>
        <w:t>本集团在利润表中分别列示持续经营损益和终止经营损益。不符合终止经营定义的持有待售的非流动</w:t>
      </w:r>
      <w:r>
        <w:rPr/>
        <w:t> </w:t>
      </w:r>
      <w:r>
        <w:rPr>
          <w:spacing w:val="-1"/>
        </w:rPr>
        <w:t>资产或处置组，其减值损失和转回金额及处置损益作为持续经营损益列报。终止经营的减值损失和转回金</w:t>
      </w:r>
      <w:r>
        <w:rPr>
          <w:spacing w:val="-81"/>
        </w:rPr>
        <w:t> </w:t>
      </w:r>
      <w:r>
        <w:rPr>
          <w:spacing w:val="-81"/>
        </w:rPr>
      </w:r>
      <w:r>
        <w:rPr/>
        <w:t>额等经营损益及处置损益作为终止经营损益列报。</w:t>
      </w:r>
    </w:p>
    <w:p>
      <w:pPr>
        <w:spacing w:line="240" w:lineRule="auto" w:before="0"/>
        <w:rPr>
          <w:rFonts w:ascii="宋体" w:hAnsi="宋体" w:cs="宋体" w:eastAsia="宋体" w:hint="default"/>
          <w:sz w:val="14"/>
          <w:szCs w:val="14"/>
        </w:rPr>
      </w:pPr>
    </w:p>
    <w:p>
      <w:pPr>
        <w:pStyle w:val="BodyText"/>
        <w:spacing w:line="297" w:lineRule="auto"/>
        <w:ind w:left="154" w:right="1132" w:firstLine="420"/>
        <w:jc w:val="both"/>
      </w:pPr>
      <w:r>
        <w:rPr>
          <w:spacing w:val="-1"/>
        </w:rPr>
        <w:t>拟结束使用而非出售且满足终止经营定义中有关组成部分的条件的处置组，自其停止使用日起作为终</w:t>
      </w:r>
      <w:r>
        <w:rPr/>
        <w:t> 止经营列报。</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对于当期列报的终止经营，在当期财务报表中，原来作为持续经营损益列报的信息被重新作为可比会</w:t>
      </w:r>
      <w:r>
        <w:rPr/>
        <w:t> </w:t>
      </w:r>
      <w:r>
        <w:rPr>
          <w:spacing w:val="-1"/>
        </w:rPr>
        <w:t>计期间的终止经营损益列报。终止经营不再满足持有待售类别划分条件的，在当期财务报表中，原来作为</w:t>
      </w:r>
      <w:r>
        <w:rPr>
          <w:spacing w:val="-83"/>
        </w:rPr>
        <w:t> </w:t>
      </w:r>
      <w:r>
        <w:rPr>
          <w:spacing w:val="-83"/>
        </w:rPr>
      </w:r>
      <w:r>
        <w:rPr/>
        <w:t>终止经营损益列报的信息被重新作为可比会计期间的持续经营损益列报。</w:t>
      </w:r>
    </w:p>
    <w:p>
      <w:pPr>
        <w:pStyle w:val="BodyText"/>
        <w:spacing w:line="240" w:lineRule="auto" w:before="175"/>
        <w:ind w:left="574" w:right="1116"/>
        <w:jc w:val="left"/>
        <w:rPr>
          <w:rFonts w:ascii="微软雅黑" w:hAnsi="微软雅黑" w:cs="微软雅黑" w:eastAsia="微软雅黑" w:hint="default"/>
        </w:rPr>
      </w:pPr>
      <w:bookmarkStart w:name="14、长期股权投资" w:id="188"/>
      <w:bookmarkEnd w:id="188"/>
      <w:r>
        <w:rPr/>
      </w:r>
      <w:r>
        <w:rPr>
          <w:rFonts w:ascii="Times New Roman" w:hAnsi="Times New Roman" w:cs="Times New Roman" w:eastAsia="Times New Roman" w:hint="default"/>
        </w:rPr>
        <w:t>14</w:t>
      </w:r>
      <w:r>
        <w:rPr>
          <w:rFonts w:ascii="微软雅黑" w:hAnsi="微软雅黑" w:cs="微软雅黑" w:eastAsia="微软雅黑" w:hint="default"/>
        </w:rPr>
        <w:t>、长期股权投资</w:t>
      </w:r>
    </w:p>
    <w:p>
      <w:pPr>
        <w:spacing w:line="240" w:lineRule="auto" w:before="7"/>
        <w:rPr>
          <w:rFonts w:ascii="微软雅黑" w:hAnsi="微软雅黑" w:cs="微软雅黑" w:eastAsia="微软雅黑" w:hint="default"/>
          <w:sz w:val="20"/>
          <w:szCs w:val="20"/>
        </w:rPr>
      </w:pPr>
    </w:p>
    <w:p>
      <w:pPr>
        <w:pStyle w:val="BodyText"/>
        <w:spacing w:line="297" w:lineRule="auto"/>
        <w:ind w:left="154" w:right="1131" w:firstLine="420"/>
        <w:jc w:val="both"/>
      </w:pPr>
      <w:r>
        <w:rPr>
          <w:spacing w:val="-1"/>
        </w:rPr>
        <w:t>长期股权投资包括对子公司、合营企业和联营企业的权益性投资。本集团能够对被投资单位施加重大</w:t>
      </w:r>
      <w:r>
        <w:rPr/>
        <w:t> 影响的，为本集团的联营企业。</w:t>
      </w:r>
    </w:p>
    <w:p>
      <w:pPr>
        <w:pStyle w:val="BodyText"/>
        <w:spacing w:line="508" w:lineRule="exact" w:before="22"/>
        <w:ind w:left="574" w:right="1116"/>
        <w:jc w:val="left"/>
      </w:pPr>
      <w:r>
        <w:rPr/>
        <w:t>（</w:t>
      </w:r>
      <w:r>
        <w:rPr>
          <w:rFonts w:ascii="Times New Roman" w:hAnsi="Times New Roman" w:cs="Times New Roman" w:eastAsia="Times New Roman" w:hint="default"/>
        </w:rPr>
        <w:t>1</w:t>
      </w:r>
      <w:r>
        <w:rPr/>
        <w:t>）初始投资成本确定 </w:t>
      </w:r>
      <w:r>
        <w:rPr>
          <w:spacing w:val="-1"/>
        </w:rPr>
        <w:t>形成企业合并的长期股权投资：同一控制下企业合并取得的长期股权投资，在合并日按照取得被合并</w:t>
      </w:r>
    </w:p>
    <w:p>
      <w:pPr>
        <w:pStyle w:val="BodyText"/>
        <w:spacing w:line="297" w:lineRule="auto"/>
        <w:ind w:left="154" w:right="1116"/>
        <w:jc w:val="left"/>
      </w:pPr>
      <w:r>
        <w:rPr>
          <w:spacing w:val="-1"/>
        </w:rPr>
        <w:t>方所有者权益在最终控制方合并财务报表中的账面价值份额作为投资成本；非同一控制下企业合并取得的</w:t>
      </w:r>
      <w:r>
        <w:rPr>
          <w:spacing w:val="-81"/>
        </w:rPr>
        <w:t> </w:t>
      </w:r>
      <w:r>
        <w:rPr>
          <w:spacing w:val="-81"/>
        </w:rPr>
      </w:r>
      <w:r>
        <w:rPr/>
        <w:t>长期股权投资，按照合并成本作为长期股权投资的投资成本。</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对于其他方式取得的长期股权投资：支付现金取得的长期股权投资，按照实际支付的购买价款作为初</w:t>
      </w:r>
      <w:r>
        <w:rPr/>
        <w:t> 始投资成本；发行权益性证券取得的长期股权投资，以发行权益性证券的公允价值作为初始投资成本。</w:t>
      </w:r>
    </w:p>
    <w:p>
      <w:pPr>
        <w:spacing w:after="0" w:line="297" w:lineRule="auto"/>
        <w:jc w:val="both"/>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40" w:lineRule="auto" w:before="35"/>
        <w:ind w:left="574" w:right="1116"/>
        <w:jc w:val="left"/>
      </w:pPr>
      <w:r>
        <w:rPr/>
        <w:t>（</w:t>
      </w:r>
      <w:r>
        <w:rPr>
          <w:rFonts w:ascii="Times New Roman" w:hAnsi="Times New Roman" w:cs="Times New Roman" w:eastAsia="Times New Roman" w:hint="default"/>
        </w:rPr>
        <w:t>2</w:t>
      </w:r>
      <w:r>
        <w:rPr/>
        <w:t>）后续计量及损益确认方法</w:t>
      </w:r>
    </w:p>
    <w:p>
      <w:pPr>
        <w:pStyle w:val="BodyText"/>
        <w:spacing w:line="508" w:lineRule="exact" w:before="57"/>
        <w:ind w:left="574" w:right="1116"/>
        <w:jc w:val="left"/>
      </w:pPr>
      <w:r>
        <w:rPr/>
        <w:t>对子公司的投资，采用成本法核算；对联营企业和合营企业的投资，采用权益法核算。 </w:t>
      </w:r>
      <w:r>
        <w:rPr>
          <w:spacing w:val="-1"/>
        </w:rPr>
        <w:t>采用成本法核算的长期股权投资，除取得投资时实际支付的价款或对价中包含的已宣告但尚未发放的</w:t>
      </w:r>
    </w:p>
    <w:p>
      <w:pPr>
        <w:pStyle w:val="BodyText"/>
        <w:spacing w:line="269" w:lineRule="exact"/>
        <w:ind w:left="154" w:right="1116"/>
        <w:jc w:val="left"/>
      </w:pPr>
      <w:r>
        <w:rPr/>
        <w:t>现金股利或利润外，被投资单位宣告分派的现金股利或利润，确认为投资收益计入当期损益。</w:t>
      </w:r>
    </w:p>
    <w:p>
      <w:pPr>
        <w:spacing w:line="240" w:lineRule="auto" w:before="12"/>
        <w:rPr>
          <w:rFonts w:ascii="宋体" w:hAnsi="宋体" w:cs="宋体" w:eastAsia="宋体" w:hint="default"/>
          <w:sz w:val="17"/>
          <w:szCs w:val="17"/>
        </w:rPr>
      </w:pPr>
    </w:p>
    <w:p>
      <w:pPr>
        <w:pStyle w:val="BodyText"/>
        <w:spacing w:line="297" w:lineRule="auto"/>
        <w:ind w:left="154" w:right="1131" w:firstLine="420"/>
        <w:jc w:val="both"/>
      </w:pPr>
      <w:r>
        <w:rPr>
          <w:spacing w:val="-1"/>
        </w:rPr>
        <w:t>采用权益法核算的长期股权投资，初始投资成本大于投资时应享有被投资单位可辨认净资产公允价值</w:t>
      </w:r>
      <w:r>
        <w:rPr/>
        <w:t> </w:t>
      </w:r>
      <w:r>
        <w:rPr>
          <w:spacing w:val="-1"/>
        </w:rPr>
        <w:t>份额的，不调整长期股权投资的投资成本；初始投资成本小于投资时应享有被投资单位可辨认净资产公允</w:t>
      </w:r>
      <w:r>
        <w:rPr>
          <w:spacing w:val="-81"/>
        </w:rPr>
        <w:t> </w:t>
      </w:r>
      <w:r>
        <w:rPr>
          <w:spacing w:val="-81"/>
        </w:rPr>
      </w:r>
      <w:r>
        <w:rPr/>
        <w:t>价值份额的，对长期股权投资的账面价值进行调整，差额计入投资当期的损益。</w:t>
      </w:r>
    </w:p>
    <w:p>
      <w:pPr>
        <w:spacing w:line="240" w:lineRule="auto" w:before="0"/>
        <w:rPr>
          <w:rFonts w:ascii="宋体" w:hAnsi="宋体" w:cs="宋体" w:eastAsia="宋体" w:hint="default"/>
          <w:sz w:val="14"/>
          <w:szCs w:val="14"/>
        </w:rPr>
      </w:pPr>
    </w:p>
    <w:p>
      <w:pPr>
        <w:pStyle w:val="BodyText"/>
        <w:spacing w:line="297" w:lineRule="auto"/>
        <w:ind w:left="154" w:right="1130"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股利计算应享有的部分，相应减少长期股权投资的账面价值；被投资单位除净损益、其他综合收益和利润</w:t>
      </w:r>
      <w:r>
        <w:rPr>
          <w:spacing w:val="-83"/>
        </w:rPr>
        <w:t> </w:t>
      </w:r>
      <w:r>
        <w:rPr>
          <w:spacing w:val="-83"/>
        </w:rPr>
      </w:r>
      <w:r>
        <w:rPr>
          <w:spacing w:val="-1"/>
        </w:rPr>
        <w:t>分配以外所有者权益的其他变动，调整长期股权投资的账面价值并计入资本公积（其他资本公积）。在确</w:t>
      </w:r>
      <w:r>
        <w:rPr>
          <w:spacing w:val="-86"/>
        </w:rPr>
        <w:t> </w:t>
      </w:r>
      <w:r>
        <w:rPr>
          <w:spacing w:val="-86"/>
        </w:rPr>
      </w:r>
      <w:r>
        <w:rPr>
          <w:spacing w:val="-1"/>
        </w:rPr>
        <w:t>认应享有被投资单位净损益的份额时，以取得投资时被投资单位各项可辨认资产等的公允价值为基础，并</w:t>
      </w:r>
      <w:r>
        <w:rPr>
          <w:spacing w:val="-81"/>
        </w:rPr>
        <w:t> </w:t>
      </w:r>
      <w:r>
        <w:rPr>
          <w:spacing w:val="-81"/>
        </w:rPr>
      </w:r>
      <w:r>
        <w:rPr/>
        <w:t>按照本集团的会计政策及会计期间，对被投资单位的净利润进行调整后确认。</w:t>
      </w:r>
    </w:p>
    <w:p>
      <w:pPr>
        <w:spacing w:line="240" w:lineRule="auto" w:before="0"/>
        <w:rPr>
          <w:rFonts w:ascii="宋体" w:hAnsi="宋体" w:cs="宋体" w:eastAsia="宋体" w:hint="default"/>
          <w:sz w:val="14"/>
          <w:szCs w:val="14"/>
        </w:rPr>
      </w:pPr>
    </w:p>
    <w:p>
      <w:pPr>
        <w:pStyle w:val="BodyText"/>
        <w:spacing w:line="297" w:lineRule="auto"/>
        <w:ind w:left="154" w:right="1130" w:firstLine="420"/>
        <w:jc w:val="both"/>
      </w:pPr>
      <w:r>
        <w:rPr>
          <w:spacing w:val="-1"/>
        </w:rPr>
        <w:t>因追加投资等原因能够对被投资单位施加重大影响或实施共同控制但不构成控制的，在转换日，按照</w:t>
      </w:r>
      <w:r>
        <w:rPr/>
        <w:t> </w:t>
      </w:r>
      <w:r>
        <w:rPr>
          <w:spacing w:val="-1"/>
        </w:rPr>
        <w:t>原股权的公允价值加上新增投资成本之和，作为改按权益法核算的初始投资成本。原股权于转换日的公允</w:t>
      </w:r>
      <w:r>
        <w:rPr>
          <w:spacing w:val="-81"/>
        </w:rPr>
        <w:t> </w:t>
      </w:r>
      <w:r>
        <w:rPr>
          <w:spacing w:val="-81"/>
        </w:rPr>
      </w:r>
      <w:r>
        <w:rPr>
          <w:spacing w:val="-1"/>
        </w:rPr>
        <w:t>价值与账面价值之间的差额，以及原计入其他综合收益的累计公允价值变动转入改按权益法核算的当期损</w:t>
      </w:r>
      <w:r>
        <w:rPr>
          <w:spacing w:val="-81"/>
        </w:rPr>
        <w:t> </w:t>
      </w:r>
      <w:r>
        <w:rPr>
          <w:spacing w:val="-81"/>
        </w:rPr>
      </w:r>
      <w:r>
        <w:rPr/>
        <w:t>益。</w:t>
      </w:r>
    </w:p>
    <w:p>
      <w:pPr>
        <w:spacing w:line="240" w:lineRule="auto" w:before="1"/>
        <w:rPr>
          <w:rFonts w:ascii="宋体" w:hAnsi="宋体" w:cs="宋体" w:eastAsia="宋体" w:hint="default"/>
          <w:sz w:val="14"/>
          <w:szCs w:val="14"/>
        </w:rPr>
      </w:pPr>
    </w:p>
    <w:p>
      <w:pPr>
        <w:pStyle w:val="BodyText"/>
        <w:spacing w:line="292" w:lineRule="auto"/>
        <w:ind w:left="154" w:right="1131" w:firstLine="420"/>
        <w:jc w:val="both"/>
      </w:pPr>
      <w:r>
        <w:rPr>
          <w:spacing w:val="-1"/>
        </w:rPr>
        <w:t>因处置部分股权投资等原因丧失了对被投资单位的共同控制或重大影响的，处置后的剩余股权在丧失</w:t>
      </w:r>
      <w:r>
        <w:rPr/>
        <w:t> 共同控制或重大影响之日改按《企业会计准则第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29"/>
        </w:rPr>
        <w:t> </w:t>
      </w:r>
      <w:r>
        <w:rPr/>
        <w:t>号</w:t>
      </w:r>
      <w:r>
        <w:rPr>
          <w:rFonts w:ascii="Times New Roman" w:hAnsi="Times New Roman" w:cs="Times New Roman" w:eastAsia="Times New Roman" w:hint="default"/>
        </w:rPr>
        <w:t>—</w:t>
      </w:r>
      <w:r>
        <w:rPr/>
        <w:t>金融工具确认和计量》进行会计处理，公允价值 </w:t>
      </w:r>
      <w:r>
        <w:rPr>
          <w:spacing w:val="-1"/>
        </w:rPr>
        <w:t>与账面价值之间的差额计入当期损益。原股权投资因采用权益法核算而确认的其他综合收益，在终止采用</w:t>
      </w:r>
      <w:r>
        <w:rPr>
          <w:spacing w:val="-81"/>
        </w:rPr>
        <w:t> </w:t>
      </w:r>
      <w:r>
        <w:rPr>
          <w:spacing w:val="-81"/>
        </w:rPr>
      </w:r>
      <w:r>
        <w:rPr>
          <w:spacing w:val="-1"/>
        </w:rPr>
        <w:t>权益法核算时采用与被投资单位直接处置相关资产或负债相同的基础进行会计处理；原股权投资相关的其</w:t>
      </w:r>
      <w:r>
        <w:rPr>
          <w:spacing w:val="-81"/>
        </w:rPr>
        <w:t> </w:t>
      </w:r>
      <w:r>
        <w:rPr>
          <w:spacing w:val="-81"/>
        </w:rPr>
      </w:r>
      <w:r>
        <w:rPr/>
        <w:t>他所有者权益变动转入当期损益。</w:t>
      </w:r>
    </w:p>
    <w:p>
      <w:pPr>
        <w:spacing w:line="240" w:lineRule="auto" w:before="3"/>
        <w:rPr>
          <w:rFonts w:ascii="宋体" w:hAnsi="宋体" w:cs="宋体" w:eastAsia="宋体" w:hint="default"/>
          <w:sz w:val="14"/>
          <w:szCs w:val="14"/>
        </w:rPr>
      </w:pPr>
    </w:p>
    <w:p>
      <w:pPr>
        <w:pStyle w:val="BodyText"/>
        <w:spacing w:line="292" w:lineRule="auto"/>
        <w:ind w:left="154" w:right="1023" w:firstLine="420"/>
        <w:jc w:val="left"/>
      </w:pPr>
      <w:r>
        <w:rPr/>
        <w:t>因处置部分股权投资等原因丧失了对被投资单位的控制的，处置后的剩余股权能够对被投资单位实施 </w:t>
      </w:r>
      <w:r>
        <w:rPr>
          <w:spacing w:val="-3"/>
        </w:rPr>
        <w:t>共同控制或施加重大影响的，改按权益法核算，并对该剩余股权视同自取得时即采用权益法核算进行调整；</w:t>
      </w:r>
      <w:r>
        <w:rPr>
          <w:spacing w:val="-92"/>
        </w:rPr>
        <w:t> </w:t>
      </w:r>
      <w:r>
        <w:rPr>
          <w:spacing w:val="-92"/>
        </w:rPr>
      </w:r>
      <w:r>
        <w:rPr/>
        <w:t>处置后的剩余股权不能对被投资单位实施共同控制或施加重大影响的，改按《企业会计准则第 </w:t>
      </w:r>
      <w:r>
        <w:rPr>
          <w:rFonts w:ascii="Times New Roman" w:hAnsi="Times New Roman" w:cs="Times New Roman" w:eastAsia="Times New Roman" w:hint="default"/>
        </w:rPr>
        <w:t>22</w:t>
      </w:r>
      <w:r>
        <w:rPr>
          <w:rFonts w:ascii="Times New Roman" w:hAnsi="Times New Roman" w:cs="Times New Roman" w:eastAsia="Times New Roman" w:hint="default"/>
          <w:spacing w:val="30"/>
        </w:rPr>
        <w:t> </w:t>
      </w:r>
      <w:r>
        <w:rPr/>
        <w:t>号</w:t>
      </w:r>
      <w:r>
        <w:rPr>
          <w:rFonts w:ascii="Times New Roman" w:hAnsi="Times New Roman" w:cs="Times New Roman" w:eastAsia="Times New Roman" w:hint="default"/>
        </w:rPr>
        <w:t>—</w:t>
      </w:r>
      <w:r>
        <w:rPr/>
        <w:t>金 融工具确认和计量》的有关规定进行会计处理，其在丧失控制之日的公允价值与账面价值之间的差额计入 当期损益。</w:t>
      </w:r>
    </w:p>
    <w:p>
      <w:pPr>
        <w:spacing w:line="240" w:lineRule="auto" w:before="5"/>
        <w:rPr>
          <w:rFonts w:ascii="宋体" w:hAnsi="宋体" w:cs="宋体" w:eastAsia="宋体" w:hint="default"/>
          <w:sz w:val="14"/>
          <w:szCs w:val="14"/>
        </w:rPr>
      </w:pPr>
    </w:p>
    <w:p>
      <w:pPr>
        <w:pStyle w:val="BodyText"/>
        <w:spacing w:line="297" w:lineRule="auto"/>
        <w:ind w:left="154" w:right="1131" w:firstLine="420"/>
        <w:jc w:val="both"/>
      </w:pPr>
      <w:r>
        <w:rPr>
          <w:spacing w:val="-1"/>
        </w:rPr>
        <w:t>因其他投资方增资而导致本公司持股比例下降、从而丧失控制权但能对被投资单位实施共同控制或施</w:t>
      </w:r>
      <w:r>
        <w:rPr/>
        <w:t> </w:t>
      </w:r>
      <w:r>
        <w:rPr>
          <w:spacing w:val="-1"/>
        </w:rPr>
        <w:t>加重大影响的，按照新的持股比例确认本公司应享有的被投资单位因增资扩股而增加净资产的份额，与应</w:t>
      </w:r>
      <w:r>
        <w:rPr>
          <w:spacing w:val="-81"/>
        </w:rPr>
        <w:t> </w:t>
      </w:r>
      <w:r>
        <w:rPr>
          <w:spacing w:val="-81"/>
        </w:rPr>
      </w:r>
      <w:r>
        <w:rPr>
          <w:spacing w:val="-1"/>
        </w:rPr>
        <w:t>结转持股比例下降部分所对应的长期股权投资原账面价值之间的差额计入当期损益；然后，按照新的持股</w:t>
      </w:r>
      <w:r>
        <w:rPr>
          <w:spacing w:val="-81"/>
        </w:rPr>
        <w:t> </w:t>
      </w:r>
      <w:r>
        <w:rPr>
          <w:spacing w:val="-81"/>
        </w:rPr>
      </w:r>
      <w:r>
        <w:rPr/>
        <w:t>比例视同自取得投资时即采用权益法核算进行调整。</w:t>
      </w:r>
    </w:p>
    <w:p>
      <w:pPr>
        <w:spacing w:line="240" w:lineRule="auto" w:before="12"/>
        <w:rPr>
          <w:rFonts w:ascii="宋体" w:hAnsi="宋体" w:cs="宋体" w:eastAsia="宋体" w:hint="default"/>
          <w:sz w:val="13"/>
          <w:szCs w:val="13"/>
        </w:rPr>
      </w:pPr>
    </w:p>
    <w:p>
      <w:pPr>
        <w:pStyle w:val="BodyText"/>
        <w:spacing w:line="297" w:lineRule="auto"/>
        <w:ind w:left="154" w:right="1131" w:firstLine="420"/>
        <w:jc w:val="both"/>
      </w:pPr>
      <w:r>
        <w:rPr>
          <w:spacing w:val="3"/>
        </w:rPr>
        <w:t>本集团与联营企业及合营企业之间发生的未实现内部交易损益按照持股比例计算归属于本集团的部</w:t>
      </w:r>
      <w:r>
        <w:rPr/>
        <w:t> </w:t>
      </w:r>
      <w:r>
        <w:rPr>
          <w:spacing w:val="-1"/>
        </w:rPr>
        <w:t>分，在抵销基础上确认投资损益。但本集团与被投资单位发生的未实现内部交易损失，属于所转让资产减</w:t>
      </w:r>
      <w:r>
        <w:rPr>
          <w:spacing w:val="-83"/>
        </w:rPr>
        <w:t> </w:t>
      </w:r>
      <w:r>
        <w:rPr>
          <w:spacing w:val="-83"/>
        </w:rPr>
      </w:r>
      <w:r>
        <w:rPr/>
        <w:t>值损失的，不予以抵销。</w:t>
      </w:r>
    </w:p>
    <w:p>
      <w:pPr>
        <w:spacing w:line="240" w:lineRule="auto" w:before="12"/>
        <w:rPr>
          <w:rFonts w:ascii="宋体" w:hAnsi="宋体" w:cs="宋体" w:eastAsia="宋体" w:hint="default"/>
          <w:sz w:val="13"/>
          <w:szCs w:val="13"/>
        </w:rPr>
      </w:pPr>
    </w:p>
    <w:p>
      <w:pPr>
        <w:pStyle w:val="BodyText"/>
        <w:spacing w:line="240" w:lineRule="auto"/>
        <w:ind w:left="574" w:right="1116"/>
        <w:jc w:val="left"/>
      </w:pPr>
      <w:r>
        <w:rPr/>
        <w:t>（</w:t>
      </w:r>
      <w:r>
        <w:rPr>
          <w:rFonts w:ascii="Times New Roman" w:hAnsi="Times New Roman" w:cs="Times New Roman" w:eastAsia="Times New Roman" w:hint="default"/>
        </w:rPr>
        <w:t>3</w:t>
      </w:r>
      <w:r>
        <w:rPr/>
        <w:t>）确定对被投资单位具有共同控制、重大影响的依据</w:t>
      </w:r>
    </w:p>
    <w:p>
      <w:pPr>
        <w:spacing w:after="0" w:line="240" w:lineRule="auto"/>
        <w:jc w:val="left"/>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97" w:lineRule="auto" w:before="35"/>
        <w:ind w:left="154" w:right="1110" w:firstLine="420"/>
        <w:jc w:val="both"/>
      </w:pPr>
      <w:r>
        <w:rPr>
          <w:spacing w:val="-1"/>
        </w:rPr>
        <w:t>共同控制，是指按照相关约定对某项安排所共有的控制，并且该安排的相关活动必须经过分享控制权</w:t>
      </w:r>
      <w:r>
        <w:rPr/>
        <w:t> </w:t>
      </w:r>
      <w:r>
        <w:rPr>
          <w:spacing w:val="-1"/>
        </w:rPr>
        <w:t>的参与方一致同意后才能决策。在判断是否存在共同控制时，首先判断是否由所有参与方或参与方组合集</w:t>
      </w:r>
      <w:r>
        <w:rPr>
          <w:spacing w:val="-81"/>
        </w:rPr>
        <w:t> </w:t>
      </w:r>
      <w:r>
        <w:rPr>
          <w:spacing w:val="-81"/>
        </w:rPr>
      </w:r>
      <w:r>
        <w:rPr/>
        <w:t>体控制该安排，其次再判断该安排相关活动的决策是否必须经过这些集体控制该安排的参与方一致同意。 </w:t>
      </w:r>
      <w:r>
        <w:rPr>
          <w:spacing w:val="-1"/>
        </w:rPr>
        <w:t>如果所有参与方或一组参与方必须一致行动才能决定某项安排的相关活动，则认为所有参与方或一组参与</w:t>
      </w:r>
      <w:r>
        <w:rPr>
          <w:spacing w:val="-81"/>
        </w:rPr>
        <w:t> </w:t>
      </w:r>
      <w:r>
        <w:rPr>
          <w:spacing w:val="-81"/>
        </w:rPr>
      </w:r>
      <w:r>
        <w:rPr/>
        <w:t>方集体控制该安排；如果存在两个或两个以上的参与方组合能够集体控制某项安排的，不构成共同控制。 判断是否存在共同控制时，不考虑享有的保护性权利。</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重大影响，是指投资方对被投资单位的财务和经营政策有参与决策的权力，但并不能够控制或者与其</w:t>
      </w:r>
      <w:r>
        <w:rPr/>
        <w:t> </w:t>
      </w:r>
      <w:r>
        <w:rPr>
          <w:spacing w:val="-1"/>
        </w:rPr>
        <w:t>他方一起共同控制这些政策的制定。在确定能否对被投资单位施加重大影响时，考虑投资方直接或间接持</w:t>
      </w:r>
      <w:r>
        <w:rPr>
          <w:spacing w:val="-81"/>
        </w:rPr>
        <w:t> </w:t>
      </w:r>
      <w:r>
        <w:rPr>
          <w:spacing w:val="-81"/>
        </w:rPr>
      </w:r>
      <w:r>
        <w:rPr>
          <w:spacing w:val="3"/>
        </w:rPr>
        <w:t>有被投资单位的表决权股份以及投资方及其他方持有的当期可执行潜在表决权在假定转换为对被投资方</w:t>
      </w:r>
      <w:r>
        <w:rPr>
          <w:spacing w:val="-82"/>
        </w:rPr>
        <w:t> </w:t>
      </w:r>
      <w:r>
        <w:rPr>
          <w:spacing w:val="-82"/>
        </w:rPr>
      </w:r>
      <w:r>
        <w:rPr>
          <w:spacing w:val="-1"/>
        </w:rPr>
        <w:t>单位的股权后产生的影响，包括被投资单位发行的当期可转换的认股权证、股份期权及可转换公司债券等</w:t>
      </w:r>
      <w:r>
        <w:rPr>
          <w:spacing w:val="-81"/>
        </w:rPr>
        <w:t> </w:t>
      </w:r>
      <w:r>
        <w:rPr>
          <w:spacing w:val="-81"/>
        </w:rPr>
      </w:r>
      <w:r>
        <w:rPr/>
        <w:t>的影响。</w:t>
      </w:r>
    </w:p>
    <w:p>
      <w:pPr>
        <w:spacing w:line="240" w:lineRule="auto" w:before="0"/>
        <w:rPr>
          <w:rFonts w:ascii="宋体" w:hAnsi="宋体" w:cs="宋体" w:eastAsia="宋体" w:hint="default"/>
          <w:sz w:val="14"/>
          <w:szCs w:val="14"/>
        </w:rPr>
      </w:pPr>
    </w:p>
    <w:p>
      <w:pPr>
        <w:pStyle w:val="BodyText"/>
        <w:spacing w:line="285" w:lineRule="auto"/>
        <w:ind w:left="154" w:right="1110" w:firstLine="420"/>
        <w:jc w:val="both"/>
      </w:pPr>
      <w:r>
        <w:rPr/>
        <w:t>当本公司直接或通过子公司间接拥有被投资单位</w:t>
      </w:r>
      <w:r>
        <w:rPr>
          <w:spacing w:val="-50"/>
        </w:rPr>
        <w:t> </w:t>
      </w:r>
      <w:r>
        <w:rPr>
          <w:rFonts w:ascii="Times New Roman" w:hAnsi="Times New Roman" w:cs="Times New Roman" w:eastAsia="Times New Roman" w:hint="default"/>
          <w:spacing w:val="-5"/>
        </w:rPr>
        <w:t>20%</w:t>
      </w:r>
      <w:r>
        <w:rPr>
          <w:spacing w:val="-5"/>
        </w:rPr>
        <w:t>（含</w:t>
      </w:r>
      <w:r>
        <w:rPr>
          <w:spacing w:val="-52"/>
        </w:rPr>
        <w:t> </w:t>
      </w:r>
      <w:r>
        <w:rPr>
          <w:rFonts w:ascii="Times New Roman" w:hAnsi="Times New Roman" w:cs="Times New Roman" w:eastAsia="Times New Roman" w:hint="default"/>
          <w:spacing w:val="-3"/>
        </w:rPr>
        <w:t>20%</w:t>
      </w:r>
      <w:r>
        <w:rPr>
          <w:spacing w:val="-3"/>
        </w:rPr>
        <w:t>）以上但低于</w:t>
      </w:r>
      <w:r>
        <w:rPr>
          <w:spacing w:val="-50"/>
        </w:rPr>
        <w:t> </w:t>
      </w:r>
      <w:r>
        <w:rPr>
          <w:rFonts w:ascii="Times New Roman" w:hAnsi="Times New Roman" w:cs="Times New Roman" w:eastAsia="Times New Roman" w:hint="default"/>
          <w:spacing w:val="-3"/>
        </w:rPr>
        <w:t>50%</w:t>
      </w:r>
      <w:r>
        <w:rPr>
          <w:spacing w:val="-3"/>
        </w:rPr>
        <w:t>的表决权股份时，一</w:t>
      </w:r>
      <w:r>
        <w:rPr/>
        <w:t> </w:t>
      </w:r>
      <w:r>
        <w:rPr>
          <w:spacing w:val="3"/>
        </w:rPr>
        <w:t>般认为对被投资单位具有重大影响，除非有明确证据表明该种情况下不能参与被投资单位的生产经营决</w:t>
      </w:r>
      <w:r>
        <w:rPr>
          <w:spacing w:val="-79"/>
        </w:rPr>
        <w:t> </w:t>
      </w:r>
      <w:r>
        <w:rPr>
          <w:spacing w:val="-79"/>
        </w:rPr>
      </w:r>
      <w:r>
        <w:rPr/>
        <w:t>策，不形成重大影响；本集团拥有被投资单位</w:t>
      </w:r>
      <w:r>
        <w:rPr>
          <w:spacing w:val="-80"/>
        </w:rPr>
        <w:t> </w:t>
      </w:r>
      <w:r>
        <w:rPr>
          <w:rFonts w:ascii="Times New Roman" w:hAnsi="Times New Roman" w:cs="Times New Roman" w:eastAsia="Times New Roman" w:hint="default"/>
        </w:rPr>
        <w:t>20%</w:t>
      </w:r>
      <w:r>
        <w:rPr/>
        <w:t>（不含）以下的表决权股份时，一般不认为对被投资单 位具有重大影响，除非有明确证据表明该种情况下能够参与被投资单位的生产经营决策，形成重大影响。</w:t>
      </w:r>
    </w:p>
    <w:p>
      <w:pPr>
        <w:spacing w:line="240" w:lineRule="auto" w:before="10"/>
        <w:rPr>
          <w:rFonts w:ascii="宋体" w:hAnsi="宋体" w:cs="宋体" w:eastAsia="宋体" w:hint="default"/>
          <w:sz w:val="14"/>
          <w:szCs w:val="14"/>
        </w:rPr>
      </w:pPr>
    </w:p>
    <w:p>
      <w:pPr>
        <w:pStyle w:val="BodyText"/>
        <w:spacing w:line="420" w:lineRule="auto"/>
        <w:ind w:left="574" w:right="1020"/>
        <w:jc w:val="left"/>
      </w:pPr>
      <w:r>
        <w:rPr/>
        <w:t>（</w:t>
      </w:r>
      <w:r>
        <w:rPr>
          <w:rFonts w:ascii="Times New Roman" w:hAnsi="Times New Roman" w:cs="Times New Roman" w:eastAsia="Times New Roman" w:hint="default"/>
        </w:rPr>
        <w:t>4</w:t>
      </w:r>
      <w:r>
        <w:rPr/>
        <w:t>）持有待售的权益性投资 </w:t>
      </w:r>
      <w:r>
        <w:rPr>
          <w:spacing w:val="-3"/>
        </w:rPr>
        <w:t>对联营企业或合营企业的权益性投资全部或部分分类为持有待售资产的，相关会计处理见附注五、</w:t>
      </w:r>
      <w:r>
        <w:rPr>
          <w:rFonts w:ascii="Times New Roman" w:hAnsi="Times New Roman" w:cs="Times New Roman" w:eastAsia="Times New Roman" w:hint="default"/>
          <w:spacing w:val="-3"/>
        </w:rPr>
        <w:t>13</w:t>
      </w:r>
      <w:r>
        <w:rPr>
          <w:spacing w:val="-3"/>
        </w:rPr>
        <w:t>。</w:t>
      </w:r>
      <w:r>
        <w:rPr>
          <w:spacing w:val="-94"/>
        </w:rPr>
        <w:t> </w:t>
      </w:r>
      <w:r>
        <w:rPr/>
        <w:t>对于未划分为持有待售资产的剩余权益性投资，采用权益法进行会计处理。</w:t>
      </w:r>
    </w:p>
    <w:p>
      <w:pPr>
        <w:pStyle w:val="BodyText"/>
        <w:spacing w:line="297" w:lineRule="auto" w:before="75"/>
        <w:ind w:left="154" w:right="1130" w:firstLine="420"/>
        <w:jc w:val="both"/>
      </w:pPr>
      <w:r>
        <w:rPr>
          <w:spacing w:val="-1"/>
        </w:rPr>
        <w:t>已划分为持有待售的对联营企业或合营企业的权益性投资，不再符合持有待售资产分类条件的，从被</w:t>
      </w:r>
      <w:r>
        <w:rPr/>
        <w:t> 分类为持有待售资产之日起采用权益法进行追溯调整。</w:t>
      </w:r>
    </w:p>
    <w:p>
      <w:pPr>
        <w:spacing w:line="240" w:lineRule="auto" w:before="0"/>
        <w:rPr>
          <w:rFonts w:ascii="宋体" w:hAnsi="宋体" w:cs="宋体" w:eastAsia="宋体" w:hint="default"/>
          <w:sz w:val="14"/>
          <w:szCs w:val="14"/>
        </w:rPr>
      </w:pPr>
    </w:p>
    <w:p>
      <w:pPr>
        <w:pStyle w:val="BodyText"/>
        <w:spacing w:line="417" w:lineRule="auto"/>
        <w:ind w:left="574" w:right="3192"/>
        <w:jc w:val="left"/>
        <w:rPr>
          <w:rFonts w:ascii="微软雅黑" w:hAnsi="微软雅黑" w:cs="微软雅黑" w:eastAsia="微软雅黑" w:hint="default"/>
        </w:rPr>
      </w:pPr>
      <w:r>
        <w:rPr/>
        <w:t>（</w:t>
      </w:r>
      <w:r>
        <w:rPr>
          <w:rFonts w:ascii="Times New Roman" w:hAnsi="Times New Roman" w:cs="Times New Roman" w:eastAsia="Times New Roman" w:hint="default"/>
        </w:rPr>
        <w:t>5</w:t>
      </w:r>
      <w:r>
        <w:rPr/>
        <w:t>）减值测试方法及减值准备计提方法 对子公司、联营企业及合营企业的投资，计提资产减值的方法见附注五、</w:t>
      </w:r>
      <w:r>
        <w:rPr>
          <w:rFonts w:ascii="Times New Roman" w:hAnsi="Times New Roman" w:cs="Times New Roman" w:eastAsia="Times New Roman" w:hint="default"/>
        </w:rPr>
        <w:t>22</w:t>
      </w:r>
      <w:r>
        <w:rPr/>
        <w:t>。 </w:t>
      </w:r>
      <w:bookmarkStart w:name="15、投资性房地产" w:id="189"/>
      <w:bookmarkEnd w:id="189"/>
      <w:r>
        <w:rPr/>
      </w:r>
      <w:r>
        <w:rPr>
          <w:rFonts w:ascii="Times New Roman" w:hAnsi="Times New Roman" w:cs="Times New Roman" w:eastAsia="Times New Roman" w:hint="default"/>
        </w:rPr>
        <w:t>15</w:t>
      </w:r>
      <w:r>
        <w:rPr>
          <w:rFonts w:ascii="微软雅黑" w:hAnsi="微软雅黑" w:cs="微软雅黑" w:eastAsia="微软雅黑" w:hint="default"/>
        </w:rPr>
        <w:t>、投资性房地产</w:t>
      </w:r>
    </w:p>
    <w:p>
      <w:pPr>
        <w:pStyle w:val="BodyText"/>
        <w:spacing w:line="444" w:lineRule="auto" w:before="147"/>
        <w:ind w:left="574" w:right="8232"/>
        <w:jc w:val="left"/>
      </w:pPr>
      <w:r>
        <w:rPr/>
        <w:t>投资性房地产计量模式 不适用</w:t>
      </w:r>
    </w:p>
    <w:p>
      <w:pPr>
        <w:pStyle w:val="BodyText"/>
        <w:spacing w:line="240" w:lineRule="auto" w:before="48"/>
        <w:ind w:left="574" w:right="1116"/>
        <w:jc w:val="left"/>
        <w:rPr>
          <w:rFonts w:ascii="微软雅黑" w:hAnsi="微软雅黑" w:cs="微软雅黑" w:eastAsia="微软雅黑" w:hint="default"/>
        </w:rPr>
      </w:pPr>
      <w:bookmarkStart w:name="16、固定资产" w:id="190"/>
      <w:bookmarkEnd w:id="190"/>
      <w:r>
        <w:rPr/>
      </w:r>
      <w:r>
        <w:rPr>
          <w:rFonts w:ascii="Times New Roman" w:hAnsi="Times New Roman" w:cs="Times New Roman" w:eastAsia="Times New Roman" w:hint="default"/>
        </w:rPr>
        <w:t>16</w:t>
      </w:r>
      <w:r>
        <w:rPr>
          <w:rFonts w:ascii="微软雅黑" w:hAnsi="微软雅黑" w:cs="微软雅黑" w:eastAsia="微软雅黑" w:hint="default"/>
        </w:rPr>
        <w:t>、固定资产</w:t>
      </w:r>
    </w:p>
    <w:p>
      <w:pPr>
        <w:pStyle w:val="BodyText"/>
        <w:spacing w:line="490" w:lineRule="atLeast" w:before="153"/>
        <w:ind w:left="574" w:right="1116"/>
        <w:jc w:val="left"/>
      </w:pPr>
      <w:bookmarkStart w:name="（1）确认条件" w:id="191"/>
      <w:bookmarkEnd w:id="191"/>
      <w:r>
        <w:rPr/>
      </w:r>
      <w:r>
        <w:rPr/>
        <w:t>（</w:t>
      </w:r>
      <w:r>
        <w:rPr>
          <w:rFonts w:ascii="Times New Roman" w:hAnsi="Times New Roman" w:cs="Times New Roman" w:eastAsia="Times New Roman" w:hint="default"/>
        </w:rPr>
        <w:t>1</w:t>
      </w:r>
      <w:r>
        <w:rPr/>
        <w:t>）确认条件 </w:t>
      </w:r>
      <w:r>
        <w:rPr>
          <w:spacing w:val="-1"/>
        </w:rPr>
        <w:t>本集团固定资产是指为生产商品、提供劳务、出租或经营管理而持有的，使用寿命超过一个会计年度</w:t>
      </w:r>
    </w:p>
    <w:p>
      <w:pPr>
        <w:pStyle w:val="BodyText"/>
        <w:spacing w:line="297" w:lineRule="auto" w:before="66"/>
        <w:ind w:left="154" w:right="1092"/>
        <w:jc w:val="left"/>
      </w:pPr>
      <w:r>
        <w:rPr/>
        <w:t>的有形资产。与该固定资产有关的经济利益很可能流入企业，并且该固定资产的成本能够可靠地计量时， 固定资产才能予以确认。本集团固定资产按照取得时的实际成本进行初始计量。</w:t>
      </w:r>
    </w:p>
    <w:p>
      <w:pPr>
        <w:spacing w:line="240" w:lineRule="auto" w:before="0"/>
        <w:rPr>
          <w:rFonts w:ascii="宋体" w:hAnsi="宋体" w:cs="宋体" w:eastAsia="宋体" w:hint="default"/>
          <w:sz w:val="14"/>
          <w:szCs w:val="14"/>
        </w:rPr>
      </w:pPr>
    </w:p>
    <w:p>
      <w:pPr>
        <w:pStyle w:val="BodyText"/>
        <w:spacing w:line="240" w:lineRule="auto"/>
        <w:ind w:left="574" w:right="1116"/>
        <w:jc w:val="left"/>
      </w:pPr>
      <w:bookmarkStart w:name="（2）折旧方法" w:id="192"/>
      <w:bookmarkEnd w:id="192"/>
      <w:r>
        <w:rPr/>
      </w:r>
      <w:r>
        <w:rPr/>
        <w:t>（</w:t>
      </w:r>
      <w:r>
        <w:rPr>
          <w:rFonts w:ascii="Times New Roman" w:hAnsi="Times New Roman" w:cs="Times New Roman" w:eastAsia="Times New Roman" w:hint="default"/>
        </w:rPr>
        <w:t>2</w:t>
      </w:r>
      <w:r>
        <w:rPr/>
        <w:t>）折旧方法</w:t>
      </w:r>
    </w:p>
    <w:p>
      <w:pPr>
        <w:spacing w:after="0" w:line="240" w:lineRule="auto"/>
        <w:jc w:val="left"/>
        <w:sectPr>
          <w:pgSz w:w="11910" w:h="16840"/>
          <w:pgMar w:header="801" w:footer="1007" w:top="1080" w:bottom="1200" w:left="98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971"/>
        <w:gridCol w:w="1971"/>
        <w:gridCol w:w="1972"/>
        <w:gridCol w:w="1971"/>
        <w:gridCol w:w="1972"/>
      </w:tblGrid>
      <w:tr>
        <w:trPr>
          <w:trHeight w:val="407"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39.67</w:t>
            </w:r>
            <w:r>
              <w:rPr>
                <w:rFonts w:ascii="宋体" w:hAnsi="宋体" w:cs="宋体" w:eastAsia="宋体" w:hint="default"/>
                <w:sz w:val="18"/>
                <w:szCs w:val="18"/>
              </w:rPr>
              <w:t>、</w:t>
            </w:r>
            <w:r>
              <w:rPr>
                <w:rFonts w:ascii="Times New Roman" w:hAnsi="Times New Roman" w:cs="Times New Roman" w:eastAsia="Times New Roman" w:hint="default"/>
                <w:sz w:val="18"/>
                <w:szCs w:val="18"/>
              </w:rPr>
              <w:t>33.42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2.45</w:t>
            </w:r>
            <w:r>
              <w:rPr>
                <w:rFonts w:ascii="宋体" w:hAnsi="宋体" w:cs="宋体" w:eastAsia="宋体" w:hint="default"/>
                <w:sz w:val="18"/>
                <w:szCs w:val="18"/>
              </w:rPr>
              <w:t>、</w:t>
            </w:r>
            <w:r>
              <w:rPr>
                <w:rFonts w:ascii="Times New Roman" w:hAnsi="Times New Roman" w:cs="Times New Roman" w:eastAsia="Times New Roman" w:hint="default"/>
                <w:sz w:val="18"/>
                <w:szCs w:val="18"/>
              </w:rPr>
              <w:t>2.90</w:t>
            </w:r>
          </w:p>
        </w:tc>
      </w:tr>
      <w:tr>
        <w:trPr>
          <w:trHeight w:val="408"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32.33</w:t>
            </w:r>
          </w:p>
        </w:tc>
      </w:tr>
      <w:tr>
        <w:trPr>
          <w:trHeight w:val="40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19.40</w:t>
            </w:r>
          </w:p>
        </w:tc>
      </w:tr>
      <w:tr>
        <w:trPr>
          <w:trHeight w:val="40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24.25</w:t>
            </w:r>
          </w:p>
        </w:tc>
      </w:tr>
      <w:tr>
        <w:trPr>
          <w:trHeight w:val="408"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32.33</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其中，已计提减值准备的固定资产，还应扣除已计提的固定资产减值准备累计金额计算确定折旧率。</w:t>
      </w:r>
    </w:p>
    <w:p>
      <w:pPr>
        <w:pStyle w:val="BodyText"/>
        <w:spacing w:line="490" w:lineRule="atLeast" w:before="33"/>
        <w:ind w:right="1017"/>
        <w:jc w:val="left"/>
      </w:pPr>
      <w:bookmarkStart w:name="（3）融资租入固定资产的认定依据、计价和折旧方法" w:id="193"/>
      <w:bookmarkEnd w:id="193"/>
      <w:r>
        <w:rPr/>
      </w:r>
      <w:r>
        <w:rPr/>
        <w:t>（</w:t>
      </w:r>
      <w:r>
        <w:rPr>
          <w:rFonts w:ascii="Times New Roman" w:hAnsi="Times New Roman" w:cs="Times New Roman" w:eastAsia="Times New Roman" w:hint="default"/>
        </w:rPr>
        <w:t>3</w:t>
      </w:r>
      <w:r>
        <w:rPr/>
        <w:t>）融资租入固定资产的认定依据、计价和折旧方法 </w:t>
      </w:r>
      <w:r>
        <w:rPr>
          <w:spacing w:val="-3"/>
        </w:rPr>
        <w:t>当本集团租入的固定资产符合下列一项或数项标准时，确认为融资租入固定资产：①在租赁期届满时，</w:t>
      </w:r>
    </w:p>
    <w:p>
      <w:pPr>
        <w:pStyle w:val="BodyText"/>
        <w:spacing w:line="295" w:lineRule="auto" w:before="66"/>
        <w:ind w:left="214" w:right="1110"/>
        <w:jc w:val="both"/>
      </w:pPr>
      <w:r>
        <w:rPr>
          <w:spacing w:val="-1"/>
        </w:rPr>
        <w:t>租赁资产的所有权转移给本集团。②本集团有购买租赁资产的选择权，所订立的购买价款预计将远低于行</w:t>
      </w:r>
      <w:r>
        <w:rPr>
          <w:spacing w:val="-81"/>
        </w:rPr>
        <w:t> </w:t>
      </w:r>
      <w:r>
        <w:rPr>
          <w:spacing w:val="-81"/>
        </w:rPr>
      </w:r>
      <w:r>
        <w:rPr>
          <w:spacing w:val="-1"/>
        </w:rPr>
        <w:t>使选择权时租赁资产的公允价值，因而在租赁开始日就可以合理确定本集团将会行使这种选择权。③即使</w:t>
      </w:r>
      <w:r>
        <w:rPr>
          <w:spacing w:val="-80"/>
        </w:rPr>
        <w:t> </w:t>
      </w:r>
      <w:r>
        <w:rPr>
          <w:spacing w:val="-80"/>
        </w:rPr>
      </w:r>
      <w:r>
        <w:rPr>
          <w:spacing w:val="-1"/>
        </w:rPr>
        <w:t>资产的所有权不转移，但租赁期占租赁资产使用寿命的大部分。④本集团在租赁开始日的最低租赁付款额</w:t>
      </w:r>
      <w:r>
        <w:rPr>
          <w:spacing w:val="-81"/>
        </w:rPr>
        <w:t> </w:t>
      </w:r>
      <w:r>
        <w:rPr>
          <w:spacing w:val="-81"/>
        </w:rPr>
      </w:r>
      <w:r>
        <w:rPr>
          <w:spacing w:val="-1"/>
        </w:rPr>
        <w:t>现值，几乎相当于租赁开始日租赁资产公允价值。⑤租赁资产性质特殊，如果不作较大改造，只有本集团</w:t>
      </w:r>
      <w:r>
        <w:rPr>
          <w:spacing w:val="-85"/>
        </w:rPr>
        <w:t> </w:t>
      </w:r>
      <w:r>
        <w:rPr>
          <w:spacing w:val="-85"/>
        </w:rPr>
      </w:r>
      <w:r>
        <w:rPr>
          <w:spacing w:val="-1"/>
        </w:rPr>
        <w:t>才能使用。融资租赁租入的固定资产，按租赁开始日租赁资产公允价值与最低租赁付款额的现值两者中较</w:t>
      </w:r>
      <w:r>
        <w:rPr>
          <w:spacing w:val="-80"/>
        </w:rPr>
        <w:t> </w:t>
      </w:r>
      <w:r>
        <w:rPr>
          <w:spacing w:val="-80"/>
        </w:rPr>
      </w:r>
      <w:r>
        <w:rPr>
          <w:spacing w:val="-1"/>
        </w:rPr>
        <w:t>低者，作为入账价值。最低租赁付款额作为长期应付款的入账价值，其差额作为未确认融资费用。在租赁</w:t>
      </w:r>
      <w:r>
        <w:rPr>
          <w:spacing w:val="-86"/>
        </w:rPr>
        <w:t> </w:t>
      </w:r>
      <w:r>
        <w:rPr>
          <w:spacing w:val="-86"/>
        </w:rPr>
      </w:r>
      <w:r>
        <w:rPr>
          <w:spacing w:val="-1"/>
        </w:rPr>
        <w:t>谈判和签订租赁合同过程中发生的，可归属于租赁项目的手续费、律师费、差旅费、印花税等初始直接费</w:t>
      </w:r>
      <w:r>
        <w:rPr>
          <w:spacing w:val="-86"/>
        </w:rPr>
        <w:t> </w:t>
      </w:r>
      <w:r>
        <w:rPr>
          <w:spacing w:val="-86"/>
        </w:rPr>
      </w:r>
      <w:r>
        <w:rPr>
          <w:spacing w:val="-1"/>
        </w:rPr>
        <w:t>用，计入租入资产价值。未确认融资费用在租赁期内各个期间采用实际利率法进行分摊。融资租入的固定</w:t>
      </w:r>
      <w:r>
        <w:rPr>
          <w:spacing w:val="-83"/>
        </w:rPr>
        <w:t> </w:t>
      </w:r>
      <w:r>
        <w:rPr>
          <w:spacing w:val="-83"/>
        </w:rPr>
      </w:r>
      <w:r>
        <w:rPr>
          <w:spacing w:val="-1"/>
        </w:rPr>
        <w:t>资产采用与自有固定资产一致的政策计提租赁资产折旧。能够合理确定租赁期届满时将会取得租赁资产所</w:t>
      </w:r>
      <w:r>
        <w:rPr>
          <w:spacing w:val="-81"/>
        </w:rPr>
        <w:t> </w:t>
      </w:r>
      <w:r>
        <w:rPr>
          <w:spacing w:val="-81"/>
        </w:rPr>
      </w:r>
      <w:r>
        <w:rPr/>
        <w:t>有权的，在租赁资产尚可使用年限内计提折旧；无法合理确定租赁期届满时能够取得租赁资产所有权的， </w:t>
      </w:r>
      <w:r>
        <w:rPr>
          <w:spacing w:val="-3"/>
        </w:rPr>
        <w:t>在租赁期与租赁资产尚可使用年限两者中较短的期间内计提折旧。（</w:t>
      </w:r>
      <w:r>
        <w:rPr>
          <w:rFonts w:ascii="Times New Roman" w:hAnsi="Times New Roman" w:cs="Times New Roman" w:eastAsia="Times New Roman" w:hint="default"/>
          <w:spacing w:val="-3"/>
        </w:rPr>
        <w:t>5</w:t>
      </w:r>
      <w:r>
        <w:rPr>
          <w:spacing w:val="-3"/>
        </w:rPr>
        <w:t>）每年年度终了，本集团对固定资产</w:t>
      </w:r>
      <w:r>
        <w:rPr>
          <w:spacing w:val="-93"/>
        </w:rPr>
        <w:t> </w:t>
      </w:r>
      <w:r>
        <w:rPr>
          <w:spacing w:val="-93"/>
        </w:rPr>
      </w:r>
      <w:r>
        <w:rPr>
          <w:spacing w:val="-1"/>
        </w:rPr>
        <w:t>的使用寿命、预计净残值和折旧方法进行复核。使用寿命预计数与原先估计数有差异的，调整固定资产使</w:t>
      </w:r>
      <w:r>
        <w:rPr>
          <w:spacing w:val="-83"/>
        </w:rPr>
        <w:t> </w:t>
      </w:r>
      <w:r>
        <w:rPr>
          <w:spacing w:val="-83"/>
        </w:rPr>
      </w:r>
      <w:r>
        <w:rPr>
          <w:spacing w:val="-3"/>
        </w:rPr>
        <w:t>用寿命；预计净残值预计数与原先估计数有差异的，调整预计净残值。（</w:t>
      </w:r>
      <w:r>
        <w:rPr>
          <w:rFonts w:ascii="Times New Roman" w:hAnsi="Times New Roman" w:cs="Times New Roman" w:eastAsia="Times New Roman" w:hint="default"/>
          <w:spacing w:val="-3"/>
        </w:rPr>
        <w:t>6</w:t>
      </w:r>
      <w:r>
        <w:rPr>
          <w:spacing w:val="-3"/>
        </w:rPr>
        <w:t>）大修理费用本集团对固定资产</w:t>
      </w:r>
      <w:r>
        <w:rPr>
          <w:spacing w:val="-96"/>
        </w:rPr>
        <w:t> </w:t>
      </w:r>
      <w:r>
        <w:rPr>
          <w:spacing w:val="-96"/>
        </w:rPr>
      </w:r>
      <w:r>
        <w:rPr>
          <w:spacing w:val="-1"/>
        </w:rPr>
        <w:t>进行定期检查发生的大修理费用，有确凿证据表明符合固定资产确认条件的部分，计入固定资产成本，不</w:t>
      </w:r>
      <w:r>
        <w:rPr>
          <w:spacing w:val="-83"/>
        </w:rPr>
        <w:t> </w:t>
      </w:r>
      <w:r>
        <w:rPr>
          <w:spacing w:val="-83"/>
        </w:rPr>
      </w:r>
      <w:r>
        <w:rPr/>
        <w:t>符合固定资产确认条件的计入当期损益。固定资产在定期大修理间隔期间，照提折旧。</w:t>
      </w:r>
    </w:p>
    <w:p>
      <w:pPr>
        <w:pStyle w:val="BodyText"/>
        <w:spacing w:line="458" w:lineRule="auto" w:before="178"/>
        <w:ind w:right="6762"/>
        <w:jc w:val="left"/>
      </w:pPr>
      <w:bookmarkStart w:name="17、在建工程" w:id="194"/>
      <w:bookmarkEnd w:id="194"/>
      <w:r>
        <w:rPr/>
      </w:r>
      <w:r>
        <w:rPr>
          <w:rFonts w:ascii="Times New Roman" w:hAnsi="Times New Roman" w:cs="Times New Roman" w:eastAsia="Times New Roman" w:hint="default"/>
        </w:rPr>
        <w:t>17</w:t>
      </w:r>
      <w:r>
        <w:rPr>
          <w:rFonts w:ascii="微软雅黑" w:hAnsi="微软雅黑" w:cs="微软雅黑" w:eastAsia="微软雅黑" w:hint="default"/>
        </w:rPr>
        <w:t>、在建工程 </w:t>
      </w:r>
      <w:r>
        <w:rPr/>
        <w:t>公司是否需要遵守特殊行业的披露要求 是</w:t>
      </w:r>
    </w:p>
    <w:p>
      <w:pPr>
        <w:pStyle w:val="BodyText"/>
        <w:spacing w:line="240" w:lineRule="auto" w:before="43"/>
        <w:ind w:right="1016"/>
        <w:jc w:val="left"/>
      </w:pPr>
      <w:r>
        <w:rPr/>
        <w:t>软件与信息技术服务业</w:t>
      </w:r>
    </w:p>
    <w:p>
      <w:pPr>
        <w:spacing w:line="240" w:lineRule="auto" w:before="10"/>
        <w:rPr>
          <w:rFonts w:ascii="宋体" w:hAnsi="宋体" w:cs="宋体" w:eastAsia="宋体" w:hint="default"/>
          <w:sz w:val="17"/>
          <w:szCs w:val="17"/>
        </w:rPr>
      </w:pPr>
    </w:p>
    <w:p>
      <w:pPr>
        <w:pStyle w:val="BodyText"/>
        <w:spacing w:line="297" w:lineRule="auto"/>
        <w:ind w:left="214" w:right="1016" w:firstLine="420"/>
        <w:jc w:val="left"/>
      </w:pPr>
      <w:r>
        <w:rPr>
          <w:spacing w:val="-1"/>
        </w:rPr>
        <w:t>本集团在建工程成本按实际工程支出确定，包括在建期间发生的各项必要工程支出、工程达到预定可</w:t>
      </w:r>
      <w:r>
        <w:rPr/>
        <w:t> 使用状态前的应予资本化的借款费用以及其他相关费用等。</w:t>
      </w:r>
    </w:p>
    <w:p>
      <w:pPr>
        <w:spacing w:line="240" w:lineRule="auto" w:before="1"/>
        <w:rPr>
          <w:rFonts w:ascii="宋体" w:hAnsi="宋体" w:cs="宋体" w:eastAsia="宋体" w:hint="default"/>
          <w:sz w:val="14"/>
          <w:szCs w:val="14"/>
        </w:rPr>
      </w:pPr>
    </w:p>
    <w:p>
      <w:pPr>
        <w:pStyle w:val="BodyText"/>
        <w:spacing w:line="444" w:lineRule="auto"/>
        <w:ind w:right="5712"/>
        <w:jc w:val="left"/>
      </w:pPr>
      <w:r>
        <w:rPr/>
        <w:t>在建工程在达到预定可使用状态时转入固定资产。 在建工程计提资产减值方法见附注五、</w:t>
      </w:r>
      <w:r>
        <w:rPr>
          <w:rFonts w:ascii="Times New Roman" w:hAnsi="Times New Roman" w:cs="Times New Roman" w:eastAsia="Times New Roman" w:hint="default"/>
        </w:rPr>
        <w:t>22</w:t>
      </w:r>
      <w:r>
        <w:rPr/>
        <w:t>。</w:t>
      </w:r>
    </w:p>
    <w:p>
      <w:pPr>
        <w:spacing w:after="0" w:line="444" w:lineRule="auto"/>
        <w:jc w:val="left"/>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left="574" w:right="1116"/>
        <w:jc w:val="left"/>
        <w:rPr>
          <w:rFonts w:ascii="微软雅黑" w:hAnsi="微软雅黑" w:cs="微软雅黑" w:eastAsia="微软雅黑" w:hint="default"/>
        </w:rPr>
      </w:pPr>
      <w:bookmarkStart w:name="18、借款费用" w:id="195"/>
      <w:bookmarkEnd w:id="195"/>
      <w:r>
        <w:rPr/>
      </w:r>
      <w:r>
        <w:rPr>
          <w:rFonts w:ascii="Times New Roman" w:hAnsi="Times New Roman" w:cs="Times New Roman" w:eastAsia="Times New Roman" w:hint="default"/>
        </w:rPr>
        <w:t>18</w:t>
      </w:r>
      <w:r>
        <w:rPr>
          <w:rFonts w:ascii="微软雅黑" w:hAnsi="微软雅黑" w:cs="微软雅黑" w:eastAsia="微软雅黑" w:hint="default"/>
        </w:rPr>
        <w:t>、借款费用</w:t>
      </w:r>
    </w:p>
    <w:p>
      <w:pPr>
        <w:pStyle w:val="BodyText"/>
        <w:spacing w:line="490" w:lineRule="atLeast" w:before="153"/>
        <w:ind w:left="574" w:right="1116"/>
        <w:jc w:val="left"/>
      </w:pPr>
      <w:r>
        <w:rPr/>
        <w:t>（</w:t>
      </w:r>
      <w:r>
        <w:rPr>
          <w:rFonts w:ascii="Times New Roman" w:hAnsi="Times New Roman" w:cs="Times New Roman" w:eastAsia="Times New Roman" w:hint="default"/>
        </w:rPr>
        <w:t>1</w:t>
      </w:r>
      <w:r>
        <w:rPr/>
        <w:t>）借款费用资本化的确认原则 </w:t>
      </w:r>
      <w:r>
        <w:rPr>
          <w:spacing w:val="-1"/>
        </w:rPr>
        <w:t>本集团发生的借款费用，可直接归属于符合资本化条件的资产的购建或者生产的，予以资本化，计入</w:t>
      </w:r>
    </w:p>
    <w:p>
      <w:pPr>
        <w:pStyle w:val="BodyText"/>
        <w:spacing w:line="297" w:lineRule="auto" w:before="66"/>
        <w:ind w:left="154" w:right="1133"/>
        <w:jc w:val="both"/>
      </w:pPr>
      <w:r>
        <w:rPr>
          <w:spacing w:val="-1"/>
        </w:rPr>
        <w:t>相关资产成本；其他借款费用，在发生时根据其发生额确认为费用，计入当期损益。借款费用同时满足下</w:t>
      </w:r>
      <w:r>
        <w:rPr>
          <w:spacing w:val="-86"/>
        </w:rPr>
        <w:t> </w:t>
      </w:r>
      <w:r>
        <w:rPr>
          <w:spacing w:val="-86"/>
        </w:rPr>
      </w:r>
      <w:r>
        <w:rPr/>
        <w:t>列条件的，开始资本化：</w:t>
      </w:r>
    </w:p>
    <w:p>
      <w:pPr>
        <w:spacing w:line="240" w:lineRule="auto" w:before="0"/>
        <w:rPr>
          <w:rFonts w:ascii="宋体" w:hAnsi="宋体" w:cs="宋体" w:eastAsia="宋体" w:hint="default"/>
          <w:sz w:val="14"/>
          <w:szCs w:val="14"/>
        </w:rPr>
      </w:pPr>
    </w:p>
    <w:p>
      <w:pPr>
        <w:pStyle w:val="BodyText"/>
        <w:spacing w:line="297" w:lineRule="auto"/>
        <w:ind w:left="154" w:right="1116" w:firstLine="420"/>
        <w:jc w:val="left"/>
      </w:pPr>
      <w:r>
        <w:rPr>
          <w:spacing w:val="-1"/>
        </w:rPr>
        <w:t>①资产支出已经发生，资产支出包括为购建或者生产符合资本化条件的资产而以支付现金、转移非现</w:t>
      </w:r>
      <w:r>
        <w:rPr/>
        <w:t> 金资产或者承担带息债务形式发生的支出；</w:t>
      </w:r>
    </w:p>
    <w:p>
      <w:pPr>
        <w:spacing w:line="240" w:lineRule="auto" w:before="12"/>
        <w:rPr>
          <w:rFonts w:ascii="宋体" w:hAnsi="宋体" w:cs="宋体" w:eastAsia="宋体" w:hint="default"/>
          <w:sz w:val="13"/>
          <w:szCs w:val="13"/>
        </w:rPr>
      </w:pPr>
    </w:p>
    <w:p>
      <w:pPr>
        <w:pStyle w:val="BodyText"/>
        <w:spacing w:line="240" w:lineRule="auto"/>
        <w:ind w:left="574" w:right="1116"/>
        <w:jc w:val="left"/>
      </w:pPr>
      <w:r>
        <w:rPr/>
        <w:t>②借款费用已经发生；</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③为使资产达到预定可使用或者可销售状态所必要的购建或者生产活动已经开始。</w:t>
      </w:r>
    </w:p>
    <w:p>
      <w:pPr>
        <w:pStyle w:val="BodyText"/>
        <w:spacing w:line="490" w:lineRule="atLeast" w:before="34"/>
        <w:ind w:left="574" w:right="1116"/>
        <w:jc w:val="left"/>
      </w:pPr>
      <w:r>
        <w:rPr/>
        <w:t>（</w:t>
      </w:r>
      <w:r>
        <w:rPr>
          <w:rFonts w:ascii="Times New Roman" w:hAnsi="Times New Roman" w:cs="Times New Roman" w:eastAsia="Times New Roman" w:hint="default"/>
        </w:rPr>
        <w:t>2</w:t>
      </w:r>
      <w:r>
        <w:rPr/>
        <w:t>）借款费用资本化期间 </w:t>
      </w:r>
      <w:r>
        <w:rPr>
          <w:spacing w:val="3"/>
        </w:rPr>
        <w:t>本集团购建或者生产符合资本化条件的资产达到预定可使用或者可销售状态时，借款费用停止资本</w:t>
      </w:r>
    </w:p>
    <w:p>
      <w:pPr>
        <w:pStyle w:val="BodyText"/>
        <w:spacing w:line="297" w:lineRule="auto" w:before="66"/>
        <w:ind w:left="154" w:right="1131"/>
        <w:jc w:val="both"/>
      </w:pPr>
      <w:r>
        <w:rPr>
          <w:spacing w:val="-1"/>
        </w:rPr>
        <w:t>化。在符合资本化条件的资产达到预定可使用或者可销售状态之后所发生的借款费用，在发生时根据其发</w:t>
      </w:r>
      <w:r>
        <w:rPr>
          <w:spacing w:val="-81"/>
        </w:rPr>
        <w:t> </w:t>
      </w:r>
      <w:r>
        <w:rPr>
          <w:spacing w:val="-81"/>
        </w:rPr>
      </w:r>
      <w:r>
        <w:rPr/>
        <w:t>生额确认为费用，计入当期损益。</w:t>
      </w:r>
    </w:p>
    <w:p>
      <w:pPr>
        <w:spacing w:line="240" w:lineRule="auto" w:before="0"/>
        <w:rPr>
          <w:rFonts w:ascii="宋体" w:hAnsi="宋体" w:cs="宋体" w:eastAsia="宋体" w:hint="default"/>
          <w:sz w:val="14"/>
          <w:szCs w:val="14"/>
        </w:rPr>
      </w:pPr>
    </w:p>
    <w:p>
      <w:pPr>
        <w:pStyle w:val="BodyText"/>
        <w:spacing w:line="280" w:lineRule="auto"/>
        <w:ind w:left="154" w:right="1116" w:firstLine="420"/>
        <w:jc w:val="left"/>
      </w:pPr>
      <w:r>
        <w:rPr/>
        <w:t>符合资本化条件的资产在购建或者生产过程中发生非正常中断、且中断时间连续超过</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个月的，暂停 借款费用的资本化；正常中断期间的借款费用继续资本化。</w:t>
      </w:r>
    </w:p>
    <w:p>
      <w:pPr>
        <w:pStyle w:val="BodyText"/>
        <w:spacing w:line="508" w:lineRule="exact" w:before="37"/>
        <w:ind w:left="574" w:right="1116"/>
        <w:jc w:val="left"/>
      </w:pPr>
      <w:r>
        <w:rPr/>
        <w:t>（</w:t>
      </w:r>
      <w:r>
        <w:rPr>
          <w:rFonts w:ascii="Times New Roman" w:hAnsi="Times New Roman" w:cs="Times New Roman" w:eastAsia="Times New Roman" w:hint="default"/>
        </w:rPr>
        <w:t>3</w:t>
      </w:r>
      <w:r>
        <w:rPr/>
        <w:t>）借款费用资本化率以及资本化金额的计算方法 </w:t>
      </w:r>
      <w:r>
        <w:rPr>
          <w:spacing w:val="-1"/>
        </w:rPr>
        <w:t>专门借款当期实际发生的利息费用，减去尚未动用的借款资金存入银行取得的利息收入或进行暂时性</w:t>
      </w:r>
    </w:p>
    <w:p>
      <w:pPr>
        <w:pStyle w:val="BodyText"/>
        <w:spacing w:line="297" w:lineRule="auto"/>
        <w:ind w:left="154" w:right="1131"/>
        <w:jc w:val="both"/>
      </w:pP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spacing w:line="240" w:lineRule="auto" w:before="12"/>
        <w:rPr>
          <w:rFonts w:ascii="宋体" w:hAnsi="宋体" w:cs="宋体" w:eastAsia="宋体" w:hint="default"/>
          <w:sz w:val="13"/>
          <w:szCs w:val="13"/>
        </w:rPr>
      </w:pPr>
    </w:p>
    <w:p>
      <w:pPr>
        <w:pStyle w:val="BodyText"/>
        <w:spacing w:line="240" w:lineRule="auto"/>
        <w:ind w:left="574" w:right="0"/>
        <w:jc w:val="left"/>
      </w:pPr>
      <w:r>
        <w:rPr/>
        <w:t>资本化期间内，外币专门借款的汇兑差额全部予以资本化；外币一般借款的汇兑差额计入当期损益。</w:t>
      </w:r>
    </w:p>
    <w:p>
      <w:pPr>
        <w:spacing w:line="240" w:lineRule="auto" w:before="13"/>
        <w:rPr>
          <w:rFonts w:ascii="宋体" w:hAnsi="宋体" w:cs="宋体" w:eastAsia="宋体" w:hint="default"/>
          <w:sz w:val="27"/>
          <w:szCs w:val="27"/>
        </w:rPr>
      </w:pPr>
    </w:p>
    <w:p>
      <w:pPr>
        <w:pStyle w:val="BodyText"/>
        <w:spacing w:line="240" w:lineRule="auto"/>
        <w:ind w:left="469" w:right="1116"/>
        <w:jc w:val="left"/>
      </w:pPr>
      <w:bookmarkStart w:name="19、生物资产" w:id="196"/>
      <w:bookmarkEnd w:id="196"/>
      <w:r>
        <w:rPr/>
      </w:r>
      <w:r>
        <w:rPr>
          <w:rFonts w:ascii="Times New Roman" w:hAnsi="Times New Roman" w:cs="Times New Roman" w:eastAsia="Times New Roman" w:hint="default"/>
        </w:rPr>
        <w:t>19</w:t>
      </w:r>
      <w:r>
        <w:rPr/>
        <w:t>、生物资产</w:t>
      </w:r>
    </w:p>
    <w:p>
      <w:pPr>
        <w:spacing w:line="240" w:lineRule="auto" w:before="0"/>
        <w:rPr>
          <w:rFonts w:ascii="宋体" w:hAnsi="宋体" w:cs="宋体" w:eastAsia="宋体" w:hint="default"/>
          <w:sz w:val="22"/>
          <w:szCs w:val="22"/>
        </w:rPr>
      </w:pPr>
    </w:p>
    <w:p>
      <w:pPr>
        <w:spacing w:before="0"/>
        <w:ind w:left="588" w:right="11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6"/>
        <w:rPr>
          <w:rFonts w:ascii="宋体" w:hAnsi="宋体" w:cs="宋体" w:eastAsia="宋体" w:hint="default"/>
          <w:sz w:val="22"/>
          <w:szCs w:val="22"/>
        </w:rPr>
      </w:pPr>
    </w:p>
    <w:p>
      <w:pPr>
        <w:pStyle w:val="BodyText"/>
        <w:spacing w:line="240" w:lineRule="auto"/>
        <w:ind w:left="469" w:right="1116"/>
        <w:jc w:val="left"/>
      </w:pPr>
      <w:bookmarkStart w:name="20、油气资产" w:id="197"/>
      <w:bookmarkEnd w:id="197"/>
      <w:r>
        <w:rPr/>
      </w:r>
      <w:r>
        <w:rPr>
          <w:rFonts w:ascii="Times New Roman" w:hAnsi="Times New Roman" w:cs="Times New Roman" w:eastAsia="Times New Roman" w:hint="default"/>
        </w:rPr>
        <w:t>20</w:t>
      </w:r>
      <w:r>
        <w:rPr/>
        <w:t>、油气资产</w:t>
      </w:r>
    </w:p>
    <w:p>
      <w:pPr>
        <w:spacing w:line="240" w:lineRule="auto" w:before="12"/>
        <w:rPr>
          <w:rFonts w:ascii="宋体" w:hAnsi="宋体" w:cs="宋体" w:eastAsia="宋体" w:hint="default"/>
          <w:sz w:val="21"/>
          <w:szCs w:val="21"/>
        </w:rPr>
      </w:pPr>
    </w:p>
    <w:p>
      <w:pPr>
        <w:spacing w:before="0"/>
        <w:ind w:left="588" w:right="11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6"/>
        <w:rPr>
          <w:rFonts w:ascii="宋体" w:hAnsi="宋体" w:cs="宋体" w:eastAsia="宋体" w:hint="default"/>
          <w:sz w:val="22"/>
          <w:szCs w:val="22"/>
        </w:rPr>
      </w:pPr>
    </w:p>
    <w:p>
      <w:pPr>
        <w:pStyle w:val="BodyText"/>
        <w:spacing w:line="240" w:lineRule="auto"/>
        <w:ind w:left="469" w:right="1116"/>
        <w:jc w:val="left"/>
      </w:pPr>
      <w:bookmarkStart w:name="21、无形资产" w:id="198"/>
      <w:bookmarkEnd w:id="198"/>
      <w:r>
        <w:rPr/>
      </w:r>
      <w:r>
        <w:rPr>
          <w:rFonts w:ascii="Times New Roman" w:hAnsi="Times New Roman" w:cs="Times New Roman" w:eastAsia="Times New Roman" w:hint="default"/>
        </w:rPr>
        <w:t>21</w:t>
      </w:r>
      <w:r>
        <w:rPr/>
        <w:t>、无形资产</w:t>
      </w:r>
    </w:p>
    <w:p>
      <w:pPr>
        <w:spacing w:line="240" w:lineRule="auto" w:before="8"/>
        <w:rPr>
          <w:rFonts w:ascii="宋体" w:hAnsi="宋体" w:cs="宋体" w:eastAsia="宋体" w:hint="default"/>
          <w:sz w:val="21"/>
          <w:szCs w:val="21"/>
        </w:rPr>
      </w:pPr>
    </w:p>
    <w:p>
      <w:pPr>
        <w:pStyle w:val="BodyText"/>
        <w:spacing w:line="432" w:lineRule="auto"/>
        <w:ind w:left="574" w:right="6762"/>
        <w:jc w:val="left"/>
      </w:pPr>
      <w:bookmarkStart w:name="（1）计价方法、使用寿命、减值测试" w:id="199"/>
      <w:bookmarkEnd w:id="199"/>
      <w:r>
        <w:rPr/>
      </w:r>
      <w:r>
        <w:rPr/>
        <w:t>（</w:t>
      </w:r>
      <w:r>
        <w:rPr>
          <w:rFonts w:ascii="Times New Roman" w:hAnsi="Times New Roman" w:cs="Times New Roman" w:eastAsia="Times New Roman" w:hint="default"/>
        </w:rPr>
        <w:t>1</w:t>
      </w:r>
      <w:r>
        <w:rPr/>
        <w:t>）计价方法、使用寿命、减值测试 公司是否需要遵守特殊行业的披露要求 是</w:t>
      </w:r>
    </w:p>
    <w:p>
      <w:pPr>
        <w:spacing w:after="0" w:line="432" w:lineRule="auto"/>
        <w:jc w:val="left"/>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40" w:lineRule="auto" w:before="35"/>
        <w:ind w:right="1016"/>
        <w:jc w:val="left"/>
      </w:pPr>
      <w:r>
        <w:rPr/>
        <w:t>软件与信息技术服务业</w:t>
      </w:r>
    </w:p>
    <w:p>
      <w:pPr>
        <w:pStyle w:val="BodyText"/>
        <w:spacing w:line="500" w:lineRule="atLeast" w:before="9"/>
        <w:ind w:right="1016"/>
        <w:jc w:val="left"/>
      </w:pPr>
      <w:r>
        <w:rPr/>
        <w:t>本集团无形资产包括外购软件、自有软件、合同权益及客户关系、专利技术及软件产品。 </w:t>
      </w:r>
      <w:r>
        <w:rPr>
          <w:spacing w:val="-1"/>
        </w:rPr>
        <w:t>无形资产按照成本进行初始计量，并于取得无形资产时分析判断其使用寿命。使用寿命为有限的，自</w:t>
      </w:r>
    </w:p>
    <w:p>
      <w:pPr>
        <w:pStyle w:val="BodyText"/>
        <w:spacing w:line="297" w:lineRule="auto" w:before="66"/>
        <w:ind w:left="214" w:right="1016"/>
        <w:jc w:val="left"/>
      </w:pPr>
      <w:r>
        <w:rPr>
          <w:spacing w:val="-1"/>
        </w:rPr>
        <w:t>无形资产可供使用时起，采用能反映与该资产有关的经济利益的预期实现方式的摊销方法，在预计使用年</w:t>
      </w:r>
      <w:r>
        <w:rPr>
          <w:spacing w:val="-81"/>
        </w:rPr>
        <w:t> </w:t>
      </w:r>
      <w:r>
        <w:rPr>
          <w:spacing w:val="-81"/>
        </w:rPr>
      </w:r>
      <w:r>
        <w:rPr/>
        <w:t>限内摊销；无法可靠确定预期实现方式的，采用直线法摊销；使用寿命不确定的无形资产，不作摊销。</w:t>
      </w:r>
    </w:p>
    <w:p>
      <w:pPr>
        <w:spacing w:line="240" w:lineRule="auto" w:before="12"/>
        <w:rPr>
          <w:rFonts w:ascii="宋体" w:hAnsi="宋体" w:cs="宋体" w:eastAsia="宋体" w:hint="default"/>
          <w:sz w:val="13"/>
          <w:szCs w:val="13"/>
        </w:rPr>
      </w:pPr>
    </w:p>
    <w:p>
      <w:pPr>
        <w:pStyle w:val="BodyText"/>
        <w:spacing w:line="240" w:lineRule="auto"/>
        <w:ind w:right="1016"/>
        <w:jc w:val="left"/>
      </w:pPr>
      <w:r>
        <w:rPr/>
        <w:t>使用寿命有限的无形资产摊销方法如下：</w:t>
      </w:r>
    </w:p>
    <w:p>
      <w:pPr>
        <w:spacing w:line="240" w:lineRule="auto" w:before="8"/>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3630"/>
        <w:gridCol w:w="2410"/>
        <w:gridCol w:w="3815"/>
      </w:tblGrid>
      <w:tr>
        <w:trPr>
          <w:trHeight w:val="427"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使用寿命</w:t>
            </w:r>
            <w:r>
              <w:rPr>
                <w:rFonts w:ascii="宋体" w:hAnsi="宋体" w:cs="宋体" w:eastAsia="宋体" w:hint="default"/>
                <w:sz w:val="18"/>
                <w:szCs w:val="18"/>
              </w:rPr>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摊销方法</w:t>
            </w:r>
            <w:r>
              <w:rPr>
                <w:rFonts w:ascii="宋体" w:hAnsi="宋体" w:cs="宋体" w:eastAsia="宋体" w:hint="default"/>
                <w:sz w:val="18"/>
                <w:szCs w:val="18"/>
              </w:rPr>
            </w:r>
          </w:p>
        </w:tc>
      </w:tr>
      <w:tr>
        <w:trPr>
          <w:trHeight w:val="427"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427"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自有软件</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5</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426"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合同权益及客户关系</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5.58</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2"/>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428"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专利技术及软件产品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5.58</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6"/>
        <w:rPr>
          <w:rFonts w:ascii="宋体" w:hAnsi="宋体" w:cs="宋体" w:eastAsia="宋体" w:hint="default"/>
          <w:sz w:val="7"/>
          <w:szCs w:val="7"/>
        </w:rPr>
      </w:pPr>
    </w:p>
    <w:p>
      <w:pPr>
        <w:pStyle w:val="BodyText"/>
        <w:spacing w:line="297" w:lineRule="auto" w:before="35"/>
        <w:ind w:left="214" w:right="1131" w:firstLine="420"/>
        <w:jc w:val="both"/>
      </w:pPr>
      <w:r>
        <w:rPr>
          <w:spacing w:val="-1"/>
        </w:rPr>
        <w:t>本集团于每年年度终了，对使用寿命有限的无形资产的使用寿命及摊销方法进行复核，与以前估计不</w:t>
      </w:r>
      <w:r>
        <w:rPr/>
        <w:t> 同的，调整原先估计数，并按会计估计变更处理。</w:t>
      </w:r>
    </w:p>
    <w:p>
      <w:pPr>
        <w:spacing w:line="240" w:lineRule="auto" w:before="0"/>
        <w:rPr>
          <w:rFonts w:ascii="宋体" w:hAnsi="宋体" w:cs="宋体" w:eastAsia="宋体" w:hint="default"/>
          <w:sz w:val="14"/>
          <w:szCs w:val="14"/>
        </w:rPr>
      </w:pPr>
    </w:p>
    <w:p>
      <w:pPr>
        <w:pStyle w:val="BodyText"/>
        <w:spacing w:line="297" w:lineRule="auto"/>
        <w:ind w:left="214" w:right="1132" w:firstLine="420"/>
        <w:jc w:val="both"/>
      </w:pPr>
      <w:r>
        <w:rPr>
          <w:spacing w:val="-1"/>
        </w:rPr>
        <w:t>资产负债表日预计某项无形资产已经不能给企业带来未来经济利益的，将该项无形资产的账面价值全</w:t>
      </w:r>
      <w:r>
        <w:rPr/>
        <w:t> 部转入当期损益。</w:t>
      </w:r>
    </w:p>
    <w:p>
      <w:pPr>
        <w:spacing w:line="240" w:lineRule="auto" w:before="12"/>
        <w:rPr>
          <w:rFonts w:ascii="宋体" w:hAnsi="宋体" w:cs="宋体" w:eastAsia="宋体" w:hint="default"/>
          <w:sz w:val="13"/>
          <w:szCs w:val="13"/>
        </w:rPr>
      </w:pPr>
    </w:p>
    <w:p>
      <w:pPr>
        <w:pStyle w:val="BodyText"/>
        <w:spacing w:line="240" w:lineRule="auto"/>
        <w:ind w:right="1016"/>
        <w:jc w:val="left"/>
      </w:pPr>
      <w:r>
        <w:rPr/>
        <w:t>无形资产计提资产减值方法见附注五、</w:t>
      </w:r>
      <w:r>
        <w:rPr>
          <w:rFonts w:ascii="Times New Roman" w:hAnsi="Times New Roman" w:cs="Times New Roman" w:eastAsia="Times New Roman" w:hint="default"/>
        </w:rPr>
        <w:t>22</w:t>
      </w:r>
      <w:r>
        <w:rPr/>
        <w:t>。</w:t>
      </w:r>
    </w:p>
    <w:p>
      <w:pPr>
        <w:spacing w:line="240" w:lineRule="auto" w:before="9"/>
        <w:rPr>
          <w:rFonts w:ascii="宋体" w:hAnsi="宋体" w:cs="宋体" w:eastAsia="宋体" w:hint="default"/>
          <w:sz w:val="16"/>
          <w:szCs w:val="16"/>
        </w:rPr>
      </w:pPr>
    </w:p>
    <w:p>
      <w:pPr>
        <w:pStyle w:val="BodyText"/>
        <w:spacing w:line="432" w:lineRule="auto"/>
        <w:ind w:right="1016"/>
        <w:jc w:val="left"/>
      </w:pPr>
      <w:bookmarkStart w:name="（2）内部研究开发支出会计政策" w:id="200"/>
      <w:bookmarkEnd w:id="200"/>
      <w:r>
        <w:rPr/>
      </w:r>
      <w:r>
        <w:rPr/>
        <w:t>（</w:t>
      </w:r>
      <w:r>
        <w:rPr>
          <w:rFonts w:ascii="Times New Roman" w:hAnsi="Times New Roman" w:cs="Times New Roman" w:eastAsia="Times New Roman" w:hint="default"/>
        </w:rPr>
        <w:t>2</w:t>
      </w:r>
      <w:r>
        <w:rPr/>
        <w:t>）内部研究开发支出会计政策 本集团将内部研究开发项目的支出，区分为研究阶段支出和开发阶段支出。 研究阶段的支出，于发生时计入当期损益。</w:t>
      </w:r>
    </w:p>
    <w:p>
      <w:pPr>
        <w:pStyle w:val="BodyText"/>
        <w:spacing w:line="297" w:lineRule="auto" w:before="66"/>
        <w:ind w:left="214" w:right="1131" w:firstLine="420"/>
        <w:jc w:val="both"/>
      </w:pPr>
      <w:r>
        <w:rPr>
          <w:spacing w:val="-1"/>
        </w:rPr>
        <w:t>开发阶段的支出，同时满足下列条件的，才能予以资本化，即：完成该无形资产以使其能够使用或出</w:t>
      </w:r>
      <w:r>
        <w:rPr/>
        <w:t> </w:t>
      </w:r>
      <w:r>
        <w:rPr>
          <w:spacing w:val="-1"/>
        </w:rPr>
        <w:t>售在技术上具有可行性；具有完成该无形资产并使用或出售的意图；无形资产产生经济利益的方式，包括</w:t>
      </w:r>
      <w:r>
        <w:rPr>
          <w:spacing w:val="-83"/>
        </w:rPr>
        <w:t> </w:t>
      </w:r>
      <w:r>
        <w:rPr>
          <w:spacing w:val="-83"/>
        </w:rPr>
      </w:r>
      <w:r>
        <w:rPr>
          <w:spacing w:val="-1"/>
        </w:rPr>
        <w:t>能够证明运用该无形资产生产的产品存在市场或无形资产自身存在市场，无形资产将在内部使用的，能够</w:t>
      </w:r>
      <w:r>
        <w:rPr>
          <w:spacing w:val="-81"/>
        </w:rPr>
        <w:t> </w:t>
      </w:r>
      <w:r>
        <w:rPr>
          <w:spacing w:val="-81"/>
        </w:rPr>
      </w:r>
      <w:r>
        <w:rPr>
          <w:spacing w:val="-1"/>
        </w:rPr>
        <w:t>证明其有用性；有足够的技术、财务资源和其他资源支持，以完成该无形资产的开发，并有能力使用或出</w:t>
      </w:r>
      <w:r>
        <w:rPr>
          <w:spacing w:val="-86"/>
        </w:rPr>
        <w:t> </w:t>
      </w:r>
      <w:r>
        <w:rPr>
          <w:spacing w:val="-86"/>
        </w:rPr>
      </w:r>
      <w:r>
        <w:rPr>
          <w:spacing w:val="-1"/>
        </w:rPr>
        <w:t>售该无形资产；归属于该无形资产开发阶段的支出能够可靠地计量。不满足上述条件的开发支出计入当期</w:t>
      </w:r>
      <w:r>
        <w:rPr>
          <w:spacing w:val="-81"/>
        </w:rPr>
        <w:t> </w:t>
      </w:r>
      <w:r>
        <w:rPr>
          <w:spacing w:val="-81"/>
        </w:rPr>
      </w:r>
      <w:r>
        <w:rPr/>
        <w:t>损益。</w:t>
      </w:r>
    </w:p>
    <w:p>
      <w:pPr>
        <w:spacing w:line="240" w:lineRule="auto" w:before="12"/>
        <w:rPr>
          <w:rFonts w:ascii="宋体" w:hAnsi="宋体" w:cs="宋体" w:eastAsia="宋体" w:hint="default"/>
          <w:sz w:val="13"/>
          <w:szCs w:val="13"/>
        </w:rPr>
      </w:pPr>
    </w:p>
    <w:p>
      <w:pPr>
        <w:pStyle w:val="BodyText"/>
        <w:spacing w:line="297" w:lineRule="auto"/>
        <w:ind w:left="214" w:right="1131" w:firstLine="420"/>
        <w:jc w:val="both"/>
      </w:pPr>
      <w:r>
        <w:rPr>
          <w:spacing w:val="-1"/>
        </w:rPr>
        <w:t>本集团研究开发项目在满足上述条件，通过技术可行性及经济可行性研究，形成项目立项后，进入开</w:t>
      </w:r>
      <w:r>
        <w:rPr/>
        <w:t> 发阶段。</w:t>
      </w:r>
    </w:p>
    <w:p>
      <w:pPr>
        <w:spacing w:line="240" w:lineRule="auto" w:before="0"/>
        <w:rPr>
          <w:rFonts w:ascii="宋体" w:hAnsi="宋体" w:cs="宋体" w:eastAsia="宋体" w:hint="default"/>
          <w:sz w:val="14"/>
          <w:szCs w:val="14"/>
        </w:rPr>
      </w:pPr>
    </w:p>
    <w:p>
      <w:pPr>
        <w:pStyle w:val="BodyText"/>
        <w:spacing w:line="297" w:lineRule="auto"/>
        <w:ind w:left="214" w:right="1132" w:firstLine="420"/>
        <w:jc w:val="both"/>
      </w:pPr>
      <w:r>
        <w:rPr>
          <w:spacing w:val="-1"/>
        </w:rPr>
        <w:t>已资本化的开发阶段的支出在资产负债表上列示为开发支出，自该项目达到预定用途之日转为无形资</w:t>
      </w:r>
      <w:r>
        <w:rPr/>
        <w:t> 产。</w:t>
      </w:r>
    </w:p>
    <w:p>
      <w:pPr>
        <w:pStyle w:val="BodyText"/>
        <w:spacing w:line="508" w:lineRule="exact" w:before="23"/>
        <w:ind w:right="1016"/>
        <w:jc w:val="left"/>
      </w:pPr>
      <w:r>
        <w:rPr/>
        <w:t>具体研发项目的资本化方法： </w:t>
      </w:r>
      <w:r>
        <w:rPr>
          <w:spacing w:val="-1"/>
        </w:rPr>
        <w:t>产品项目研究阶段：由项目（产品）经理申请设立</w:t>
      </w:r>
      <w:r>
        <w:rPr>
          <w:rFonts w:ascii="Times New Roman" w:hAnsi="Times New Roman" w:cs="Times New Roman" w:eastAsia="Times New Roman" w:hint="default"/>
          <w:spacing w:val="-1"/>
        </w:rPr>
        <w:t>‘</w:t>
      </w:r>
      <w:r>
        <w:rPr>
          <w:spacing w:val="-1"/>
        </w:rPr>
        <w:t>预研项目</w:t>
      </w:r>
      <w:r>
        <w:rPr>
          <w:rFonts w:ascii="Times New Roman" w:hAnsi="Times New Roman" w:cs="Times New Roman" w:eastAsia="Times New Roman" w:hint="default"/>
          <w:spacing w:val="-1"/>
        </w:rPr>
        <w:t>’,</w:t>
      </w:r>
      <w:r>
        <w:rPr>
          <w:spacing w:val="-1"/>
        </w:rPr>
        <w:t>对未来即将正式开发的产品项目进行关</w:t>
      </w:r>
    </w:p>
    <w:p>
      <w:pPr>
        <w:pStyle w:val="BodyText"/>
        <w:spacing w:line="283" w:lineRule="exact"/>
        <w:ind w:left="214" w:right="1016"/>
        <w:jc w:val="left"/>
      </w:pPr>
      <w:r>
        <w:rPr/>
        <w:t>键技术点测试</w:t>
      </w:r>
      <w:r>
        <w:rPr>
          <w:rFonts w:ascii="Times New Roman" w:hAnsi="Times New Roman" w:cs="Times New Roman" w:eastAsia="Times New Roman" w:hint="default"/>
        </w:rPr>
        <w:t>,</w:t>
      </w:r>
      <w:r>
        <w:rPr/>
        <w:t>以确保其有技术可行性</w:t>
      </w:r>
      <w:r>
        <w:rPr>
          <w:rFonts w:ascii="Times New Roman" w:hAnsi="Times New Roman" w:cs="Times New Roman" w:eastAsia="Times New Roman" w:hint="default"/>
        </w:rPr>
        <w:t>,</w:t>
      </w:r>
      <w:r>
        <w:rPr/>
        <w:t>不产生阶段性成果</w:t>
      </w:r>
      <w:r>
        <w:rPr>
          <w:rFonts w:ascii="Times New Roman" w:hAnsi="Times New Roman" w:cs="Times New Roman" w:eastAsia="Times New Roman" w:hint="default"/>
        </w:rPr>
        <w:t>,</w:t>
      </w:r>
      <w:r>
        <w:rPr/>
        <w:t>这部分支出为费用化支出</w:t>
      </w:r>
      <w:r>
        <w:rPr>
          <w:rFonts w:ascii="Times New Roman" w:hAnsi="Times New Roman" w:cs="Times New Roman" w:eastAsia="Times New Roman" w:hint="default"/>
        </w:rPr>
        <w:t>,</w:t>
      </w:r>
      <w:r>
        <w:rPr/>
        <w:t>计入当期损益。</w:t>
      </w:r>
    </w:p>
    <w:p>
      <w:pPr>
        <w:spacing w:after="0" w:line="283" w:lineRule="exact"/>
        <w:jc w:val="left"/>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92" w:lineRule="auto" w:before="35"/>
        <w:ind w:left="154" w:right="1017" w:firstLine="420"/>
        <w:jc w:val="left"/>
      </w:pPr>
      <w:r>
        <w:rPr>
          <w:spacing w:val="-3"/>
        </w:rPr>
        <w:t>产品项目开发阶段：在预研阶段确定了项目的技术可行性后，开始设立正式产品项目，由项目（产品）</w:t>
      </w:r>
      <w:r>
        <w:rPr/>
        <w:t> 经理提交</w:t>
      </w:r>
      <w:r>
        <w:rPr>
          <w:rFonts w:ascii="Times New Roman" w:hAnsi="Times New Roman" w:cs="Times New Roman" w:eastAsia="Times New Roman" w:hint="default"/>
        </w:rPr>
        <w:t>‘</w:t>
      </w:r>
      <w:r>
        <w:rPr/>
        <w:t>立项申请表</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w:t>
      </w:r>
      <w:r>
        <w:rPr/>
        <w:t>可行性分析报告</w:t>
      </w:r>
      <w:r>
        <w:rPr>
          <w:rFonts w:ascii="Times New Roman" w:hAnsi="Times New Roman" w:cs="Times New Roman" w:eastAsia="Times New Roman" w:hint="default"/>
        </w:rPr>
        <w:t>’</w:t>
      </w:r>
      <w:r>
        <w:rPr/>
        <w:t>，由项目（产品）管理委员会进行立项审核、事业群</w:t>
      </w:r>
      <w:r>
        <w:rPr>
          <w:rFonts w:ascii="Times New Roman" w:hAnsi="Times New Roman" w:cs="Times New Roman" w:eastAsia="Times New Roman" w:hint="default"/>
        </w:rPr>
        <w:t>(</w:t>
      </w:r>
      <w:r>
        <w:rPr/>
        <w:t>部</w:t>
      </w:r>
      <w:r>
        <w:rPr>
          <w:rFonts w:ascii="Times New Roman" w:hAnsi="Times New Roman" w:cs="Times New Roman" w:eastAsia="Times New Roman" w:hint="default"/>
        </w:rPr>
        <w:t>)</w:t>
      </w:r>
      <w:r>
        <w:rPr/>
        <w:t>负责</w:t>
      </w:r>
      <w:r>
        <w:rPr>
          <w:spacing w:val="1"/>
        </w:rPr>
        <w:t> </w:t>
      </w:r>
      <w:r>
        <w:rPr/>
        <w:t>人负责立项终审；事业部组织完成各阶段评审，审核内容涉及：技术可行性（研究阶段结果）、项目（产</w:t>
      </w:r>
      <w:r>
        <w:rPr/>
        <w:t> 品）未来应用空间、预期投入及收入等。此阶段支出能够可靠计量，立项审批通过后，相关支出发生时予 以资本化。</w:t>
      </w:r>
    </w:p>
    <w:p>
      <w:pPr>
        <w:spacing w:line="240" w:lineRule="auto" w:before="3"/>
        <w:rPr>
          <w:rFonts w:ascii="宋体" w:hAnsi="宋体" w:cs="宋体" w:eastAsia="宋体" w:hint="default"/>
          <w:sz w:val="14"/>
          <w:szCs w:val="14"/>
        </w:rPr>
      </w:pPr>
    </w:p>
    <w:p>
      <w:pPr>
        <w:pStyle w:val="BodyText"/>
        <w:spacing w:line="280" w:lineRule="auto"/>
        <w:ind w:left="154" w:right="1129" w:firstLine="420"/>
        <w:jc w:val="both"/>
      </w:pPr>
      <w:r>
        <w:rPr/>
        <w:t>产品项目后续阶段（如适用）：在正式产品项目结项后，由项目（产品）经理申请</w:t>
      </w:r>
      <w:r>
        <w:rPr>
          <w:rFonts w:ascii="Times New Roman" w:hAnsi="Times New Roman" w:cs="Times New Roman" w:eastAsia="Times New Roman" w:hint="default"/>
        </w:rPr>
        <w:t>‘</w:t>
      </w:r>
      <w:r>
        <w:rPr/>
        <w:t>后续项目</w:t>
      </w:r>
      <w:r>
        <w:rPr>
          <w:rFonts w:ascii="Times New Roman" w:hAnsi="Times New Roman" w:cs="Times New Roman" w:eastAsia="Times New Roman" w:hint="default"/>
        </w:rPr>
        <w:t>’</w:t>
      </w:r>
      <w:r>
        <w:rPr/>
        <w:t>对产品 进行微调及完善，此阶段不产生明显利益增值，相关支出费用化，计入当期损益。</w:t>
      </w:r>
    </w:p>
    <w:p>
      <w:pPr>
        <w:spacing w:line="240" w:lineRule="auto" w:before="2"/>
        <w:rPr>
          <w:rFonts w:ascii="宋体" w:hAnsi="宋体" w:cs="宋体" w:eastAsia="宋体" w:hint="default"/>
          <w:sz w:val="15"/>
          <w:szCs w:val="15"/>
        </w:rPr>
      </w:pPr>
    </w:p>
    <w:p>
      <w:pPr>
        <w:pStyle w:val="BodyText"/>
        <w:spacing w:line="288" w:lineRule="auto"/>
        <w:ind w:left="154" w:right="1131" w:firstLine="420"/>
        <w:jc w:val="both"/>
      </w:pPr>
      <w:r>
        <w:rPr>
          <w:spacing w:val="-1"/>
        </w:rPr>
        <w:t>产品项目再开发阶段（如适用）：基于上一阶段成果进行再开发，由项目（产品）经理申请正式产品</w:t>
      </w:r>
      <w:r>
        <w:rPr/>
        <w:t> </w:t>
      </w:r>
      <w:r>
        <w:rPr>
          <w:spacing w:val="-1"/>
        </w:rPr>
        <w:t>立项，需提交</w:t>
      </w:r>
      <w:r>
        <w:rPr>
          <w:rFonts w:ascii="Times New Roman" w:hAnsi="Times New Roman" w:cs="Times New Roman" w:eastAsia="Times New Roman" w:hint="default"/>
          <w:spacing w:val="-1"/>
        </w:rPr>
        <w:t>‘</w:t>
      </w:r>
      <w:r>
        <w:rPr>
          <w:spacing w:val="-1"/>
        </w:rPr>
        <w:t>立项申请表</w:t>
      </w:r>
      <w:r>
        <w:rPr>
          <w:rFonts w:ascii="Times New Roman" w:hAnsi="Times New Roman" w:cs="Times New Roman" w:eastAsia="Times New Roman" w:hint="default"/>
          <w:spacing w:val="-1"/>
        </w:rPr>
        <w:t>’</w:t>
      </w:r>
      <w:r>
        <w:rPr>
          <w:spacing w:val="-1"/>
        </w:rPr>
        <w:t>以及</w:t>
      </w:r>
      <w:r>
        <w:rPr>
          <w:rFonts w:ascii="Times New Roman" w:hAnsi="Times New Roman" w:cs="Times New Roman" w:eastAsia="Times New Roman" w:hint="default"/>
          <w:spacing w:val="-1"/>
        </w:rPr>
        <w:t>‘</w:t>
      </w:r>
      <w:r>
        <w:rPr>
          <w:spacing w:val="-1"/>
        </w:rPr>
        <w:t>可行性分析报告</w:t>
      </w:r>
      <w:r>
        <w:rPr>
          <w:rFonts w:ascii="Times New Roman" w:hAnsi="Times New Roman" w:cs="Times New Roman" w:eastAsia="Times New Roman" w:hint="default"/>
          <w:spacing w:val="-1"/>
        </w:rPr>
        <w:t>’</w:t>
      </w:r>
      <w:r>
        <w:rPr>
          <w:spacing w:val="-1"/>
        </w:rPr>
        <w:t>，由项目（产品）管理委员会进行立项审核、事业群</w:t>
      </w:r>
      <w:r>
        <w:rPr>
          <w:rFonts w:ascii="Times New Roman" w:hAnsi="Times New Roman" w:cs="Times New Roman" w:eastAsia="Times New Roman" w:hint="default"/>
          <w:spacing w:val="-1"/>
        </w:rPr>
        <w:t>(</w:t>
      </w:r>
      <w:r>
        <w:rPr>
          <w:spacing w:val="-1"/>
        </w:rPr>
        <w:t>部</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1"/>
        </w:rPr>
        <w:t> </w:t>
      </w:r>
      <w:r>
        <w:rPr>
          <w:spacing w:val="-1"/>
        </w:rPr>
        <w:t>负责人负责立项终审；事业部组织完成各阶段评审，审核内容涉及：技术可行性（研究阶段结果）、项目</w:t>
      </w:r>
    </w:p>
    <w:p>
      <w:pPr>
        <w:pStyle w:val="BodyText"/>
        <w:spacing w:line="297" w:lineRule="auto" w:before="24"/>
        <w:ind w:left="154" w:right="1116"/>
        <w:jc w:val="left"/>
      </w:pPr>
      <w:r>
        <w:rPr>
          <w:spacing w:val="-1"/>
        </w:rPr>
        <w:t>（产品）未来应用空间、预期投入及收入等。此阶段支出能够可靠的计量，立项审批通过后，相关支出发</w:t>
      </w:r>
      <w:r>
        <w:rPr>
          <w:spacing w:val="-83"/>
        </w:rPr>
        <w:t> </w:t>
      </w:r>
      <w:r>
        <w:rPr>
          <w:spacing w:val="-83"/>
        </w:rPr>
      </w:r>
      <w:r>
        <w:rPr/>
        <w:t>生时予以资本化。</w:t>
      </w:r>
    </w:p>
    <w:p>
      <w:pPr>
        <w:pStyle w:val="BodyText"/>
        <w:spacing w:line="240" w:lineRule="auto" w:before="175"/>
        <w:ind w:left="574" w:right="1116"/>
        <w:jc w:val="left"/>
        <w:rPr>
          <w:rFonts w:ascii="微软雅黑" w:hAnsi="微软雅黑" w:cs="微软雅黑" w:eastAsia="微软雅黑" w:hint="default"/>
        </w:rPr>
      </w:pPr>
      <w:bookmarkStart w:name="22、长期资产减值" w:id="201"/>
      <w:bookmarkEnd w:id="201"/>
      <w:r>
        <w:rPr/>
      </w:r>
      <w:r>
        <w:rPr>
          <w:rFonts w:ascii="Times New Roman" w:hAnsi="Times New Roman" w:cs="Times New Roman" w:eastAsia="Times New Roman" w:hint="default"/>
        </w:rPr>
        <w:t>22</w:t>
      </w:r>
      <w:r>
        <w:rPr>
          <w:rFonts w:ascii="微软雅黑" w:hAnsi="微软雅黑" w:cs="微软雅黑" w:eastAsia="微软雅黑" w:hint="default"/>
        </w:rPr>
        <w:t>、长期资产减值</w:t>
      </w:r>
    </w:p>
    <w:p>
      <w:pPr>
        <w:spacing w:line="240" w:lineRule="auto" w:before="8"/>
        <w:rPr>
          <w:rFonts w:ascii="微软雅黑" w:hAnsi="微软雅黑" w:cs="微软雅黑" w:eastAsia="微软雅黑" w:hint="default"/>
          <w:sz w:val="20"/>
          <w:szCs w:val="20"/>
        </w:rPr>
      </w:pPr>
    </w:p>
    <w:p>
      <w:pPr>
        <w:pStyle w:val="BodyText"/>
        <w:spacing w:line="297" w:lineRule="auto"/>
        <w:ind w:left="154" w:right="1131" w:firstLine="420"/>
        <w:jc w:val="both"/>
      </w:pPr>
      <w:r>
        <w:rPr>
          <w:spacing w:val="-1"/>
        </w:rPr>
        <w:t>对子公司、联营企业和合营企业的长期股权投资、采用成本模式进行后续计量的投资性房地产、固定</w:t>
      </w:r>
      <w:r>
        <w:rPr/>
        <w:t> </w:t>
      </w:r>
      <w:r>
        <w:rPr>
          <w:spacing w:val="-1"/>
        </w:rPr>
        <w:t>资产、在建工程、采用成本模式计量的生产性生物资产、无形资产、商誉、探明石油天然气矿区权益和井</w:t>
      </w:r>
      <w:r>
        <w:rPr>
          <w:spacing w:val="-83"/>
        </w:rPr>
        <w:t> </w:t>
      </w:r>
      <w:r>
        <w:rPr>
          <w:spacing w:val="-83"/>
        </w:rPr>
      </w:r>
      <w:r>
        <w:rPr>
          <w:spacing w:val="-1"/>
        </w:rPr>
        <w:t>及相关设施等（存货、按公允价值模式计量的投资性房地产、递延所得税资产、金融资产除外）的资产减</w:t>
      </w:r>
      <w:r>
        <w:rPr>
          <w:spacing w:val="-83"/>
        </w:rPr>
        <w:t> </w:t>
      </w:r>
      <w:r>
        <w:rPr>
          <w:spacing w:val="-83"/>
        </w:rPr>
      </w:r>
      <w:r>
        <w:rPr/>
        <w:t>值，按以下方法确定：</w:t>
      </w:r>
    </w:p>
    <w:p>
      <w:pPr>
        <w:spacing w:line="240" w:lineRule="auto" w:before="13"/>
        <w:rPr>
          <w:rFonts w:ascii="宋体" w:hAnsi="宋体" w:cs="宋体" w:eastAsia="宋体" w:hint="default"/>
          <w:sz w:val="13"/>
          <w:szCs w:val="13"/>
        </w:rPr>
      </w:pPr>
    </w:p>
    <w:p>
      <w:pPr>
        <w:pStyle w:val="BodyText"/>
        <w:spacing w:line="297" w:lineRule="auto"/>
        <w:ind w:left="154" w:right="1131" w:firstLine="420"/>
        <w:jc w:val="both"/>
      </w:pPr>
      <w:r>
        <w:rPr>
          <w:spacing w:val="-1"/>
        </w:rPr>
        <w:t>于资产负债表日判断资产是否存在可能发生减值的迹象，存在减值迹象的，本集团将估计其可收回金</w:t>
      </w:r>
      <w:r>
        <w:rPr/>
        <w:t> </w:t>
      </w:r>
      <w:r>
        <w:rPr>
          <w:spacing w:val="-1"/>
        </w:rPr>
        <w:t>额，进行减值测试。对因企业合并所形成的商誉、使用寿命不确定的无形资产和尚未达到可使用状态的无</w:t>
      </w:r>
      <w:r>
        <w:rPr>
          <w:spacing w:val="-83"/>
        </w:rPr>
        <w:t> </w:t>
      </w:r>
      <w:r>
        <w:rPr>
          <w:spacing w:val="-83"/>
        </w:rPr>
      </w:r>
      <w:r>
        <w:rPr/>
        <w:t>形资产无论是否存在减值迹象，每年都进行减值测试。</w:t>
      </w:r>
    </w:p>
    <w:p>
      <w:pPr>
        <w:spacing w:line="240" w:lineRule="auto" w:before="12"/>
        <w:rPr>
          <w:rFonts w:ascii="宋体" w:hAnsi="宋体" w:cs="宋体" w:eastAsia="宋体" w:hint="default"/>
          <w:sz w:val="13"/>
          <w:szCs w:val="13"/>
        </w:rPr>
      </w:pPr>
    </w:p>
    <w:p>
      <w:pPr>
        <w:pStyle w:val="BodyText"/>
        <w:spacing w:line="297" w:lineRule="auto"/>
        <w:ind w:left="154" w:right="1131" w:firstLine="420"/>
        <w:jc w:val="both"/>
      </w:pPr>
      <w:r>
        <w:rPr>
          <w:spacing w:val="3"/>
        </w:rPr>
        <w:t>可收回金额根据资产的公允价值减去处置费用后的净额与资产预计未来现金流量的现值两者之间较</w:t>
      </w:r>
      <w:r>
        <w:rPr/>
        <w:t> </w:t>
      </w:r>
      <w:r>
        <w:rPr>
          <w:spacing w:val="-1"/>
        </w:rPr>
        <w:t>高者确定。本集团以单项资产为基础估计其可收回金额；难以对单项资产的可收回金额进行估计的，以该</w:t>
      </w:r>
      <w:r>
        <w:rPr>
          <w:spacing w:val="-83"/>
        </w:rPr>
        <w:t> </w:t>
      </w:r>
      <w:r>
        <w:rPr>
          <w:spacing w:val="-83"/>
        </w:rPr>
      </w:r>
      <w:r>
        <w:rPr>
          <w:spacing w:val="-1"/>
        </w:rPr>
        <w:t>资产所属的资产组为基础确定资产组的可收回金额。资产组的认定，以资产组产生的主要现金流入是否独</w:t>
      </w:r>
      <w:r>
        <w:rPr>
          <w:spacing w:val="-81"/>
        </w:rPr>
        <w:t> </w:t>
      </w:r>
      <w:r>
        <w:rPr>
          <w:spacing w:val="-81"/>
        </w:rPr>
      </w:r>
      <w:r>
        <w:rPr/>
        <w:t>立于其他资产或者资产组的现金流入为依据。</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当资产或资产组的可收回金额低于其账面价值时，本集团将其账面价值减记至可收回金额，减记的金</w:t>
      </w:r>
      <w:r>
        <w:rPr/>
        <w:t> 额计入当期损益，同时计提相应的资产减值准备。</w:t>
      </w:r>
    </w:p>
    <w:p>
      <w:pPr>
        <w:spacing w:line="240" w:lineRule="auto" w:before="0"/>
        <w:rPr>
          <w:rFonts w:ascii="宋体" w:hAnsi="宋体" w:cs="宋体" w:eastAsia="宋体" w:hint="default"/>
          <w:sz w:val="14"/>
          <w:szCs w:val="14"/>
        </w:rPr>
      </w:pPr>
    </w:p>
    <w:p>
      <w:pPr>
        <w:pStyle w:val="BodyText"/>
        <w:spacing w:line="297" w:lineRule="auto"/>
        <w:ind w:left="154" w:right="1023" w:firstLine="420"/>
        <w:jc w:val="left"/>
      </w:pPr>
      <w:r>
        <w:rPr/>
        <w:t>就商誉的减值测试而言，对于因企业合并形成的商誉的账面价值，自购买日起按照合理的方法分摊至 </w:t>
      </w:r>
      <w:r>
        <w:rPr>
          <w:spacing w:val="-3"/>
        </w:rPr>
        <w:t>相关的资产组；难以分摊至相关的资产组的，将其分摊至相关的资产组组合。相关的资产组或资产组组合，</w:t>
      </w:r>
      <w:r>
        <w:rPr>
          <w:spacing w:val="-89"/>
        </w:rPr>
        <w:t> </w:t>
      </w:r>
      <w:r>
        <w:rPr>
          <w:spacing w:val="-89"/>
        </w:rPr>
      </w:r>
      <w:r>
        <w:rPr/>
        <w:t>是能够从企业合并的协同效应中受益的资产组或者资产组组合，且不大于本集团确定的报告分部。</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减值测试时，如与商誉相关的资产组或者资产组组合存在减值迹象的，首先对不包含商誉的资产组或</w:t>
      </w:r>
      <w:r>
        <w:rPr/>
        <w:t> </w:t>
      </w:r>
      <w:r>
        <w:rPr>
          <w:spacing w:val="-1"/>
        </w:rPr>
        <w:t>者资产组组合进行减值测试，计算可收回金额，确认相应的减值损失。然后对包含商誉的资产组或者资产</w:t>
      </w:r>
      <w:r>
        <w:rPr>
          <w:spacing w:val="-83"/>
        </w:rPr>
        <w:t> </w:t>
      </w:r>
      <w:r>
        <w:rPr>
          <w:spacing w:val="-83"/>
        </w:rPr>
      </w:r>
      <w:r>
        <w:rPr>
          <w:spacing w:val="-1"/>
        </w:rPr>
        <w:t>组组合进行减值测试，比较其账面价值与可收回金额，如可收回金额低于账面价值的，确认商誉的减值损</w:t>
      </w:r>
      <w:r>
        <w:rPr>
          <w:spacing w:val="-83"/>
        </w:rPr>
        <w:t> </w:t>
      </w:r>
      <w:r>
        <w:rPr>
          <w:spacing w:val="-83"/>
        </w:rPr>
      </w:r>
      <w:r>
        <w:rPr/>
        <w:t>失。</w:t>
      </w:r>
    </w:p>
    <w:p>
      <w:pPr>
        <w:spacing w:line="240" w:lineRule="auto" w:before="12"/>
        <w:rPr>
          <w:rFonts w:ascii="宋体" w:hAnsi="宋体" w:cs="宋体" w:eastAsia="宋体" w:hint="default"/>
          <w:sz w:val="13"/>
          <w:szCs w:val="13"/>
        </w:rPr>
      </w:pPr>
    </w:p>
    <w:p>
      <w:pPr>
        <w:pStyle w:val="BodyText"/>
        <w:spacing w:line="240" w:lineRule="auto"/>
        <w:ind w:left="574" w:right="1116"/>
        <w:jc w:val="left"/>
      </w:pPr>
      <w:r>
        <w:rPr/>
        <w:t>长期资产减值损失一经确认，在以后会计期间不再转回。</w:t>
      </w:r>
    </w:p>
    <w:p>
      <w:pPr>
        <w:spacing w:after="0" w:line="240" w:lineRule="auto"/>
        <w:jc w:val="left"/>
        <w:sectPr>
          <w:pgSz w:w="11910" w:h="16840"/>
          <w:pgMar w:header="801" w:footer="1007" w:top="1080" w:bottom="1200" w:left="980" w:right="0"/>
        </w:sectPr>
      </w:pPr>
    </w:p>
    <w:p>
      <w:pPr>
        <w:spacing w:line="240" w:lineRule="auto" w:before="10"/>
        <w:rPr>
          <w:rFonts w:ascii="宋体" w:hAnsi="宋体" w:cs="宋体" w:eastAsia="宋体" w:hint="default"/>
          <w:sz w:val="26"/>
          <w:szCs w:val="26"/>
        </w:rPr>
      </w:pPr>
    </w:p>
    <w:p>
      <w:pPr>
        <w:pStyle w:val="BodyText"/>
        <w:spacing w:line="324" w:lineRule="exact"/>
        <w:ind w:left="574" w:right="1116"/>
        <w:jc w:val="left"/>
        <w:rPr>
          <w:rFonts w:ascii="微软雅黑" w:hAnsi="微软雅黑" w:cs="微软雅黑" w:eastAsia="微软雅黑" w:hint="default"/>
        </w:rPr>
      </w:pPr>
      <w:bookmarkStart w:name="23、长期待摊费用" w:id="202"/>
      <w:bookmarkEnd w:id="202"/>
      <w:r>
        <w:rPr/>
      </w:r>
      <w:r>
        <w:rPr>
          <w:rFonts w:ascii="Times New Roman" w:hAnsi="Times New Roman" w:cs="Times New Roman" w:eastAsia="Times New Roman" w:hint="default"/>
        </w:rPr>
        <w:t>23</w:t>
      </w:r>
      <w:r>
        <w:rPr>
          <w:rFonts w:ascii="微软雅黑" w:hAnsi="微软雅黑" w:cs="微软雅黑" w:eastAsia="微软雅黑" w:hint="default"/>
        </w:rPr>
        <w:t>、长期待摊费用</w:t>
      </w:r>
    </w:p>
    <w:p>
      <w:pPr>
        <w:spacing w:line="240" w:lineRule="auto" w:before="7"/>
        <w:rPr>
          <w:rFonts w:ascii="微软雅黑" w:hAnsi="微软雅黑" w:cs="微软雅黑" w:eastAsia="微软雅黑" w:hint="default"/>
          <w:sz w:val="20"/>
          <w:szCs w:val="20"/>
        </w:rPr>
      </w:pPr>
    </w:p>
    <w:p>
      <w:pPr>
        <w:pStyle w:val="BodyText"/>
        <w:spacing w:line="297" w:lineRule="auto"/>
        <w:ind w:left="154" w:right="1116" w:firstLine="420"/>
        <w:jc w:val="left"/>
      </w:pPr>
      <w:r>
        <w:rPr>
          <w:spacing w:val="-1"/>
        </w:rPr>
        <w:t>本集团发生的长期待摊费用按实际成本计价，并按预计受益期限平均摊销。对不能使以后会计期间受</w:t>
      </w:r>
      <w:r>
        <w:rPr/>
        <w:t> 益的长期待摊费用项目，其摊余价值全部计入当期损益。</w:t>
      </w:r>
    </w:p>
    <w:p>
      <w:pPr>
        <w:pStyle w:val="BodyText"/>
        <w:spacing w:line="240" w:lineRule="auto" w:before="176"/>
        <w:ind w:left="574" w:right="1116"/>
        <w:jc w:val="left"/>
        <w:rPr>
          <w:rFonts w:ascii="微软雅黑" w:hAnsi="微软雅黑" w:cs="微软雅黑" w:eastAsia="微软雅黑" w:hint="default"/>
        </w:rPr>
      </w:pPr>
      <w:bookmarkStart w:name="24、职工薪酬" w:id="203"/>
      <w:bookmarkEnd w:id="203"/>
      <w:r>
        <w:rPr/>
      </w:r>
      <w:r>
        <w:rPr>
          <w:rFonts w:ascii="Times New Roman" w:hAnsi="Times New Roman" w:cs="Times New Roman" w:eastAsia="Times New Roman" w:hint="default"/>
        </w:rPr>
        <w:t>24</w:t>
      </w:r>
      <w:r>
        <w:rPr>
          <w:rFonts w:ascii="微软雅黑" w:hAnsi="微软雅黑" w:cs="微软雅黑" w:eastAsia="微软雅黑" w:hint="default"/>
        </w:rPr>
        <w:t>、职工薪酬</w:t>
      </w:r>
    </w:p>
    <w:p>
      <w:pPr>
        <w:spacing w:line="240" w:lineRule="auto" w:before="7"/>
        <w:rPr>
          <w:rFonts w:ascii="微软雅黑" w:hAnsi="微软雅黑" w:cs="微软雅黑" w:eastAsia="微软雅黑" w:hint="default"/>
          <w:sz w:val="20"/>
          <w:szCs w:val="20"/>
        </w:rPr>
      </w:pPr>
    </w:p>
    <w:p>
      <w:pPr>
        <w:pStyle w:val="BodyText"/>
        <w:spacing w:line="240" w:lineRule="auto"/>
        <w:ind w:left="574" w:right="1116"/>
        <w:jc w:val="left"/>
      </w:pPr>
      <w:bookmarkStart w:name="（1）短期薪酬的会计处理方法" w:id="204"/>
      <w:bookmarkEnd w:id="204"/>
      <w:r>
        <w:rPr/>
      </w:r>
      <w:r>
        <w:rPr/>
        <w:t>（</w:t>
      </w:r>
      <w:r>
        <w:rPr>
          <w:rFonts w:ascii="Times New Roman" w:hAnsi="Times New Roman" w:cs="Times New Roman" w:eastAsia="Times New Roman" w:hint="default"/>
        </w:rPr>
        <w:t>1</w:t>
      </w:r>
      <w:r>
        <w:rPr/>
        <w:t>）短期薪酬的会计处理方法</w:t>
      </w:r>
    </w:p>
    <w:p>
      <w:pPr>
        <w:pStyle w:val="BodyText"/>
        <w:spacing w:line="508" w:lineRule="exact" w:before="57"/>
        <w:ind w:left="574" w:right="1116" w:firstLine="210"/>
        <w:jc w:val="left"/>
      </w:pPr>
      <w:r>
        <w:rPr/>
        <w:t>①</w:t>
      </w:r>
      <w:r>
        <w:rPr>
          <w:spacing w:val="-1"/>
        </w:rPr>
        <w:t> </w:t>
      </w:r>
      <w:r>
        <w:rPr/>
        <w:t>职工薪酬的范围</w:t>
      </w:r>
      <w:r>
        <w:rPr/>
        <w:t> </w:t>
      </w:r>
      <w:r>
        <w:rPr>
          <w:spacing w:val="-1"/>
        </w:rPr>
        <w:t>职工薪酬，是指企业为获得职工提供的服务或解除劳动关系而给予的各种形式的报酬或补偿。职工薪</w:t>
      </w:r>
    </w:p>
    <w:p>
      <w:pPr>
        <w:pStyle w:val="BodyText"/>
        <w:spacing w:line="297" w:lineRule="auto"/>
        <w:ind w:left="154" w:right="1110"/>
        <w:jc w:val="both"/>
      </w:pPr>
      <w:r>
        <w:rPr/>
        <w:t>酬包括短期薪酬、离职后福利、辞退福利和其他长期职工福利。企业提供给职工配偶、子女、受赡养人、 已故员工遗属及其他受益人等的福利，也属于职工薪酬。</w:t>
      </w:r>
    </w:p>
    <w:p>
      <w:pPr>
        <w:spacing w:line="240" w:lineRule="auto" w:before="12"/>
        <w:rPr>
          <w:rFonts w:ascii="宋体" w:hAnsi="宋体" w:cs="宋体" w:eastAsia="宋体" w:hint="default"/>
          <w:sz w:val="13"/>
          <w:szCs w:val="13"/>
        </w:rPr>
      </w:pPr>
    </w:p>
    <w:p>
      <w:pPr>
        <w:pStyle w:val="BodyText"/>
        <w:spacing w:line="240" w:lineRule="auto"/>
        <w:ind w:left="574" w:right="1116"/>
        <w:jc w:val="left"/>
      </w:pPr>
      <w:r>
        <w:rPr/>
        <w:t>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t>项目。</w:t>
      </w:r>
    </w:p>
    <w:p>
      <w:pPr>
        <w:pStyle w:val="BodyText"/>
        <w:spacing w:line="508" w:lineRule="exact" w:before="57"/>
        <w:ind w:left="574" w:right="1116" w:firstLine="106"/>
        <w:jc w:val="left"/>
      </w:pPr>
      <w:r>
        <w:rPr/>
        <w:t>② 短期薪酬 </w:t>
      </w:r>
      <w:r>
        <w:rPr>
          <w:spacing w:val="-1"/>
        </w:rPr>
        <w:t>本集团在职工提供服务的会计期间，将实际发生的职工工资、奖金、按规定的基准和比例为职工缴纳</w:t>
      </w:r>
    </w:p>
    <w:p>
      <w:pPr>
        <w:pStyle w:val="BodyText"/>
        <w:spacing w:line="297" w:lineRule="auto"/>
        <w:ind w:left="154" w:right="1131"/>
        <w:jc w:val="both"/>
      </w:pPr>
      <w:r>
        <w:rPr>
          <w:spacing w:val="-1"/>
        </w:rPr>
        <w:t>的医疗保险费、工伤保险费和生育保险费等社会保险费和住房公积金，确认为负债，并计入当期损益或相</w:t>
      </w:r>
      <w:r>
        <w:rPr>
          <w:spacing w:val="-83"/>
        </w:rPr>
        <w:t> </w:t>
      </w:r>
      <w:r>
        <w:rPr>
          <w:spacing w:val="-83"/>
        </w:rPr>
      </w:r>
      <w:r>
        <w:rPr>
          <w:spacing w:val="-1"/>
        </w:rPr>
        <w:t>关资产成本。如果该负债预期在职工提供相关服务的年度报告期结束后十二个月内不能完全支付，且财务</w:t>
      </w:r>
      <w:r>
        <w:rPr>
          <w:spacing w:val="-81"/>
        </w:rPr>
        <w:t> </w:t>
      </w:r>
      <w:r>
        <w:rPr>
          <w:spacing w:val="-81"/>
        </w:rPr>
      </w:r>
      <w:r>
        <w:rPr/>
        <w:t>影响重大的，则该负债将以折现后的金额计量。</w:t>
      </w:r>
    </w:p>
    <w:p>
      <w:pPr>
        <w:pStyle w:val="BodyText"/>
        <w:spacing w:line="508" w:lineRule="exact" w:before="23"/>
        <w:ind w:left="574" w:right="1116"/>
        <w:jc w:val="left"/>
      </w:pPr>
      <w:bookmarkStart w:name="（2）离职后福利的会计处理方法" w:id="205"/>
      <w:bookmarkEnd w:id="205"/>
      <w:r>
        <w:rPr/>
      </w:r>
      <w:r>
        <w:rPr/>
        <w:t>（</w:t>
      </w:r>
      <w:r>
        <w:rPr>
          <w:rFonts w:ascii="Times New Roman" w:hAnsi="Times New Roman" w:cs="Times New Roman" w:eastAsia="Times New Roman" w:hint="default"/>
        </w:rPr>
        <w:t>2</w:t>
      </w:r>
      <w:r>
        <w:rPr/>
        <w:t>）离职后福利的会计处理方法 </w:t>
      </w:r>
      <w:r>
        <w:rPr>
          <w:spacing w:val="-1"/>
        </w:rPr>
        <w:t>离职后福利计划包括设定提存计划和设定受益计划。其中，设定提存计划，是指向独立的基金缴存固</w:t>
      </w:r>
    </w:p>
    <w:p>
      <w:pPr>
        <w:pStyle w:val="BodyText"/>
        <w:spacing w:line="297" w:lineRule="auto"/>
        <w:ind w:left="154" w:right="1131"/>
        <w:jc w:val="both"/>
      </w:pPr>
      <w:r>
        <w:rPr>
          <w:spacing w:val="-1"/>
        </w:rPr>
        <w:t>定费用后，企业不再承担进一步支付义务的离职后福利计划；设定受益计划，是指除设定提存计划以外的</w:t>
      </w:r>
      <w:r>
        <w:rPr>
          <w:spacing w:val="-83"/>
        </w:rPr>
        <w:t> </w:t>
      </w:r>
      <w:r>
        <w:rPr>
          <w:spacing w:val="-83"/>
        </w:rPr>
      </w:r>
      <w:r>
        <w:rPr/>
        <w:t>离职后福利计划。</w:t>
      </w:r>
    </w:p>
    <w:p>
      <w:pPr>
        <w:spacing w:line="240" w:lineRule="auto" w:before="12"/>
        <w:rPr>
          <w:rFonts w:ascii="宋体" w:hAnsi="宋体" w:cs="宋体" w:eastAsia="宋体" w:hint="default"/>
          <w:sz w:val="13"/>
          <w:szCs w:val="13"/>
        </w:rPr>
      </w:pPr>
    </w:p>
    <w:p>
      <w:pPr>
        <w:pStyle w:val="BodyText"/>
        <w:spacing w:line="444" w:lineRule="auto"/>
        <w:ind w:left="574" w:right="5922"/>
        <w:jc w:val="left"/>
      </w:pPr>
      <w:r>
        <w:rPr/>
        <w:t>设定提存计划 设定提存计划包括基本养老保险、失业保险等。</w:t>
      </w:r>
    </w:p>
    <w:p>
      <w:pPr>
        <w:pStyle w:val="BodyText"/>
        <w:spacing w:line="297" w:lineRule="auto" w:before="55"/>
        <w:ind w:left="154" w:right="1116" w:firstLine="420"/>
        <w:jc w:val="left"/>
      </w:pPr>
      <w:r>
        <w:rPr>
          <w:spacing w:val="-1"/>
        </w:rPr>
        <w:t>在职工提供服务的会计期间，根据设定提存计划计算的应缴存金额确认为负债，并计入当期损益或相</w:t>
      </w:r>
      <w:r>
        <w:rPr/>
        <w:t> 关资产成本。</w:t>
      </w:r>
    </w:p>
    <w:p>
      <w:pPr>
        <w:pStyle w:val="BodyText"/>
        <w:spacing w:line="508" w:lineRule="exact" w:before="22"/>
        <w:ind w:left="574" w:right="1116"/>
        <w:jc w:val="left"/>
      </w:pPr>
      <w:r>
        <w:rPr/>
        <w:t>设定受益计划 </w:t>
      </w:r>
      <w:r>
        <w:rPr>
          <w:spacing w:val="-1"/>
        </w:rPr>
        <w:t>对于设定受益计划，在年度资产负债表日由独立精算师进行精算估值，以预期累积福利单位法确定提</w:t>
      </w:r>
    </w:p>
    <w:p>
      <w:pPr>
        <w:pStyle w:val="BodyText"/>
        <w:spacing w:line="268" w:lineRule="exact"/>
        <w:ind w:left="154" w:right="0"/>
        <w:jc w:val="both"/>
      </w:pPr>
      <w:r>
        <w:rPr/>
        <w:t>供福利的成本。本集团设定受益计划导致的职工薪酬成本包括下列组成部分：</w:t>
      </w:r>
    </w:p>
    <w:p>
      <w:pPr>
        <w:spacing w:line="240" w:lineRule="auto" w:before="12"/>
        <w:rPr>
          <w:rFonts w:ascii="宋体" w:hAnsi="宋体" w:cs="宋体" w:eastAsia="宋体" w:hint="default"/>
          <w:sz w:val="17"/>
          <w:szCs w:val="17"/>
        </w:rPr>
      </w:pPr>
    </w:p>
    <w:p>
      <w:pPr>
        <w:pStyle w:val="BodyText"/>
        <w:spacing w:line="297" w:lineRule="auto"/>
        <w:ind w:left="154" w:right="1131" w:firstLine="420"/>
        <w:jc w:val="both"/>
      </w:pPr>
      <w:r>
        <w:rPr>
          <w:spacing w:val="-1"/>
        </w:rPr>
        <w:t>①服务成本，包括当期服务成本、过去服务成本和结算利得或损失。其中，当期服务成本，是指职工</w:t>
      </w:r>
      <w:r>
        <w:rPr/>
        <w:t> </w:t>
      </w:r>
      <w:r>
        <w:rPr>
          <w:spacing w:val="-1"/>
        </w:rPr>
        <w:t>当期提供服务所导致的设定受益计划义务现值的增加额；过去服务成本，是指设定受益计划修改所导致的</w:t>
      </w:r>
      <w:r>
        <w:rPr>
          <w:spacing w:val="-81"/>
        </w:rPr>
        <w:t> </w:t>
      </w:r>
      <w:r>
        <w:rPr>
          <w:spacing w:val="-81"/>
        </w:rPr>
      </w:r>
      <w:r>
        <w:rPr/>
        <w:t>与以前期间职工服务相关的设定受益计划义务现值的增加或减少。</w:t>
      </w:r>
    </w:p>
    <w:p>
      <w:pPr>
        <w:spacing w:line="240" w:lineRule="auto" w:before="12"/>
        <w:rPr>
          <w:rFonts w:ascii="宋体" w:hAnsi="宋体" w:cs="宋体" w:eastAsia="宋体" w:hint="default"/>
          <w:sz w:val="13"/>
          <w:szCs w:val="13"/>
        </w:rPr>
      </w:pPr>
    </w:p>
    <w:p>
      <w:pPr>
        <w:pStyle w:val="BodyText"/>
        <w:spacing w:line="297" w:lineRule="auto"/>
        <w:ind w:left="154" w:right="1116" w:firstLine="420"/>
        <w:jc w:val="left"/>
      </w:pPr>
      <w:r>
        <w:rPr>
          <w:spacing w:val="-1"/>
        </w:rPr>
        <w:t>②设定受益计划净负债或净资产的利息净额，包括计划资产的利息收益、设定受益计划义务的利息费</w:t>
      </w:r>
      <w:r>
        <w:rPr/>
        <w:t> 用以及资产上限影响的利息。</w:t>
      </w:r>
    </w:p>
    <w:p>
      <w:pPr>
        <w:spacing w:after="0" w:line="297" w:lineRule="auto"/>
        <w:jc w:val="left"/>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40" w:lineRule="auto" w:before="35"/>
        <w:ind w:left="574" w:right="1116"/>
        <w:jc w:val="left"/>
      </w:pPr>
      <w:r>
        <w:rPr/>
        <w:t>③重新计量设定受益计划净负债或净资产所产生的变动。</w:t>
      </w:r>
    </w:p>
    <w:p>
      <w:pPr>
        <w:spacing w:line="240" w:lineRule="auto" w:before="12"/>
        <w:rPr>
          <w:rFonts w:ascii="宋体" w:hAnsi="宋体" w:cs="宋体" w:eastAsia="宋体" w:hint="default"/>
          <w:sz w:val="17"/>
          <w:szCs w:val="17"/>
        </w:rPr>
      </w:pPr>
    </w:p>
    <w:p>
      <w:pPr>
        <w:pStyle w:val="BodyText"/>
        <w:spacing w:line="297" w:lineRule="auto"/>
        <w:ind w:left="154" w:right="1110" w:firstLine="420"/>
        <w:jc w:val="both"/>
      </w:pPr>
      <w:r>
        <w:rPr/>
        <w:t>除非其他会计准则要求或允许职工福利成本计入资产成本，本集团将上述第①和②项计入当期损益； </w:t>
      </w:r>
      <w:r>
        <w:rPr>
          <w:spacing w:val="-1"/>
        </w:rPr>
        <w:t>第③项计入其他综合收益且不会在后续会计期间转回至损益，在原设定受益计划终止时在权益范围内将原</w:t>
      </w:r>
      <w:r>
        <w:rPr>
          <w:spacing w:val="-81"/>
        </w:rPr>
        <w:t> </w:t>
      </w:r>
      <w:r>
        <w:rPr>
          <w:spacing w:val="-81"/>
        </w:rPr>
      </w:r>
      <w:r>
        <w:rPr/>
        <w:t>计入其他综合收益的部分全部结转至未分配利润。</w:t>
      </w:r>
    </w:p>
    <w:p>
      <w:pPr>
        <w:pStyle w:val="BodyText"/>
        <w:spacing w:line="508" w:lineRule="exact" w:before="22"/>
        <w:ind w:left="574" w:right="1116"/>
        <w:jc w:val="left"/>
      </w:pPr>
      <w:bookmarkStart w:name="（3）辞退福利的会计处理方法" w:id="206"/>
      <w:bookmarkEnd w:id="206"/>
      <w:r>
        <w:rPr/>
      </w:r>
      <w:r>
        <w:rPr/>
        <w:t>（</w:t>
      </w:r>
      <w:r>
        <w:rPr>
          <w:rFonts w:ascii="Times New Roman" w:hAnsi="Times New Roman" w:cs="Times New Roman" w:eastAsia="Times New Roman" w:hint="default"/>
        </w:rPr>
        <w:t>3</w:t>
      </w:r>
      <w:r>
        <w:rPr/>
        <w:t>）辞退福利的会计处理方法 </w:t>
      </w:r>
      <w:r>
        <w:rPr>
          <w:spacing w:val="-1"/>
        </w:rPr>
        <w:t>本集团向职工提供辞退福利的，在下列两者孰早日确认辞退福利产生的职工薪酬负债，并计入当期损</w:t>
      </w:r>
    </w:p>
    <w:p>
      <w:pPr>
        <w:pStyle w:val="BodyText"/>
        <w:spacing w:line="297" w:lineRule="auto"/>
        <w:ind w:left="154" w:right="1131"/>
        <w:jc w:val="both"/>
      </w:pPr>
      <w:r>
        <w:rPr>
          <w:spacing w:val="-1"/>
        </w:rPr>
        <w:t>益：本集团不能单方面撤回因解除劳动关系计划或裁减建议所提供的辞退福利时；本集团确认与涉及支付</w:t>
      </w:r>
      <w:r>
        <w:rPr>
          <w:spacing w:val="-81"/>
        </w:rPr>
        <w:t> </w:t>
      </w:r>
      <w:r>
        <w:rPr>
          <w:spacing w:val="-81"/>
        </w:rPr>
      </w:r>
      <w:r>
        <w:rPr/>
        <w:t>辞退福利的重组相关的成本或费用时。</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实行职工内部退休计划的，在正式退休日之前的经济补偿，属于辞退福利，自职工停止提供服务日至</w:t>
      </w:r>
      <w:r>
        <w:rPr/>
        <w:t> </w:t>
      </w:r>
      <w:r>
        <w:rPr>
          <w:spacing w:val="-1"/>
        </w:rPr>
        <w:t>正常退休日期间，拟支付的内退职工工资和缴纳的社会保险费等一次性计入当期损益。正式退休日期之后</w:t>
      </w:r>
      <w:r>
        <w:rPr>
          <w:spacing w:val="-81"/>
        </w:rPr>
        <w:t> </w:t>
      </w:r>
      <w:r>
        <w:rPr>
          <w:spacing w:val="-81"/>
        </w:rPr>
      </w:r>
      <w:r>
        <w:rPr/>
        <w:t>的经济补偿（如正常养老退休金），按照离职后福利处理。</w:t>
      </w:r>
    </w:p>
    <w:p>
      <w:pPr>
        <w:pStyle w:val="BodyText"/>
        <w:spacing w:line="508" w:lineRule="exact" w:before="22"/>
        <w:ind w:left="574" w:right="1116"/>
        <w:jc w:val="left"/>
      </w:pPr>
      <w:bookmarkStart w:name="（4）其他长期职工福利的会计处理方法" w:id="207"/>
      <w:bookmarkEnd w:id="207"/>
      <w:r>
        <w:rPr/>
      </w:r>
      <w:r>
        <w:rPr/>
        <w:t>（</w:t>
      </w:r>
      <w:r>
        <w:rPr>
          <w:rFonts w:ascii="Times New Roman" w:hAnsi="Times New Roman" w:cs="Times New Roman" w:eastAsia="Times New Roman" w:hint="default"/>
        </w:rPr>
        <w:t>4</w:t>
      </w:r>
      <w:r>
        <w:rPr/>
        <w:t>）其他长期职工福利的会计处理方法 </w:t>
      </w:r>
      <w:r>
        <w:rPr>
          <w:spacing w:val="-1"/>
        </w:rPr>
        <w:t>本集团向职工提供的其他长期职工福利，符合设定提存计划条件的，按照上述关于设定提存计划的有</w:t>
      </w:r>
    </w:p>
    <w:p>
      <w:pPr>
        <w:pStyle w:val="BodyText"/>
        <w:spacing w:line="297" w:lineRule="auto"/>
        <w:ind w:left="154" w:right="1131"/>
        <w:jc w:val="both"/>
      </w:pPr>
      <w:r>
        <w:rPr>
          <w:spacing w:val="-1"/>
        </w:rPr>
        <w:t>关规定进行处理。符合设定受益计划的，按照上述关于设定受益计划的有关规定进行处理，但相关职工薪</w:t>
      </w:r>
      <w:r>
        <w:rPr>
          <w:spacing w:val="-83"/>
        </w:rPr>
        <w:t> </w:t>
      </w:r>
      <w:r>
        <w:rPr>
          <w:spacing w:val="-83"/>
        </w:rPr>
      </w:r>
      <w:r>
        <w:rPr/>
        <w:t>酬成本中</w:t>
      </w:r>
      <w:r>
        <w:rPr>
          <w:rFonts w:ascii="Times New Roman" w:hAnsi="Times New Roman" w:cs="Times New Roman" w:eastAsia="Times New Roman" w:hint="default"/>
        </w:rPr>
        <w:t>“</w:t>
      </w:r>
      <w:r>
        <w:rPr/>
        <w:t>重新计量设定受益计划净负债或净资产所产生的变动</w:t>
      </w:r>
      <w:r>
        <w:rPr>
          <w:rFonts w:ascii="Times New Roman" w:hAnsi="Times New Roman" w:cs="Times New Roman" w:eastAsia="Times New Roman" w:hint="default"/>
        </w:rPr>
        <w:t>”</w:t>
      </w:r>
      <w:r>
        <w:rPr/>
        <w:t>部分计入当期损益或相关资产成本。</w:t>
      </w:r>
    </w:p>
    <w:p>
      <w:pPr>
        <w:pStyle w:val="BodyText"/>
        <w:spacing w:line="240" w:lineRule="auto" w:before="154"/>
        <w:ind w:left="574" w:right="1116"/>
        <w:jc w:val="left"/>
        <w:rPr>
          <w:rFonts w:ascii="微软雅黑" w:hAnsi="微软雅黑" w:cs="微软雅黑" w:eastAsia="微软雅黑" w:hint="default"/>
        </w:rPr>
      </w:pPr>
      <w:bookmarkStart w:name="25、预计负债" w:id="208"/>
      <w:bookmarkEnd w:id="208"/>
      <w:r>
        <w:rPr/>
      </w:r>
      <w:r>
        <w:rPr>
          <w:rFonts w:ascii="Times New Roman" w:hAnsi="Times New Roman" w:cs="Times New Roman" w:eastAsia="Times New Roman" w:hint="default"/>
        </w:rPr>
        <w:t>25</w:t>
      </w:r>
      <w:r>
        <w:rPr>
          <w:rFonts w:ascii="微软雅黑" w:hAnsi="微软雅黑" w:cs="微软雅黑" w:eastAsia="微软雅黑" w:hint="default"/>
        </w:rPr>
        <w:t>、预计负债</w:t>
      </w:r>
    </w:p>
    <w:p>
      <w:pPr>
        <w:spacing w:line="240" w:lineRule="auto" w:before="9"/>
        <w:rPr>
          <w:rFonts w:ascii="微软雅黑" w:hAnsi="微软雅黑" w:cs="微软雅黑" w:eastAsia="微软雅黑" w:hint="default"/>
          <w:sz w:val="20"/>
          <w:szCs w:val="20"/>
        </w:rPr>
      </w:pPr>
    </w:p>
    <w:p>
      <w:pPr>
        <w:pStyle w:val="BodyText"/>
        <w:spacing w:line="240" w:lineRule="auto"/>
        <w:ind w:left="574" w:right="1116"/>
        <w:jc w:val="left"/>
      </w:pPr>
      <w:r>
        <w:rPr/>
        <w:t>如果与或有事项相关的义务同时符合以下条件，本集团将其确认为预计负债：</w:t>
      </w:r>
    </w:p>
    <w:p>
      <w:pPr>
        <w:spacing w:line="240" w:lineRule="auto" w:before="10"/>
        <w:rPr>
          <w:rFonts w:ascii="宋体" w:hAnsi="宋体" w:cs="宋体" w:eastAsia="宋体" w:hint="default"/>
          <w:sz w:val="17"/>
          <w:szCs w:val="17"/>
        </w:rPr>
      </w:pPr>
    </w:p>
    <w:p>
      <w:pPr>
        <w:pStyle w:val="BodyText"/>
        <w:spacing w:line="240" w:lineRule="auto"/>
        <w:ind w:left="574" w:right="1116"/>
        <w:jc w:val="left"/>
      </w:pPr>
      <w:r>
        <w:rPr/>
        <w:t>（</w:t>
      </w:r>
      <w:r>
        <w:rPr>
          <w:rFonts w:ascii="Times New Roman" w:hAnsi="Times New Roman" w:cs="Times New Roman" w:eastAsia="Times New Roman" w:hint="default"/>
        </w:rPr>
        <w:t>1</w:t>
      </w:r>
      <w:r>
        <w:rPr/>
        <w:t>）该义务是本集团承担的现时义务；</w:t>
      </w:r>
    </w:p>
    <w:p>
      <w:pPr>
        <w:spacing w:line="240" w:lineRule="auto" w:before="9"/>
        <w:rPr>
          <w:rFonts w:ascii="宋体" w:hAnsi="宋体" w:cs="宋体" w:eastAsia="宋体" w:hint="default"/>
          <w:sz w:val="16"/>
          <w:szCs w:val="16"/>
        </w:rPr>
      </w:pPr>
    </w:p>
    <w:p>
      <w:pPr>
        <w:pStyle w:val="BodyText"/>
        <w:spacing w:line="240" w:lineRule="auto"/>
        <w:ind w:left="574" w:right="1116"/>
        <w:jc w:val="left"/>
      </w:pPr>
      <w:r>
        <w:rPr/>
        <w:t>（</w:t>
      </w:r>
      <w:r>
        <w:rPr>
          <w:rFonts w:ascii="Times New Roman" w:hAnsi="Times New Roman" w:cs="Times New Roman" w:eastAsia="Times New Roman" w:hint="default"/>
        </w:rPr>
        <w:t>2</w:t>
      </w:r>
      <w:r>
        <w:rPr/>
        <w:t>）该义务的履行很可能导致经济利益流出本集团；</w:t>
      </w:r>
    </w:p>
    <w:p>
      <w:pPr>
        <w:pStyle w:val="BodyText"/>
        <w:spacing w:line="490" w:lineRule="atLeast" w:before="19"/>
        <w:ind w:left="574" w:right="1116"/>
        <w:jc w:val="left"/>
      </w:pPr>
      <w:r>
        <w:rPr/>
        <w:t>（</w:t>
      </w:r>
      <w:r>
        <w:rPr>
          <w:rFonts w:ascii="Times New Roman" w:hAnsi="Times New Roman" w:cs="Times New Roman" w:eastAsia="Times New Roman" w:hint="default"/>
        </w:rPr>
        <w:t>3</w:t>
      </w:r>
      <w:r>
        <w:rPr/>
        <w:t>）该义务的金额能够可靠地计量。 </w:t>
      </w:r>
      <w:r>
        <w:rPr>
          <w:spacing w:val="-1"/>
        </w:rPr>
        <w:t>预计负债按照履行相关现时义务所需支出的最佳估计数进行初始计量，并综合考虑与或有事项有关的</w:t>
      </w:r>
    </w:p>
    <w:p>
      <w:pPr>
        <w:pStyle w:val="BodyText"/>
        <w:spacing w:line="297" w:lineRule="auto" w:before="66"/>
        <w:ind w:left="154" w:right="1131"/>
        <w:jc w:val="both"/>
      </w:pPr>
      <w:r>
        <w:rPr>
          <w:spacing w:val="-1"/>
        </w:rPr>
        <w:t>风险、不确定性和货币时间价值等因素。货币时间价值影响重大的，通过对相关未来现金流出进行折现后</w:t>
      </w:r>
      <w:r>
        <w:rPr>
          <w:spacing w:val="-83"/>
        </w:rPr>
        <w:t> </w:t>
      </w:r>
      <w:r>
        <w:rPr>
          <w:spacing w:val="-83"/>
        </w:rPr>
      </w:r>
      <w:r>
        <w:rPr>
          <w:spacing w:val="-1"/>
        </w:rPr>
        <w:t>确定最佳估计数。本集团于资产负债表日对预计负债的账面价值进行复核，并对账面价值进行调整以反映</w:t>
      </w:r>
      <w:r>
        <w:rPr>
          <w:spacing w:val="-81"/>
        </w:rPr>
        <w:t> </w:t>
      </w:r>
      <w:r>
        <w:rPr>
          <w:spacing w:val="-81"/>
        </w:rPr>
      </w:r>
      <w:r>
        <w:rPr/>
        <w:t>当前最佳估计数。</w:t>
      </w:r>
    </w:p>
    <w:p>
      <w:pPr>
        <w:spacing w:line="240" w:lineRule="auto" w:before="0"/>
        <w:rPr>
          <w:rFonts w:ascii="宋体" w:hAnsi="宋体" w:cs="宋体" w:eastAsia="宋体" w:hint="default"/>
          <w:sz w:val="14"/>
          <w:szCs w:val="14"/>
        </w:rPr>
      </w:pPr>
    </w:p>
    <w:p>
      <w:pPr>
        <w:pStyle w:val="BodyText"/>
        <w:spacing w:line="297" w:lineRule="auto"/>
        <w:ind w:left="154" w:right="1132" w:firstLine="420"/>
        <w:jc w:val="both"/>
      </w:pPr>
      <w:r>
        <w:rPr>
          <w:spacing w:val="-1"/>
        </w:rPr>
        <w:t>如果清偿已确认预计负债所需支出全部或部分预期由第三方或其他方补偿，则补偿金额只能在基本确</w:t>
      </w:r>
      <w:r>
        <w:rPr/>
        <w:t> 定能收到时，作为资产单独确认。确认的补偿金额不超过所确认负债的账面价值。</w:t>
      </w:r>
    </w:p>
    <w:p>
      <w:pPr>
        <w:pStyle w:val="BodyText"/>
        <w:spacing w:line="240" w:lineRule="auto" w:before="176"/>
        <w:ind w:left="574" w:right="1116"/>
        <w:jc w:val="left"/>
        <w:rPr>
          <w:rFonts w:ascii="微软雅黑" w:hAnsi="微软雅黑" w:cs="微软雅黑" w:eastAsia="微软雅黑" w:hint="default"/>
        </w:rPr>
      </w:pPr>
      <w:bookmarkStart w:name="26、股份支付" w:id="209"/>
      <w:bookmarkEnd w:id="209"/>
      <w:r>
        <w:rPr/>
      </w:r>
      <w:r>
        <w:rPr>
          <w:rFonts w:ascii="Times New Roman" w:hAnsi="Times New Roman" w:cs="Times New Roman" w:eastAsia="Times New Roman" w:hint="default"/>
        </w:rPr>
        <w:t>26</w:t>
      </w:r>
      <w:r>
        <w:rPr>
          <w:rFonts w:ascii="微软雅黑" w:hAnsi="微软雅黑" w:cs="微软雅黑" w:eastAsia="微软雅黑" w:hint="default"/>
        </w:rPr>
        <w:t>、股份支付</w:t>
      </w:r>
    </w:p>
    <w:p>
      <w:pPr>
        <w:spacing w:line="240" w:lineRule="auto" w:before="7"/>
        <w:rPr>
          <w:rFonts w:ascii="微软雅黑" w:hAnsi="微软雅黑" w:cs="微软雅黑" w:eastAsia="微软雅黑" w:hint="default"/>
          <w:sz w:val="20"/>
          <w:szCs w:val="20"/>
        </w:rPr>
      </w:pPr>
    </w:p>
    <w:p>
      <w:pPr>
        <w:pStyle w:val="BodyText"/>
        <w:spacing w:line="420" w:lineRule="auto"/>
        <w:ind w:left="574" w:right="3822"/>
        <w:jc w:val="left"/>
      </w:pPr>
      <w:r>
        <w:rPr/>
        <w:t>（</w:t>
      </w:r>
      <w:r>
        <w:rPr>
          <w:rFonts w:ascii="Times New Roman" w:hAnsi="Times New Roman" w:cs="Times New Roman" w:eastAsia="Times New Roman" w:hint="default"/>
        </w:rPr>
        <w:t>1</w:t>
      </w:r>
      <w:r>
        <w:rPr/>
        <w:t>）股份支付的种类 本集团股份支付分为以权益结算的股份支付和以现金结算的股份支付。</w:t>
      </w:r>
    </w:p>
    <w:p>
      <w:pPr>
        <w:pStyle w:val="BodyText"/>
        <w:spacing w:line="420" w:lineRule="auto" w:before="75"/>
        <w:ind w:left="574" w:right="1116"/>
        <w:jc w:val="left"/>
      </w:pPr>
      <w:r>
        <w:rPr/>
        <w:t>（</w:t>
      </w:r>
      <w:r>
        <w:rPr>
          <w:rFonts w:ascii="Times New Roman" w:hAnsi="Times New Roman" w:cs="Times New Roman" w:eastAsia="Times New Roman" w:hint="default"/>
        </w:rPr>
        <w:t>2</w:t>
      </w:r>
      <w:r>
        <w:rPr/>
        <w:t>）权益工具公允价值的确定方法 </w:t>
      </w:r>
      <w:r>
        <w:rPr>
          <w:spacing w:val="-1"/>
        </w:rPr>
        <w:t>本集团对于授予的存在活跃市场的期权等权益工具，按照活跃市场中的报价确定其公允价值。对于授</w:t>
      </w:r>
    </w:p>
    <w:p>
      <w:pPr>
        <w:spacing w:after="0" w:line="420" w:lineRule="auto"/>
        <w:jc w:val="left"/>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88" w:lineRule="auto" w:before="35"/>
        <w:ind w:left="154" w:right="1010"/>
        <w:jc w:val="left"/>
      </w:pPr>
      <w:r>
        <w:rPr/>
        <w:t>予的不存在活跃市场的期权等权益工具，采用期权定价模型等确定其公允价值。选用的期权定价模型考虑 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 股份的预计股利；</w:t>
      </w:r>
      <w:r>
        <w:rPr>
          <w:rFonts w:ascii="Times New Roman" w:hAnsi="Times New Roman" w:cs="Times New Roman" w:eastAsia="Times New Roman" w:hint="default"/>
        </w:rPr>
        <w:t>F</w:t>
      </w:r>
      <w:r>
        <w:rPr/>
        <w:t>、期权有效期内的无风险利率。</w:t>
      </w:r>
    </w:p>
    <w:p>
      <w:pPr>
        <w:pStyle w:val="BodyText"/>
        <w:spacing w:line="508" w:lineRule="exact" w:before="11"/>
        <w:ind w:left="574" w:right="1092"/>
        <w:jc w:val="left"/>
      </w:pPr>
      <w:r>
        <w:rPr/>
        <w:t>（</w:t>
      </w:r>
      <w:r>
        <w:rPr>
          <w:rFonts w:ascii="Times New Roman" w:hAnsi="Times New Roman" w:cs="Times New Roman" w:eastAsia="Times New Roman" w:hint="default"/>
        </w:rPr>
        <w:t>3</w:t>
      </w:r>
      <w:r>
        <w:rPr/>
        <w:t>）确认可行权权益工具最佳估计的依据 等待期内每个资产负债表日，本集团根据最新取得的可行权职工人数变动等后续信息作出最佳估计，</w:t>
      </w:r>
    </w:p>
    <w:p>
      <w:pPr>
        <w:pStyle w:val="BodyText"/>
        <w:spacing w:line="297" w:lineRule="auto"/>
        <w:ind w:left="154" w:right="1116"/>
        <w:jc w:val="left"/>
      </w:pPr>
      <w:r>
        <w:rPr>
          <w:spacing w:val="-1"/>
        </w:rPr>
        <w:t>修正预计可行权的权益工具数量。在可行权日，最终预计可行权权益工具的数量应当与实际可行权数量一</w:t>
      </w:r>
      <w:r>
        <w:rPr>
          <w:spacing w:val="-80"/>
        </w:rPr>
        <w:t> </w:t>
      </w:r>
      <w:r>
        <w:rPr>
          <w:spacing w:val="-80"/>
        </w:rPr>
      </w:r>
      <w:r>
        <w:rPr/>
        <w:t>致。</w:t>
      </w:r>
    </w:p>
    <w:p>
      <w:pPr>
        <w:pStyle w:val="BodyText"/>
        <w:spacing w:line="508" w:lineRule="exact" w:before="22"/>
        <w:ind w:left="574" w:right="1116"/>
        <w:jc w:val="left"/>
      </w:pPr>
      <w:r>
        <w:rPr/>
        <w:t>（</w:t>
      </w:r>
      <w:r>
        <w:rPr>
          <w:rFonts w:ascii="Times New Roman" w:hAnsi="Times New Roman" w:cs="Times New Roman" w:eastAsia="Times New Roman" w:hint="default"/>
        </w:rPr>
        <w:t>4</w:t>
      </w:r>
      <w:r>
        <w:rPr/>
        <w:t>）实施、修改、终止股份支付计划的相关会计处理 </w:t>
      </w:r>
      <w:r>
        <w:rPr>
          <w:spacing w:val="-1"/>
        </w:rPr>
        <w:t>以权益结算的股份支付，按授予职工权益工具的公允价值计量。授予后立即可行权的，在授予日按照</w:t>
      </w:r>
    </w:p>
    <w:p>
      <w:pPr>
        <w:pStyle w:val="BodyText"/>
        <w:spacing w:line="297" w:lineRule="auto"/>
        <w:ind w:left="154" w:right="1131"/>
        <w:jc w:val="both"/>
      </w:pPr>
      <w:r>
        <w:rPr>
          <w:spacing w:val="-1"/>
        </w:rPr>
        <w:t>权益工具的公允价值计入相关成本或费用，相应增加资本公积。在完成等待期内的服务或达到规定业绩条</w:t>
      </w:r>
      <w:r>
        <w:rPr>
          <w:spacing w:val="-81"/>
        </w:rPr>
        <w:t> </w:t>
      </w:r>
      <w:r>
        <w:rPr>
          <w:spacing w:val="-81"/>
        </w:rPr>
      </w:r>
      <w:r>
        <w:rPr>
          <w:spacing w:val="-1"/>
        </w:rPr>
        <w:t>件才可行权的，在等待期内的每个资产负债表日，以对可行权权益工具数量的最佳估计为基础，按照权益</w:t>
      </w:r>
      <w:r>
        <w:rPr>
          <w:spacing w:val="-83"/>
        </w:rPr>
        <w:t> </w:t>
      </w:r>
      <w:r>
        <w:rPr>
          <w:spacing w:val="-83"/>
        </w:rPr>
      </w:r>
      <w:r>
        <w:rPr>
          <w:spacing w:val="-1"/>
        </w:rPr>
        <w:t>工具授予日的公允价值，将当期取得的服务计入相关成本或费用和资本公积。在可行权日之后不再对已确</w:t>
      </w:r>
      <w:r>
        <w:rPr>
          <w:spacing w:val="-81"/>
        </w:rPr>
        <w:t> </w:t>
      </w:r>
      <w:r>
        <w:rPr>
          <w:spacing w:val="-81"/>
        </w:rPr>
      </w:r>
      <w:r>
        <w:rPr/>
        <w:t>认的相关成本或费用和所有者权益总额进行调整。</w:t>
      </w:r>
    </w:p>
    <w:p>
      <w:pPr>
        <w:spacing w:line="240" w:lineRule="auto" w:before="0"/>
        <w:rPr>
          <w:rFonts w:ascii="宋体" w:hAnsi="宋体" w:cs="宋体" w:eastAsia="宋体" w:hint="default"/>
          <w:sz w:val="14"/>
          <w:szCs w:val="14"/>
        </w:rPr>
      </w:pPr>
    </w:p>
    <w:p>
      <w:pPr>
        <w:pStyle w:val="BodyText"/>
        <w:spacing w:line="297" w:lineRule="auto"/>
        <w:ind w:left="154" w:right="1023" w:firstLine="420"/>
        <w:jc w:val="left"/>
      </w:pPr>
      <w:r>
        <w:rPr/>
        <w:t>以现金结算的股份支付，按照本集团承担的以股份或其他权益工具为基础计算确定的负债的公允价值 </w:t>
      </w:r>
      <w:r>
        <w:rPr>
          <w:spacing w:val="-3"/>
        </w:rPr>
        <w:t>计量。授予后立即可行权的，在授予日以本集团承担负债的公允价值计入相关成本或费用，相应增加负债。</w:t>
      </w:r>
      <w:r>
        <w:rPr>
          <w:spacing w:val="-90"/>
        </w:rPr>
        <w:t> </w:t>
      </w:r>
      <w:r>
        <w:rPr>
          <w:spacing w:val="-90"/>
        </w:rPr>
      </w:r>
      <w:r>
        <w:rPr/>
        <w:t>在完成等待期内的服务或达到规定业绩条件以后才可行权的以现金结算的股份支付，在等待期内的每个资</w:t>
      </w:r>
      <w:r>
        <w:rPr/>
        <w:t> 产负债表日，以对可行权情况的最佳估计为基础，按照本集团承担负债的公允价值金额，将当期取得的服 务计入成本或费用和相应的负债。在相关负债结算前的每个资产负债表日以及结算日，对负债的公允价值 重新计量，其变动计入当期损益。</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本集团对股份支付计划进行修改时，若修改增加了所授予权益工具的公允价值，按照权益工具公允价</w:t>
      </w:r>
      <w:r>
        <w:rPr/>
        <w:t> </w:t>
      </w:r>
      <w:r>
        <w:rPr>
          <w:spacing w:val="-1"/>
        </w:rPr>
        <w:t>值的增加相应地确认取得服务的增加；若修改增加了所授予权益工具的数量，则将增加的权益工具的公允</w:t>
      </w:r>
      <w:r>
        <w:rPr>
          <w:spacing w:val="-81"/>
        </w:rPr>
        <w:t> </w:t>
      </w:r>
      <w:r>
        <w:rPr>
          <w:spacing w:val="-81"/>
        </w:rPr>
      </w:r>
      <w:r>
        <w:rPr>
          <w:spacing w:val="-1"/>
        </w:rPr>
        <w:t>价值相应地确认为取得服务的增加。权益工具公允价值的增加是指修改前后的权益工具在修改日的公允价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值之间的差额。若修改减少了股份支付公允价值总额或采用了其他不利于职工的方式修改股份支付计划的</w:t>
      </w:r>
      <w:r>
        <w:rPr>
          <w:spacing w:val="-81"/>
        </w:rPr>
        <w:t> </w:t>
      </w:r>
      <w:r>
        <w:rPr>
          <w:spacing w:val="-81"/>
        </w:rPr>
      </w:r>
      <w:r>
        <w:rPr>
          <w:spacing w:val="-1"/>
        </w:rPr>
        <w:t>条款和条件，则仍继续对取得的服务进行会计处理，视同该变更从未发生，除非本集团取消了部分或全部</w:t>
      </w:r>
      <w:r>
        <w:rPr>
          <w:spacing w:val="-83"/>
        </w:rPr>
        <w:t> </w:t>
      </w:r>
      <w:r>
        <w:rPr>
          <w:spacing w:val="-83"/>
        </w:rPr>
      </w:r>
      <w:r>
        <w:rPr/>
        <w:t>已授予的权益工具。</w:t>
      </w:r>
    </w:p>
    <w:p>
      <w:pPr>
        <w:spacing w:line="240" w:lineRule="auto" w:before="12"/>
        <w:rPr>
          <w:rFonts w:ascii="宋体" w:hAnsi="宋体" w:cs="宋体" w:eastAsia="宋体" w:hint="default"/>
          <w:sz w:val="13"/>
          <w:szCs w:val="13"/>
        </w:rPr>
      </w:pPr>
    </w:p>
    <w:p>
      <w:pPr>
        <w:pStyle w:val="BodyText"/>
        <w:spacing w:line="297" w:lineRule="auto"/>
        <w:ind w:left="154" w:right="1131" w:firstLine="420"/>
        <w:jc w:val="both"/>
      </w:pPr>
      <w:r>
        <w:rPr>
          <w:spacing w:val="-1"/>
        </w:rPr>
        <w:t>在等待期内，如果取消了授予的权益工具（因未满足可行权条件的非市场条件而被取消的除外），本</w:t>
      </w:r>
      <w:r>
        <w:rPr/>
        <w:t> </w:t>
      </w:r>
      <w:r>
        <w:rPr>
          <w:spacing w:val="-1"/>
        </w:rPr>
        <w:t>集团对取消所授予的权益性工具作为加速行权处理，将剩余等待期内应确认的金额立即计入当期损益，同</w:t>
      </w:r>
      <w:r>
        <w:rPr>
          <w:spacing w:val="-81"/>
        </w:rPr>
        <w:t> </w:t>
      </w:r>
      <w:r>
        <w:rPr>
          <w:spacing w:val="-81"/>
        </w:rPr>
      </w:r>
      <w:r>
        <w:rPr>
          <w:spacing w:val="-1"/>
        </w:rPr>
        <w:t>时确认资本公积。职工或其他方能够选择满足非可行权条件但在等待期内未满足的，本集团将其作为授予</w:t>
      </w:r>
      <w:r>
        <w:rPr>
          <w:spacing w:val="-81"/>
        </w:rPr>
        <w:t> </w:t>
      </w:r>
      <w:r>
        <w:rPr>
          <w:spacing w:val="-81"/>
        </w:rPr>
      </w:r>
      <w:r>
        <w:rPr/>
        <w:t>权益工具的取消处理。</w:t>
      </w:r>
    </w:p>
    <w:p>
      <w:pPr>
        <w:pStyle w:val="BodyText"/>
        <w:spacing w:line="508" w:lineRule="exact" w:before="22"/>
        <w:ind w:left="574" w:right="1116"/>
        <w:jc w:val="left"/>
      </w:pPr>
      <w:r>
        <w:rPr/>
        <w:t>（</w:t>
      </w:r>
      <w:r>
        <w:rPr>
          <w:rFonts w:ascii="Times New Roman" w:hAnsi="Times New Roman" w:cs="Times New Roman" w:eastAsia="Times New Roman" w:hint="default"/>
        </w:rPr>
        <w:t>1</w:t>
      </w:r>
      <w:r>
        <w:rPr/>
        <w:t>）金融负债与权益工具的区分 </w:t>
      </w:r>
      <w:r>
        <w:rPr>
          <w:spacing w:val="-1"/>
        </w:rPr>
        <w:t>本集团根据所发行金融工具的合同条款及其所反映的经济实质而非仅以法律形式，结合金融资产、金</w:t>
      </w:r>
    </w:p>
    <w:p>
      <w:pPr>
        <w:pStyle w:val="BodyText"/>
        <w:spacing w:line="297" w:lineRule="auto"/>
        <w:ind w:left="154" w:right="1116"/>
        <w:jc w:val="left"/>
      </w:pPr>
      <w:r>
        <w:rPr>
          <w:spacing w:val="-1"/>
        </w:rPr>
        <w:t>融负债和权益工具的定义，在初始确认时将该金融工具或其组成部分分类为金融资产、金融负债或权益工</w:t>
      </w:r>
      <w:r>
        <w:rPr>
          <w:spacing w:val="-81"/>
        </w:rPr>
        <w:t> </w:t>
      </w:r>
      <w:r>
        <w:rPr>
          <w:spacing w:val="-81"/>
        </w:rPr>
      </w:r>
      <w:r>
        <w:rPr/>
        <w:t>具。</w:t>
      </w:r>
    </w:p>
    <w:p>
      <w:pPr>
        <w:spacing w:line="240" w:lineRule="auto" w:before="0"/>
        <w:rPr>
          <w:rFonts w:ascii="宋体" w:hAnsi="宋体" w:cs="宋体" w:eastAsia="宋体" w:hint="default"/>
          <w:sz w:val="14"/>
          <w:szCs w:val="14"/>
        </w:rPr>
      </w:pPr>
    </w:p>
    <w:p>
      <w:pPr>
        <w:pStyle w:val="BodyText"/>
        <w:spacing w:line="420" w:lineRule="auto"/>
        <w:ind w:left="574" w:right="1116"/>
        <w:jc w:val="left"/>
      </w:pPr>
      <w:r>
        <w:rPr/>
        <w:t>（</w:t>
      </w:r>
      <w:r>
        <w:rPr>
          <w:rFonts w:ascii="Times New Roman" w:hAnsi="Times New Roman" w:cs="Times New Roman" w:eastAsia="Times New Roman" w:hint="default"/>
        </w:rPr>
        <w:t>2</w:t>
      </w:r>
      <w:r>
        <w:rPr/>
        <w:t>）优先股、永续债等其他金融工具的会计处理 </w:t>
      </w:r>
      <w:r>
        <w:rPr>
          <w:spacing w:val="-1"/>
        </w:rPr>
        <w:t>本集团发行的金融工具按照金融工具准则进行初始确认和计量；其后，于每个资产负债表日计提利息</w:t>
      </w:r>
    </w:p>
    <w:p>
      <w:pPr>
        <w:spacing w:after="0" w:line="420" w:lineRule="auto"/>
        <w:jc w:val="left"/>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97" w:lineRule="auto" w:before="35"/>
        <w:ind w:left="154" w:right="1131"/>
        <w:jc w:val="both"/>
      </w:pPr>
      <w:r>
        <w:rPr>
          <w:spacing w:val="-1"/>
        </w:rPr>
        <w:t>或分派股利，按照相关具体企业会计准则进行处理。即以所发行金融工具的分类为基础，确定该工具利息</w:t>
      </w:r>
      <w:r>
        <w:rPr>
          <w:spacing w:val="-83"/>
        </w:rPr>
        <w:t> </w:t>
      </w:r>
      <w:r>
        <w:rPr>
          <w:spacing w:val="-83"/>
        </w:rPr>
      </w:r>
      <w:r>
        <w:rPr>
          <w:spacing w:val="-1"/>
        </w:rPr>
        <w:t>支出或股利分配等的会计处理。对于归类为权益工具的金融工具，其利息支出或股利分配都作为本集团的</w:t>
      </w:r>
      <w:r>
        <w:rPr>
          <w:spacing w:val="-81"/>
        </w:rPr>
        <w:t> </w:t>
      </w:r>
      <w:r>
        <w:rPr>
          <w:spacing w:val="-81"/>
        </w:rPr>
      </w:r>
      <w:r>
        <w:rPr>
          <w:spacing w:val="-1"/>
        </w:rPr>
        <w:t>利润分配，其回购、注销等作为权益的变动处理；对于归类为金融负债的金融工具，其利息支出或股利分</w:t>
      </w:r>
      <w:r>
        <w:rPr>
          <w:spacing w:val="-86"/>
        </w:rPr>
        <w:t> </w:t>
      </w:r>
      <w:r>
        <w:rPr>
          <w:spacing w:val="-86"/>
        </w:rPr>
      </w:r>
      <w:r>
        <w:rPr/>
        <w:t>配原则上按照借款费用进行处理，其回购或赎回产生的利得或损失等计入当期损益。</w:t>
      </w:r>
    </w:p>
    <w:p>
      <w:pPr>
        <w:spacing w:line="240" w:lineRule="auto" w:before="1"/>
        <w:rPr>
          <w:rFonts w:ascii="宋体" w:hAnsi="宋体" w:cs="宋体" w:eastAsia="宋体" w:hint="default"/>
          <w:sz w:val="14"/>
          <w:szCs w:val="14"/>
        </w:rPr>
      </w:pPr>
    </w:p>
    <w:p>
      <w:pPr>
        <w:pStyle w:val="BodyText"/>
        <w:spacing w:line="297" w:lineRule="auto"/>
        <w:ind w:left="154" w:right="1110" w:firstLine="420"/>
        <w:jc w:val="both"/>
      </w:pPr>
      <w:r>
        <w:rPr/>
        <w:t>本集团发行金融工具，其发生的手续费、佣金等交易费用，如分类为债务工具且以摊余成本计量的， 计入所发行工具的初始计量金额；如分类为权益工具的，从权益中扣除。</w:t>
      </w:r>
    </w:p>
    <w:p>
      <w:pPr>
        <w:pStyle w:val="BodyText"/>
        <w:spacing w:line="240" w:lineRule="auto" w:before="176"/>
        <w:ind w:left="574" w:right="1116"/>
        <w:jc w:val="left"/>
        <w:rPr>
          <w:rFonts w:ascii="微软雅黑" w:hAnsi="微软雅黑" w:cs="微软雅黑" w:eastAsia="微软雅黑" w:hint="default"/>
        </w:rPr>
      </w:pPr>
      <w:bookmarkStart w:name="27、优先股、永续债等其他金融工具" w:id="210"/>
      <w:bookmarkEnd w:id="210"/>
      <w:r>
        <w:rPr/>
      </w:r>
      <w:r>
        <w:rPr>
          <w:rFonts w:ascii="Times New Roman" w:hAnsi="Times New Roman" w:cs="Times New Roman" w:eastAsia="Times New Roman" w:hint="default"/>
        </w:rPr>
        <w:t>27</w:t>
      </w:r>
      <w:r>
        <w:rPr>
          <w:rFonts w:ascii="微软雅黑" w:hAnsi="微软雅黑" w:cs="微软雅黑" w:eastAsia="微软雅黑" w:hint="default"/>
        </w:rPr>
        <w:t>、优先股、永续债等其他金融工具</w:t>
      </w:r>
    </w:p>
    <w:p>
      <w:pPr>
        <w:spacing w:line="240" w:lineRule="auto" w:before="7"/>
        <w:rPr>
          <w:rFonts w:ascii="微软雅黑" w:hAnsi="微软雅黑" w:cs="微软雅黑" w:eastAsia="微软雅黑" w:hint="default"/>
          <w:sz w:val="20"/>
          <w:szCs w:val="20"/>
        </w:rPr>
      </w:pPr>
    </w:p>
    <w:p>
      <w:pPr>
        <w:pStyle w:val="BodyText"/>
        <w:spacing w:line="297" w:lineRule="auto"/>
        <w:ind w:left="154" w:right="1131" w:firstLine="420"/>
        <w:jc w:val="both"/>
      </w:pPr>
      <w:r>
        <w:rPr>
          <w:spacing w:val="-1"/>
        </w:rPr>
        <w:t>本集团发行的金融工具按照金融工具准则进行初始确认和计量；其后，于每个资产负债表日计提利息</w:t>
      </w:r>
      <w:r>
        <w:rPr/>
        <w:t> </w:t>
      </w:r>
      <w:r>
        <w:rPr>
          <w:spacing w:val="-1"/>
        </w:rPr>
        <w:t>或分派股利，按照相关具体企业会计准则进行处理。即以所发行金融工具的分类为基础，确定该工具利息</w:t>
      </w:r>
      <w:r>
        <w:rPr>
          <w:spacing w:val="-83"/>
        </w:rPr>
        <w:t> </w:t>
      </w:r>
      <w:r>
        <w:rPr>
          <w:spacing w:val="-83"/>
        </w:rPr>
      </w:r>
      <w:r>
        <w:rPr>
          <w:spacing w:val="-1"/>
        </w:rPr>
        <w:t>支出或股利分配等的会计处理。对于归类为权益工具的金融工具，其利息支出或股利分配都作为本集团的</w:t>
      </w:r>
      <w:r>
        <w:rPr>
          <w:spacing w:val="-81"/>
        </w:rPr>
        <w:t> </w:t>
      </w:r>
      <w:r>
        <w:rPr>
          <w:spacing w:val="-81"/>
        </w:rPr>
      </w:r>
      <w:r>
        <w:rPr>
          <w:spacing w:val="-1"/>
        </w:rPr>
        <w:t>利润分配，其回购、注销等作为权益的变动处理；对于归类为金融负债的金融工具，其利息支出或股利分</w:t>
      </w:r>
      <w:r>
        <w:rPr>
          <w:spacing w:val="-86"/>
        </w:rPr>
        <w:t> </w:t>
      </w:r>
      <w:r>
        <w:rPr>
          <w:spacing w:val="-86"/>
        </w:rPr>
      </w:r>
      <w:r>
        <w:rPr/>
        <w:t>配原则上按照借款费用进行处理，其回购或赎回产生的利得或损失等计入当期损益。</w:t>
      </w:r>
    </w:p>
    <w:p>
      <w:pPr>
        <w:spacing w:line="240" w:lineRule="auto" w:before="0"/>
        <w:rPr>
          <w:rFonts w:ascii="宋体" w:hAnsi="宋体" w:cs="宋体" w:eastAsia="宋体" w:hint="default"/>
          <w:sz w:val="14"/>
          <w:szCs w:val="14"/>
        </w:rPr>
      </w:pPr>
    </w:p>
    <w:p>
      <w:pPr>
        <w:pStyle w:val="BodyText"/>
        <w:spacing w:line="297" w:lineRule="auto"/>
        <w:ind w:left="154" w:right="1110" w:firstLine="420"/>
        <w:jc w:val="both"/>
      </w:pPr>
      <w:r>
        <w:rPr/>
        <w:t>本集团发行金融工具，其发生的手续费、佣金等交易费用，如分类为债务工具且以摊余成本计量的， 计入所发行工具的初始计量金额；如分类为权益工具的，从权益中扣除。</w:t>
      </w:r>
    </w:p>
    <w:p>
      <w:pPr>
        <w:pStyle w:val="BodyText"/>
        <w:spacing w:line="458" w:lineRule="auto" w:before="175"/>
        <w:ind w:left="574" w:right="6762"/>
        <w:jc w:val="left"/>
      </w:pPr>
      <w:bookmarkStart w:name="28、收入" w:id="211"/>
      <w:bookmarkEnd w:id="211"/>
      <w:r>
        <w:rPr/>
      </w:r>
      <w:r>
        <w:rPr>
          <w:rFonts w:ascii="Times New Roman" w:hAnsi="Times New Roman" w:cs="Times New Roman" w:eastAsia="Times New Roman" w:hint="default"/>
        </w:rPr>
        <w:t>28</w:t>
      </w:r>
      <w:r>
        <w:rPr>
          <w:rFonts w:ascii="微软雅黑" w:hAnsi="微软雅黑" w:cs="微软雅黑" w:eastAsia="微软雅黑" w:hint="default"/>
        </w:rPr>
        <w:t>、收入 </w:t>
      </w:r>
      <w:r>
        <w:rPr/>
        <w:t>公司是否需要遵守特殊行业的披露要求 是</w:t>
      </w:r>
    </w:p>
    <w:p>
      <w:pPr>
        <w:pStyle w:val="BodyText"/>
        <w:spacing w:line="240" w:lineRule="auto" w:before="43"/>
        <w:ind w:left="574" w:right="1116"/>
        <w:jc w:val="left"/>
      </w:pPr>
      <w:r>
        <w:rPr/>
        <w:t>软件与信息技术服务业</w:t>
      </w:r>
    </w:p>
    <w:p>
      <w:pPr>
        <w:spacing w:line="240" w:lineRule="auto" w:before="12"/>
        <w:rPr>
          <w:rFonts w:ascii="宋体" w:hAnsi="宋体" w:cs="宋体" w:eastAsia="宋体" w:hint="default"/>
          <w:sz w:val="17"/>
          <w:szCs w:val="17"/>
        </w:rPr>
      </w:pPr>
    </w:p>
    <w:p>
      <w:pPr>
        <w:pStyle w:val="BodyText"/>
        <w:spacing w:line="280" w:lineRule="auto"/>
        <w:ind w:left="154" w:right="1010" w:firstLine="420"/>
        <w:jc w:val="left"/>
      </w:pPr>
      <w:r>
        <w:rPr/>
        <w:t>公司需遵守《深圳证券交易所行业信息披露指引第</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上市公司从事软件与信息技术服务业务》 的披露要求</w:t>
      </w:r>
    </w:p>
    <w:p>
      <w:pPr>
        <w:spacing w:line="240" w:lineRule="auto" w:before="2"/>
        <w:rPr>
          <w:rFonts w:ascii="宋体" w:hAnsi="宋体" w:cs="宋体" w:eastAsia="宋体" w:hint="default"/>
          <w:sz w:val="15"/>
          <w:szCs w:val="15"/>
        </w:rPr>
      </w:pPr>
    </w:p>
    <w:p>
      <w:pPr>
        <w:pStyle w:val="BodyText"/>
        <w:spacing w:line="240" w:lineRule="auto"/>
        <w:ind w:left="574" w:right="1116"/>
        <w:jc w:val="left"/>
      </w:pPr>
      <w:r>
        <w:rPr/>
        <w:t>（</w:t>
      </w:r>
      <w:r>
        <w:rPr>
          <w:rFonts w:ascii="Times New Roman" w:hAnsi="Times New Roman" w:cs="Times New Roman" w:eastAsia="Times New Roman" w:hint="default"/>
        </w:rPr>
        <w:t>1</w:t>
      </w:r>
      <w:r>
        <w:rPr/>
        <w:t>）一般原则</w:t>
      </w:r>
    </w:p>
    <w:p>
      <w:pPr>
        <w:pStyle w:val="BodyText"/>
        <w:spacing w:line="508" w:lineRule="exact" w:before="57"/>
        <w:ind w:left="574" w:right="1116"/>
        <w:jc w:val="left"/>
      </w:pPr>
      <w:r>
        <w:rPr/>
        <w:t>①销售商品 </w:t>
      </w:r>
      <w:r>
        <w:rPr>
          <w:spacing w:val="3"/>
        </w:rPr>
        <w:t>在已将商品所有权上的主要风险和报酬转移给购货方，既没有保留通常与所有权相联系的继续管理</w:t>
      </w:r>
    </w:p>
    <w:p>
      <w:pPr>
        <w:pStyle w:val="BodyText"/>
        <w:spacing w:line="297" w:lineRule="auto"/>
        <w:ind w:left="154" w:right="1132"/>
        <w:jc w:val="both"/>
      </w:pPr>
      <w:r>
        <w:rPr>
          <w:spacing w:val="-1"/>
        </w:rPr>
        <w:t>权，也没有对已售商品实施有效控制，收入的金额能够可靠地计量，相关的经济利益很可能流入企业，相</w:t>
      </w:r>
      <w:r>
        <w:rPr>
          <w:spacing w:val="-85"/>
        </w:rPr>
        <w:t> </w:t>
      </w:r>
      <w:r>
        <w:rPr>
          <w:spacing w:val="-85"/>
        </w:rPr>
      </w:r>
      <w:r>
        <w:rPr/>
        <w:t>关的已发生或将发生的成本能够可靠地计量时，确认商品销售收入的实现。</w:t>
      </w:r>
    </w:p>
    <w:p>
      <w:pPr>
        <w:spacing w:line="240" w:lineRule="auto" w:before="12"/>
        <w:rPr>
          <w:rFonts w:ascii="宋体" w:hAnsi="宋体" w:cs="宋体" w:eastAsia="宋体" w:hint="default"/>
          <w:sz w:val="13"/>
          <w:szCs w:val="13"/>
        </w:rPr>
      </w:pPr>
    </w:p>
    <w:p>
      <w:pPr>
        <w:pStyle w:val="BodyText"/>
        <w:spacing w:line="444" w:lineRule="auto"/>
        <w:ind w:left="574" w:right="1092"/>
        <w:jc w:val="left"/>
      </w:pPr>
      <w:r>
        <w:rPr/>
        <w:t>②提供劳务 对在提供劳务交易的结果能够可靠估计的情况下，本集团于资产负债表日按完工百分比法确认收入。 劳务交易的完工进度按已经发生的劳务成本占估计总成本的比例确定。</w:t>
      </w:r>
    </w:p>
    <w:p>
      <w:pPr>
        <w:pStyle w:val="BodyText"/>
        <w:spacing w:line="280" w:lineRule="auto" w:before="56"/>
        <w:ind w:left="154" w:right="1132" w:firstLine="420"/>
        <w:jc w:val="both"/>
      </w:pPr>
      <w:r>
        <w:rPr>
          <w:spacing w:val="-3"/>
        </w:rPr>
        <w:t>提供劳务交易的结果能够可靠估计是指同时满足：</w:t>
      </w:r>
      <w:r>
        <w:rPr>
          <w:rFonts w:ascii="Times New Roman" w:hAnsi="Times New Roman" w:cs="Times New Roman" w:eastAsia="Times New Roman" w:hint="default"/>
          <w:spacing w:val="-3"/>
        </w:rPr>
        <w:t>A</w:t>
      </w:r>
      <w:r>
        <w:rPr>
          <w:spacing w:val="-3"/>
        </w:rPr>
        <w:t>、收入的金额能够可靠地计量；</w:t>
      </w:r>
      <w:r>
        <w:rPr>
          <w:rFonts w:ascii="Times New Roman" w:hAnsi="Times New Roman" w:cs="Times New Roman" w:eastAsia="Times New Roman" w:hint="default"/>
          <w:spacing w:val="-3"/>
        </w:rPr>
        <w:t>B</w:t>
      </w:r>
      <w:r>
        <w:rPr>
          <w:spacing w:val="-3"/>
        </w:rPr>
        <w:t>、相关的经济利</w:t>
      </w:r>
      <w:r>
        <w:rPr/>
        <w:t> </w:t>
      </w:r>
      <w:r>
        <w:rPr>
          <w:spacing w:val="-3"/>
        </w:rPr>
        <w:t>益很可能流入企业；</w:t>
      </w:r>
      <w:r>
        <w:rPr>
          <w:rFonts w:ascii="Times New Roman" w:hAnsi="Times New Roman" w:cs="Times New Roman" w:eastAsia="Times New Roman" w:hint="default"/>
          <w:spacing w:val="-3"/>
        </w:rPr>
        <w:t>C</w:t>
      </w:r>
      <w:r>
        <w:rPr>
          <w:spacing w:val="-3"/>
        </w:rPr>
        <w:t>、交易的完工程度能够可靠地确定；</w:t>
      </w:r>
      <w:r>
        <w:rPr>
          <w:rFonts w:ascii="Times New Roman" w:hAnsi="Times New Roman" w:cs="Times New Roman" w:eastAsia="Times New Roman" w:hint="default"/>
          <w:spacing w:val="-3"/>
        </w:rPr>
        <w:t>D</w:t>
      </w:r>
      <w:r>
        <w:rPr>
          <w:spacing w:val="-3"/>
        </w:rPr>
        <w:t>、交易中已发生和将发生的成本能够可靠地计</w:t>
      </w:r>
      <w:r>
        <w:rPr>
          <w:spacing w:val="-70"/>
        </w:rPr>
        <w:t> </w:t>
      </w:r>
      <w:r>
        <w:rPr>
          <w:spacing w:val="-70"/>
        </w:rPr>
      </w:r>
      <w:r>
        <w:rPr/>
        <w:t>量。</w:t>
      </w:r>
    </w:p>
    <w:p>
      <w:pPr>
        <w:spacing w:after="0" w:line="280" w:lineRule="auto"/>
        <w:jc w:val="both"/>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97" w:lineRule="auto" w:before="35"/>
        <w:ind w:left="154" w:right="1131" w:firstLine="420"/>
        <w:jc w:val="both"/>
      </w:pPr>
      <w:r>
        <w:rPr>
          <w:spacing w:val="-1"/>
        </w:rPr>
        <w:t>如果提供劳务交易的结果不能够可靠估计，则按已经发生并预计能够得到补偿的劳务成本金额确认提</w:t>
      </w:r>
      <w:r>
        <w:rPr/>
        <w:t> </w:t>
      </w:r>
      <w:r>
        <w:rPr>
          <w:spacing w:val="-1"/>
        </w:rPr>
        <w:t>供的劳务收入，并将已发生的劳务成本作为当期费用。已经发生的劳务成本如预计不能得到补偿的，则不</w:t>
      </w:r>
      <w:r>
        <w:rPr>
          <w:spacing w:val="-83"/>
        </w:rPr>
        <w:t> </w:t>
      </w:r>
      <w:r>
        <w:rPr>
          <w:spacing w:val="-83"/>
        </w:rPr>
      </w:r>
      <w:r>
        <w:rPr/>
        <w:t>确认收入。</w:t>
      </w:r>
    </w:p>
    <w:p>
      <w:pPr>
        <w:spacing w:line="240" w:lineRule="auto" w:before="1"/>
        <w:rPr>
          <w:rFonts w:ascii="宋体" w:hAnsi="宋体" w:cs="宋体" w:eastAsia="宋体" w:hint="default"/>
          <w:sz w:val="14"/>
          <w:szCs w:val="14"/>
        </w:rPr>
      </w:pPr>
    </w:p>
    <w:p>
      <w:pPr>
        <w:pStyle w:val="BodyText"/>
        <w:spacing w:line="444" w:lineRule="auto"/>
        <w:ind w:left="574" w:right="1512"/>
        <w:jc w:val="left"/>
      </w:pPr>
      <w:r>
        <w:rPr/>
        <w:t>③让渡资产使用权 与资产使用权让渡相关的经济利益能够流入及收入的金额能够可靠地计量时，本集团确认收入。</w:t>
      </w:r>
    </w:p>
    <w:p>
      <w:pPr>
        <w:pStyle w:val="BodyText"/>
        <w:spacing w:line="240" w:lineRule="auto" w:before="54"/>
        <w:ind w:left="574" w:right="1116"/>
        <w:jc w:val="left"/>
      </w:pPr>
      <w:r>
        <w:rPr/>
        <w:t>（</w:t>
      </w:r>
      <w:r>
        <w:rPr>
          <w:rFonts w:ascii="Times New Roman" w:hAnsi="Times New Roman" w:cs="Times New Roman" w:eastAsia="Times New Roman" w:hint="default"/>
        </w:rPr>
        <w:t>2</w:t>
      </w:r>
      <w:r>
        <w:rPr/>
        <w:t>）收入确认的具体方法</w:t>
      </w:r>
    </w:p>
    <w:p>
      <w:pPr>
        <w:spacing w:line="240" w:lineRule="auto" w:before="9"/>
        <w:rPr>
          <w:rFonts w:ascii="宋体" w:hAnsi="宋体" w:cs="宋体" w:eastAsia="宋体" w:hint="default"/>
          <w:sz w:val="16"/>
          <w:szCs w:val="16"/>
        </w:rPr>
      </w:pPr>
    </w:p>
    <w:p>
      <w:pPr>
        <w:pStyle w:val="BodyText"/>
        <w:spacing w:line="444" w:lineRule="auto"/>
        <w:ind w:left="574" w:right="3822"/>
        <w:jc w:val="left"/>
      </w:pPr>
      <w:r>
        <w:rPr/>
        <w:t>①软件开发收入 软件开发是指根据客户的实际需求进行专门的软件设计与开发的服务。 软件开发收入的具体确认方法为：</w:t>
      </w:r>
    </w:p>
    <w:p>
      <w:pPr>
        <w:pStyle w:val="BodyText"/>
        <w:spacing w:line="280" w:lineRule="auto" w:before="54"/>
        <w:ind w:left="154" w:right="1136" w:firstLine="420"/>
        <w:jc w:val="both"/>
      </w:pPr>
      <w:r>
        <w:rPr>
          <w:rFonts w:ascii="Times New Roman" w:hAnsi="Times New Roman" w:cs="Times New Roman" w:eastAsia="Times New Roman" w:hint="default"/>
        </w:rPr>
        <w:t>A</w:t>
      </w:r>
      <w:r>
        <w:rPr/>
        <w:t>、软件开发业务主要部分或全部由本集团完成的，在资产负债表日提供劳务交易的结果能够可靠估 计的，采用完工百分比法确认收入，完工百分比依据已经发生的成本占估计总成本的比例确定。</w:t>
      </w:r>
    </w:p>
    <w:p>
      <w:pPr>
        <w:spacing w:line="240" w:lineRule="auto" w:before="2"/>
        <w:rPr>
          <w:rFonts w:ascii="宋体" w:hAnsi="宋体" w:cs="宋体" w:eastAsia="宋体" w:hint="default"/>
          <w:sz w:val="15"/>
          <w:szCs w:val="15"/>
        </w:rPr>
      </w:pPr>
    </w:p>
    <w:p>
      <w:pPr>
        <w:pStyle w:val="BodyText"/>
        <w:spacing w:line="280" w:lineRule="auto"/>
        <w:ind w:left="154" w:right="1136" w:firstLine="420"/>
        <w:jc w:val="both"/>
      </w:pPr>
      <w:r>
        <w:rPr>
          <w:rFonts w:ascii="Times New Roman" w:hAnsi="Times New Roman" w:cs="Times New Roman" w:eastAsia="Times New Roman" w:hint="default"/>
        </w:rPr>
        <w:t>B</w:t>
      </w:r>
      <w:r>
        <w:rPr/>
        <w:t>、软件开发业务主要部分或全部委托其他公司完成的，以取得客户确认的交付验收确认书确认软件 开发收入。</w:t>
      </w:r>
    </w:p>
    <w:p>
      <w:pPr>
        <w:spacing w:line="240" w:lineRule="auto" w:before="2"/>
        <w:rPr>
          <w:rFonts w:ascii="宋体" w:hAnsi="宋体" w:cs="宋体" w:eastAsia="宋体" w:hint="default"/>
          <w:sz w:val="15"/>
          <w:szCs w:val="15"/>
        </w:rPr>
      </w:pPr>
    </w:p>
    <w:p>
      <w:pPr>
        <w:pStyle w:val="BodyText"/>
        <w:spacing w:line="444" w:lineRule="auto"/>
        <w:ind w:left="574" w:right="4032"/>
        <w:jc w:val="left"/>
      </w:pPr>
      <w:r>
        <w:rPr/>
        <w:t>②技术服务收入 技术服务是指为客户提供的技术支持、技术咨询、系统维护等服务。 技术服务收入的具体确认方法为：</w:t>
      </w:r>
    </w:p>
    <w:p>
      <w:pPr>
        <w:pStyle w:val="BodyText"/>
        <w:spacing w:line="292" w:lineRule="auto" w:before="55"/>
        <w:ind w:left="154" w:right="1130" w:firstLine="420"/>
        <w:jc w:val="both"/>
      </w:pPr>
      <w:r>
        <w:rPr>
          <w:rFonts w:ascii="Times New Roman" w:hAnsi="Times New Roman" w:cs="Times New Roman" w:eastAsia="Times New Roman" w:hint="default"/>
        </w:rPr>
        <w:t>A</w:t>
      </w:r>
      <w:r>
        <w:rPr/>
        <w:t>、根据客户需求在一定时间内提供相应的技术人员，明确约定相应的服务期限，并明确约定每月的 </w:t>
      </w:r>
      <w:r>
        <w:rPr>
          <w:spacing w:val="-1"/>
        </w:rPr>
        <w:t>服务费用金额或者服务期限内服务费用总额。合同中未约定验收条款的，按合同约定的每月服务费用确认</w:t>
      </w:r>
      <w:r>
        <w:rPr>
          <w:spacing w:val="-81"/>
        </w:rPr>
        <w:t> </w:t>
      </w:r>
      <w:r>
        <w:rPr>
          <w:spacing w:val="-81"/>
        </w:rPr>
      </w:r>
      <w:r>
        <w:rPr>
          <w:spacing w:val="-1"/>
        </w:rPr>
        <w:t>收入或在合同约定的期限内采用直线法确认，合同中约定验收条款的，取得验收条款约定的依据确认服务</w:t>
      </w:r>
      <w:r>
        <w:rPr>
          <w:spacing w:val="-80"/>
        </w:rPr>
        <w:t> </w:t>
      </w:r>
      <w:r>
        <w:rPr>
          <w:spacing w:val="-80"/>
        </w:rPr>
      </w:r>
      <w:r>
        <w:rPr/>
        <w:t>费收入。</w:t>
      </w:r>
    </w:p>
    <w:p>
      <w:pPr>
        <w:spacing w:line="240" w:lineRule="auto" w:before="5"/>
        <w:rPr>
          <w:rFonts w:ascii="宋体" w:hAnsi="宋体" w:cs="宋体" w:eastAsia="宋体" w:hint="default"/>
          <w:sz w:val="14"/>
          <w:szCs w:val="14"/>
        </w:rPr>
      </w:pPr>
    </w:p>
    <w:p>
      <w:pPr>
        <w:pStyle w:val="BodyText"/>
        <w:spacing w:line="280" w:lineRule="auto"/>
        <w:ind w:left="154" w:right="1136" w:firstLine="420"/>
        <w:jc w:val="both"/>
      </w:pPr>
      <w:r>
        <w:rPr>
          <w:rFonts w:ascii="Times New Roman" w:hAnsi="Times New Roman" w:cs="Times New Roman" w:eastAsia="Times New Roman" w:hint="default"/>
        </w:rPr>
        <w:t>B</w:t>
      </w:r>
      <w:r>
        <w:rPr/>
        <w:t>、根据客户需求提供相应的技术人员，但合同中明确约定验收条款，相应的实际服务期限可能会根 据客户的需求或验收进行调整，按照软件开发业务的确认方法确认。</w:t>
      </w:r>
    </w:p>
    <w:p>
      <w:pPr>
        <w:spacing w:line="240" w:lineRule="auto" w:before="2"/>
        <w:rPr>
          <w:rFonts w:ascii="宋体" w:hAnsi="宋体" w:cs="宋体" w:eastAsia="宋体" w:hint="default"/>
          <w:sz w:val="15"/>
          <w:szCs w:val="15"/>
        </w:rPr>
      </w:pPr>
    </w:p>
    <w:p>
      <w:pPr>
        <w:pStyle w:val="BodyText"/>
        <w:spacing w:line="444" w:lineRule="auto"/>
        <w:ind w:left="574" w:right="5502"/>
        <w:jc w:val="left"/>
      </w:pPr>
      <w:r>
        <w:rPr/>
        <w:t>③软件许可收入 软件许可是指授权客户使用本集团的自有软件产品。 软件许可收入的具体确认方法为：</w:t>
      </w:r>
    </w:p>
    <w:p>
      <w:pPr>
        <w:pStyle w:val="BodyText"/>
        <w:spacing w:line="280" w:lineRule="auto" w:before="54"/>
        <w:ind w:left="154" w:right="1136" w:firstLine="420"/>
        <w:jc w:val="both"/>
      </w:pPr>
      <w:r>
        <w:rPr>
          <w:rFonts w:ascii="Times New Roman" w:hAnsi="Times New Roman" w:cs="Times New Roman" w:eastAsia="Times New Roman" w:hint="default"/>
        </w:rPr>
        <w:t>A</w:t>
      </w:r>
      <w:r>
        <w:rPr/>
        <w:t>、合同中约定许可费按照客户产品的出货量为标准进行结算的，以收到客户确认的许可费确认单所 属期间确认软件许可收入。</w:t>
      </w:r>
    </w:p>
    <w:p>
      <w:pPr>
        <w:spacing w:line="240" w:lineRule="auto" w:before="2"/>
        <w:rPr>
          <w:rFonts w:ascii="宋体" w:hAnsi="宋体" w:cs="宋体" w:eastAsia="宋体" w:hint="default"/>
          <w:sz w:val="15"/>
          <w:szCs w:val="15"/>
        </w:rPr>
      </w:pPr>
    </w:p>
    <w:p>
      <w:pPr>
        <w:pStyle w:val="BodyText"/>
        <w:spacing w:line="280" w:lineRule="auto"/>
        <w:ind w:left="154" w:right="1136" w:firstLine="420"/>
        <w:jc w:val="both"/>
      </w:pPr>
      <w:r>
        <w:rPr>
          <w:rFonts w:ascii="Times New Roman" w:hAnsi="Times New Roman" w:cs="Times New Roman" w:eastAsia="Times New Roman" w:hint="default"/>
        </w:rPr>
        <w:t>B</w:t>
      </w:r>
      <w:r>
        <w:rPr/>
        <w:t>、合同中约定客户可以在一定有效期内享有本集团自有软件产品的使用权，在合同约定的有效期内 分期确认软件许可收入。</w:t>
      </w:r>
    </w:p>
    <w:p>
      <w:pPr>
        <w:spacing w:line="240" w:lineRule="auto" w:before="2"/>
        <w:rPr>
          <w:rFonts w:ascii="宋体" w:hAnsi="宋体" w:cs="宋体" w:eastAsia="宋体" w:hint="default"/>
          <w:sz w:val="15"/>
          <w:szCs w:val="15"/>
        </w:rPr>
      </w:pPr>
    </w:p>
    <w:p>
      <w:pPr>
        <w:pStyle w:val="BodyText"/>
        <w:spacing w:line="240" w:lineRule="auto"/>
        <w:ind w:left="574" w:right="1116"/>
        <w:jc w:val="left"/>
      </w:pPr>
      <w:r>
        <w:rPr>
          <w:rFonts w:ascii="Times New Roman" w:hAnsi="Times New Roman" w:cs="Times New Roman" w:eastAsia="Times New Roman" w:hint="default"/>
        </w:rPr>
        <w:t>C</w:t>
      </w:r>
      <w:r>
        <w:rPr/>
        <w:t>、合同中约定许可的软件需要交付验收的，以收到客户确认的交付验收单确认收入。</w:t>
      </w:r>
    </w:p>
    <w:p>
      <w:pPr>
        <w:spacing w:line="240" w:lineRule="auto" w:before="9"/>
        <w:rPr>
          <w:rFonts w:ascii="宋体" w:hAnsi="宋体" w:cs="宋体" w:eastAsia="宋体" w:hint="default"/>
          <w:sz w:val="16"/>
          <w:szCs w:val="16"/>
        </w:rPr>
      </w:pPr>
    </w:p>
    <w:p>
      <w:pPr>
        <w:pStyle w:val="BodyText"/>
        <w:spacing w:line="240" w:lineRule="auto"/>
        <w:ind w:left="574" w:right="1116"/>
        <w:jc w:val="left"/>
      </w:pPr>
      <w:r>
        <w:rPr/>
        <w:t>④商品销售收入</w:t>
      </w:r>
    </w:p>
    <w:p>
      <w:pPr>
        <w:spacing w:after="0" w:line="240" w:lineRule="auto"/>
        <w:jc w:val="left"/>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tabs>
          <w:tab w:pos="994" w:val="left" w:leader="none"/>
        </w:tabs>
        <w:spacing w:line="280" w:lineRule="auto" w:before="35"/>
        <w:ind w:left="154" w:right="1131" w:firstLine="420"/>
        <w:jc w:val="left"/>
      </w:pPr>
      <w:r>
        <w:rPr>
          <w:rFonts w:ascii="Times New Roman" w:hAnsi="Times New Roman" w:cs="Times New Roman" w:eastAsia="Times New Roman" w:hint="default"/>
          <w:spacing w:val="-1"/>
        </w:rPr>
        <w:t>A.</w:t>
        <w:tab/>
      </w:r>
      <w:r>
        <w:rPr>
          <w:spacing w:val="-1"/>
        </w:rPr>
        <w:t>合同中没有明确约定验收条款的，在商品已经发出并取得客户的签收确认单据时确认商品销售收</w:t>
      </w:r>
      <w:r>
        <w:rPr/>
        <w:t> 入。</w:t>
      </w:r>
    </w:p>
    <w:p>
      <w:pPr>
        <w:spacing w:line="240" w:lineRule="auto" w:before="1"/>
        <w:rPr>
          <w:rFonts w:ascii="宋体" w:hAnsi="宋体" w:cs="宋体" w:eastAsia="宋体" w:hint="default"/>
          <w:sz w:val="15"/>
          <w:szCs w:val="15"/>
        </w:rPr>
      </w:pPr>
    </w:p>
    <w:p>
      <w:pPr>
        <w:pStyle w:val="BodyText"/>
        <w:spacing w:line="415" w:lineRule="auto"/>
        <w:ind w:left="574" w:right="1162"/>
        <w:jc w:val="left"/>
        <w:rPr>
          <w:rFonts w:ascii="微软雅黑" w:hAnsi="微软雅黑" w:cs="微软雅黑" w:eastAsia="微软雅黑" w:hint="default"/>
        </w:rPr>
      </w:pPr>
      <w:r>
        <w:rPr>
          <w:rFonts w:ascii="Times New Roman" w:hAnsi="Times New Roman" w:cs="Times New Roman" w:eastAsia="Times New Roman" w:hint="default"/>
        </w:rPr>
        <w:t>B</w:t>
      </w:r>
      <w:r>
        <w:rPr/>
        <w:t>、合同明确约定验收条款的，在商品已经验收通过并取得客户确认验收单据时确认商品销售收入。 </w:t>
      </w:r>
      <w:bookmarkStart w:name="29、政府补助" w:id="212"/>
      <w:bookmarkEnd w:id="212"/>
      <w:r>
        <w:rPr/>
      </w:r>
      <w:r>
        <w:rPr>
          <w:rFonts w:ascii="Times New Roman" w:hAnsi="Times New Roman" w:cs="Times New Roman" w:eastAsia="Times New Roman" w:hint="default"/>
        </w:rPr>
        <w:t>29</w:t>
      </w:r>
      <w:r>
        <w:rPr>
          <w:rFonts w:ascii="微软雅黑" w:hAnsi="微软雅黑" w:cs="微软雅黑" w:eastAsia="微软雅黑" w:hint="default"/>
        </w:rPr>
        <w:t>、政府补助</w:t>
      </w:r>
    </w:p>
    <w:p>
      <w:pPr>
        <w:pStyle w:val="BodyText"/>
        <w:spacing w:line="240" w:lineRule="auto" w:before="150"/>
        <w:ind w:left="574" w:right="1116"/>
        <w:jc w:val="left"/>
      </w:pPr>
      <w:r>
        <w:rPr/>
        <w:t>政府补助在满足政府补助所附条件并能够收到时确认。</w:t>
      </w:r>
    </w:p>
    <w:p>
      <w:pPr>
        <w:spacing w:line="240" w:lineRule="auto" w:before="12"/>
        <w:rPr>
          <w:rFonts w:ascii="宋体" w:hAnsi="宋体" w:cs="宋体" w:eastAsia="宋体" w:hint="default"/>
          <w:sz w:val="17"/>
          <w:szCs w:val="17"/>
        </w:rPr>
      </w:pPr>
    </w:p>
    <w:p>
      <w:pPr>
        <w:pStyle w:val="BodyText"/>
        <w:spacing w:line="297" w:lineRule="auto"/>
        <w:ind w:left="154" w:right="1116" w:firstLine="420"/>
        <w:jc w:val="left"/>
      </w:pPr>
      <w:r>
        <w:rPr>
          <w:spacing w:val="-1"/>
        </w:rPr>
        <w:t>对于货币性资产的政府补助，按照收到或应收的金额计量。对于非货币性资产的政府补助，按照公允</w:t>
      </w:r>
      <w:r>
        <w:rPr/>
        <w:t> 价值计量；公允价值不能够可靠取得的，按照名义金额</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元计量。</w:t>
      </w:r>
    </w:p>
    <w:p>
      <w:pPr>
        <w:pStyle w:val="BodyText"/>
        <w:spacing w:line="297" w:lineRule="auto" w:before="161"/>
        <w:ind w:left="154" w:right="1116" w:firstLine="420"/>
        <w:jc w:val="left"/>
      </w:pPr>
      <w:r>
        <w:rPr>
          <w:spacing w:val="-1"/>
        </w:rPr>
        <w:t>与资产相关的政府补助，是指本集团取得的、用于购建或以其他方式形成长期资产的政府补助；除此</w:t>
      </w:r>
      <w:r>
        <w:rPr/>
        <w:t> 之外，作为与收益相关的政府补助。</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对于政府文件未明确规定补助对象的，能够形成长期资产的，与资产价值相对应的政府补助部分作为</w:t>
      </w:r>
      <w:r>
        <w:rPr/>
        <w:t> </w:t>
      </w:r>
      <w:r>
        <w:rPr>
          <w:spacing w:val="-1"/>
        </w:rPr>
        <w:t>与资产相关的政府补助，其余部分作为与收益相关的政府补助；难以区分的，将政府补助整体作为与收益</w:t>
      </w:r>
      <w:r>
        <w:rPr>
          <w:spacing w:val="-83"/>
        </w:rPr>
        <w:t> </w:t>
      </w:r>
      <w:r>
        <w:rPr>
          <w:spacing w:val="-83"/>
        </w:rPr>
      </w:r>
      <w:r>
        <w:rPr/>
        <w:t>相关的政府补助。</w:t>
      </w:r>
    </w:p>
    <w:p>
      <w:pPr>
        <w:spacing w:line="240" w:lineRule="auto" w:before="0"/>
        <w:rPr>
          <w:rFonts w:ascii="宋体" w:hAnsi="宋体" w:cs="宋体" w:eastAsia="宋体" w:hint="default"/>
          <w:sz w:val="14"/>
          <w:szCs w:val="14"/>
        </w:rPr>
      </w:pPr>
    </w:p>
    <w:p>
      <w:pPr>
        <w:pStyle w:val="BodyText"/>
        <w:spacing w:line="297" w:lineRule="auto"/>
        <w:ind w:left="154" w:right="1017" w:firstLine="420"/>
        <w:jc w:val="left"/>
      </w:pPr>
      <w:r>
        <w:rPr>
          <w:spacing w:val="-3"/>
        </w:rPr>
        <w:t>与资产相关的政府补助，确认为递延收益在相关资产使用期限内按照合理、系统的方法分期计入损益。</w:t>
      </w:r>
      <w:r>
        <w:rPr/>
        <w:t> 与收益相关的政府补助，用于补偿已发生的相关成本费用或损失的，计入当期损益；用于补偿以后期间的 </w:t>
      </w:r>
      <w:r>
        <w:rPr>
          <w:spacing w:val="-3"/>
        </w:rPr>
        <w:t>相关成本费用或损失的，则计入递延收益，于相关成本费用计入当期损益。按照名义金额计量的政府补助，</w:t>
      </w:r>
      <w:r>
        <w:rPr>
          <w:spacing w:val="-90"/>
        </w:rPr>
        <w:t> </w:t>
      </w:r>
      <w:r>
        <w:rPr>
          <w:spacing w:val="-90"/>
        </w:rPr>
      </w:r>
      <w:r>
        <w:rPr/>
        <w:t>直接计入当期损益。</w:t>
      </w:r>
    </w:p>
    <w:p>
      <w:pPr>
        <w:spacing w:line="240" w:lineRule="auto" w:before="1"/>
        <w:rPr>
          <w:rFonts w:ascii="宋体" w:hAnsi="宋体" w:cs="宋体" w:eastAsia="宋体" w:hint="default"/>
          <w:sz w:val="14"/>
          <w:szCs w:val="14"/>
        </w:rPr>
      </w:pPr>
    </w:p>
    <w:p>
      <w:pPr>
        <w:pStyle w:val="BodyText"/>
        <w:spacing w:line="297" w:lineRule="auto"/>
        <w:ind w:left="154" w:right="1116" w:firstLine="420"/>
        <w:jc w:val="left"/>
      </w:pPr>
      <w:r>
        <w:rPr>
          <w:spacing w:val="-1"/>
        </w:rPr>
        <w:t>与日常活动相关的政府补助，按照经济业务实质，计入其他收益或冲减相关成本费用。与日常活动无</w:t>
      </w:r>
      <w:r>
        <w:rPr/>
        <w:t> 关的政府补助，计入营业外收支。</w:t>
      </w:r>
    </w:p>
    <w:p>
      <w:pPr>
        <w:spacing w:line="240" w:lineRule="auto" w:before="0"/>
        <w:rPr>
          <w:rFonts w:ascii="宋体" w:hAnsi="宋体" w:cs="宋体" w:eastAsia="宋体" w:hint="default"/>
          <w:sz w:val="14"/>
          <w:szCs w:val="14"/>
        </w:rPr>
      </w:pPr>
    </w:p>
    <w:p>
      <w:pPr>
        <w:pStyle w:val="BodyText"/>
        <w:spacing w:line="297" w:lineRule="auto"/>
        <w:ind w:left="154" w:right="1116" w:firstLine="420"/>
        <w:jc w:val="left"/>
      </w:pPr>
      <w:r>
        <w:rPr>
          <w:spacing w:val="-1"/>
        </w:rPr>
        <w:t>已确认的政府补助需要返还时，存在相关递延收益余额的，冲减相关递延收益账面余额，超出部分计</w:t>
      </w:r>
      <w:r>
        <w:rPr/>
        <w:t> 入当期损益；属于其他情况的，直接计入当期损益。</w:t>
      </w:r>
    </w:p>
    <w:p>
      <w:pPr>
        <w:pStyle w:val="BodyText"/>
        <w:spacing w:line="240" w:lineRule="auto" w:before="175"/>
        <w:ind w:left="574" w:right="1116"/>
        <w:jc w:val="left"/>
        <w:rPr>
          <w:rFonts w:ascii="微软雅黑" w:hAnsi="微软雅黑" w:cs="微软雅黑" w:eastAsia="微软雅黑" w:hint="default"/>
        </w:rPr>
      </w:pPr>
      <w:bookmarkStart w:name="30、递延所得税资产/递延所得税负债" w:id="213"/>
      <w:bookmarkEnd w:id="213"/>
      <w:r>
        <w:rPr/>
      </w:r>
      <w:r>
        <w:rPr>
          <w:rFonts w:ascii="Times New Roman" w:hAnsi="Times New Roman" w:cs="Times New Roman" w:eastAsia="Times New Roman" w:hint="default"/>
        </w:rPr>
        <w:t>30</w:t>
      </w:r>
      <w:r>
        <w:rPr>
          <w:rFonts w:ascii="微软雅黑" w:hAnsi="微软雅黑" w:cs="微软雅黑" w:eastAsia="微软雅黑" w:hint="default"/>
        </w:rPr>
        <w:t>、递延所得税资产</w:t>
      </w:r>
      <w:r>
        <w:rPr>
          <w:rFonts w:ascii="Times New Roman" w:hAnsi="Times New Roman" w:cs="Times New Roman" w:eastAsia="Times New Roman" w:hint="default"/>
        </w:rPr>
        <w:t>/</w:t>
      </w:r>
      <w:r>
        <w:rPr>
          <w:rFonts w:ascii="微软雅黑" w:hAnsi="微软雅黑" w:cs="微软雅黑" w:eastAsia="微软雅黑" w:hint="default"/>
        </w:rPr>
        <w:t>递延所得税负债</w:t>
      </w:r>
    </w:p>
    <w:p>
      <w:pPr>
        <w:spacing w:line="240" w:lineRule="auto" w:before="8"/>
        <w:rPr>
          <w:rFonts w:ascii="微软雅黑" w:hAnsi="微软雅黑" w:cs="微软雅黑" w:eastAsia="微软雅黑" w:hint="default"/>
          <w:sz w:val="20"/>
          <w:szCs w:val="20"/>
        </w:rPr>
      </w:pPr>
    </w:p>
    <w:p>
      <w:pPr>
        <w:pStyle w:val="BodyText"/>
        <w:spacing w:line="297" w:lineRule="auto"/>
        <w:ind w:left="154" w:right="1116" w:firstLine="420"/>
        <w:jc w:val="left"/>
      </w:pPr>
      <w:r>
        <w:rPr>
          <w:spacing w:val="-1"/>
        </w:rPr>
        <w:t>所得税包括当期所得税和递延所得税。除由于企业合并产生的调整商誉，或与直接计入所有者权益的</w:t>
      </w:r>
      <w:r>
        <w:rPr/>
        <w:t> 交易或者事项相关的递延所得税计入所有者权益外，均作为所得税费用计入当期损益。</w:t>
      </w:r>
    </w:p>
    <w:p>
      <w:pPr>
        <w:spacing w:line="240" w:lineRule="auto" w:before="0"/>
        <w:rPr>
          <w:rFonts w:ascii="宋体" w:hAnsi="宋体" w:cs="宋体" w:eastAsia="宋体" w:hint="default"/>
          <w:sz w:val="14"/>
          <w:szCs w:val="14"/>
        </w:rPr>
      </w:pPr>
    </w:p>
    <w:p>
      <w:pPr>
        <w:pStyle w:val="BodyText"/>
        <w:spacing w:line="297" w:lineRule="auto"/>
        <w:ind w:left="154" w:right="1116" w:firstLine="420"/>
        <w:jc w:val="left"/>
      </w:pPr>
      <w:r>
        <w:rPr>
          <w:spacing w:val="-1"/>
        </w:rPr>
        <w:t>本集团根据资产、负债于资产负债表日的账面价值与计税基础之间的暂时性差异，采用资产负债表债</w:t>
      </w:r>
      <w:r>
        <w:rPr/>
        <w:t> 务法确认递延所得税。</w:t>
      </w:r>
    </w:p>
    <w:p>
      <w:pPr>
        <w:spacing w:line="240" w:lineRule="auto" w:before="12"/>
        <w:rPr>
          <w:rFonts w:ascii="宋体" w:hAnsi="宋体" w:cs="宋体" w:eastAsia="宋体" w:hint="default"/>
          <w:sz w:val="13"/>
          <w:szCs w:val="13"/>
        </w:rPr>
      </w:pPr>
    </w:p>
    <w:p>
      <w:pPr>
        <w:pStyle w:val="BodyText"/>
        <w:spacing w:line="297" w:lineRule="auto"/>
        <w:ind w:left="154" w:right="1116" w:firstLine="420"/>
        <w:jc w:val="left"/>
      </w:pPr>
      <w:r>
        <w:rPr>
          <w:spacing w:val="-1"/>
        </w:rPr>
        <w:t>各项应纳税暂时性差异均确认相关的递延所得税负债，除非该应纳税暂时性差异是在以下交易中产生</w:t>
      </w:r>
      <w:r>
        <w:rPr/>
        <w:t> 的：</w:t>
      </w:r>
    </w:p>
    <w:p>
      <w:pPr>
        <w:spacing w:line="240" w:lineRule="auto" w:before="0"/>
        <w:rPr>
          <w:rFonts w:ascii="宋体" w:hAnsi="宋体" w:cs="宋体" w:eastAsia="宋体" w:hint="default"/>
          <w:sz w:val="14"/>
          <w:szCs w:val="14"/>
        </w:rPr>
      </w:pPr>
    </w:p>
    <w:p>
      <w:pPr>
        <w:pStyle w:val="BodyText"/>
        <w:spacing w:line="280" w:lineRule="auto"/>
        <w:ind w:left="154" w:right="1116" w:firstLine="420"/>
        <w:jc w:val="left"/>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 合并，并且交易发生时既不影响会计利润也不影响应纳税所得额；</w:t>
      </w:r>
    </w:p>
    <w:p>
      <w:pPr>
        <w:spacing w:line="240" w:lineRule="auto" w:before="1"/>
        <w:rPr>
          <w:rFonts w:ascii="宋体" w:hAnsi="宋体" w:cs="宋体" w:eastAsia="宋体" w:hint="default"/>
          <w:sz w:val="15"/>
          <w:szCs w:val="15"/>
        </w:rPr>
      </w:pPr>
    </w:p>
    <w:p>
      <w:pPr>
        <w:pStyle w:val="BodyText"/>
        <w:spacing w:line="280" w:lineRule="auto"/>
        <w:ind w:left="154" w:right="1116" w:firstLine="420"/>
        <w:jc w:val="left"/>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 能够控制并且该暂时性差异在可预见的未来很可能不会转回。</w:t>
      </w:r>
    </w:p>
    <w:p>
      <w:pPr>
        <w:spacing w:line="240" w:lineRule="auto" w:before="2"/>
        <w:rPr>
          <w:rFonts w:ascii="宋体" w:hAnsi="宋体" w:cs="宋体" w:eastAsia="宋体" w:hint="default"/>
          <w:sz w:val="15"/>
          <w:szCs w:val="15"/>
        </w:rPr>
      </w:pPr>
    </w:p>
    <w:p>
      <w:pPr>
        <w:pStyle w:val="BodyText"/>
        <w:spacing w:line="240" w:lineRule="auto"/>
        <w:ind w:left="574" w:right="0"/>
        <w:jc w:val="left"/>
      </w:pPr>
      <w:r>
        <w:rPr/>
        <w:t>对于可抵扣暂时性差异、能够结转以后年度的可抵扣亏损和税款抵减，本集团以很可能取得用来抵扣</w:t>
      </w:r>
    </w:p>
    <w:p>
      <w:pPr>
        <w:spacing w:after="0" w:line="240" w:lineRule="auto"/>
        <w:jc w:val="left"/>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97" w:lineRule="auto" w:before="35"/>
        <w:ind w:left="154" w:right="1110"/>
        <w:jc w:val="both"/>
      </w:pPr>
      <w:r>
        <w:rPr/>
        <w:t>可抵扣暂时性差异、可抵扣亏损和税款抵减的未来应纳税所得额为限，确认由此产生的递延所得税资产， 除非该可抵扣暂时性差异是在以下交易中产生的：</w:t>
      </w:r>
    </w:p>
    <w:p>
      <w:pPr>
        <w:spacing w:line="240" w:lineRule="auto" w:before="12"/>
        <w:rPr>
          <w:rFonts w:ascii="宋体" w:hAnsi="宋体" w:cs="宋体" w:eastAsia="宋体" w:hint="default"/>
          <w:sz w:val="13"/>
          <w:szCs w:val="13"/>
        </w:rPr>
      </w:pPr>
    </w:p>
    <w:p>
      <w:pPr>
        <w:pStyle w:val="BodyText"/>
        <w:spacing w:line="240" w:lineRule="auto"/>
        <w:ind w:left="574" w:right="1116"/>
        <w:jc w:val="left"/>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line="240" w:lineRule="auto" w:before="9"/>
        <w:rPr>
          <w:rFonts w:ascii="宋体" w:hAnsi="宋体" w:cs="宋体" w:eastAsia="宋体" w:hint="default"/>
          <w:sz w:val="16"/>
          <w:szCs w:val="16"/>
        </w:rPr>
      </w:pPr>
    </w:p>
    <w:p>
      <w:pPr>
        <w:pStyle w:val="BodyText"/>
        <w:spacing w:line="288" w:lineRule="auto"/>
        <w:ind w:left="154" w:right="1131" w:firstLine="420"/>
        <w:jc w:val="both"/>
      </w:pPr>
      <w:r>
        <w:rPr/>
        <w:t>（</w:t>
      </w:r>
      <w:r>
        <w:rPr>
          <w:rFonts w:ascii="Times New Roman" w:hAnsi="Times New Roman" w:cs="Times New Roman" w:eastAsia="Times New Roman" w:hint="default"/>
        </w:rPr>
        <w:t>2</w:t>
      </w:r>
      <w:r>
        <w:rPr/>
        <w:t>）对于与子公司、合营企业及联营企业投资相关的可抵扣暂时性差异，同时满足下列条件的，确 </w:t>
      </w:r>
      <w:r>
        <w:rPr>
          <w:spacing w:val="-1"/>
        </w:rPr>
        <w:t>认相应的递延所得税资产：暂时性差异在可预见的未来很可能转回，且未来很可能获得用来抵扣可抵扣暂</w:t>
      </w:r>
      <w:r>
        <w:rPr>
          <w:spacing w:val="-81"/>
        </w:rPr>
        <w:t> </w:t>
      </w:r>
      <w:r>
        <w:rPr>
          <w:spacing w:val="-81"/>
        </w:rPr>
      </w:r>
      <w:r>
        <w:rPr/>
        <w:t>时性差异的应纳税所得额。</w:t>
      </w:r>
    </w:p>
    <w:p>
      <w:pPr>
        <w:spacing w:line="240" w:lineRule="auto" w:before="9"/>
        <w:rPr>
          <w:rFonts w:ascii="宋体" w:hAnsi="宋体" w:cs="宋体" w:eastAsia="宋体" w:hint="default"/>
          <w:sz w:val="14"/>
          <w:szCs w:val="14"/>
        </w:rPr>
      </w:pPr>
    </w:p>
    <w:p>
      <w:pPr>
        <w:pStyle w:val="BodyText"/>
        <w:spacing w:line="297" w:lineRule="auto"/>
        <w:ind w:left="154" w:right="1131" w:firstLine="420"/>
        <w:jc w:val="both"/>
      </w:pPr>
      <w:r>
        <w:rPr>
          <w:spacing w:val="-1"/>
        </w:rPr>
        <w:t>于资产负债表日，本集团对递延所得税资产和递延所得税负债，按照预期收回该资产或清偿该负债期</w:t>
      </w:r>
      <w:r>
        <w:rPr/>
        <w:t> 间的适用税率计量，并反映资产负债表日预期收回资产或清偿负债方式的所得税影响。</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于资产负债表日，本集团对递延所得税资产的账面价值进行复核。如果未来期间很可能无法获得足够</w:t>
      </w:r>
      <w:r>
        <w:rPr/>
        <w:t> </w:t>
      </w:r>
      <w:r>
        <w:rPr>
          <w:spacing w:val="-1"/>
        </w:rPr>
        <w:t>的应纳税所得额用以抵扣递延所得税资产的利益，减记递延所得税资产的账面价值。在很可能获得足够的</w:t>
      </w:r>
      <w:r>
        <w:rPr>
          <w:spacing w:val="-81"/>
        </w:rPr>
        <w:t> </w:t>
      </w:r>
      <w:r>
        <w:rPr>
          <w:spacing w:val="-81"/>
        </w:rPr>
      </w:r>
      <w:r>
        <w:rPr/>
        <w:t>应纳税所得额时，减记的金额予以转回。</w:t>
      </w:r>
    </w:p>
    <w:p>
      <w:pPr>
        <w:pStyle w:val="BodyText"/>
        <w:spacing w:line="240" w:lineRule="auto" w:before="176"/>
        <w:ind w:left="574" w:right="1116"/>
        <w:jc w:val="left"/>
        <w:rPr>
          <w:rFonts w:ascii="微软雅黑" w:hAnsi="微软雅黑" w:cs="微软雅黑" w:eastAsia="微软雅黑" w:hint="default"/>
        </w:rPr>
      </w:pPr>
      <w:bookmarkStart w:name="31、租赁" w:id="214"/>
      <w:bookmarkEnd w:id="214"/>
      <w:r>
        <w:rPr/>
      </w:r>
      <w:r>
        <w:rPr>
          <w:rFonts w:ascii="Times New Roman" w:hAnsi="Times New Roman" w:cs="Times New Roman" w:eastAsia="Times New Roman" w:hint="default"/>
        </w:rPr>
        <w:t>31</w:t>
      </w:r>
      <w:r>
        <w:rPr>
          <w:rFonts w:ascii="微软雅黑" w:hAnsi="微软雅黑" w:cs="微软雅黑" w:eastAsia="微软雅黑" w:hint="default"/>
        </w:rPr>
        <w:t>、租赁</w:t>
      </w:r>
    </w:p>
    <w:p>
      <w:pPr>
        <w:pStyle w:val="BodyText"/>
        <w:spacing w:line="490" w:lineRule="atLeast" w:before="153"/>
        <w:ind w:left="574" w:right="1116"/>
        <w:jc w:val="left"/>
      </w:pPr>
      <w:bookmarkStart w:name="（1）经营租赁的会计处理方法" w:id="215"/>
      <w:bookmarkEnd w:id="215"/>
      <w:r>
        <w:rPr/>
      </w:r>
      <w:r>
        <w:rPr/>
        <w:t>（</w:t>
      </w:r>
      <w:r>
        <w:rPr>
          <w:rFonts w:ascii="Times New Roman" w:hAnsi="Times New Roman" w:cs="Times New Roman" w:eastAsia="Times New Roman" w:hint="default"/>
        </w:rPr>
        <w:t>1</w:t>
      </w:r>
      <w:r>
        <w:rPr/>
        <w:t>）经营租赁的会计处理方法 </w:t>
      </w:r>
      <w:r>
        <w:rPr>
          <w:spacing w:val="-1"/>
        </w:rPr>
        <w:t>本集团将实质上转移了与资产所有权有关的全部风险和报酬的租赁确认为融资租赁，除融资租赁之外</w:t>
      </w:r>
    </w:p>
    <w:p>
      <w:pPr>
        <w:pStyle w:val="BodyText"/>
        <w:spacing w:line="240" w:lineRule="auto" w:before="64"/>
        <w:ind w:left="154" w:right="0"/>
        <w:jc w:val="both"/>
      </w:pPr>
      <w:r>
        <w:rPr/>
        <w:t>的其他租赁确认为经营租赁。</w:t>
      </w:r>
    </w:p>
    <w:p>
      <w:pPr>
        <w:pStyle w:val="BodyText"/>
        <w:spacing w:line="490" w:lineRule="atLeast" w:before="34"/>
        <w:ind w:left="574" w:right="1116"/>
        <w:jc w:val="left"/>
      </w:pPr>
      <w:r>
        <w:rPr/>
        <w:t>（</w:t>
      </w:r>
      <w:r>
        <w:rPr>
          <w:rFonts w:ascii="Times New Roman" w:hAnsi="Times New Roman" w:cs="Times New Roman" w:eastAsia="Times New Roman" w:hint="default"/>
        </w:rPr>
        <w:t>1</w:t>
      </w:r>
      <w:r>
        <w:rPr/>
        <w:t>）本集团作为出租人 </w:t>
      </w:r>
      <w:r>
        <w:rPr>
          <w:spacing w:val="-1"/>
        </w:rPr>
        <w:t>经营租赁中的租金，本集团在租赁期内各个期间按照直线法确认当期损益。发生的初始直接费用，计</w:t>
      </w:r>
    </w:p>
    <w:p>
      <w:pPr>
        <w:pStyle w:val="BodyText"/>
        <w:spacing w:line="240" w:lineRule="auto" w:before="64"/>
        <w:ind w:left="154" w:right="0"/>
        <w:jc w:val="both"/>
      </w:pPr>
      <w:r>
        <w:rPr/>
        <w:t>入当期损益。</w:t>
      </w:r>
    </w:p>
    <w:p>
      <w:pPr>
        <w:pStyle w:val="BodyText"/>
        <w:spacing w:line="490" w:lineRule="atLeast" w:before="34"/>
        <w:ind w:left="574" w:right="1116"/>
        <w:jc w:val="left"/>
      </w:pPr>
      <w:r>
        <w:rPr/>
        <w:t>（</w:t>
      </w:r>
      <w:r>
        <w:rPr>
          <w:rFonts w:ascii="Times New Roman" w:hAnsi="Times New Roman" w:cs="Times New Roman" w:eastAsia="Times New Roman" w:hint="default"/>
        </w:rPr>
        <w:t>2</w:t>
      </w:r>
      <w:r>
        <w:rPr/>
        <w:t>）本集团作为承租人 </w:t>
      </w:r>
      <w:r>
        <w:rPr>
          <w:spacing w:val="-1"/>
        </w:rPr>
        <w:t>经营租赁中的租金，本集团在租赁期内各个期间按照直线法计入相关资产成本或当期损益；发生的初</w:t>
      </w:r>
    </w:p>
    <w:p>
      <w:pPr>
        <w:pStyle w:val="BodyText"/>
        <w:spacing w:line="240" w:lineRule="auto" w:before="64"/>
        <w:ind w:left="154" w:right="0"/>
        <w:jc w:val="both"/>
      </w:pPr>
      <w:r>
        <w:rPr/>
        <w:t>始直接费用，计入当期损益。</w:t>
      </w:r>
    </w:p>
    <w:p>
      <w:pPr>
        <w:spacing w:line="240" w:lineRule="auto" w:before="12"/>
        <w:rPr>
          <w:rFonts w:ascii="宋体" w:hAnsi="宋体" w:cs="宋体" w:eastAsia="宋体" w:hint="default"/>
          <w:sz w:val="17"/>
          <w:szCs w:val="17"/>
        </w:rPr>
      </w:pPr>
    </w:p>
    <w:p>
      <w:pPr>
        <w:pStyle w:val="BodyText"/>
        <w:spacing w:line="240" w:lineRule="auto"/>
        <w:ind w:left="574" w:right="1116"/>
        <w:jc w:val="left"/>
      </w:pPr>
      <w:bookmarkStart w:name="（2）融资租赁的会计处理方法" w:id="216"/>
      <w:bookmarkEnd w:id="216"/>
      <w:r>
        <w:rPr/>
      </w:r>
      <w:r>
        <w:rPr/>
        <w:t>（</w:t>
      </w:r>
      <w:r>
        <w:rPr>
          <w:rFonts w:ascii="Times New Roman" w:hAnsi="Times New Roman" w:cs="Times New Roman" w:eastAsia="Times New Roman" w:hint="default"/>
        </w:rPr>
        <w:t>2</w:t>
      </w:r>
      <w:r>
        <w:rPr/>
        <w:t>）融资租赁的会计处理方法</w:t>
      </w:r>
    </w:p>
    <w:p>
      <w:pPr>
        <w:pStyle w:val="BodyText"/>
        <w:spacing w:line="490" w:lineRule="atLeast" w:before="19"/>
        <w:ind w:left="574" w:right="1116"/>
        <w:jc w:val="left"/>
      </w:pPr>
      <w:r>
        <w:rPr/>
        <w:t>（</w:t>
      </w:r>
      <w:r>
        <w:rPr>
          <w:rFonts w:ascii="Times New Roman" w:hAnsi="Times New Roman" w:cs="Times New Roman" w:eastAsia="Times New Roman" w:hint="default"/>
        </w:rPr>
        <w:t>1</w:t>
      </w:r>
      <w:r>
        <w:rPr/>
        <w:t>）本集团作为出租人 </w:t>
      </w:r>
      <w:r>
        <w:rPr>
          <w:spacing w:val="-1"/>
        </w:rPr>
        <w:t>融资租赁中，在租赁期开始日本集团按最低租赁收款额与初始直接费用之和作为应收融资租赁款的入</w:t>
      </w:r>
    </w:p>
    <w:p>
      <w:pPr>
        <w:pStyle w:val="BodyText"/>
        <w:spacing w:line="297" w:lineRule="auto" w:before="66"/>
        <w:ind w:left="154" w:right="1110"/>
        <w:jc w:val="both"/>
      </w:pPr>
      <w:r>
        <w:rPr>
          <w:spacing w:val="-1"/>
        </w:rPr>
        <w:t>账价值，同时记录未担保余值；将最低租赁收款额、初始直接费用及未担保余值之和与其现值之和的差额</w:t>
      </w:r>
      <w:r>
        <w:rPr>
          <w:spacing w:val="-82"/>
        </w:rPr>
        <w:t> </w:t>
      </w:r>
      <w:r>
        <w:rPr>
          <w:spacing w:val="-82"/>
        </w:rPr>
      </w:r>
      <w:r>
        <w:rPr/>
        <w:t>确认为未实现融资收益。未实现融资收益在租赁期内各个期间采用实际利率法计算确认当期的融资收入。</w:t>
      </w:r>
    </w:p>
    <w:p>
      <w:pPr>
        <w:pStyle w:val="BodyText"/>
        <w:spacing w:line="508" w:lineRule="exact" w:before="22"/>
        <w:ind w:left="574" w:right="1116"/>
        <w:jc w:val="left"/>
      </w:pPr>
      <w:r>
        <w:rPr/>
        <w:t>（</w:t>
      </w:r>
      <w:r>
        <w:rPr>
          <w:rFonts w:ascii="Times New Roman" w:hAnsi="Times New Roman" w:cs="Times New Roman" w:eastAsia="Times New Roman" w:hint="default"/>
        </w:rPr>
        <w:t>2</w:t>
      </w:r>
      <w:r>
        <w:rPr/>
        <w:t>）本集团作为承租人 </w:t>
      </w:r>
      <w:r>
        <w:rPr>
          <w:spacing w:val="-1"/>
        </w:rPr>
        <w:t>融资租赁中，在租赁期开始日本集团将租赁资产公允价值与最低租赁付款额现值两者中较低者作为租</w:t>
      </w:r>
    </w:p>
    <w:p>
      <w:pPr>
        <w:pStyle w:val="BodyText"/>
        <w:spacing w:line="297" w:lineRule="auto"/>
        <w:ind w:left="154" w:right="1131"/>
        <w:jc w:val="both"/>
      </w:pPr>
      <w:r>
        <w:rPr>
          <w:spacing w:val="-1"/>
        </w:rPr>
        <w:t>入资产的入账价值，将最低租赁付款额作为长期应付款的入账价值，其差额作为未确认融资费用。初始直</w:t>
      </w:r>
      <w:r>
        <w:rPr>
          <w:spacing w:val="-83"/>
        </w:rPr>
        <w:t> </w:t>
      </w:r>
      <w:r>
        <w:rPr>
          <w:spacing w:val="-83"/>
        </w:rPr>
      </w:r>
      <w:r>
        <w:rPr>
          <w:spacing w:val="3"/>
        </w:rPr>
        <w:t>接费用计入租入资产价值。未确认融资费用在租赁期内各个期间采用实际利率法计算确认当期的融资费</w:t>
      </w:r>
      <w:r>
        <w:rPr>
          <w:spacing w:val="-82"/>
        </w:rPr>
        <w:t> </w:t>
      </w:r>
      <w:r>
        <w:rPr>
          <w:spacing w:val="-82"/>
        </w:rPr>
      </w:r>
      <w:r>
        <w:rPr/>
        <w:t>用。本集团采用与自有固定资产相一致的折旧政策计提租赁资产折旧。</w:t>
      </w:r>
    </w:p>
    <w:p>
      <w:pPr>
        <w:spacing w:after="0" w:line="297" w:lineRule="auto"/>
        <w:jc w:val="both"/>
        <w:sectPr>
          <w:pgSz w:w="11910" w:h="16840"/>
          <w:pgMar w:header="801" w:footer="1007" w:top="1080" w:bottom="1200" w:left="980" w:right="0"/>
        </w:sectPr>
      </w:pPr>
    </w:p>
    <w:p>
      <w:pPr>
        <w:spacing w:line="240" w:lineRule="auto" w:before="10"/>
        <w:rPr>
          <w:rFonts w:ascii="宋体" w:hAnsi="宋体" w:cs="宋体" w:eastAsia="宋体" w:hint="default"/>
          <w:sz w:val="26"/>
          <w:szCs w:val="26"/>
        </w:rPr>
      </w:pPr>
    </w:p>
    <w:p>
      <w:pPr>
        <w:pStyle w:val="BodyText"/>
        <w:spacing w:line="324" w:lineRule="exact"/>
        <w:ind w:left="574" w:right="1116"/>
        <w:jc w:val="left"/>
        <w:rPr>
          <w:rFonts w:ascii="微软雅黑" w:hAnsi="微软雅黑" w:cs="微软雅黑" w:eastAsia="微软雅黑" w:hint="default"/>
        </w:rPr>
      </w:pPr>
      <w:bookmarkStart w:name="32、其他重要的会计政策和会计估计" w:id="217"/>
      <w:bookmarkEnd w:id="217"/>
      <w:r>
        <w:rPr/>
      </w:r>
      <w:r>
        <w:rPr>
          <w:rFonts w:ascii="Times New Roman" w:hAnsi="Times New Roman" w:cs="Times New Roman" w:eastAsia="Times New Roman" w:hint="default"/>
        </w:rPr>
        <w:t>32</w:t>
      </w:r>
      <w:r>
        <w:rPr>
          <w:rFonts w:ascii="微软雅黑" w:hAnsi="微软雅黑" w:cs="微软雅黑" w:eastAsia="微软雅黑" w:hint="default"/>
        </w:rPr>
        <w:t>、其他重要的会计政策和会计估计</w:t>
      </w:r>
    </w:p>
    <w:p>
      <w:pPr>
        <w:pStyle w:val="BodyText"/>
        <w:spacing w:line="490" w:lineRule="atLeast" w:before="153"/>
        <w:ind w:left="574" w:right="1116"/>
        <w:jc w:val="left"/>
      </w:pPr>
      <w:r>
        <w:rPr>
          <w:rFonts w:ascii="Times New Roman" w:hAnsi="Times New Roman" w:cs="Times New Roman" w:eastAsia="Times New Roman" w:hint="default"/>
        </w:rPr>
        <w:t>1</w:t>
      </w:r>
      <w:r>
        <w:rPr/>
        <w:t>、公允价值计量 </w:t>
      </w:r>
      <w:r>
        <w:rPr>
          <w:spacing w:val="-1"/>
        </w:rPr>
        <w:t>公允价值是指市场参与者在计量日发生的有序交易中，出售一项资产所能收到或者转移一项负债所需</w:t>
      </w:r>
    </w:p>
    <w:p>
      <w:pPr>
        <w:pStyle w:val="BodyText"/>
        <w:spacing w:line="240" w:lineRule="auto" w:before="66"/>
        <w:ind w:left="154" w:right="0"/>
        <w:jc w:val="both"/>
      </w:pPr>
      <w:r>
        <w:rPr/>
        <w:t>支付的价格。</w:t>
      </w:r>
    </w:p>
    <w:p>
      <w:pPr>
        <w:spacing w:line="240" w:lineRule="auto" w:before="10"/>
        <w:rPr>
          <w:rFonts w:ascii="宋体" w:hAnsi="宋体" w:cs="宋体" w:eastAsia="宋体" w:hint="default"/>
          <w:sz w:val="17"/>
          <w:szCs w:val="17"/>
        </w:rPr>
      </w:pPr>
    </w:p>
    <w:p>
      <w:pPr>
        <w:pStyle w:val="BodyText"/>
        <w:spacing w:line="297" w:lineRule="auto"/>
        <w:ind w:left="154" w:right="1130" w:firstLine="420"/>
        <w:jc w:val="both"/>
      </w:pPr>
      <w:r>
        <w:rPr>
          <w:spacing w:val="-1"/>
        </w:rPr>
        <w:t>本集团以公允价值计量相关资产或负债，假定出售资产或者转移负债的有序交易在相关资产或负债的</w:t>
      </w:r>
      <w:r>
        <w:rPr/>
        <w:t> </w:t>
      </w:r>
      <w:r>
        <w:rPr>
          <w:spacing w:val="-5"/>
        </w:rPr>
        <w:t>主要市场进行；不存在主要市场的，本集团假定该交易在相关资产或负债的最有利市场进行。主要市场（或</w:t>
      </w:r>
      <w:r>
        <w:rPr>
          <w:spacing w:val="-102"/>
        </w:rPr>
        <w:t> </w:t>
      </w:r>
      <w:r>
        <w:rPr>
          <w:spacing w:val="-102"/>
        </w:rPr>
      </w:r>
      <w:r>
        <w:rPr>
          <w:spacing w:val="-1"/>
        </w:rPr>
        <w:t>最有利市场）是本集团在计量日能够进入的交易市场。本集团采用市场参与者在对该资产或负债定价时为</w:t>
      </w:r>
      <w:r>
        <w:rPr>
          <w:spacing w:val="-81"/>
        </w:rPr>
        <w:t> </w:t>
      </w:r>
      <w:r>
        <w:rPr>
          <w:spacing w:val="-81"/>
        </w:rPr>
      </w:r>
      <w:r>
        <w:rPr/>
        <w:t>实现其经济利益最大化所使用的假设。</w:t>
      </w:r>
    </w:p>
    <w:p>
      <w:pPr>
        <w:spacing w:line="240" w:lineRule="auto" w:before="0"/>
        <w:rPr>
          <w:rFonts w:ascii="宋体" w:hAnsi="宋体" w:cs="宋体" w:eastAsia="宋体" w:hint="default"/>
          <w:sz w:val="14"/>
          <w:szCs w:val="14"/>
        </w:rPr>
      </w:pPr>
    </w:p>
    <w:p>
      <w:pPr>
        <w:pStyle w:val="BodyText"/>
        <w:spacing w:line="297" w:lineRule="auto"/>
        <w:ind w:left="154" w:right="1130" w:firstLine="420"/>
        <w:jc w:val="both"/>
      </w:pPr>
      <w:r>
        <w:rPr>
          <w:spacing w:val="-1"/>
        </w:rPr>
        <w:t>存在活跃市场的金融资产或金融负债，本集团采用活跃市场中的报价确定其公允价值。金融工具不存</w:t>
      </w:r>
      <w:r>
        <w:rPr/>
        <w:t> 在活跃市场的，本集团采用估值技术确定其公允价值。</w:t>
      </w:r>
    </w:p>
    <w:p>
      <w:pPr>
        <w:spacing w:line="240" w:lineRule="auto" w:before="12"/>
        <w:rPr>
          <w:rFonts w:ascii="宋体" w:hAnsi="宋体" w:cs="宋体" w:eastAsia="宋体" w:hint="default"/>
          <w:sz w:val="13"/>
          <w:szCs w:val="13"/>
        </w:rPr>
      </w:pPr>
    </w:p>
    <w:p>
      <w:pPr>
        <w:pStyle w:val="BodyText"/>
        <w:spacing w:line="297" w:lineRule="auto"/>
        <w:ind w:left="154" w:right="1131" w:firstLine="420"/>
        <w:jc w:val="both"/>
      </w:pPr>
      <w:r>
        <w:rPr>
          <w:spacing w:val="-1"/>
        </w:rPr>
        <w:t>以公允价值计量非金融资产的，考虑市场参与者将该资产用于最佳用途产生经济利益的能力，或者将</w:t>
      </w:r>
      <w:r>
        <w:rPr/>
        <w:t> 该资产出售给能够用于最佳用途的其他市场参与者产生经济利益的能力。</w:t>
      </w:r>
    </w:p>
    <w:p>
      <w:pPr>
        <w:spacing w:line="240" w:lineRule="auto" w:before="0"/>
        <w:rPr>
          <w:rFonts w:ascii="宋体" w:hAnsi="宋体" w:cs="宋体" w:eastAsia="宋体" w:hint="default"/>
          <w:sz w:val="14"/>
          <w:szCs w:val="14"/>
        </w:rPr>
      </w:pPr>
    </w:p>
    <w:p>
      <w:pPr>
        <w:pStyle w:val="BodyText"/>
        <w:spacing w:line="297" w:lineRule="auto"/>
        <w:ind w:left="154" w:right="1132" w:firstLine="420"/>
        <w:jc w:val="both"/>
      </w:pPr>
      <w:r>
        <w:rPr>
          <w:spacing w:val="-1"/>
        </w:rPr>
        <w:t>本集团采用在当前情况下适用并且有足够可利用数据和其他信息支持的估值技术，优先使用相关可观</w:t>
      </w:r>
      <w:r>
        <w:rPr/>
        <w:t> 察输入值，只有在可观察输入值无法取得或取得不切实可行的情况下，才使用不可观察输入值。</w:t>
      </w:r>
    </w:p>
    <w:p>
      <w:pPr>
        <w:spacing w:line="240" w:lineRule="auto" w:before="12"/>
        <w:rPr>
          <w:rFonts w:ascii="宋体" w:hAnsi="宋体" w:cs="宋体" w:eastAsia="宋体" w:hint="default"/>
          <w:sz w:val="13"/>
          <w:szCs w:val="13"/>
        </w:rPr>
      </w:pPr>
    </w:p>
    <w:p>
      <w:pPr>
        <w:pStyle w:val="BodyText"/>
        <w:spacing w:line="297" w:lineRule="auto"/>
        <w:ind w:left="154" w:right="1131" w:firstLine="420"/>
        <w:jc w:val="both"/>
      </w:pPr>
      <w:r>
        <w:rPr>
          <w:spacing w:val="-1"/>
        </w:rPr>
        <w:t>在财务报表中以公允价值计量或披露的资产和负债，根据对公允价值计量整体而言具有重要意义的最</w:t>
      </w:r>
      <w:r>
        <w:rPr/>
        <w:t> </w:t>
      </w:r>
      <w:r>
        <w:rPr>
          <w:spacing w:val="-1"/>
        </w:rPr>
        <w:t>低层次输入值，确定所属的公允价值层次：第一层次输入值，是在计量日能够取得的相同资产或负债在活</w:t>
      </w:r>
      <w:r>
        <w:rPr>
          <w:spacing w:val="-83"/>
        </w:rPr>
        <w:t> </w:t>
      </w:r>
      <w:r>
        <w:rPr>
          <w:spacing w:val="-83"/>
        </w:rPr>
      </w:r>
      <w:r>
        <w:rPr>
          <w:spacing w:val="-1"/>
        </w:rPr>
        <w:t>跃市场上未经调整的报价；第二层次输入值，是除第一层次输入值外相关资产或负债直接或间接可观察的</w:t>
      </w:r>
      <w:r>
        <w:rPr>
          <w:spacing w:val="-81"/>
        </w:rPr>
        <w:t> </w:t>
      </w:r>
      <w:r>
        <w:rPr>
          <w:spacing w:val="-81"/>
        </w:rPr>
      </w:r>
      <w:r>
        <w:rPr/>
        <w:t>输入值；第三层次输入值，是相关资产或负债的不可观察输入值。</w:t>
      </w:r>
    </w:p>
    <w:p>
      <w:pPr>
        <w:spacing w:line="240" w:lineRule="auto" w:before="0"/>
        <w:rPr>
          <w:rFonts w:ascii="宋体" w:hAnsi="宋体" w:cs="宋体" w:eastAsia="宋体" w:hint="default"/>
          <w:sz w:val="14"/>
          <w:szCs w:val="14"/>
        </w:rPr>
      </w:pPr>
    </w:p>
    <w:p>
      <w:pPr>
        <w:pStyle w:val="BodyText"/>
        <w:spacing w:line="297" w:lineRule="auto"/>
        <w:ind w:left="154" w:right="1110" w:firstLine="420"/>
        <w:jc w:val="both"/>
      </w:pPr>
      <w:r>
        <w:rPr/>
        <w:t>每个资产负债表日，本集团对在财务报表中确认的持续以公允价值计量的资产和负债进行重新评估， 以确定是否在公允价值计量层次之间发生转换。</w:t>
      </w:r>
    </w:p>
    <w:p>
      <w:pPr>
        <w:pStyle w:val="BodyText"/>
        <w:spacing w:line="508" w:lineRule="exact" w:before="21"/>
        <w:ind w:left="574" w:right="1116"/>
        <w:jc w:val="left"/>
      </w:pPr>
      <w:r>
        <w:rPr>
          <w:rFonts w:ascii="Times New Roman" w:hAnsi="Times New Roman" w:cs="Times New Roman" w:eastAsia="Times New Roman" w:hint="default"/>
        </w:rPr>
        <w:t>2</w:t>
      </w:r>
      <w:r>
        <w:rPr/>
        <w:t>、回购股份 </w:t>
      </w:r>
      <w:r>
        <w:rPr>
          <w:spacing w:val="-1"/>
        </w:rPr>
        <w:t>本公司回购的股份在注销或者转让之前，作为库存股管理，回购股份的全部支出转作库存股成本。股</w:t>
      </w:r>
    </w:p>
    <w:p>
      <w:pPr>
        <w:pStyle w:val="BodyText"/>
        <w:spacing w:line="269" w:lineRule="exact"/>
        <w:ind w:left="574" w:right="0" w:hanging="420"/>
        <w:jc w:val="left"/>
      </w:pPr>
      <w:r>
        <w:rPr/>
        <w:t>份回购中支付的对价和交易费用减少所有者权益，回购、转让或注销本公司股份时，不确认利得或损失。</w:t>
      </w:r>
    </w:p>
    <w:p>
      <w:pPr>
        <w:spacing w:line="240" w:lineRule="auto" w:before="10"/>
        <w:rPr>
          <w:rFonts w:ascii="宋体" w:hAnsi="宋体" w:cs="宋体" w:eastAsia="宋体" w:hint="default"/>
          <w:sz w:val="17"/>
          <w:szCs w:val="17"/>
        </w:rPr>
      </w:pPr>
    </w:p>
    <w:p>
      <w:pPr>
        <w:pStyle w:val="BodyText"/>
        <w:spacing w:line="297" w:lineRule="auto"/>
        <w:ind w:left="154" w:right="1131" w:firstLine="420"/>
        <w:jc w:val="both"/>
      </w:pPr>
      <w:r>
        <w:rPr>
          <w:spacing w:val="-1"/>
        </w:rPr>
        <w:t>转让库存股，按实际收到的金额与库存股账面金额的差额，计入资本公积，资本公积不足冲减的，冲</w:t>
      </w:r>
      <w:r>
        <w:rPr/>
        <w:t> </w:t>
      </w:r>
      <w:r>
        <w:rPr>
          <w:spacing w:val="-1"/>
        </w:rPr>
        <w:t>减盈余公积和未分配利润。注销库存股，按股票面值和注销股数减少股本，按注销库存股的账面余额与面</w:t>
      </w:r>
      <w:r>
        <w:rPr>
          <w:spacing w:val="-83"/>
        </w:rPr>
        <w:t> </w:t>
      </w:r>
      <w:r>
        <w:rPr>
          <w:spacing w:val="-83"/>
        </w:rPr>
      </w:r>
      <w:r>
        <w:rPr/>
        <w:t>值的差额，冲减资本公积，资本公积不足冲减的，冲减盈余公积和未分配利润。</w:t>
      </w:r>
    </w:p>
    <w:p>
      <w:pPr>
        <w:pStyle w:val="BodyText"/>
        <w:spacing w:line="508" w:lineRule="exact" w:before="22"/>
        <w:ind w:left="574" w:right="1116"/>
        <w:jc w:val="left"/>
      </w:pPr>
      <w:r>
        <w:rPr>
          <w:rFonts w:ascii="Times New Roman" w:hAnsi="Times New Roman" w:cs="Times New Roman" w:eastAsia="Times New Roman" w:hint="default"/>
        </w:rPr>
        <w:t>3</w:t>
      </w:r>
      <w:r>
        <w:rPr/>
        <w:t>、限制性股票 </w:t>
      </w:r>
      <w:r>
        <w:rPr>
          <w:spacing w:val="-1"/>
        </w:rPr>
        <w:t>股权激励计划中，本公司授予被激励对象限制性股票，被激励对象先认购股票，如果后续未达到股权</w:t>
      </w:r>
    </w:p>
    <w:p>
      <w:pPr>
        <w:pStyle w:val="BodyText"/>
        <w:spacing w:line="297" w:lineRule="auto"/>
        <w:ind w:left="154" w:right="1131"/>
        <w:jc w:val="both"/>
      </w:pPr>
      <w:r>
        <w:rPr>
          <w:spacing w:val="-1"/>
        </w:rPr>
        <w:t>激励计划规定的解锁条件，则本公司按照事先约定的价格回购股票。向职工发行的限制性股票按有关规定</w:t>
      </w:r>
      <w:r>
        <w:rPr>
          <w:spacing w:val="-81"/>
        </w:rPr>
        <w:t> </w:t>
      </w:r>
      <w:r>
        <w:rPr>
          <w:spacing w:val="-81"/>
        </w:rPr>
      </w:r>
      <w:r>
        <w:rPr>
          <w:spacing w:val="-1"/>
        </w:rPr>
        <w:t>履行了注册登记等增资手续的，在授予日，本公司根据收到的职工缴纳的认股款确认股本和资本公积（股</w:t>
      </w:r>
      <w:r>
        <w:rPr>
          <w:spacing w:val="-83"/>
        </w:rPr>
        <w:t> </w:t>
      </w:r>
      <w:r>
        <w:rPr>
          <w:spacing w:val="-83"/>
        </w:rPr>
      </w:r>
      <w:r>
        <w:rPr/>
        <w:t>本溢价）；同时就回购义务确认库存股和其他应付款。</w:t>
      </w:r>
    </w:p>
    <w:p>
      <w:pPr>
        <w:spacing w:line="240" w:lineRule="auto" w:before="0"/>
        <w:rPr>
          <w:rFonts w:ascii="宋体" w:hAnsi="宋体" w:cs="宋体" w:eastAsia="宋体" w:hint="default"/>
          <w:sz w:val="14"/>
          <w:szCs w:val="14"/>
        </w:rPr>
      </w:pPr>
    </w:p>
    <w:p>
      <w:pPr>
        <w:pStyle w:val="BodyText"/>
        <w:spacing w:line="420" w:lineRule="auto"/>
        <w:ind w:left="574" w:right="1116"/>
        <w:jc w:val="left"/>
      </w:pPr>
      <w:r>
        <w:rPr>
          <w:rFonts w:ascii="Times New Roman" w:hAnsi="Times New Roman" w:cs="Times New Roman" w:eastAsia="Times New Roman" w:hint="default"/>
        </w:rPr>
        <w:t>4</w:t>
      </w:r>
      <w:r>
        <w:rPr/>
        <w:t>、重大会计判断和估计 </w:t>
      </w:r>
      <w:r>
        <w:rPr>
          <w:spacing w:val="-1"/>
        </w:rPr>
        <w:t>本集团根据历史经验和其它因素，包括对未来事项的合理预期，对所采用的重要会计估计和关键假设</w:t>
      </w:r>
    </w:p>
    <w:p>
      <w:pPr>
        <w:spacing w:after="0" w:line="420" w:lineRule="auto"/>
        <w:jc w:val="left"/>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40" w:lineRule="auto" w:before="35"/>
        <w:ind w:left="214" w:right="1016"/>
        <w:jc w:val="left"/>
      </w:pPr>
      <w:r>
        <w:rPr/>
        <w:t>进行持续的评价。</w:t>
      </w:r>
    </w:p>
    <w:p>
      <w:pPr>
        <w:spacing w:line="240" w:lineRule="auto" w:before="12"/>
        <w:rPr>
          <w:rFonts w:ascii="宋体" w:hAnsi="宋体" w:cs="宋体" w:eastAsia="宋体" w:hint="default"/>
          <w:sz w:val="17"/>
          <w:szCs w:val="17"/>
        </w:rPr>
      </w:pPr>
    </w:p>
    <w:p>
      <w:pPr>
        <w:pStyle w:val="BodyText"/>
        <w:spacing w:line="297" w:lineRule="auto"/>
        <w:ind w:left="214" w:right="1016" w:firstLine="420"/>
        <w:jc w:val="left"/>
      </w:pPr>
      <w:r>
        <w:rPr>
          <w:spacing w:val="3"/>
        </w:rPr>
        <w:t>很可能导致下一会计年度资产和负债的账面价值出现重大调整风险的重要会计估计和关键假设列示</w:t>
      </w:r>
      <w:r>
        <w:rPr/>
        <w:t> 如下：</w:t>
      </w:r>
    </w:p>
    <w:p>
      <w:pPr>
        <w:pStyle w:val="BodyText"/>
        <w:spacing w:line="508" w:lineRule="exact" w:before="23"/>
        <w:ind w:right="1016"/>
        <w:jc w:val="left"/>
      </w:pPr>
      <w:r>
        <w:rPr/>
        <w:t>商誉减值 </w:t>
      </w:r>
      <w:r>
        <w:rPr>
          <w:spacing w:val="-1"/>
        </w:rPr>
        <w:t>本集团至少每年评估商誉是否发生减值。这要求对分配了商誉的资产组的使用价值进行估计。估计使</w:t>
      </w:r>
    </w:p>
    <w:p>
      <w:pPr>
        <w:pStyle w:val="BodyText"/>
        <w:spacing w:line="444" w:lineRule="auto"/>
        <w:ind w:right="1023" w:hanging="420"/>
        <w:jc w:val="left"/>
      </w:pPr>
      <w:r>
        <w:rPr>
          <w:spacing w:val="-3"/>
        </w:rPr>
        <w:t>用价值时，本集团需要估计未来来自资产组的现金流量，同时选择恰当的折现率计算未来现金流量的现值。</w:t>
      </w:r>
      <w:r>
        <w:rPr>
          <w:spacing w:val="-92"/>
        </w:rPr>
        <w:t> </w:t>
      </w:r>
      <w:r>
        <w:rPr>
          <w:spacing w:val="-92"/>
        </w:rPr>
      </w:r>
      <w:r>
        <w:rPr/>
        <w:t>开发支出</w:t>
      </w:r>
    </w:p>
    <w:p>
      <w:pPr>
        <w:pStyle w:val="BodyText"/>
        <w:spacing w:line="297" w:lineRule="auto" w:before="55"/>
        <w:ind w:left="214" w:right="1016" w:firstLine="420"/>
        <w:jc w:val="left"/>
      </w:pPr>
      <w:r>
        <w:rPr>
          <w:spacing w:val="-1"/>
        </w:rPr>
        <w:t>确定资本化的金额时，管理层必须做出有关资产的预期未来现金的产生、应采用的折现率以及预计受</w:t>
      </w:r>
      <w:r>
        <w:rPr/>
        <w:t> 益期间的假设。</w:t>
      </w:r>
    </w:p>
    <w:p>
      <w:pPr>
        <w:pStyle w:val="BodyText"/>
        <w:spacing w:line="508" w:lineRule="exact" w:before="21"/>
        <w:ind w:right="1016"/>
        <w:jc w:val="left"/>
      </w:pPr>
      <w:r>
        <w:rPr/>
        <w:t>递延所得税资产 </w:t>
      </w:r>
      <w:r>
        <w:rPr>
          <w:spacing w:val="-1"/>
        </w:rPr>
        <w:t>在很有可能有足够的应纳税利润来抵扣亏损的限度内，应就所有未利用的税务亏损确认递延所得税资</w:t>
      </w:r>
    </w:p>
    <w:p>
      <w:pPr>
        <w:pStyle w:val="BodyText"/>
        <w:spacing w:line="297" w:lineRule="auto"/>
        <w:ind w:left="214" w:right="1016"/>
        <w:jc w:val="left"/>
      </w:pPr>
      <w:r>
        <w:rPr>
          <w:spacing w:val="-1"/>
        </w:rPr>
        <w:t>产。这需要管理层运用大量的判断来估计未来应纳税利润发生的时间和金额，结合纳税筹划策略，以决定</w:t>
      </w:r>
      <w:r>
        <w:rPr>
          <w:spacing w:val="-83"/>
        </w:rPr>
        <w:t> </w:t>
      </w:r>
      <w:r>
        <w:rPr>
          <w:spacing w:val="-83"/>
        </w:rPr>
      </w:r>
      <w:r>
        <w:rPr/>
        <w:t>应确认的递延所得税资产的金额。</w:t>
      </w:r>
    </w:p>
    <w:p>
      <w:pPr>
        <w:pStyle w:val="BodyText"/>
        <w:spacing w:line="240" w:lineRule="auto" w:before="176"/>
        <w:ind w:right="1016"/>
        <w:jc w:val="left"/>
        <w:rPr>
          <w:rFonts w:ascii="微软雅黑" w:hAnsi="微软雅黑" w:cs="微软雅黑" w:eastAsia="微软雅黑" w:hint="default"/>
        </w:rPr>
      </w:pPr>
      <w:bookmarkStart w:name="33、重要会计政策和会计估计变更" w:id="218"/>
      <w:bookmarkEnd w:id="218"/>
      <w:r>
        <w:rPr/>
      </w:r>
      <w:r>
        <w:rPr>
          <w:rFonts w:ascii="Times New Roman" w:hAnsi="Times New Roman" w:cs="Times New Roman" w:eastAsia="Times New Roman" w:hint="default"/>
        </w:rPr>
        <w:t>33</w:t>
      </w:r>
      <w:r>
        <w:rPr>
          <w:rFonts w:ascii="微软雅黑" w:hAnsi="微软雅黑" w:cs="微软雅黑" w:eastAsia="微软雅黑" w:hint="default"/>
        </w:rPr>
        <w:t>、重要会计政策和会计估计变更</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重要会计政策变更" w:id="219"/>
      <w:bookmarkEnd w:id="219"/>
      <w:r>
        <w:rPr/>
      </w:r>
      <w:r>
        <w:rPr/>
        <w:t>（</w:t>
      </w:r>
      <w:r>
        <w:rPr>
          <w:rFonts w:ascii="Times New Roman" w:hAnsi="Times New Roman" w:cs="Times New Roman" w:eastAsia="Times New Roman" w:hint="default"/>
        </w:rPr>
        <w:t>1</w:t>
      </w:r>
      <w:r>
        <w:rPr/>
        <w:t>）重要会计政策变更</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5"/>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286"/>
        <w:gridCol w:w="3285"/>
        <w:gridCol w:w="3285"/>
      </w:tblGrid>
      <w:tr>
        <w:trPr>
          <w:trHeight w:val="407"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44"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发布</w:t>
            </w:r>
            <w:r>
              <w:rPr>
                <w:rFonts w:ascii="宋体" w:hAnsi="宋体" w:cs="宋体" w:eastAsia="宋体" w:hint="default"/>
                <w:spacing w:val="-90"/>
                <w:sz w:val="18"/>
                <w:szCs w:val="18"/>
              </w:rPr>
              <w:t>的</w:t>
            </w:r>
            <w:r>
              <w:rPr>
                <w:rFonts w:ascii="宋体" w:hAnsi="宋体" w:cs="宋体" w:eastAsia="宋体" w:hint="default"/>
                <w:sz w:val="18"/>
                <w:szCs w:val="18"/>
              </w:rPr>
              <w:t>《关</w:t>
            </w:r>
          </w:p>
          <w:p>
            <w:pPr>
              <w:pStyle w:val="TableParagraph"/>
              <w:spacing w:line="225" w:lineRule="auto" w:before="5"/>
              <w:ind w:left="103" w:right="156"/>
              <w:jc w:val="both"/>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 </w:t>
            </w:r>
            <w:r>
              <w:rPr>
                <w:rFonts w:ascii="宋体" w:hAnsi="宋体" w:cs="宋体" w:eastAsia="宋体" w:hint="default"/>
                <w:spacing w:val="-5"/>
                <w:sz w:val="18"/>
                <w:szCs w:val="18"/>
              </w:rPr>
              <w:t>表格式的通知》（财会〔</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修订财务报表格式</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第三届董事会第三次会议审议批准</w:t>
            </w:r>
          </w:p>
        </w:tc>
        <w:tc>
          <w:tcPr>
            <w:tcW w:w="32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根据财政部</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spacing w:val="-3"/>
        </w:rPr>
        <w:t>日发布的《关于修订印发</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spacing w:val="-4"/>
        </w:rPr>
        <w:t>年度一般企业财务报表格式的通知》（财会</w:t>
      </w:r>
    </w:p>
    <w:p>
      <w:pPr>
        <w:pStyle w:val="BodyText"/>
        <w:spacing w:line="240" w:lineRule="auto" w:before="49"/>
        <w:ind w:left="214" w:right="1016"/>
        <w:jc w:val="left"/>
      </w:pPr>
      <w:r>
        <w:rPr/>
        <w:t>〔</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号），本公司对财务报表格式进行了以下修订：</w:t>
      </w:r>
    </w:p>
    <w:p>
      <w:pPr>
        <w:spacing w:line="240" w:lineRule="auto" w:before="9"/>
        <w:rPr>
          <w:rFonts w:ascii="宋体" w:hAnsi="宋体" w:cs="宋体" w:eastAsia="宋体" w:hint="default"/>
          <w:sz w:val="16"/>
          <w:szCs w:val="16"/>
        </w:rPr>
      </w:pPr>
    </w:p>
    <w:p>
      <w:pPr>
        <w:pStyle w:val="BodyText"/>
        <w:spacing w:line="280" w:lineRule="auto"/>
        <w:ind w:left="214" w:right="1129" w:firstLine="420"/>
        <w:jc w:val="both"/>
      </w:pPr>
      <w:r>
        <w:rPr>
          <w:spacing w:val="-5"/>
        </w:rPr>
        <w:t>①资产负债表：将原</w:t>
      </w:r>
      <w:r>
        <w:rPr>
          <w:rFonts w:ascii="Times New Roman" w:hAnsi="Times New Roman" w:cs="Times New Roman" w:eastAsia="Times New Roman" w:hint="default"/>
          <w:spacing w:val="-5"/>
        </w:rPr>
        <w:t>“</w:t>
      </w:r>
      <w:r>
        <w:rPr>
          <w:spacing w:val="-5"/>
        </w:rPr>
        <w:t>应收票据</w:t>
      </w:r>
      <w:r>
        <w:rPr>
          <w:rFonts w:ascii="Times New Roman" w:hAnsi="Times New Roman" w:cs="Times New Roman" w:eastAsia="Times New Roman" w:hint="default"/>
          <w:spacing w:val="-5"/>
        </w:rPr>
        <w:t>”</w:t>
      </w:r>
      <w:r>
        <w:rPr>
          <w:spacing w:val="-5"/>
        </w:rPr>
        <w:t>及</w:t>
      </w:r>
      <w:r>
        <w:rPr>
          <w:rFonts w:ascii="Times New Roman" w:hAnsi="Times New Roman" w:cs="Times New Roman" w:eastAsia="Times New Roman" w:hint="default"/>
          <w:spacing w:val="-5"/>
        </w:rPr>
        <w:t>“</w:t>
      </w:r>
      <w:r>
        <w:rPr>
          <w:spacing w:val="-5"/>
        </w:rPr>
        <w:t>应收账款</w:t>
      </w:r>
      <w:r>
        <w:rPr>
          <w:rFonts w:ascii="Times New Roman" w:hAnsi="Times New Roman" w:cs="Times New Roman" w:eastAsia="Times New Roman" w:hint="default"/>
          <w:spacing w:val="-5"/>
        </w:rPr>
        <w:t>”</w:t>
      </w:r>
      <w:r>
        <w:rPr>
          <w:spacing w:val="-5"/>
        </w:rPr>
        <w:t>项目归并至</w:t>
      </w:r>
      <w:r>
        <w:rPr>
          <w:rFonts w:ascii="Times New Roman" w:hAnsi="Times New Roman" w:cs="Times New Roman" w:eastAsia="Times New Roman" w:hint="default"/>
          <w:spacing w:val="-5"/>
        </w:rPr>
        <w:t>“</w:t>
      </w:r>
      <w:r>
        <w:rPr>
          <w:spacing w:val="-5"/>
        </w:rPr>
        <w:t>应收票据及应收账款</w:t>
      </w:r>
      <w:r>
        <w:rPr>
          <w:rFonts w:ascii="Times New Roman" w:hAnsi="Times New Roman" w:cs="Times New Roman" w:eastAsia="Times New Roman" w:hint="default"/>
          <w:spacing w:val="-5"/>
        </w:rPr>
        <w:t>”</w:t>
      </w:r>
      <w:r>
        <w:rPr>
          <w:spacing w:val="-5"/>
        </w:rPr>
        <w:t>；将原</w:t>
      </w:r>
      <w:r>
        <w:rPr>
          <w:rFonts w:ascii="Times New Roman" w:hAnsi="Times New Roman" w:cs="Times New Roman" w:eastAsia="Times New Roman" w:hint="default"/>
          <w:spacing w:val="-5"/>
        </w:rPr>
        <w:t>“</w:t>
      </w:r>
      <w:r>
        <w:rPr>
          <w:spacing w:val="-5"/>
        </w:rPr>
        <w:t>应收利息</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w:t>
      </w:r>
      <w:r>
        <w:rPr>
          <w:spacing w:val="-5"/>
        </w:rPr>
        <w:t>应</w:t>
      </w:r>
      <w:r>
        <w:rPr/>
        <w:t> 收股利</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；将原</w:t>
      </w:r>
      <w:r>
        <w:rPr>
          <w:rFonts w:ascii="Times New Roman" w:hAnsi="Times New Roman" w:cs="Times New Roman" w:eastAsia="Times New Roman" w:hint="default"/>
        </w:rPr>
        <w:t>“</w:t>
      </w:r>
      <w:r>
        <w:rPr/>
        <w:t>固定资产</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固定资产清理</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固定资</w:t>
      </w:r>
      <w:r>
        <w:rPr>
          <w:spacing w:val="-23"/>
        </w:rPr>
        <w:t> </w:t>
      </w:r>
      <w:r>
        <w:rPr>
          <w:spacing w:val="-23"/>
        </w:rPr>
      </w:r>
      <w:r>
        <w:rPr>
          <w:spacing w:val="-2"/>
        </w:rPr>
        <w:t>产</w:t>
      </w:r>
      <w:r>
        <w:rPr>
          <w:rFonts w:ascii="Times New Roman" w:hAnsi="Times New Roman" w:cs="Times New Roman" w:eastAsia="Times New Roman" w:hint="default"/>
          <w:spacing w:val="-2"/>
        </w:rPr>
        <w:t>”</w:t>
      </w:r>
      <w:r>
        <w:rPr>
          <w:spacing w:val="-2"/>
        </w:rPr>
        <w:t>；将原</w:t>
      </w:r>
      <w:r>
        <w:rPr>
          <w:rFonts w:ascii="Times New Roman" w:hAnsi="Times New Roman" w:cs="Times New Roman" w:eastAsia="Times New Roman" w:hint="default"/>
          <w:spacing w:val="-2"/>
        </w:rPr>
        <w:t>“</w:t>
      </w:r>
      <w:r>
        <w:rPr>
          <w:spacing w:val="-2"/>
        </w:rPr>
        <w:t>工程物资</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在建工程</w:t>
      </w:r>
      <w:r>
        <w:rPr>
          <w:rFonts w:ascii="Times New Roman" w:hAnsi="Times New Roman" w:cs="Times New Roman" w:eastAsia="Times New Roman" w:hint="default"/>
          <w:spacing w:val="-2"/>
        </w:rPr>
        <w:t>”</w:t>
      </w:r>
      <w:r>
        <w:rPr>
          <w:spacing w:val="-2"/>
        </w:rPr>
        <w:t>项目归并至</w:t>
      </w:r>
      <w:r>
        <w:rPr>
          <w:rFonts w:ascii="Times New Roman" w:hAnsi="Times New Roman" w:cs="Times New Roman" w:eastAsia="Times New Roman" w:hint="default"/>
          <w:spacing w:val="-2"/>
        </w:rPr>
        <w:t>“</w:t>
      </w:r>
      <w:r>
        <w:rPr>
          <w:spacing w:val="-2"/>
        </w:rPr>
        <w:t>在建工程</w:t>
      </w:r>
      <w:r>
        <w:rPr>
          <w:rFonts w:ascii="Times New Roman" w:hAnsi="Times New Roman" w:cs="Times New Roman" w:eastAsia="Times New Roman" w:hint="default"/>
          <w:spacing w:val="-2"/>
        </w:rPr>
        <w:t>”</w:t>
      </w:r>
      <w:r>
        <w:rPr>
          <w:spacing w:val="-2"/>
        </w:rPr>
        <w:t>；将原</w:t>
      </w:r>
      <w:r>
        <w:rPr>
          <w:rFonts w:ascii="Times New Roman" w:hAnsi="Times New Roman" w:cs="Times New Roman" w:eastAsia="Times New Roman" w:hint="default"/>
          <w:spacing w:val="-2"/>
        </w:rPr>
        <w:t>“</w:t>
      </w:r>
      <w:r>
        <w:rPr>
          <w:spacing w:val="-2"/>
        </w:rPr>
        <w:t>应付票据</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应付账款</w:t>
      </w:r>
      <w:r>
        <w:rPr>
          <w:rFonts w:ascii="Times New Roman" w:hAnsi="Times New Roman" w:cs="Times New Roman" w:eastAsia="Times New Roman" w:hint="default"/>
          <w:spacing w:val="-2"/>
        </w:rPr>
        <w:t>”</w:t>
      </w:r>
      <w:r>
        <w:rPr>
          <w:spacing w:val="-2"/>
        </w:rPr>
        <w:t>项目归并至</w:t>
      </w:r>
      <w:r>
        <w:rPr>
          <w:rFonts w:ascii="Times New Roman" w:hAnsi="Times New Roman" w:cs="Times New Roman" w:eastAsia="Times New Roman" w:hint="default"/>
          <w:spacing w:val="-2"/>
        </w:rPr>
        <w:t>“</w:t>
      </w:r>
      <w:r>
        <w:rPr>
          <w:spacing w:val="-2"/>
        </w:rPr>
        <w:t>应付</w:t>
      </w:r>
      <w:r>
        <w:rPr>
          <w:spacing w:val="-95"/>
        </w:rPr>
        <w:t> </w:t>
      </w:r>
      <w:r>
        <w:rPr/>
        <w:t>票据及应付账款</w:t>
      </w:r>
      <w:r>
        <w:rPr>
          <w:rFonts w:ascii="Times New Roman" w:hAnsi="Times New Roman" w:cs="Times New Roman" w:eastAsia="Times New Roman" w:hint="default"/>
        </w:rPr>
        <w:t>”</w:t>
      </w:r>
      <w:r>
        <w:rPr/>
        <w:t>；将原</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；将原</w:t>
      </w:r>
      <w:r>
        <w:rPr>
          <w:rFonts w:ascii="Times New Roman" w:hAnsi="Times New Roman" w:cs="Times New Roman" w:eastAsia="Times New Roman" w:hint="default"/>
        </w:rPr>
        <w:t>“</w:t>
      </w:r>
      <w:r>
        <w:rPr/>
        <w:t>长期应付</w:t>
      </w:r>
      <w:r>
        <w:rPr>
          <w:spacing w:val="-22"/>
        </w:rPr>
        <w:t> </w:t>
      </w:r>
      <w:r>
        <w:rPr>
          <w:spacing w:val="-22"/>
        </w:rPr>
      </w:r>
      <w:r>
        <w:rPr/>
        <w:t>款</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专项应付款</w:t>
      </w:r>
      <w:r>
        <w:rPr>
          <w:rFonts w:ascii="Times New Roman" w:hAnsi="Times New Roman" w:cs="Times New Roman" w:eastAsia="Times New Roman" w:hint="default"/>
        </w:rPr>
        <w:t>”</w:t>
      </w:r>
      <w:r>
        <w:rPr/>
        <w:t>项目归并至</w:t>
      </w:r>
      <w:r>
        <w:rPr>
          <w:rFonts w:ascii="Times New Roman" w:hAnsi="Times New Roman" w:cs="Times New Roman" w:eastAsia="Times New Roman" w:hint="default"/>
        </w:rPr>
        <w:t>“</w:t>
      </w:r>
      <w:r>
        <w:rPr/>
        <w:t>长期应付款</w:t>
      </w:r>
      <w:r>
        <w:rPr>
          <w:rFonts w:ascii="Times New Roman" w:hAnsi="Times New Roman" w:cs="Times New Roman" w:eastAsia="Times New Roman" w:hint="default"/>
        </w:rPr>
        <w:t>”</w:t>
      </w:r>
      <w:r>
        <w:rPr/>
        <w:t>。</w:t>
      </w:r>
    </w:p>
    <w:p>
      <w:pPr>
        <w:pStyle w:val="BodyText"/>
        <w:spacing w:line="280" w:lineRule="auto" w:before="177"/>
        <w:ind w:left="214" w:right="1129" w:firstLine="420"/>
        <w:jc w:val="both"/>
      </w:pPr>
      <w:r>
        <w:rPr/>
        <w:t>②利润表：将</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项目分拆</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明细项目列报；利润表中</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w:t>
      </w:r>
      <w:r>
        <w:rPr>
          <w:spacing w:val="2"/>
        </w:rPr>
        <w:t> </w:t>
      </w:r>
      <w:r>
        <w:rPr/>
        <w:t>下增加</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明细项目列报。</w:t>
      </w:r>
    </w:p>
    <w:p>
      <w:pPr>
        <w:pStyle w:val="BodyText"/>
        <w:spacing w:line="420" w:lineRule="auto" w:before="179"/>
        <w:ind w:right="3846"/>
        <w:jc w:val="left"/>
      </w:pPr>
      <w:r>
        <w:rPr/>
        <w:t>③所有者权益变动表：新增</w:t>
      </w:r>
      <w:r>
        <w:rPr>
          <w:rFonts w:ascii="Times New Roman" w:hAnsi="Times New Roman" w:cs="Times New Roman" w:eastAsia="Times New Roman" w:hint="default"/>
        </w:rPr>
        <w:t>“</w:t>
      </w:r>
      <w:r>
        <w:rPr/>
        <w:t>设定受益计划变动额结转留存收益</w:t>
      </w:r>
      <w:r>
        <w:rPr>
          <w:rFonts w:ascii="Times New Roman" w:hAnsi="Times New Roman" w:cs="Times New Roman" w:eastAsia="Times New Roman" w:hint="default"/>
        </w:rPr>
        <w:t>”</w:t>
      </w:r>
      <w:r>
        <w:rPr/>
        <w:t>项目。 上述会计政策变更事项已经第三届董事会第三次会议审议批准。</w:t>
      </w:r>
    </w:p>
    <w:p>
      <w:pPr>
        <w:pStyle w:val="BodyText"/>
        <w:spacing w:line="240" w:lineRule="auto" w:before="76"/>
        <w:ind w:right="1016"/>
        <w:jc w:val="left"/>
      </w:pPr>
      <w:r>
        <w:rPr/>
        <w:t>期初及上年（</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年度）受影响的财务报表项目明细情况如下：</w:t>
      </w:r>
    </w:p>
    <w:p>
      <w:pPr>
        <w:spacing w:after="0" w:line="240" w:lineRule="auto"/>
        <w:jc w:val="left"/>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40" w:lineRule="auto" w:before="35"/>
        <w:ind w:left="193" w:right="1109"/>
        <w:jc w:val="center"/>
      </w:pPr>
      <w:r>
        <w:rPr/>
        <w:t>合并报表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614"/>
        <w:gridCol w:w="2531"/>
        <w:gridCol w:w="3152"/>
        <w:gridCol w:w="1559"/>
      </w:tblGrid>
      <w:tr>
        <w:trPr>
          <w:trHeight w:val="427" w:hRule="exact"/>
        </w:trPr>
        <w:tc>
          <w:tcPr>
            <w:tcW w:w="51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47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2,466,088.51</w:t>
            </w:r>
          </w:p>
        </w:tc>
        <w:tc>
          <w:tcPr>
            <w:tcW w:w="31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408,133,097.53</w:t>
            </w: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405,667,009.02</w:t>
            </w:r>
          </w:p>
        </w:tc>
        <w:tc>
          <w:tcPr>
            <w:tcW w:w="315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5,715,386.44</w:t>
            </w:r>
          </w:p>
        </w:tc>
        <w:tc>
          <w:tcPr>
            <w:tcW w:w="3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16,990,717.19</w:t>
            </w:r>
          </w:p>
        </w:tc>
      </w:tr>
      <w:tr>
        <w:trPr>
          <w:trHeight w:val="42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31" w:type="dxa"/>
            <w:tcBorders>
              <w:top w:val="single" w:sz="4" w:space="0" w:color="000000"/>
              <w:left w:val="single" w:sz="4" w:space="0" w:color="000000"/>
              <w:bottom w:val="single" w:sz="4" w:space="0" w:color="000000"/>
              <w:right w:val="single" w:sz="4" w:space="0" w:color="000000"/>
            </w:tcBorders>
          </w:tcPr>
          <w:p>
            <w:pPr/>
          </w:p>
        </w:tc>
        <w:tc>
          <w:tcPr>
            <w:tcW w:w="3152"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spacing w:val="-1"/>
                <w:sz w:val="18"/>
              </w:rPr>
              <w:t>11,275,330.75</w:t>
            </w:r>
          </w:p>
        </w:tc>
        <w:tc>
          <w:tcPr>
            <w:tcW w:w="315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75,179,755.20</w:t>
            </w:r>
          </w:p>
        </w:tc>
        <w:tc>
          <w:tcPr>
            <w:tcW w:w="31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75,179,755.20</w:t>
            </w: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31" w:type="dxa"/>
            <w:tcBorders>
              <w:top w:val="single" w:sz="4" w:space="0" w:color="000000"/>
              <w:left w:val="single" w:sz="4" w:space="0" w:color="000000"/>
              <w:bottom w:val="single" w:sz="4" w:space="0" w:color="000000"/>
              <w:right w:val="single" w:sz="4" w:space="0" w:color="000000"/>
            </w:tcBorders>
          </w:tcPr>
          <w:p>
            <w:pPr/>
          </w:p>
        </w:tc>
        <w:tc>
          <w:tcPr>
            <w:tcW w:w="315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31" w:type="dxa"/>
            <w:tcBorders>
              <w:top w:val="single" w:sz="4" w:space="0" w:color="000000"/>
              <w:left w:val="single" w:sz="4" w:space="0" w:color="000000"/>
              <w:bottom w:val="single" w:sz="4" w:space="0" w:color="000000"/>
              <w:right w:val="single" w:sz="4" w:space="0" w:color="000000"/>
            </w:tcBorders>
          </w:tcPr>
          <w:p>
            <w:pPr/>
          </w:p>
        </w:tc>
        <w:tc>
          <w:tcPr>
            <w:tcW w:w="31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09" w:right="0"/>
              <w:jc w:val="left"/>
              <w:rPr>
                <w:rFonts w:ascii="Times New Roman" w:hAnsi="Times New Roman" w:cs="Times New Roman" w:eastAsia="Times New Roman" w:hint="default"/>
                <w:sz w:val="18"/>
                <w:szCs w:val="18"/>
              </w:rPr>
            </w:pPr>
            <w:r>
              <w:rPr>
                <w:rFonts w:ascii="Times New Roman"/>
                <w:sz w:val="18"/>
              </w:rPr>
              <w:t>92,929,165.27</w:t>
            </w: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92,929,165.27</w:t>
            </w:r>
          </w:p>
        </w:tc>
        <w:tc>
          <w:tcPr>
            <w:tcW w:w="315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391,748.90</w:t>
            </w:r>
          </w:p>
        </w:tc>
        <w:tc>
          <w:tcPr>
            <w:tcW w:w="3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211,409,010.44</w:t>
            </w:r>
          </w:p>
        </w:tc>
      </w:tr>
      <w:tr>
        <w:trPr>
          <w:trHeight w:val="42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1,237,338.30</w:t>
            </w:r>
          </w:p>
        </w:tc>
        <w:tc>
          <w:tcPr>
            <w:tcW w:w="3152" w:type="dxa"/>
            <w:vMerge/>
            <w:tcBorders>
              <w:left w:val="single" w:sz="4" w:space="0" w:color="000000"/>
              <w:right w:val="single" w:sz="4" w:space="0" w:color="000000"/>
            </w:tcBorders>
          </w:tcPr>
          <w:p>
            <w:pPr/>
          </w:p>
        </w:tc>
        <w:tc>
          <w:tcPr>
            <w:tcW w:w="1559" w:type="dxa"/>
            <w:vMerge/>
            <w:tcBorders>
              <w:left w:val="single" w:sz="4" w:space="0" w:color="000000"/>
              <w:right w:val="single" w:sz="4" w:space="0" w:color="000000"/>
            </w:tcBorders>
          </w:tcPr>
          <w:p>
            <w:pP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209,779,923.24</w:t>
            </w:r>
          </w:p>
        </w:tc>
        <w:tc>
          <w:tcPr>
            <w:tcW w:w="315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42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Times New Roman" w:hAnsi="Times New Roman" w:cs="Times New Roman" w:eastAsia="Times New Roman" w:hint="default"/>
                <w:sz w:val="18"/>
                <w:szCs w:val="18"/>
              </w:rPr>
            </w:pPr>
            <w:r>
              <w:rPr>
                <w:rFonts w:ascii="Times New Roman"/>
                <w:spacing w:val="-1"/>
                <w:sz w:val="18"/>
              </w:rPr>
              <w:t>6,840,738.68</w:t>
            </w:r>
          </w:p>
        </w:tc>
        <w:tc>
          <w:tcPr>
            <w:tcW w:w="315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500" w:right="0"/>
              <w:jc w:val="left"/>
              <w:rPr>
                <w:rFonts w:ascii="Times New Roman" w:hAnsi="Times New Roman" w:cs="Times New Roman" w:eastAsia="Times New Roman" w:hint="default"/>
                <w:sz w:val="18"/>
                <w:szCs w:val="18"/>
              </w:rPr>
            </w:pPr>
            <w:r>
              <w:rPr>
                <w:rFonts w:ascii="Times New Roman"/>
                <w:sz w:val="18"/>
              </w:rPr>
              <w:t>7,340,738.68</w:t>
            </w:r>
          </w:p>
        </w:tc>
      </w:tr>
      <w:tr>
        <w:trPr>
          <w:trHeight w:val="42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z w:val="18"/>
              </w:rPr>
              <w:t>500,000.00</w:t>
            </w:r>
          </w:p>
        </w:tc>
        <w:tc>
          <w:tcPr>
            <w:tcW w:w="3152" w:type="dxa"/>
            <w:vMerge/>
            <w:tcBorders>
              <w:left w:val="single" w:sz="4" w:space="0" w:color="000000"/>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r>
      <w:tr>
        <w:trPr>
          <w:trHeight w:val="427" w:hRule="exact"/>
        </w:trPr>
        <w:tc>
          <w:tcPr>
            <w:tcW w:w="26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3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291" w:right="0"/>
              <w:jc w:val="left"/>
              <w:rPr>
                <w:rFonts w:ascii="Times New Roman" w:hAnsi="Times New Roman" w:cs="Times New Roman" w:eastAsia="Times New Roman" w:hint="default"/>
                <w:sz w:val="18"/>
                <w:szCs w:val="18"/>
              </w:rPr>
            </w:pPr>
            <w:r>
              <w:rPr>
                <w:rFonts w:ascii="Times New Roman"/>
                <w:sz w:val="18"/>
              </w:rPr>
              <w:t>282,992,277.73</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147,539,045.72</w:t>
            </w:r>
          </w:p>
        </w:tc>
      </w:tr>
      <w:tr>
        <w:trPr>
          <w:trHeight w:val="427" w:hRule="exact"/>
        </w:trPr>
        <w:tc>
          <w:tcPr>
            <w:tcW w:w="2614" w:type="dxa"/>
            <w:vMerge/>
            <w:tcBorders>
              <w:left w:val="single" w:sz="4" w:space="0" w:color="000000"/>
              <w:bottom w:val="single" w:sz="4" w:space="0" w:color="000000"/>
              <w:right w:val="single" w:sz="4" w:space="0" w:color="000000"/>
            </w:tcBorders>
          </w:tcPr>
          <w:p>
            <w:pPr/>
          </w:p>
        </w:tc>
        <w:tc>
          <w:tcPr>
            <w:tcW w:w="2531" w:type="dxa"/>
            <w:vMerge/>
            <w:tcBorders>
              <w:left w:val="single" w:sz="4" w:space="0" w:color="000000"/>
              <w:bottom w:val="single" w:sz="4" w:space="0" w:color="000000"/>
              <w:right w:val="single" w:sz="4" w:space="0" w:color="000000"/>
            </w:tcBorders>
          </w:tcPr>
          <w:p>
            <w:pP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135,453,232.01</w:t>
            </w:r>
          </w:p>
        </w:tc>
      </w:tr>
      <w:tr>
        <w:trPr>
          <w:trHeight w:val="4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103" w:right="159"/>
              <w:jc w:val="left"/>
              <w:rPr>
                <w:rFonts w:ascii="宋体" w:hAnsi="宋体" w:cs="宋体" w:eastAsia="宋体" w:hint="default"/>
                <w:sz w:val="18"/>
                <w:szCs w:val="18"/>
              </w:rPr>
            </w:pPr>
            <w:r>
              <w:rPr>
                <w:rFonts w:ascii="宋体" w:hAnsi="宋体" w:cs="宋体" w:eastAsia="宋体" w:hint="default"/>
                <w:sz w:val="18"/>
                <w:szCs w:val="18"/>
              </w:rPr>
              <w:t>收到其他与经营活动有关的现 金</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89"/>
              <w:jc w:val="right"/>
              <w:rPr>
                <w:rFonts w:ascii="Times New Roman" w:hAnsi="Times New Roman" w:cs="Times New Roman" w:eastAsia="Times New Roman" w:hint="default"/>
                <w:sz w:val="18"/>
                <w:szCs w:val="18"/>
              </w:rPr>
            </w:pPr>
            <w:r>
              <w:rPr>
                <w:rFonts w:ascii="Times New Roman"/>
                <w:spacing w:val="-1"/>
                <w:sz w:val="18"/>
              </w:rPr>
              <w:t>30,815,041.84</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pacing w:val="-1"/>
                <w:sz w:val="18"/>
              </w:rPr>
              <w:t>38,113,361.84</w:t>
            </w:r>
          </w:p>
        </w:tc>
      </w:tr>
      <w:tr>
        <w:trPr>
          <w:trHeight w:val="4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103" w:right="159"/>
              <w:jc w:val="left"/>
              <w:rPr>
                <w:rFonts w:ascii="宋体" w:hAnsi="宋体" w:cs="宋体" w:eastAsia="宋体" w:hint="default"/>
                <w:sz w:val="18"/>
                <w:szCs w:val="18"/>
              </w:rPr>
            </w:pPr>
            <w:r>
              <w:rPr>
                <w:rFonts w:ascii="宋体" w:hAnsi="宋体" w:cs="宋体" w:eastAsia="宋体" w:hint="default"/>
                <w:sz w:val="18"/>
                <w:szCs w:val="18"/>
              </w:rPr>
              <w:t>收到其他与投资活动有关的现 金</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9"/>
              <w:jc w:val="right"/>
              <w:rPr>
                <w:rFonts w:ascii="Times New Roman" w:hAnsi="Times New Roman" w:cs="Times New Roman" w:eastAsia="Times New Roman" w:hint="default"/>
                <w:sz w:val="18"/>
                <w:szCs w:val="18"/>
              </w:rPr>
            </w:pPr>
            <w:r>
              <w:rPr>
                <w:rFonts w:ascii="Times New Roman"/>
                <w:spacing w:val="-1"/>
                <w:sz w:val="18"/>
              </w:rPr>
              <w:t>9,454,722.74</w:t>
            </w:r>
          </w:p>
        </w:tc>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8"/>
                <w:szCs w:val="18"/>
              </w:rPr>
            </w:pPr>
            <w:r>
              <w:rPr>
                <w:rFonts w:ascii="Times New Roman"/>
                <w:spacing w:val="-1"/>
                <w:sz w:val="18"/>
              </w:rPr>
              <w:t>2,156,402.74</w:t>
            </w:r>
          </w:p>
        </w:tc>
      </w:tr>
    </w:tbl>
    <w:p>
      <w:pPr>
        <w:pStyle w:val="BodyText"/>
        <w:spacing w:line="240" w:lineRule="auto" w:before="15"/>
        <w:ind w:left="193" w:right="1109"/>
        <w:jc w:val="center"/>
      </w:pPr>
      <w:r>
        <w:rPr/>
        <w:t>公司报表</w:t>
      </w:r>
    </w:p>
    <w:p>
      <w:pPr>
        <w:spacing w:line="240" w:lineRule="auto" w:before="4"/>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798"/>
        <w:gridCol w:w="2397"/>
        <w:gridCol w:w="3171"/>
        <w:gridCol w:w="1490"/>
      </w:tblGrid>
      <w:tr>
        <w:trPr>
          <w:trHeight w:val="427" w:hRule="exact"/>
        </w:trPr>
        <w:tc>
          <w:tcPr>
            <w:tcW w:w="5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46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426"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28"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97" w:type="dxa"/>
            <w:tcBorders>
              <w:top w:val="single" w:sz="4" w:space="0" w:color="000000"/>
              <w:left w:val="single" w:sz="4" w:space="0" w:color="000000"/>
              <w:bottom w:val="single" w:sz="4" w:space="0" w:color="000000"/>
              <w:right w:val="single" w:sz="4" w:space="0" w:color="000000"/>
            </w:tcBorders>
          </w:tcPr>
          <w:p>
            <w:pPr/>
          </w:p>
        </w:tc>
        <w:tc>
          <w:tcPr>
            <w:tcW w:w="317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49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377,739,643.67</w:t>
            </w:r>
          </w:p>
        </w:tc>
      </w:tr>
      <w:tr>
        <w:trPr>
          <w:trHeight w:val="426"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1"/>
              <w:jc w:val="right"/>
              <w:rPr>
                <w:rFonts w:ascii="Times New Roman" w:hAnsi="Times New Roman" w:cs="Times New Roman" w:eastAsia="Times New Roman" w:hint="default"/>
                <w:sz w:val="18"/>
                <w:szCs w:val="18"/>
              </w:rPr>
            </w:pPr>
            <w:r>
              <w:rPr>
                <w:rFonts w:ascii="Times New Roman"/>
                <w:spacing w:val="-1"/>
                <w:sz w:val="18"/>
              </w:rPr>
              <w:t>377,739,643.67</w:t>
            </w:r>
          </w:p>
        </w:tc>
        <w:tc>
          <w:tcPr>
            <w:tcW w:w="3171"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r>
      <w:tr>
        <w:trPr>
          <w:trHeight w:val="427"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5,715,386.44</w:t>
            </w:r>
          </w:p>
        </w:tc>
        <w:tc>
          <w:tcPr>
            <w:tcW w:w="31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41,572,776.89</w:t>
            </w:r>
          </w:p>
        </w:tc>
      </w:tr>
      <w:tr>
        <w:trPr>
          <w:trHeight w:val="428"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97" w:type="dxa"/>
            <w:tcBorders>
              <w:top w:val="single" w:sz="4" w:space="0" w:color="000000"/>
              <w:left w:val="single" w:sz="4" w:space="0" w:color="000000"/>
              <w:bottom w:val="single" w:sz="4" w:space="0" w:color="000000"/>
              <w:right w:val="single" w:sz="4" w:space="0" w:color="000000"/>
            </w:tcBorders>
          </w:tcPr>
          <w:p>
            <w:pPr/>
          </w:p>
        </w:tc>
        <w:tc>
          <w:tcPr>
            <w:tcW w:w="3171"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r>
      <w:tr>
        <w:trPr>
          <w:trHeight w:val="427"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35,857,390.45</w:t>
            </w:r>
          </w:p>
        </w:tc>
        <w:tc>
          <w:tcPr>
            <w:tcW w:w="3171"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r>
      <w:tr>
        <w:trPr>
          <w:trHeight w:val="427"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4,046,130.24</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3" w:right="0"/>
              <w:jc w:val="left"/>
              <w:rPr>
                <w:rFonts w:ascii="Times New Roman" w:hAnsi="Times New Roman" w:cs="Times New Roman" w:eastAsia="Times New Roman" w:hint="default"/>
                <w:sz w:val="18"/>
                <w:szCs w:val="18"/>
              </w:rPr>
            </w:pPr>
            <w:r>
              <w:rPr>
                <w:rFonts w:ascii="Times New Roman"/>
                <w:sz w:val="18"/>
              </w:rPr>
              <w:t>4,046,130.24</w:t>
            </w:r>
          </w:p>
        </w:tc>
      </w:tr>
    </w:tbl>
    <w:p>
      <w:pPr>
        <w:spacing w:after="0" w:line="240" w:lineRule="auto"/>
        <w:jc w:val="lef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798"/>
        <w:gridCol w:w="2397"/>
        <w:gridCol w:w="3171"/>
        <w:gridCol w:w="1490"/>
      </w:tblGrid>
      <w:tr>
        <w:trPr>
          <w:trHeight w:val="427" w:hRule="exact"/>
        </w:trPr>
        <w:tc>
          <w:tcPr>
            <w:tcW w:w="51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46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426" w:hRule="exact"/>
        </w:trPr>
        <w:tc>
          <w:tcPr>
            <w:tcW w:w="2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28"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97" w:type="dxa"/>
            <w:tcBorders>
              <w:top w:val="single" w:sz="4" w:space="0" w:color="000000"/>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97" w:type="dxa"/>
            <w:tcBorders>
              <w:top w:val="single" w:sz="4" w:space="0" w:color="000000"/>
              <w:left w:val="single" w:sz="4" w:space="0" w:color="000000"/>
              <w:bottom w:val="single" w:sz="4" w:space="0" w:color="000000"/>
              <w:right w:val="single" w:sz="4" w:space="0" w:color="000000"/>
            </w:tcBorders>
          </w:tcPr>
          <w:p>
            <w:pPr/>
          </w:p>
        </w:tc>
        <w:tc>
          <w:tcPr>
            <w:tcW w:w="31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86,565,537.00</w:t>
            </w:r>
          </w:p>
        </w:tc>
      </w:tr>
      <w:tr>
        <w:trPr>
          <w:trHeight w:val="427"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86,565,537.00</w:t>
            </w:r>
          </w:p>
        </w:tc>
        <w:tc>
          <w:tcPr>
            <w:tcW w:w="3171" w:type="dxa"/>
            <w:vMerge/>
            <w:tcBorders>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97" w:type="dxa"/>
            <w:tcBorders>
              <w:top w:val="single" w:sz="4" w:space="0" w:color="000000"/>
              <w:left w:val="single" w:sz="4" w:space="0" w:color="000000"/>
              <w:bottom w:val="single" w:sz="4" w:space="0" w:color="000000"/>
              <w:right w:val="single" w:sz="4" w:space="0" w:color="000000"/>
            </w:tcBorders>
          </w:tcPr>
          <w:p>
            <w:pPr/>
          </w:p>
        </w:tc>
        <w:tc>
          <w:tcPr>
            <w:tcW w:w="31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195,863,477.42</w:t>
            </w:r>
          </w:p>
        </w:tc>
      </w:tr>
      <w:tr>
        <w:trPr>
          <w:trHeight w:val="427"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1,237,338.30</w:t>
            </w:r>
          </w:p>
        </w:tc>
        <w:tc>
          <w:tcPr>
            <w:tcW w:w="3171" w:type="dxa"/>
            <w:vMerge/>
            <w:tcBorders>
              <w:left w:val="single" w:sz="4" w:space="0" w:color="000000"/>
              <w:right w:val="single" w:sz="4" w:space="0" w:color="000000"/>
            </w:tcBorders>
          </w:tcPr>
          <w:p>
            <w:pPr/>
          </w:p>
        </w:tc>
        <w:tc>
          <w:tcPr>
            <w:tcW w:w="1490" w:type="dxa"/>
            <w:vMerge/>
            <w:tcBorders>
              <w:left w:val="single" w:sz="4" w:space="0" w:color="000000"/>
              <w:right w:val="single" w:sz="4" w:space="0" w:color="000000"/>
            </w:tcBorders>
          </w:tcPr>
          <w:p>
            <w:pPr/>
          </w:p>
        </w:tc>
      </w:tr>
      <w:tr>
        <w:trPr>
          <w:trHeight w:val="427"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194,626,139.12</w:t>
            </w:r>
          </w:p>
        </w:tc>
        <w:tc>
          <w:tcPr>
            <w:tcW w:w="3171" w:type="dxa"/>
            <w:vMerge/>
            <w:tcBorders>
              <w:left w:val="single" w:sz="4" w:space="0" w:color="000000"/>
              <w:bottom w:val="single" w:sz="4" w:space="0" w:color="000000"/>
              <w:right w:val="single" w:sz="4" w:space="0" w:color="000000"/>
            </w:tcBorders>
          </w:tcPr>
          <w:p>
            <w:pPr/>
          </w:p>
        </w:tc>
        <w:tc>
          <w:tcPr>
            <w:tcW w:w="1490" w:type="dxa"/>
            <w:vMerge/>
            <w:tcBorders>
              <w:left w:val="single" w:sz="4" w:space="0" w:color="000000"/>
              <w:bottom w:val="single" w:sz="4" w:space="0" w:color="000000"/>
              <w:right w:val="single" w:sz="4" w:space="0" w:color="000000"/>
            </w:tcBorders>
          </w:tcPr>
          <w:p>
            <w:pPr/>
          </w:p>
        </w:tc>
      </w:tr>
      <w:tr>
        <w:trPr>
          <w:trHeight w:val="427" w:hRule="exact"/>
        </w:trPr>
        <w:tc>
          <w:tcPr>
            <w:tcW w:w="2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48" w:right="0"/>
              <w:jc w:val="left"/>
              <w:rPr>
                <w:rFonts w:ascii="Times New Roman" w:hAnsi="Times New Roman" w:cs="Times New Roman" w:eastAsia="Times New Roman" w:hint="default"/>
                <w:sz w:val="18"/>
                <w:szCs w:val="18"/>
              </w:rPr>
            </w:pPr>
            <w:r>
              <w:rPr>
                <w:rFonts w:ascii="Times New Roman"/>
                <w:sz w:val="18"/>
              </w:rPr>
              <w:t>96,852,047.08</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50,737,848.98</w:t>
            </w:r>
          </w:p>
        </w:tc>
      </w:tr>
      <w:tr>
        <w:trPr>
          <w:trHeight w:val="426" w:hRule="exact"/>
        </w:trPr>
        <w:tc>
          <w:tcPr>
            <w:tcW w:w="2798" w:type="dxa"/>
            <w:vMerge/>
            <w:tcBorders>
              <w:left w:val="single" w:sz="4" w:space="0" w:color="000000"/>
              <w:bottom w:val="single" w:sz="4" w:space="0" w:color="000000"/>
              <w:right w:val="single" w:sz="4" w:space="0" w:color="000000"/>
            </w:tcBorders>
          </w:tcPr>
          <w:p>
            <w:pPr/>
          </w:p>
        </w:tc>
        <w:tc>
          <w:tcPr>
            <w:tcW w:w="2397" w:type="dxa"/>
            <w:vMerge/>
            <w:tcBorders>
              <w:left w:val="single" w:sz="4" w:space="0" w:color="000000"/>
              <w:bottom w:val="single" w:sz="4" w:space="0" w:color="000000"/>
              <w:right w:val="single" w:sz="4" w:space="0" w:color="000000"/>
            </w:tcBorders>
          </w:tcPr>
          <w:p>
            <w:pP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Times New Roman" w:hAnsi="Times New Roman" w:cs="Times New Roman" w:eastAsia="Times New Roman" w:hint="default"/>
                <w:sz w:val="18"/>
                <w:szCs w:val="18"/>
              </w:rPr>
            </w:pPr>
            <w:r>
              <w:rPr>
                <w:rFonts w:ascii="Times New Roman"/>
                <w:spacing w:val="-1"/>
                <w:sz w:val="18"/>
              </w:rPr>
              <w:t>46,114,198.10</w:t>
            </w:r>
          </w:p>
        </w:tc>
      </w:tr>
      <w:tr>
        <w:trPr>
          <w:trHeight w:val="427"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22,978,122.97</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25,978,122.97</w:t>
            </w:r>
          </w:p>
        </w:tc>
      </w:tr>
      <w:tr>
        <w:trPr>
          <w:trHeight w:val="427" w:hRule="exact"/>
        </w:trPr>
        <w:tc>
          <w:tcPr>
            <w:tcW w:w="2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5,156,402.74</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2,156,402.74</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2）重要会计估计变更" w:id="220"/>
      <w:bookmarkEnd w:id="220"/>
      <w:r>
        <w:rPr/>
      </w:r>
      <w:r>
        <w:rPr/>
        <w:t>（</w:t>
      </w:r>
      <w:r>
        <w:rPr>
          <w:rFonts w:ascii="Times New Roman" w:hAnsi="Times New Roman" w:cs="Times New Roman" w:eastAsia="Times New Roman" w:hint="default"/>
        </w:rPr>
        <w:t>2</w:t>
      </w:r>
      <w:r>
        <w:rPr/>
        <w:t>）重要会计估计变更</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0"/>
        <w:rPr>
          <w:rFonts w:ascii="宋体" w:hAnsi="宋体" w:cs="宋体" w:eastAsia="宋体" w:hint="default"/>
          <w:sz w:val="26"/>
          <w:szCs w:val="26"/>
        </w:rPr>
      </w:pPr>
    </w:p>
    <w:p>
      <w:pPr>
        <w:pStyle w:val="BodyText"/>
        <w:spacing w:line="240" w:lineRule="auto"/>
        <w:ind w:left="529" w:right="1016"/>
        <w:jc w:val="left"/>
      </w:pPr>
      <w:bookmarkStart w:name="34、其他" w:id="221"/>
      <w:bookmarkEnd w:id="221"/>
      <w:r>
        <w:rPr/>
      </w:r>
      <w:r>
        <w:rPr>
          <w:rFonts w:ascii="Times New Roman" w:hAnsi="Times New Roman" w:cs="Times New Roman" w:eastAsia="Times New Roman" w:hint="default"/>
        </w:rPr>
        <w:t>34</w:t>
      </w:r>
      <w:r>
        <w:rPr/>
        <w:t>、其他</w:t>
      </w:r>
    </w:p>
    <w:p>
      <w:pPr>
        <w:spacing w:line="240" w:lineRule="auto" w:before="0"/>
        <w:rPr>
          <w:rFonts w:ascii="宋体" w:hAnsi="宋体" w:cs="宋体" w:eastAsia="宋体" w:hint="default"/>
          <w:sz w:val="22"/>
          <w:szCs w:val="22"/>
        </w:rPr>
      </w:pPr>
    </w:p>
    <w:p>
      <w:pPr>
        <w:spacing w:before="0"/>
        <w:ind w:left="576" w:right="1016"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2"/>
        <w:spacing w:line="240" w:lineRule="auto"/>
        <w:ind w:left="193" w:right="9631"/>
        <w:jc w:val="center"/>
      </w:pPr>
      <w:bookmarkStart w:name="六、税项" w:id="222"/>
      <w:bookmarkEnd w:id="222"/>
      <w:r>
        <w:rPr/>
      </w:r>
      <w:r>
        <w:rPr/>
        <w:t>六、税项</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主要税种及税率" w:id="223"/>
      <w:bookmarkEnd w:id="223"/>
      <w:r>
        <w:rPr/>
      </w:r>
      <w:r>
        <w:rPr>
          <w:rFonts w:ascii="Times New Roman" w:hAnsi="Times New Roman" w:cs="Times New Roman" w:eastAsia="Times New Roman" w:hint="default"/>
        </w:rPr>
        <w:t>1</w:t>
      </w:r>
      <w:r>
        <w:rPr>
          <w:rFonts w:ascii="微软雅黑" w:hAnsi="微软雅黑" w:cs="微软雅黑" w:eastAsia="微软雅黑" w:hint="default"/>
        </w:rPr>
        <w:t>、主要税种及税率</w:t>
      </w:r>
    </w:p>
    <w:p>
      <w:pPr>
        <w:spacing w:line="240" w:lineRule="auto" w:before="13"/>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1"/>
        <w:rPr>
          <w:rFonts w:ascii="微软雅黑" w:hAnsi="微软雅黑" w:cs="微软雅黑" w:eastAsia="微软雅黑" w:hint="default"/>
          <w:sz w:val="5"/>
          <w:szCs w:val="5"/>
        </w:rPr>
      </w:pPr>
    </w:p>
    <w:p>
      <w:pPr>
        <w:pStyle w:val="BodyText"/>
        <w:spacing w:line="240" w:lineRule="auto" w:before="35"/>
        <w:ind w:right="1016"/>
        <w:jc w:val="left"/>
      </w:pPr>
      <w:r>
        <w:rPr/>
        <w:t>存在不同企业所得税税率纳税主体的，披露情况说明</w:t>
      </w:r>
    </w:p>
    <w:p>
      <w:pPr>
        <w:spacing w:line="240" w:lineRule="auto" w:before="7"/>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4926"/>
        <w:gridCol w:w="4930"/>
      </w:tblGrid>
      <w:tr>
        <w:trPr>
          <w:trHeight w:val="407" w:hRule="exact"/>
        </w:trPr>
        <w:tc>
          <w:tcPr>
            <w:tcW w:w="4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本公司控股的境外子公司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根据其所在地相关法律、法规缴纳相关的税金</w:t>
            </w:r>
          </w:p>
        </w:tc>
      </w:tr>
    </w:tbl>
    <w:p>
      <w:pPr>
        <w:spacing w:line="240" w:lineRule="auto" w:before="12"/>
        <w:rPr>
          <w:rFonts w:ascii="宋体" w:hAnsi="宋体" w:cs="宋体" w:eastAsia="宋体" w:hint="default"/>
          <w:sz w:val="8"/>
          <w:szCs w:val="8"/>
        </w:rPr>
      </w:pPr>
    </w:p>
    <w:p>
      <w:pPr>
        <w:pStyle w:val="BodyText"/>
        <w:spacing w:line="324" w:lineRule="exact"/>
        <w:ind w:right="1016"/>
        <w:jc w:val="left"/>
        <w:rPr>
          <w:rFonts w:ascii="微软雅黑" w:hAnsi="微软雅黑" w:cs="微软雅黑" w:eastAsia="微软雅黑" w:hint="default"/>
        </w:rPr>
      </w:pPr>
      <w:bookmarkStart w:name="2、税收优惠" w:id="224"/>
      <w:bookmarkEnd w:id="224"/>
      <w:r>
        <w:rPr/>
      </w:r>
      <w:r>
        <w:rPr>
          <w:rFonts w:ascii="Times New Roman" w:hAnsi="Times New Roman" w:cs="Times New Roman" w:eastAsia="Times New Roman" w:hint="default"/>
        </w:rPr>
        <w:t>2</w:t>
      </w:r>
      <w:r>
        <w:rPr>
          <w:rFonts w:ascii="微软雅黑" w:hAnsi="微软雅黑" w:cs="微软雅黑" w:eastAsia="微软雅黑" w:hint="default"/>
        </w:rPr>
        <w:t>、税收优惠</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1</w:t>
      </w:r>
      <w:r>
        <w:rPr>
          <w:spacing w:val="2"/>
        </w:rPr>
        <w:t>）本公司符合《关于软件和集成电路产业企业所得税优惠政策有关问题的通知》（财税</w:t>
      </w:r>
      <w:r>
        <w:rPr>
          <w:rFonts w:ascii="Times New Roman" w:hAnsi="Times New Roman" w:cs="Times New Roman" w:eastAsia="Times New Roman" w:hint="default"/>
          <w:spacing w:val="2"/>
        </w:rPr>
        <w:t>[2016]49</w:t>
      </w:r>
    </w:p>
    <w:p>
      <w:pPr>
        <w:spacing w:after="0" w:line="240" w:lineRule="auto"/>
        <w:jc w:val="left"/>
        <w:rPr>
          <w:rFonts w:ascii="Times New Roman" w:hAnsi="Times New Roman" w:cs="Times New Roman" w:eastAsia="Times New Roman" w:hint="default"/>
        </w:rPr>
        <w:sectPr>
          <w:pgSz w:w="11910" w:h="16840"/>
          <w:pgMar w:header="801" w:footer="1007" w:top="1080" w:bottom="1200" w:left="920" w:right="0"/>
        </w:sectPr>
      </w:pPr>
    </w:p>
    <w:p>
      <w:pPr>
        <w:spacing w:line="240" w:lineRule="auto" w:before="8"/>
        <w:rPr>
          <w:rFonts w:ascii="Times New Roman" w:hAnsi="Times New Roman" w:cs="Times New Roman" w:eastAsia="Times New Roman" w:hint="default"/>
          <w:sz w:val="24"/>
          <w:szCs w:val="24"/>
        </w:rPr>
      </w:pPr>
    </w:p>
    <w:p>
      <w:pPr>
        <w:pStyle w:val="BodyText"/>
        <w:spacing w:line="280" w:lineRule="auto" w:before="35"/>
        <w:ind w:left="154" w:right="1130"/>
        <w:jc w:val="both"/>
      </w:pPr>
      <w:r>
        <w:rPr/>
        <w:t>号）关于</w:t>
      </w:r>
      <w:r>
        <w:rPr>
          <w:rFonts w:ascii="Times New Roman" w:hAnsi="Times New Roman" w:cs="Times New Roman" w:eastAsia="Times New Roman" w:hint="default"/>
        </w:rPr>
        <w:t>“</w:t>
      </w:r>
      <w:r>
        <w:rPr/>
        <w:t>国家规划布局内的重点软件企业</w:t>
      </w:r>
      <w:r>
        <w:rPr>
          <w:rFonts w:ascii="Times New Roman" w:hAnsi="Times New Roman" w:cs="Times New Roman" w:eastAsia="Times New Roman" w:hint="default"/>
        </w:rPr>
        <w:t>”</w:t>
      </w:r>
      <w:r>
        <w:rPr/>
        <w:t>的相关条件，于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年按相关程序备案完成</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年度重点软 </w:t>
      </w:r>
      <w:r>
        <w:rPr>
          <w:spacing w:val="-2"/>
        </w:rPr>
        <w:t>件企业，享受</w:t>
      </w:r>
      <w:r>
        <w:rPr>
          <w:rFonts w:ascii="Times New Roman" w:hAnsi="Times New Roman" w:cs="Times New Roman" w:eastAsia="Times New Roman" w:hint="default"/>
          <w:spacing w:val="-2"/>
        </w:rPr>
        <w:t>“</w:t>
      </w:r>
      <w:r>
        <w:rPr>
          <w:spacing w:val="-2"/>
        </w:rPr>
        <w:t>国家规划布局内的重点软件企业</w:t>
      </w:r>
      <w:r>
        <w:rPr>
          <w:rFonts w:ascii="Times New Roman" w:hAnsi="Times New Roman" w:cs="Times New Roman" w:eastAsia="Times New Roman" w:hint="default"/>
          <w:spacing w:val="-2"/>
        </w:rPr>
        <w:t>”</w:t>
      </w:r>
      <w:r>
        <w:rPr>
          <w:spacing w:val="-2"/>
        </w:rPr>
        <w:t>的企业所得税收优惠政策，</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5"/>
        </w:rPr>
        <w:t> </w:t>
      </w:r>
      <w:r>
        <w:rPr>
          <w:spacing w:val="-1"/>
        </w:rPr>
        <w:t>年度重点软件企业备案尚</w:t>
      </w:r>
      <w:r>
        <w:rPr>
          <w:spacing w:val="-97"/>
        </w:rPr>
        <w:t> </w:t>
      </w:r>
      <w:r>
        <w:rPr>
          <w:spacing w:val="-97"/>
        </w:rPr>
      </w:r>
      <w:r>
        <w:rPr/>
        <w:t>未开始，预计很有可能备案完成，本期按照</w:t>
      </w:r>
      <w:r>
        <w:rPr>
          <w:spacing w:val="-52"/>
        </w:rPr>
        <w:t> </w:t>
      </w:r>
      <w:r>
        <w:rPr>
          <w:rFonts w:ascii="Times New Roman" w:hAnsi="Times New Roman" w:cs="Times New Roman" w:eastAsia="Times New Roman" w:hint="default"/>
        </w:rPr>
        <w:t>10%</w:t>
      </w:r>
      <w:r>
        <w:rPr/>
        <w:t>计缴当期所得税。</w:t>
      </w:r>
    </w:p>
    <w:p>
      <w:pPr>
        <w:pStyle w:val="BodyText"/>
        <w:spacing w:line="285" w:lineRule="auto" w:before="179"/>
        <w:ind w:left="154" w:right="1016" w:firstLine="420"/>
        <w:jc w:val="left"/>
      </w:pPr>
      <w:r>
        <w:rPr/>
        <w:t>（</w:t>
      </w:r>
      <w:r>
        <w:rPr>
          <w:rFonts w:ascii="Times New Roman" w:hAnsi="Times New Roman" w:cs="Times New Roman" w:eastAsia="Times New Roman" w:hint="default"/>
        </w:rPr>
        <w:t>2</w:t>
      </w:r>
      <w:r>
        <w:rPr/>
        <w:t>）本公司之子公司畅索软件科技（上海）有限公司于</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t>日获得上海市科学技术委员 </w:t>
      </w:r>
      <w:r>
        <w:rPr>
          <w:spacing w:val="3"/>
        </w:rPr>
        <w:t>会、上海市财政局、上海市国家税务局、上海市地方税务局颁发的《高新技术企业证书》（证书编号：</w:t>
      </w:r>
      <w:r>
        <w:rPr>
          <w:spacing w:val="-82"/>
        </w:rPr>
        <w:t> </w:t>
      </w:r>
      <w:r>
        <w:rPr>
          <w:spacing w:val="-82"/>
        </w:rPr>
      </w:r>
      <w:r>
        <w:rPr>
          <w:rFonts w:ascii="Times New Roman" w:hAnsi="Times New Roman" w:cs="Times New Roman" w:eastAsia="Times New Roman" w:hint="default"/>
          <w:spacing w:val="-4"/>
        </w:rPr>
        <w:t>GR201631001963</w:t>
      </w:r>
      <w:r>
        <w:rPr>
          <w:spacing w:val="-4"/>
        </w:rPr>
        <w:t>），根据《高新技术企业认定管理办法》及《中华人民共和国企业所得税法》等有关规定，</w:t>
      </w:r>
      <w:r>
        <w:rPr>
          <w:spacing w:val="-101"/>
        </w:rPr>
        <w:t> </w:t>
      </w:r>
      <w:r>
        <w:rPr>
          <w:spacing w:val="-101"/>
        </w:rPr>
      </w:r>
      <w:r>
        <w:rPr/>
        <w:t>本公司自获得高新技术企业认定后三年内即</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年企业所得税按</w:t>
      </w:r>
      <w:r>
        <w:rPr>
          <w:spacing w:val="-54"/>
        </w:rPr>
        <w:t> </w:t>
      </w:r>
      <w:r>
        <w:rPr>
          <w:rFonts w:ascii="Times New Roman" w:hAnsi="Times New Roman" w:cs="Times New Roman" w:eastAsia="Times New Roman" w:hint="default"/>
        </w:rPr>
        <w:t>15%</w:t>
      </w:r>
      <w:r>
        <w:rPr/>
        <w:t>计缴。</w:t>
      </w:r>
    </w:p>
    <w:p>
      <w:pPr>
        <w:pStyle w:val="BodyText"/>
        <w:spacing w:line="285" w:lineRule="auto" w:before="174"/>
        <w:ind w:left="154" w:right="1016" w:firstLine="420"/>
        <w:jc w:val="left"/>
      </w:pPr>
      <w:r>
        <w:rPr/>
        <w:t>（</w:t>
      </w:r>
      <w:r>
        <w:rPr>
          <w:rFonts w:ascii="Times New Roman" w:hAnsi="Times New Roman" w:cs="Times New Roman" w:eastAsia="Times New Roman" w:hint="default"/>
        </w:rPr>
        <w:t>3</w:t>
      </w:r>
      <w:r>
        <w:rPr/>
        <w:t>）本公司之子公司大连中科创达软件有限公司于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w:t>
      </w:r>
      <w:r>
        <w:rPr>
          <w:spacing w:val="-50"/>
        </w:rPr>
        <w:t> </w:t>
      </w:r>
      <w:r>
        <w:rPr>
          <w:rFonts w:ascii="Times New Roman" w:hAnsi="Times New Roman" w:cs="Times New Roman" w:eastAsia="Times New Roman" w:hint="default"/>
        </w:rPr>
        <w:t>29</w:t>
      </w:r>
      <w:r>
        <w:rPr>
          <w:rFonts w:ascii="Times New Roman" w:hAnsi="Times New Roman" w:cs="Times New Roman" w:eastAsia="Times New Roman" w:hint="default"/>
          <w:spacing w:val="-12"/>
        </w:rPr>
        <w:t> </w:t>
      </w:r>
      <w:r>
        <w:rPr/>
        <w:t>日获得大连市科学技术局、大连 </w:t>
      </w:r>
      <w:r>
        <w:rPr>
          <w:spacing w:val="16"/>
        </w:rPr>
        <w:t>市财政</w:t>
      </w:r>
      <w:r>
        <w:rPr>
          <w:spacing w:val="-79"/>
        </w:rPr>
        <w:t> </w:t>
      </w:r>
      <w:r>
        <w:rPr>
          <w:spacing w:val="12"/>
        </w:rPr>
        <w:t>局、</w:t>
      </w:r>
      <w:r>
        <w:rPr>
          <w:spacing w:val="-79"/>
        </w:rPr>
        <w:t> </w:t>
      </w:r>
      <w:r>
        <w:rPr>
          <w:spacing w:val="16"/>
        </w:rPr>
        <w:t>大连市</w:t>
      </w:r>
      <w:r>
        <w:rPr>
          <w:spacing w:val="-79"/>
        </w:rPr>
        <w:t> </w:t>
      </w:r>
      <w:r>
        <w:rPr>
          <w:spacing w:val="12"/>
        </w:rPr>
        <w:t>国家</w:t>
      </w:r>
      <w:r>
        <w:rPr>
          <w:spacing w:val="-79"/>
        </w:rPr>
        <w:t> </w:t>
      </w:r>
      <w:r>
        <w:rPr>
          <w:spacing w:val="16"/>
        </w:rPr>
        <w:t>税务局</w:t>
      </w:r>
      <w:r>
        <w:rPr>
          <w:spacing w:val="-79"/>
        </w:rPr>
        <w:t> </w:t>
      </w:r>
      <w:r>
        <w:rPr/>
        <w:t>、</w:t>
      </w:r>
      <w:r>
        <w:rPr>
          <w:spacing w:val="-80"/>
        </w:rPr>
        <w:t> </w:t>
      </w:r>
      <w:r>
        <w:rPr/>
        <w:t>大</w:t>
      </w:r>
      <w:r>
        <w:rPr>
          <w:spacing w:val="-79"/>
        </w:rPr>
        <w:t> </w:t>
      </w:r>
      <w:r>
        <w:rPr>
          <w:spacing w:val="16"/>
        </w:rPr>
        <w:t>连市地</w:t>
      </w:r>
      <w:r>
        <w:rPr>
          <w:spacing w:val="-79"/>
        </w:rPr>
        <w:t> </w:t>
      </w:r>
      <w:r>
        <w:rPr>
          <w:spacing w:val="12"/>
        </w:rPr>
        <w:t>方税</w:t>
      </w:r>
      <w:r>
        <w:rPr>
          <w:spacing w:val="-79"/>
        </w:rPr>
        <w:t> </w:t>
      </w:r>
      <w:r>
        <w:rPr>
          <w:spacing w:val="16"/>
        </w:rPr>
        <w:t>务局颁</w:t>
      </w:r>
      <w:r>
        <w:rPr>
          <w:spacing w:val="-79"/>
        </w:rPr>
        <w:t> </w:t>
      </w:r>
      <w:r>
        <w:rPr>
          <w:spacing w:val="12"/>
        </w:rPr>
        <w:t>发的</w:t>
      </w:r>
      <w:r>
        <w:rPr>
          <w:spacing w:val="-79"/>
        </w:rPr>
        <w:t> </w:t>
      </w:r>
      <w:r>
        <w:rPr/>
        <w:t>《</w:t>
      </w:r>
      <w:r>
        <w:rPr>
          <w:spacing w:val="-80"/>
        </w:rPr>
        <w:t> </w:t>
      </w:r>
      <w:r>
        <w:rPr>
          <w:spacing w:val="12"/>
        </w:rPr>
        <w:t>高新</w:t>
      </w:r>
      <w:r>
        <w:rPr>
          <w:spacing w:val="-79"/>
        </w:rPr>
        <w:t> </w:t>
      </w:r>
      <w:r>
        <w:rPr>
          <w:spacing w:val="12"/>
        </w:rPr>
        <w:t>技术</w:t>
      </w:r>
      <w:r>
        <w:rPr>
          <w:spacing w:val="-79"/>
        </w:rPr>
        <w:t> </w:t>
      </w:r>
      <w:r>
        <w:rPr>
          <w:spacing w:val="16"/>
        </w:rPr>
        <w:t>企业证</w:t>
      </w:r>
      <w:r>
        <w:rPr>
          <w:spacing w:val="-79"/>
        </w:rPr>
        <w:t> </w:t>
      </w:r>
      <w:r>
        <w:rPr>
          <w:spacing w:val="12"/>
        </w:rPr>
        <w:t>书》</w:t>
      </w:r>
      <w:r>
        <w:rPr>
          <w:spacing w:val="-79"/>
        </w:rPr>
        <w:t> </w:t>
      </w:r>
      <w:r>
        <w:rPr/>
        <w:t>（</w:t>
      </w:r>
      <w:r>
        <w:rPr>
          <w:spacing w:val="-80"/>
        </w:rPr>
        <w:t> </w:t>
      </w:r>
      <w:r>
        <w:rPr>
          <w:spacing w:val="12"/>
        </w:rPr>
        <w:t>证书</w:t>
      </w:r>
      <w:r>
        <w:rPr>
          <w:spacing w:val="-79"/>
        </w:rPr>
        <w:t> </w:t>
      </w:r>
      <w:r>
        <w:rPr>
          <w:spacing w:val="12"/>
        </w:rPr>
        <w:t>编号</w:t>
      </w:r>
      <w:r>
        <w:rPr>
          <w:spacing w:val="-79"/>
        </w:rPr>
        <w:t> </w:t>
      </w:r>
      <w:r>
        <w:rPr/>
        <w:t>：</w:t>
      </w:r>
      <w:r>
        <w:rPr>
          <w:spacing w:val="-101"/>
        </w:rPr>
        <w:t> </w:t>
      </w:r>
      <w:r>
        <w:rPr>
          <w:spacing w:val="-101"/>
        </w:rPr>
      </w:r>
      <w:r>
        <w:rPr>
          <w:rFonts w:ascii="Times New Roman" w:hAnsi="Times New Roman" w:cs="Times New Roman" w:eastAsia="Times New Roman" w:hint="default"/>
          <w:spacing w:val="-4"/>
        </w:rPr>
        <w:t>GR201721200156</w:t>
      </w:r>
      <w:r>
        <w:rPr>
          <w:spacing w:val="-4"/>
        </w:rPr>
        <w:t>），根据《高新技术企业认定管理办法》及《中华人民共和国企业所得税法》等有关规定，</w:t>
      </w:r>
      <w:r>
        <w:rPr>
          <w:spacing w:val="-101"/>
        </w:rPr>
        <w:t> </w:t>
      </w:r>
      <w:r>
        <w:rPr>
          <w:spacing w:val="-101"/>
        </w:rPr>
      </w:r>
      <w:r>
        <w:rPr/>
        <w:t>本公司自获得高新技术企业认定后三年内即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年企业所得税按</w:t>
      </w:r>
      <w:r>
        <w:rPr>
          <w:spacing w:val="-54"/>
        </w:rPr>
        <w:t> </w:t>
      </w:r>
      <w:r>
        <w:rPr>
          <w:rFonts w:ascii="Times New Roman" w:hAnsi="Times New Roman" w:cs="Times New Roman" w:eastAsia="Times New Roman" w:hint="default"/>
        </w:rPr>
        <w:t>15%</w:t>
      </w:r>
      <w:r>
        <w:rPr/>
        <w:t>计缴。</w:t>
      </w:r>
    </w:p>
    <w:p>
      <w:pPr>
        <w:pStyle w:val="BodyText"/>
        <w:spacing w:line="285" w:lineRule="auto" w:before="174"/>
        <w:ind w:left="154" w:right="1116" w:firstLine="420"/>
        <w:jc w:val="both"/>
      </w:pPr>
      <w:r>
        <w:rPr/>
        <w:t>（</w:t>
      </w:r>
      <w:r>
        <w:rPr>
          <w:rFonts w:ascii="Times New Roman" w:hAnsi="Times New Roman" w:cs="Times New Roman" w:eastAsia="Times New Roman" w:hint="default"/>
        </w:rPr>
        <w:t>4</w:t>
      </w:r>
      <w:r>
        <w:rPr/>
        <w:t>）本公司之子公司沈阳中科创达软件有限公司于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日获得辽宁省科学技术厅、辽宁省 </w:t>
      </w:r>
      <w:r>
        <w:rPr>
          <w:spacing w:val="-13"/>
        </w:rPr>
        <w:t>财政厅、辽宁省国家税务局、辽宁省地方税务局颁发的《高新技术企业证书》（证书编号：</w:t>
      </w:r>
      <w:r>
        <w:rPr>
          <w:rFonts w:ascii="Times New Roman" w:hAnsi="Times New Roman" w:cs="Times New Roman" w:eastAsia="Times New Roman" w:hint="default"/>
          <w:spacing w:val="-13"/>
        </w:rPr>
        <w:t>GR201721000201</w:t>
      </w:r>
      <w:r>
        <w:rPr>
          <w:spacing w:val="-13"/>
        </w:rPr>
        <w:t>），</w:t>
      </w:r>
      <w:r>
        <w:rPr>
          <w:spacing w:val="-100"/>
        </w:rPr>
        <w:t> </w:t>
      </w:r>
      <w:r>
        <w:rPr>
          <w:spacing w:val="-1"/>
        </w:rPr>
        <w:t>根据《高新技术企业认定管理办法》及《中华人民共和国企业所得税法》等有关规定，本公司自获得高新</w:t>
      </w:r>
      <w:r>
        <w:rPr>
          <w:spacing w:val="-83"/>
        </w:rPr>
        <w:t> </w:t>
      </w:r>
      <w:r>
        <w:rPr>
          <w:spacing w:val="-83"/>
        </w:rPr>
      </w:r>
      <w:r>
        <w:rPr/>
        <w:t>技术企业认定后三年内即</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年至</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年企业所得税按</w:t>
      </w:r>
      <w:r>
        <w:rPr>
          <w:spacing w:val="-54"/>
        </w:rPr>
        <w:t> </w:t>
      </w:r>
      <w:r>
        <w:rPr>
          <w:rFonts w:ascii="Times New Roman" w:hAnsi="Times New Roman" w:cs="Times New Roman" w:eastAsia="Times New Roman" w:hint="default"/>
        </w:rPr>
        <w:t>15%</w:t>
      </w:r>
      <w:r>
        <w:rPr/>
        <w:t>计缴。</w:t>
      </w:r>
    </w:p>
    <w:p>
      <w:pPr>
        <w:pStyle w:val="BodyText"/>
        <w:spacing w:line="280" w:lineRule="auto" w:before="172"/>
        <w:ind w:left="154" w:right="1128" w:firstLine="420"/>
        <w:jc w:val="both"/>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t>）本公司之子公司武汉中科创达软件有限公司符合《关于软件和集成电路产业企业所得税优惠政 策有关问题的通知》（财税〔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49</w:t>
      </w:r>
      <w:r>
        <w:rPr>
          <w:rFonts w:ascii="Times New Roman" w:hAnsi="Times New Roman" w:cs="Times New Roman" w:eastAsia="Times New Roman" w:hint="default"/>
          <w:spacing w:val="35"/>
        </w:rPr>
        <w:t> </w:t>
      </w:r>
      <w:r>
        <w:rPr/>
        <w:t>号）享受</w:t>
      </w:r>
      <w:r>
        <w:rPr>
          <w:rFonts w:ascii="Times New Roman" w:hAnsi="Times New Roman" w:cs="Times New Roman" w:eastAsia="Times New Roman" w:hint="default"/>
        </w:rPr>
        <w:t>“</w:t>
      </w:r>
      <w:r>
        <w:rPr/>
        <w:t>国家境内新办的集成电路设计企业和符合条件的软件企 业</w:t>
      </w:r>
      <w:r>
        <w:rPr>
          <w:rFonts w:ascii="Times New Roman" w:hAnsi="Times New Roman" w:cs="Times New Roman" w:eastAsia="Times New Roman" w:hint="default"/>
        </w:rPr>
        <w:t>”</w:t>
      </w:r>
      <w:r>
        <w:rPr/>
        <w:t>的企业所得税收优惠政策，于</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年按相关程序备案完成，自</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日起至</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31</w:t>
      </w:r>
    </w:p>
    <w:p>
      <w:pPr>
        <w:pStyle w:val="BodyText"/>
        <w:spacing w:line="240" w:lineRule="auto" w:before="9"/>
        <w:ind w:left="154" w:right="0"/>
        <w:jc w:val="both"/>
      </w:pPr>
      <w:r>
        <w:rPr/>
        <w:t>日止免缴企业所得税，自</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53"/>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日止减半计缴企业所得税。</w:t>
      </w:r>
    </w:p>
    <w:p>
      <w:pPr>
        <w:spacing w:line="240" w:lineRule="auto" w:before="9"/>
        <w:rPr>
          <w:rFonts w:ascii="宋体" w:hAnsi="宋体" w:cs="宋体" w:eastAsia="宋体" w:hint="default"/>
          <w:sz w:val="16"/>
          <w:szCs w:val="16"/>
        </w:rPr>
      </w:pPr>
    </w:p>
    <w:p>
      <w:pPr>
        <w:pStyle w:val="BodyText"/>
        <w:spacing w:line="240" w:lineRule="auto"/>
        <w:ind w:left="57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6</w:t>
      </w:r>
      <w:r>
        <w:rPr/>
        <w:t>）本公司之子公司成都中科创达软件有限公司获得四川省经济和信息化委员会于</w:t>
      </w:r>
      <w:r>
        <w:rPr>
          <w:spacing w:val="-3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31</w:t>
      </w:r>
    </w:p>
    <w:p>
      <w:pPr>
        <w:pStyle w:val="BodyText"/>
        <w:spacing w:line="240" w:lineRule="auto" w:before="50"/>
        <w:ind w:left="154" w:right="0"/>
        <w:jc w:val="both"/>
        <w:rPr>
          <w:rFonts w:ascii="Times New Roman" w:hAnsi="Times New Roman" w:cs="Times New Roman" w:eastAsia="Times New Roman" w:hint="default"/>
        </w:rPr>
      </w:pPr>
      <w:r>
        <w:rPr/>
        <w:t>日颁发的《软件企业认定证书》，证书编号：川</w:t>
      </w:r>
      <w:r>
        <w:rPr>
          <w:spacing w:val="-35"/>
        </w:rPr>
        <w:t> </w:t>
      </w:r>
      <w:r>
        <w:rPr>
          <w:rFonts w:ascii="Times New Roman" w:hAnsi="Times New Roman" w:cs="Times New Roman" w:eastAsia="Times New Roman" w:hint="default"/>
        </w:rPr>
        <w:t>R-2013-0486</w:t>
      </w:r>
      <w:r>
        <w:rPr/>
        <w:t>，自</w:t>
      </w:r>
      <w:r>
        <w:rPr>
          <w:spacing w:val="-3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日起至</w:t>
      </w:r>
      <w:r>
        <w:rPr>
          <w:spacing w:val="-3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31</w:t>
      </w:r>
    </w:p>
    <w:p>
      <w:pPr>
        <w:pStyle w:val="BodyText"/>
        <w:spacing w:line="240" w:lineRule="auto" w:before="50"/>
        <w:ind w:left="154" w:right="0"/>
        <w:jc w:val="both"/>
      </w:pPr>
      <w:r>
        <w:rPr/>
        <w:t>日止免缴企业所得税，自</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日止减半计缴企业所得税。</w:t>
      </w:r>
    </w:p>
    <w:p>
      <w:pPr>
        <w:spacing w:line="240" w:lineRule="auto" w:before="8"/>
        <w:rPr>
          <w:rFonts w:ascii="宋体" w:hAnsi="宋体" w:cs="宋体" w:eastAsia="宋体" w:hint="default"/>
          <w:sz w:val="16"/>
          <w:szCs w:val="16"/>
        </w:rPr>
      </w:pPr>
    </w:p>
    <w:p>
      <w:pPr>
        <w:pStyle w:val="BodyText"/>
        <w:spacing w:line="288" w:lineRule="auto"/>
        <w:ind w:left="154" w:right="1130" w:firstLine="420"/>
        <w:jc w:val="both"/>
      </w:pPr>
      <w:r>
        <w:rPr/>
        <w:t>（</w:t>
      </w:r>
      <w:r>
        <w:rPr>
          <w:rFonts w:ascii="Times New Roman" w:hAnsi="Times New Roman" w:cs="Times New Roman" w:eastAsia="Times New Roman" w:hint="default"/>
        </w:rPr>
        <w:t>7</w:t>
      </w:r>
      <w:r>
        <w:rPr/>
        <w:t>）本公司之子公司南京中科创达软件科技有限公司于</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日取得江苏省科学技术厅、 </w:t>
      </w:r>
      <w:r>
        <w:rPr>
          <w:spacing w:val="3"/>
        </w:rPr>
        <w:t>江苏省财政厅、江苏省国家税务局、江苏省地方税务局联合颁发的《高新技术企业证书》（证书编号：</w:t>
      </w:r>
      <w:r>
        <w:rPr>
          <w:spacing w:val="-82"/>
        </w:rPr>
        <w:t> </w:t>
      </w:r>
      <w:r>
        <w:rPr>
          <w:spacing w:val="-82"/>
        </w:rPr>
      </w:r>
      <w:r>
        <w:rPr>
          <w:rFonts w:ascii="Times New Roman" w:hAnsi="Times New Roman" w:cs="Times New Roman" w:eastAsia="Times New Roman" w:hint="default"/>
        </w:rPr>
        <w:t>GR201532001620</w:t>
      </w:r>
      <w:r>
        <w:rPr/>
        <w:t>），并于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4"/>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日通过复审，取得了江苏省科学技术厅、江苏省财政厅、国家 </w:t>
      </w:r>
      <w:r>
        <w:rPr>
          <w:spacing w:val="-3"/>
        </w:rPr>
        <w:t>税务总局江苏省税务局、联合颁发的《高新技术企业证书》（证书编号：</w:t>
      </w:r>
      <w:r>
        <w:rPr>
          <w:rFonts w:ascii="Times New Roman" w:hAnsi="Times New Roman" w:cs="Times New Roman" w:eastAsia="Times New Roman" w:hint="default"/>
          <w:spacing w:val="-3"/>
        </w:rPr>
        <w:t>GR201832005900</w:t>
      </w:r>
      <w:r>
        <w:rPr>
          <w:spacing w:val="-3"/>
        </w:rPr>
        <w:t>），根据《高新</w:t>
      </w:r>
      <w:r>
        <w:rPr>
          <w:spacing w:val="-56"/>
        </w:rPr>
        <w:t> </w:t>
      </w:r>
      <w:r>
        <w:rPr>
          <w:spacing w:val="-56"/>
        </w:rPr>
      </w:r>
      <w:r>
        <w:rPr>
          <w:spacing w:val="-1"/>
        </w:rPr>
        <w:t>技术企业认定管理办法》及《中华人民共和国企业所得税法》等有关规定，该公司自获得高新技术企业认</w:t>
      </w:r>
      <w:r>
        <w:rPr>
          <w:spacing w:val="-86"/>
        </w:rPr>
        <w:t> </w:t>
      </w:r>
      <w:r>
        <w:rPr>
          <w:spacing w:val="-86"/>
        </w:rPr>
      </w:r>
      <w:r>
        <w:rPr/>
        <w:t>定后三年内即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年至</w:t>
      </w:r>
      <w:r>
        <w:rPr>
          <w:spacing w:val="-5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年企业所得税按</w:t>
      </w:r>
      <w:r>
        <w:rPr>
          <w:spacing w:val="-53"/>
        </w:rPr>
        <w:t> </w:t>
      </w:r>
      <w:r>
        <w:rPr>
          <w:rFonts w:ascii="Times New Roman" w:hAnsi="Times New Roman" w:cs="Times New Roman" w:eastAsia="Times New Roman" w:hint="default"/>
        </w:rPr>
        <w:t>15%</w:t>
      </w:r>
      <w:r>
        <w:rPr/>
        <w:t>计缴。</w:t>
      </w:r>
    </w:p>
    <w:p>
      <w:pPr>
        <w:pStyle w:val="BodyText"/>
        <w:spacing w:line="240" w:lineRule="auto" w:before="170"/>
        <w:ind w:left="57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8</w:t>
      </w:r>
      <w:r>
        <w:rPr/>
        <w:t>）本公司之子公司中科创达软件科技（深圳）有限公司自</w:t>
      </w:r>
      <w:r>
        <w:rPr>
          <w:spacing w:val="-5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日起至</w:t>
      </w:r>
      <w:r>
        <w:rPr>
          <w:spacing w:val="-5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14</w:t>
      </w:r>
    </w:p>
    <w:p>
      <w:pPr>
        <w:pStyle w:val="BodyText"/>
        <w:spacing w:line="240" w:lineRule="auto" w:before="50"/>
        <w:ind w:left="154" w:right="0"/>
        <w:jc w:val="both"/>
      </w:pPr>
      <w:r>
        <w:rPr/>
        <w:t>日止获得高新技术企业证书，证书编号：</w:t>
      </w:r>
      <w:r>
        <w:rPr>
          <w:rFonts w:ascii="Times New Roman" w:hAnsi="Times New Roman" w:cs="Times New Roman" w:eastAsia="Times New Roman" w:hint="default"/>
        </w:rPr>
        <w:t>GR201644200757</w:t>
      </w:r>
      <w:r>
        <w:rPr/>
        <w:t>，按</w:t>
      </w:r>
      <w:r>
        <w:rPr>
          <w:spacing w:val="-56"/>
        </w:rPr>
        <w:t> </w:t>
      </w:r>
      <w:r>
        <w:rPr>
          <w:rFonts w:ascii="Times New Roman" w:hAnsi="Times New Roman" w:cs="Times New Roman" w:eastAsia="Times New Roman" w:hint="default"/>
        </w:rPr>
        <w:t>15%</w:t>
      </w:r>
      <w:r>
        <w:rPr/>
        <w:t>计缴企业所得税。</w:t>
      </w:r>
    </w:p>
    <w:p>
      <w:pPr>
        <w:spacing w:line="240" w:lineRule="auto" w:before="9"/>
        <w:rPr>
          <w:rFonts w:ascii="宋体" w:hAnsi="宋体" w:cs="宋体" w:eastAsia="宋体" w:hint="default"/>
          <w:sz w:val="16"/>
          <w:szCs w:val="16"/>
        </w:rPr>
      </w:pPr>
    </w:p>
    <w:p>
      <w:pPr>
        <w:pStyle w:val="BodyText"/>
        <w:spacing w:line="280" w:lineRule="auto"/>
        <w:ind w:left="154" w:right="1130" w:firstLine="420"/>
        <w:jc w:val="both"/>
      </w:pPr>
      <w:r>
        <w:rPr/>
        <w:t>（</w:t>
      </w:r>
      <w:r>
        <w:rPr>
          <w:rFonts w:ascii="Times New Roman" w:hAnsi="Times New Roman" w:cs="Times New Roman" w:eastAsia="Times New Roman" w:hint="default"/>
        </w:rPr>
        <w:t>9</w:t>
      </w:r>
      <w:r>
        <w:rPr/>
        <w:t>）本公司之子公司重庆创通联达智能技术有限公司于</w:t>
      </w:r>
      <w:r>
        <w:rPr>
          <w:spacing w:val="-4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日获得重庆市高新技术企业 </w:t>
      </w:r>
      <w:r>
        <w:rPr>
          <w:spacing w:val="-2"/>
        </w:rPr>
        <w:t>认定管理机构颁发的《高新技术企业证书》（证书编号：</w:t>
      </w:r>
      <w:r>
        <w:rPr>
          <w:rFonts w:ascii="Times New Roman" w:hAnsi="Times New Roman" w:cs="Times New Roman" w:eastAsia="Times New Roman" w:hint="default"/>
          <w:spacing w:val="-2"/>
        </w:rPr>
        <w:t>GR201851100893</w:t>
      </w:r>
      <w:r>
        <w:rPr>
          <w:spacing w:val="-2"/>
        </w:rPr>
        <w:t>），根据《高新技术企业认定管</w:t>
      </w:r>
      <w:r>
        <w:rPr/>
        <w:t> </w:t>
      </w:r>
      <w:r>
        <w:rPr>
          <w:spacing w:val="-7"/>
        </w:rPr>
        <w:t>理办法》及《中华人民共和国企业所得税法》等有关规定，本公司自获得高新技术企业认定后三年内即</w:t>
      </w:r>
      <w:r>
        <w:rPr>
          <w:spacing w:val="-2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9"/>
        </w:rPr>
        <w:t> </w:t>
      </w:r>
      <w:r>
        <w:rPr/>
        <w:t>年至</w:t>
      </w:r>
      <w:r>
        <w:rPr>
          <w:spacing w:val="-5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1"/>
        </w:rPr>
        <w:t> </w:t>
      </w:r>
      <w:r>
        <w:rPr/>
        <w:t>年，企业所得税按</w:t>
      </w:r>
      <w:r>
        <w:rPr>
          <w:spacing w:val="-55"/>
        </w:rPr>
        <w:t> </w:t>
      </w:r>
      <w:r>
        <w:rPr>
          <w:rFonts w:ascii="Times New Roman" w:hAnsi="Times New Roman" w:cs="Times New Roman" w:eastAsia="Times New Roman" w:hint="default"/>
        </w:rPr>
        <w:t>15</w:t>
      </w:r>
      <w:r>
        <w:rPr/>
        <w:t>％计缴。</w:t>
      </w:r>
    </w:p>
    <w:p>
      <w:pPr>
        <w:pStyle w:val="BodyText"/>
        <w:spacing w:line="280" w:lineRule="auto" w:before="177"/>
        <w:ind w:left="154" w:right="1128" w:firstLine="420"/>
        <w:jc w:val="both"/>
      </w:pPr>
      <w:r>
        <w:rPr/>
        <w:t>（</w:t>
      </w:r>
      <w:r>
        <w:rPr>
          <w:rFonts w:ascii="Times New Roman" w:hAnsi="Times New Roman" w:cs="Times New Roman" w:eastAsia="Times New Roman" w:hint="default"/>
        </w:rPr>
        <w:t>10</w:t>
      </w:r>
      <w:r>
        <w:rPr/>
        <w:t>）本公司之子公司中科创达（重庆）汽车科技有限公司符合国家税务总局公告</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年第</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t>号， 关于执行《西部地区鼓励类产业目录》有关企业所得税问题的公告：</w:t>
      </w:r>
      <w:r>
        <w:rPr>
          <w:rFonts w:ascii="Times New Roman" w:hAnsi="Times New Roman" w:cs="Times New Roman" w:eastAsia="Times New Roman" w:hint="default"/>
        </w:rPr>
        <w:t>“</w:t>
      </w:r>
      <w:r>
        <w:rPr/>
        <w:t>对设在西部地区以《西部地区鼓励</w:t>
      </w:r>
    </w:p>
    <w:p>
      <w:pPr>
        <w:spacing w:after="0" w:line="280" w:lineRule="auto"/>
        <w:jc w:val="both"/>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80" w:lineRule="auto" w:before="35"/>
        <w:ind w:left="154" w:right="1074"/>
        <w:jc w:val="left"/>
      </w:pPr>
      <w:r>
        <w:rPr/>
        <w:t>类产业目录》中鼓励类产业项目为主营业务，且其当年度主营业务收入占企业收入总额</w:t>
      </w:r>
      <w:r>
        <w:rPr>
          <w:spacing w:val="-52"/>
        </w:rPr>
        <w:t> </w:t>
      </w:r>
      <w:r>
        <w:rPr>
          <w:rFonts w:ascii="Times New Roman" w:hAnsi="Times New Roman" w:cs="Times New Roman" w:eastAsia="Times New Roman" w:hint="default"/>
        </w:rPr>
        <w:t>70%</w:t>
      </w:r>
      <w:r>
        <w:rPr/>
        <w:t>以上的企业， 自</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5"/>
        </w:rPr>
        <w:t>日起，可减按</w:t>
      </w:r>
      <w:r>
        <w:rPr>
          <w:spacing w:val="-55"/>
        </w:rPr>
        <w:t> </w:t>
      </w:r>
      <w:r>
        <w:rPr>
          <w:rFonts w:ascii="Times New Roman" w:hAnsi="Times New Roman" w:cs="Times New Roman" w:eastAsia="Times New Roman" w:hint="default"/>
        </w:rPr>
        <w:t>15%</w:t>
      </w:r>
      <w:r>
        <w:rPr/>
        <w:t>税率缴纳企业所得税</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的企业所得税收优惠政策。自</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w:t>
      </w:r>
    </w:p>
    <w:p>
      <w:pPr>
        <w:pStyle w:val="BodyText"/>
        <w:spacing w:line="240" w:lineRule="auto" w:before="9"/>
        <w:ind w:left="154" w:right="1116"/>
        <w:jc w:val="left"/>
      </w:pPr>
      <w:r>
        <w:rPr/>
        <w:t>起至</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日止按</w:t>
      </w:r>
      <w:r>
        <w:rPr>
          <w:spacing w:val="-54"/>
        </w:rPr>
        <w:t> </w:t>
      </w:r>
      <w:r>
        <w:rPr>
          <w:rFonts w:ascii="Times New Roman" w:hAnsi="Times New Roman" w:cs="Times New Roman" w:eastAsia="Times New Roman" w:hint="default"/>
        </w:rPr>
        <w:t>15%</w:t>
      </w:r>
      <w:r>
        <w:rPr/>
        <w:t>税率缴纳企业所得税。</w:t>
      </w:r>
    </w:p>
    <w:p>
      <w:pPr>
        <w:spacing w:line="240" w:lineRule="auto" w:before="9"/>
        <w:rPr>
          <w:rFonts w:ascii="宋体" w:hAnsi="宋体" w:cs="宋体" w:eastAsia="宋体" w:hint="default"/>
          <w:sz w:val="16"/>
          <w:szCs w:val="16"/>
        </w:rPr>
      </w:pPr>
    </w:p>
    <w:p>
      <w:pPr>
        <w:pStyle w:val="BodyText"/>
        <w:spacing w:line="280" w:lineRule="auto"/>
        <w:ind w:left="154" w:right="1131" w:firstLine="420"/>
        <w:jc w:val="both"/>
      </w:pPr>
      <w:r>
        <w:rPr>
          <w:spacing w:val="-1"/>
        </w:rPr>
        <w:t>（</w:t>
      </w:r>
      <w:r>
        <w:rPr>
          <w:rFonts w:ascii="Times New Roman" w:hAnsi="Times New Roman" w:cs="Times New Roman" w:eastAsia="Times New Roman" w:hint="default"/>
          <w:spacing w:val="-1"/>
        </w:rPr>
        <w:t>11</w:t>
      </w:r>
      <w:r>
        <w:rPr>
          <w:spacing w:val="-1"/>
        </w:rPr>
        <w:t>）本公司之子公司北京慧驰科技有限公司符合《国家税务总局关于进一步鼓励软件产业和集成电</w:t>
      </w:r>
      <w:r>
        <w:rPr/>
        <w:t> 路产业发展企业所得税政策的通知》享受</w:t>
      </w:r>
      <w:r>
        <w:rPr>
          <w:rFonts w:ascii="Times New Roman" w:hAnsi="Times New Roman" w:cs="Times New Roman" w:eastAsia="Times New Roman" w:hint="default"/>
        </w:rPr>
        <w:t>“</w:t>
      </w:r>
      <w:r>
        <w:rPr/>
        <w:t>国家境内新办的集成电路设计企业和符合条件的软件企业</w:t>
      </w:r>
      <w:r>
        <w:rPr>
          <w:rFonts w:ascii="Times New Roman" w:hAnsi="Times New Roman" w:cs="Times New Roman" w:eastAsia="Times New Roman" w:hint="default"/>
        </w:rPr>
        <w:t>”</w:t>
      </w:r>
      <w:r>
        <w:rPr/>
        <w:t>的企 业所得税</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优惠政策，本期为减半最后一年，按照</w:t>
      </w:r>
      <w:r>
        <w:rPr>
          <w:spacing w:val="-54"/>
        </w:rPr>
        <w:t> </w:t>
      </w:r>
      <w:r>
        <w:rPr>
          <w:rFonts w:ascii="Times New Roman" w:hAnsi="Times New Roman" w:cs="Times New Roman" w:eastAsia="Times New Roman" w:hint="default"/>
        </w:rPr>
        <w:t>12.5%</w:t>
      </w:r>
      <w:r>
        <w:rPr/>
        <w:t>计缴当期所得税。</w:t>
      </w:r>
    </w:p>
    <w:p>
      <w:pPr>
        <w:pStyle w:val="BodyText"/>
        <w:spacing w:line="280" w:lineRule="auto" w:before="178"/>
        <w:ind w:left="154" w:right="1133" w:firstLine="420"/>
        <w:jc w:val="both"/>
      </w:pPr>
      <w:r>
        <w:rPr>
          <w:spacing w:val="-1"/>
        </w:rPr>
        <w:t>（</w:t>
      </w:r>
      <w:r>
        <w:rPr>
          <w:rFonts w:ascii="Times New Roman" w:hAnsi="Times New Roman" w:cs="Times New Roman" w:eastAsia="Times New Roman" w:hint="default"/>
          <w:spacing w:val="-1"/>
        </w:rPr>
        <w:t>12</w:t>
      </w:r>
      <w:r>
        <w:rPr>
          <w:spacing w:val="-1"/>
        </w:rPr>
        <w:t>）本公司之子公司青柠优视科技（北京）有限公司符合《国家税务总局关于进一步鼓励软件产业</w:t>
      </w:r>
      <w:r>
        <w:rPr/>
        <w:t> 和集成电路产业发展企业所得税政策的通知》享受</w:t>
      </w:r>
      <w:r>
        <w:rPr>
          <w:rFonts w:ascii="Times New Roman" w:hAnsi="Times New Roman" w:cs="Times New Roman" w:eastAsia="Times New Roman" w:hint="default"/>
        </w:rPr>
        <w:t>“</w:t>
      </w:r>
      <w:r>
        <w:rPr/>
        <w:t>国家境内新办的集成电路设计企业和符合条件的软件</w:t>
      </w:r>
      <w:r>
        <w:rPr>
          <w:spacing w:val="-19"/>
        </w:rPr>
        <w:t> </w:t>
      </w:r>
      <w:r>
        <w:rPr>
          <w:spacing w:val="-19"/>
        </w:rPr>
      </w:r>
      <w:r>
        <w:rPr/>
        <w:t>企业</w:t>
      </w:r>
      <w:r>
        <w:rPr>
          <w:rFonts w:ascii="Times New Roman" w:hAnsi="Times New Roman" w:cs="Times New Roman" w:eastAsia="Times New Roman" w:hint="default"/>
        </w:rPr>
        <w:t>”</w:t>
      </w:r>
      <w:r>
        <w:rPr/>
        <w:t>的企业所得税</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优惠政策，本期为减半第一年，按照</w:t>
      </w:r>
      <w:r>
        <w:rPr>
          <w:spacing w:val="-55"/>
        </w:rPr>
        <w:t> </w:t>
      </w:r>
      <w:r>
        <w:rPr>
          <w:rFonts w:ascii="Times New Roman" w:hAnsi="Times New Roman" w:cs="Times New Roman" w:eastAsia="Times New Roman" w:hint="default"/>
        </w:rPr>
        <w:t>12.5%</w:t>
      </w:r>
      <w:r>
        <w:rPr/>
        <w:t>计缴当期所得税。</w:t>
      </w:r>
    </w:p>
    <w:p>
      <w:pPr>
        <w:pStyle w:val="BodyText"/>
        <w:spacing w:line="280" w:lineRule="auto" w:before="177"/>
        <w:ind w:left="154" w:right="1131" w:firstLine="420"/>
        <w:jc w:val="both"/>
      </w:pPr>
      <w:r>
        <w:rPr>
          <w:spacing w:val="-1"/>
        </w:rPr>
        <w:t>（</w:t>
      </w:r>
      <w:r>
        <w:rPr>
          <w:rFonts w:ascii="Times New Roman" w:hAnsi="Times New Roman" w:cs="Times New Roman" w:eastAsia="Times New Roman" w:hint="default"/>
          <w:spacing w:val="-1"/>
        </w:rPr>
        <w:t>13</w:t>
      </w:r>
      <w:r>
        <w:rPr>
          <w:spacing w:val="-1"/>
        </w:rPr>
        <w:t>）本公司之子公司北京信恒创科技发展有限公司符合《国家税务总局关于进一步鼓励软件产业和</w:t>
      </w:r>
      <w:r>
        <w:rPr/>
        <w:t> 集成电路产业发展企业所得税政策的通知》享受</w:t>
      </w:r>
      <w:r>
        <w:rPr>
          <w:rFonts w:ascii="Times New Roman" w:hAnsi="Times New Roman" w:cs="Times New Roman" w:eastAsia="Times New Roman" w:hint="default"/>
        </w:rPr>
        <w:t>“</w:t>
      </w:r>
      <w:r>
        <w:rPr/>
        <w:t>国家境内新办的集成电路设计企业和符合条件的软件企</w:t>
      </w:r>
      <w:r>
        <w:rPr>
          <w:spacing w:val="-16"/>
        </w:rPr>
        <w:t> </w:t>
      </w:r>
      <w:r>
        <w:rPr>
          <w:spacing w:val="-16"/>
        </w:rPr>
      </w:r>
      <w:r>
        <w:rPr/>
        <w:t>业</w:t>
      </w:r>
      <w:r>
        <w:rPr>
          <w:rFonts w:ascii="Times New Roman" w:hAnsi="Times New Roman" w:cs="Times New Roman" w:eastAsia="Times New Roman" w:hint="default"/>
        </w:rPr>
        <w:t>”</w:t>
      </w:r>
      <w:r>
        <w:rPr/>
        <w:t>的企业所得税</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优惠政策，本期为减半第二年，按照</w:t>
      </w:r>
      <w:r>
        <w:rPr>
          <w:spacing w:val="-53"/>
        </w:rPr>
        <w:t> </w:t>
      </w:r>
      <w:r>
        <w:rPr>
          <w:rFonts w:ascii="Times New Roman" w:hAnsi="Times New Roman" w:cs="Times New Roman" w:eastAsia="Times New Roman" w:hint="default"/>
        </w:rPr>
        <w:t>12.5%</w:t>
      </w:r>
      <w:r>
        <w:rPr/>
        <w:t>计缴当期所得税。</w:t>
      </w:r>
    </w:p>
    <w:p>
      <w:pPr>
        <w:pStyle w:val="BodyText"/>
        <w:spacing w:line="280" w:lineRule="auto" w:before="177"/>
        <w:ind w:left="154" w:right="1131" w:firstLine="420"/>
        <w:jc w:val="both"/>
      </w:pPr>
      <w:r>
        <w:rPr>
          <w:spacing w:val="-1"/>
        </w:rPr>
        <w:t>（</w:t>
      </w:r>
      <w:r>
        <w:rPr>
          <w:rFonts w:ascii="Times New Roman" w:hAnsi="Times New Roman" w:cs="Times New Roman" w:eastAsia="Times New Roman" w:hint="default"/>
          <w:spacing w:val="-1"/>
        </w:rPr>
        <w:t>14</w:t>
      </w:r>
      <w:r>
        <w:rPr>
          <w:spacing w:val="-1"/>
        </w:rPr>
        <w:t>）本公司之子公司北京润信恒达科技有限公司符合《国家税务总局关于进一步鼓励软件产业和集</w:t>
      </w:r>
      <w:r>
        <w:rPr/>
        <w:t> 成电路产业发展企业所得税政策的通知》享受</w:t>
      </w:r>
      <w:r>
        <w:rPr>
          <w:rFonts w:ascii="Times New Roman" w:hAnsi="Times New Roman" w:cs="Times New Roman" w:eastAsia="Times New Roman" w:hint="default"/>
        </w:rPr>
        <w:t>“</w:t>
      </w:r>
      <w:r>
        <w:rPr/>
        <w:t>国家境内新办的集成电路设计企业和符合条件的软件企业</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的企业所得税</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优惠政策，本期为减半第一年，按照</w:t>
      </w:r>
      <w:r>
        <w:rPr>
          <w:spacing w:val="-54"/>
        </w:rPr>
        <w:t> </w:t>
      </w:r>
      <w:r>
        <w:rPr>
          <w:rFonts w:ascii="Times New Roman" w:hAnsi="Times New Roman" w:cs="Times New Roman" w:eastAsia="Times New Roman" w:hint="default"/>
        </w:rPr>
        <w:t>12.5%</w:t>
      </w:r>
      <w:r>
        <w:rPr/>
        <w:t>计缴当期所得税。</w:t>
      </w:r>
    </w:p>
    <w:p>
      <w:pPr>
        <w:pStyle w:val="BodyText"/>
        <w:spacing w:line="280" w:lineRule="auto" w:before="177"/>
        <w:ind w:left="154" w:right="1131" w:firstLine="420"/>
        <w:jc w:val="both"/>
      </w:pPr>
      <w:r>
        <w:rPr>
          <w:spacing w:val="-1"/>
        </w:rPr>
        <w:t>（</w:t>
      </w:r>
      <w:r>
        <w:rPr>
          <w:rFonts w:ascii="Times New Roman" w:hAnsi="Times New Roman" w:cs="Times New Roman" w:eastAsia="Times New Roman" w:hint="default"/>
          <w:spacing w:val="-1"/>
        </w:rPr>
        <w:t>15</w:t>
      </w:r>
      <w:r>
        <w:rPr>
          <w:spacing w:val="-1"/>
        </w:rPr>
        <w:t>）本公司之子公司北京创思远达科技有限公司符合《国家税务总局关于进一步鼓励软件产业和集</w:t>
      </w:r>
      <w:r>
        <w:rPr/>
        <w:t> 成电路产业发展企业所得税政策的通知》享受</w:t>
      </w:r>
      <w:r>
        <w:rPr>
          <w:rFonts w:ascii="Times New Roman" w:hAnsi="Times New Roman" w:cs="Times New Roman" w:eastAsia="Times New Roman" w:hint="default"/>
        </w:rPr>
        <w:t>“</w:t>
      </w:r>
      <w:r>
        <w:rPr/>
        <w:t>国家境内新办的集成电路设计企业和符合条件的软件企业</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的企业所得税</w:t>
      </w:r>
      <w:r>
        <w:rPr>
          <w:rFonts w:ascii="Times New Roman" w:hAnsi="Times New Roman" w:cs="Times New Roman" w:eastAsia="Times New Roman" w:hint="default"/>
        </w:rPr>
        <w:t>“</w:t>
      </w:r>
      <w:r>
        <w:rPr/>
        <w:t>二免三减半</w:t>
      </w:r>
      <w:r>
        <w:rPr>
          <w:rFonts w:ascii="Times New Roman" w:hAnsi="Times New Roman" w:cs="Times New Roman" w:eastAsia="Times New Roman" w:hint="default"/>
        </w:rPr>
        <w:t>”</w:t>
      </w:r>
      <w:r>
        <w:rPr/>
        <w:t>优惠政策，本期为免税第一年，按照</w:t>
      </w:r>
      <w:r>
        <w:rPr>
          <w:spacing w:val="-54"/>
        </w:rPr>
        <w:t> </w:t>
      </w:r>
      <w:r>
        <w:rPr>
          <w:rFonts w:ascii="Times New Roman" w:hAnsi="Times New Roman" w:cs="Times New Roman" w:eastAsia="Times New Roman" w:hint="default"/>
        </w:rPr>
        <w:t>0.00%</w:t>
      </w:r>
      <w:r>
        <w:rPr/>
        <w:t>计缴当期所得税。</w:t>
      </w:r>
    </w:p>
    <w:p>
      <w:pPr>
        <w:pStyle w:val="BodyText"/>
        <w:spacing w:line="285" w:lineRule="auto" w:before="177"/>
        <w:ind w:left="154" w:right="1018" w:firstLine="420"/>
        <w:jc w:val="left"/>
      </w:pPr>
      <w:r>
        <w:rPr>
          <w:spacing w:val="-4"/>
        </w:rPr>
        <w:t>（</w:t>
      </w:r>
      <w:r>
        <w:rPr>
          <w:rFonts w:ascii="Times New Roman" w:hAnsi="Times New Roman" w:cs="Times New Roman" w:eastAsia="Times New Roman" w:hint="default"/>
          <w:spacing w:val="-4"/>
        </w:rPr>
        <w:t>16</w:t>
      </w:r>
      <w:r>
        <w:rPr>
          <w:spacing w:val="-4"/>
        </w:rPr>
        <w:t>）根据国家税务总局公告</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年第</w:t>
      </w:r>
      <w:r>
        <w:rPr>
          <w:spacing w:val="-47"/>
        </w:rPr>
        <w:t> </w:t>
      </w:r>
      <w:r>
        <w:rPr>
          <w:rFonts w:ascii="Times New Roman" w:hAnsi="Times New Roman" w:cs="Times New Roman" w:eastAsia="Times New Roman" w:hint="default"/>
        </w:rPr>
        <w:t>40</w:t>
      </w:r>
      <w:r>
        <w:rPr>
          <w:rFonts w:ascii="Times New Roman" w:hAnsi="Times New Roman" w:cs="Times New Roman" w:eastAsia="Times New Roman" w:hint="default"/>
          <w:spacing w:val="-6"/>
        </w:rPr>
        <w:t> </w:t>
      </w:r>
      <w:r>
        <w:rPr>
          <w:spacing w:val="-3"/>
        </w:rPr>
        <w:t>号《关于研发费用税前加计扣除归集范围有关问题的公告》</w:t>
      </w:r>
      <w:r>
        <w:rPr/>
        <w:t> 的相关内容，本公司享受研究开发费用企业所得税前加计扣除优惠政策。根据财税〔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99</w:t>
      </w:r>
      <w:r>
        <w:rPr>
          <w:rFonts w:ascii="Times New Roman" w:hAnsi="Times New Roman" w:cs="Times New Roman" w:eastAsia="Times New Roman" w:hint="default"/>
          <w:spacing w:val="-25"/>
        </w:rPr>
        <w:t> </w:t>
      </w:r>
      <w:r>
        <w:rPr>
          <w:spacing w:val="-3"/>
        </w:rPr>
        <w:t>号《财政部</w:t>
      </w:r>
      <w:r>
        <w:rPr/>
        <w:t> 税务总局 科技部关于提高研究开发费用税前加计扣除比例的通知》，享受提高研究开发费用税前加计扣</w:t>
      </w:r>
      <w:r>
        <w:rPr>
          <w:spacing w:val="-38"/>
        </w:rPr>
        <w:t> </w:t>
      </w:r>
      <w:r>
        <w:rPr>
          <w:spacing w:val="-38"/>
        </w:rPr>
      </w:r>
      <w:r>
        <w:rPr/>
        <w:t>除比例的优惠政策。</w:t>
      </w:r>
    </w:p>
    <w:p>
      <w:pPr>
        <w:spacing w:line="240" w:lineRule="auto" w:before="10"/>
        <w:rPr>
          <w:rFonts w:ascii="宋体" w:hAnsi="宋体" w:cs="宋体" w:eastAsia="宋体" w:hint="default"/>
          <w:sz w:val="14"/>
          <w:szCs w:val="14"/>
        </w:rPr>
      </w:pPr>
    </w:p>
    <w:p>
      <w:pPr>
        <w:pStyle w:val="BodyText"/>
        <w:spacing w:line="280" w:lineRule="auto"/>
        <w:ind w:left="154" w:right="1131" w:firstLine="420"/>
        <w:jc w:val="both"/>
      </w:pPr>
      <w:r>
        <w:rPr/>
        <w:t>（</w:t>
      </w:r>
      <w:r>
        <w:rPr>
          <w:rFonts w:ascii="Times New Roman" w:hAnsi="Times New Roman" w:cs="Times New Roman" w:eastAsia="Times New Roman" w:hint="default"/>
        </w:rPr>
        <w:t>17</w:t>
      </w:r>
      <w:r>
        <w:rPr/>
        <w:t>）根据财税</w:t>
      </w:r>
      <w:r>
        <w:rPr>
          <w:rFonts w:ascii="Times New Roman" w:hAnsi="Times New Roman" w:cs="Times New Roman" w:eastAsia="Times New Roman" w:hint="default"/>
        </w:rPr>
        <w:t>[2011]100</w:t>
      </w:r>
      <w:r>
        <w:rPr>
          <w:rFonts w:ascii="Times New Roman" w:hAnsi="Times New Roman" w:cs="Times New Roman" w:eastAsia="Times New Roman" w:hint="default"/>
          <w:spacing w:val="-18"/>
        </w:rPr>
        <w:t> </w:t>
      </w:r>
      <w:r>
        <w:rPr>
          <w:spacing w:val="-3"/>
        </w:rPr>
        <w:t>号文件《财政部、国家税务总局关于软件产品增值税政策的通知》规定，增</w:t>
      </w:r>
      <w:r>
        <w:rPr/>
        <w:t> 值税一般纳税人销售其自行开发生产的软件产品，按</w:t>
      </w:r>
      <w:r>
        <w:rPr>
          <w:spacing w:val="-60"/>
        </w:rPr>
        <w:t> </w:t>
      </w:r>
      <w:r>
        <w:rPr>
          <w:rFonts w:ascii="Times New Roman" w:hAnsi="Times New Roman" w:cs="Times New Roman" w:eastAsia="Times New Roman" w:hint="default"/>
        </w:rPr>
        <w:t>17%</w:t>
      </w:r>
      <w:r>
        <w:rPr/>
        <w:t>、</w:t>
      </w:r>
      <w:r>
        <w:rPr>
          <w:rFonts w:ascii="Times New Roman" w:hAnsi="Times New Roman" w:cs="Times New Roman" w:eastAsia="Times New Roman" w:hint="default"/>
        </w:rPr>
        <w:t>16%</w:t>
      </w:r>
      <w:r>
        <w:rPr/>
        <w:t>税率征收增值税后，对其增值税实际税负 超过</w:t>
      </w:r>
      <w:r>
        <w:rPr>
          <w:spacing w:val="-55"/>
        </w:rPr>
        <w:t> </w:t>
      </w:r>
      <w:r>
        <w:rPr>
          <w:rFonts w:ascii="Times New Roman" w:hAnsi="Times New Roman" w:cs="Times New Roman" w:eastAsia="Times New Roman" w:hint="default"/>
        </w:rPr>
        <w:t>3%</w:t>
      </w:r>
      <w:r>
        <w:rPr/>
        <w:t>的部分实行即征即退政策。</w:t>
      </w:r>
    </w:p>
    <w:p>
      <w:pPr>
        <w:pStyle w:val="BodyText"/>
        <w:spacing w:line="280" w:lineRule="auto" w:before="177"/>
        <w:ind w:left="154" w:right="1131" w:firstLine="420"/>
        <w:jc w:val="both"/>
      </w:pPr>
      <w:r>
        <w:rPr/>
        <w:t>根据财税</w:t>
      </w:r>
      <w:r>
        <w:rPr>
          <w:rFonts w:ascii="Times New Roman" w:hAnsi="Times New Roman" w:cs="Times New Roman" w:eastAsia="Times New Roman" w:hint="default"/>
        </w:rPr>
        <w:t>[2018]32</w:t>
      </w:r>
      <w:r>
        <w:rPr>
          <w:rFonts w:ascii="Times New Roman" w:hAnsi="Times New Roman" w:cs="Times New Roman" w:eastAsia="Times New Roman" w:hint="default"/>
          <w:spacing w:val="-6"/>
        </w:rPr>
        <w:t> </w:t>
      </w:r>
      <w:r>
        <w:rPr/>
        <w:t>号文件《税务总局关于调整增值税税率的通知》规定，纳税人发生增值税应税销售 行为或者进口货物，原适用</w:t>
      </w:r>
      <w:r>
        <w:rPr>
          <w:spacing w:val="-53"/>
        </w:rPr>
        <w:t> </w:t>
      </w:r>
      <w:r>
        <w:rPr>
          <w:rFonts w:ascii="Times New Roman" w:hAnsi="Times New Roman" w:cs="Times New Roman" w:eastAsia="Times New Roman" w:hint="default"/>
        </w:rPr>
        <w:t>17%</w:t>
      </w:r>
      <w:r>
        <w:rPr/>
        <w:t>和</w:t>
      </w:r>
      <w:r>
        <w:rPr>
          <w:spacing w:val="-54"/>
        </w:rPr>
        <w:t> </w:t>
      </w:r>
      <w:r>
        <w:rPr>
          <w:rFonts w:ascii="Times New Roman" w:hAnsi="Times New Roman" w:cs="Times New Roman" w:eastAsia="Times New Roman" w:hint="default"/>
        </w:rPr>
        <w:t>11%</w:t>
      </w:r>
      <w:r>
        <w:rPr/>
        <w:t>税率的，税率分别调整为</w:t>
      </w:r>
      <w:r>
        <w:rPr>
          <w:spacing w:val="-53"/>
        </w:rPr>
        <w:t> </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w:t>
      </w:r>
    </w:p>
    <w:p>
      <w:pPr>
        <w:pStyle w:val="BodyText"/>
        <w:spacing w:line="288" w:lineRule="auto" w:before="178"/>
        <w:ind w:left="154" w:right="1017" w:firstLine="420"/>
        <w:jc w:val="left"/>
      </w:pPr>
      <w:r>
        <w:rPr/>
        <w:t>（</w:t>
      </w:r>
      <w:r>
        <w:rPr>
          <w:rFonts w:ascii="Times New Roman" w:hAnsi="Times New Roman" w:cs="Times New Roman" w:eastAsia="Times New Roman" w:hint="default"/>
        </w:rPr>
        <w:t>18</w:t>
      </w:r>
      <w:r>
        <w:rPr/>
        <w:t>）根据财税〔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118</w:t>
      </w:r>
      <w:r>
        <w:rPr>
          <w:rFonts w:ascii="Times New Roman" w:hAnsi="Times New Roman" w:cs="Times New Roman" w:eastAsia="Times New Roman" w:hint="default"/>
          <w:spacing w:val="28"/>
        </w:rPr>
        <w:t> </w:t>
      </w:r>
      <w:r>
        <w:rPr/>
        <w:t>号《关于影视等出口服务适用增值税零税率政策的通知》的规定，境内 单位和个人向境外单位提供的软件服务、信息系统服务、离岸服务外包业务，适用增值税零税率政策；根 据国家税务总局公告</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年第</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spacing w:val="-5"/>
        </w:rPr>
        <w:t>号《关于发布</w:t>
      </w:r>
      <w:r>
        <w:rPr>
          <w:rFonts w:ascii="Times New Roman" w:hAnsi="Times New Roman" w:cs="Times New Roman" w:eastAsia="Times New Roman" w:hint="default"/>
          <w:spacing w:val="-5"/>
        </w:rPr>
        <w:t>&lt;</w:t>
      </w:r>
      <w:r>
        <w:rPr>
          <w:spacing w:val="-5"/>
        </w:rPr>
        <w:t>适用增值税零税率应税服务退（免）税管理办法</w:t>
      </w:r>
      <w:r>
        <w:rPr>
          <w:rFonts w:ascii="Times New Roman" w:hAnsi="Times New Roman" w:cs="Times New Roman" w:eastAsia="Times New Roman" w:hint="default"/>
          <w:spacing w:val="-5"/>
        </w:rPr>
        <w:t>&gt;</w:t>
      </w:r>
      <w:r>
        <w:rPr>
          <w:spacing w:val="-5"/>
        </w:rPr>
        <w:t>的公告》</w:t>
      </w:r>
      <w:r>
        <w:rPr/>
        <w:t> 的规定，中华人民共和国境内的增值税一般纳税人提供适用增值税零税率的应税服务，实行免抵退税或免</w:t>
      </w:r>
      <w:r>
        <w:rPr/>
        <w:t> 退税办法。相应的进项税额可以全额抵扣。</w:t>
      </w:r>
    </w:p>
    <w:p>
      <w:pPr>
        <w:spacing w:line="240" w:lineRule="auto" w:before="9"/>
        <w:rPr>
          <w:rFonts w:ascii="宋体" w:hAnsi="宋体" w:cs="宋体" w:eastAsia="宋体" w:hint="default"/>
          <w:sz w:val="14"/>
          <w:szCs w:val="14"/>
        </w:rPr>
      </w:pPr>
    </w:p>
    <w:p>
      <w:pPr>
        <w:pStyle w:val="BodyText"/>
        <w:spacing w:line="280" w:lineRule="auto"/>
        <w:ind w:left="154" w:right="1131" w:firstLine="420"/>
        <w:jc w:val="both"/>
      </w:pPr>
      <w:r>
        <w:rPr/>
        <w:t>（</w:t>
      </w:r>
      <w:r>
        <w:rPr>
          <w:rFonts w:ascii="Times New Roman" w:hAnsi="Times New Roman" w:cs="Times New Roman" w:eastAsia="Times New Roman" w:hint="default"/>
        </w:rPr>
        <w:t>19</w:t>
      </w:r>
      <w:r>
        <w:rPr/>
        <w:t>）根据财税</w:t>
      </w:r>
      <w:r>
        <w:rPr>
          <w:rFonts w:ascii="Times New Roman" w:hAnsi="Times New Roman" w:cs="Times New Roman" w:eastAsia="Times New Roman" w:hint="default"/>
        </w:rPr>
        <w:t>[2016]36</w:t>
      </w:r>
      <w:r>
        <w:rPr>
          <w:rFonts w:ascii="Times New Roman" w:hAnsi="Times New Roman" w:cs="Times New Roman" w:eastAsia="Times New Roman" w:hint="default"/>
          <w:spacing w:val="-7"/>
        </w:rPr>
        <w:t> </w:t>
      </w:r>
      <w:r>
        <w:rPr/>
        <w:t>号《财政部国家税务总局关于全面推开营业税改征增值税试点的通知》文件 规定，试点纳税人提供技术转让、技术开发和与之相关的技术咨询、技术服务免征增值税。</w:t>
      </w:r>
    </w:p>
    <w:p>
      <w:pPr>
        <w:spacing w:line="240" w:lineRule="auto" w:before="1"/>
        <w:rPr>
          <w:rFonts w:ascii="宋体" w:hAnsi="宋体" w:cs="宋体" w:eastAsia="宋体" w:hint="default"/>
          <w:sz w:val="15"/>
          <w:szCs w:val="15"/>
        </w:rPr>
      </w:pPr>
    </w:p>
    <w:p>
      <w:pPr>
        <w:pStyle w:val="BodyText"/>
        <w:spacing w:line="240" w:lineRule="auto"/>
        <w:ind w:left="574" w:right="0"/>
        <w:jc w:val="left"/>
      </w:pPr>
      <w:r>
        <w:rPr/>
        <w:t>（</w:t>
      </w:r>
      <w:r>
        <w:rPr>
          <w:rFonts w:ascii="Times New Roman" w:hAnsi="Times New Roman" w:cs="Times New Roman" w:eastAsia="Times New Roman" w:hint="default"/>
        </w:rPr>
        <w:t>20</w:t>
      </w:r>
      <w:r>
        <w:rPr>
          <w:spacing w:val="-57"/>
        </w:rPr>
        <w:t>）</w:t>
      </w:r>
      <w:r>
        <w:rPr/>
        <w:t>根</w:t>
      </w:r>
      <w:r>
        <w:rPr>
          <w:spacing w:val="-57"/>
        </w:rPr>
        <w:t>据</w:t>
      </w:r>
      <w:r>
        <w:rPr>
          <w:spacing w:val="-2"/>
        </w:rPr>
        <w:t>《</w:t>
      </w:r>
      <w:r>
        <w:rPr/>
        <w:t>财政部</w:t>
      </w:r>
      <w:r>
        <w:rPr>
          <w:spacing w:val="-57"/>
        </w:rPr>
        <w:t>、</w:t>
      </w:r>
      <w:r>
        <w:rPr/>
        <w:t>国家税务总局关于进一步推进出口货物实行免抵退税办法的通</w:t>
      </w:r>
      <w:r>
        <w:rPr>
          <w:spacing w:val="1"/>
        </w:rPr>
        <w:t>知</w:t>
      </w:r>
      <w:r>
        <w:rPr>
          <w:spacing w:val="-113"/>
        </w:rPr>
        <w:t>》</w:t>
      </w:r>
      <w:r>
        <w:rPr/>
        <w:t>（财</w:t>
      </w:r>
      <w:r>
        <w:rPr>
          <w:spacing w:val="-57"/>
        </w:rPr>
        <w:t>税</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02</w:t>
      </w:r>
      <w:r>
        <w:rPr/>
        <w:t>〕</w:t>
      </w:r>
    </w:p>
    <w:p>
      <w:pPr>
        <w:spacing w:after="0" w:line="240" w:lineRule="auto"/>
        <w:jc w:val="left"/>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80" w:lineRule="auto" w:before="35"/>
        <w:ind w:left="214" w:right="1114"/>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30"/>
        </w:rPr>
        <w:t> </w:t>
      </w:r>
      <w:r>
        <w:rPr/>
        <w:t>号）规定：生产企业自营或委托外贸企业代理出口自产货物，除另行规定外，增值税一律实行免、抵、 退税管理办法。</w:t>
      </w:r>
    </w:p>
    <w:p>
      <w:pPr>
        <w:spacing w:line="240" w:lineRule="auto" w:before="1"/>
        <w:rPr>
          <w:rFonts w:ascii="宋体" w:hAnsi="宋体" w:cs="宋体" w:eastAsia="宋体" w:hint="default"/>
          <w:sz w:val="15"/>
          <w:szCs w:val="15"/>
        </w:rPr>
      </w:pPr>
    </w:p>
    <w:p>
      <w:pPr>
        <w:pStyle w:val="BodyText"/>
        <w:spacing w:line="280" w:lineRule="auto"/>
        <w:ind w:left="214" w:right="1010" w:firstLine="420"/>
        <w:jc w:val="left"/>
      </w:pPr>
      <w:r>
        <w:rPr/>
        <w:t>公司需遵守《深圳证券交易所行业信息披露指引第</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上市公司从事软件与信息技术服务业务》 的披露要求</w:t>
      </w:r>
    </w:p>
    <w:p>
      <w:pPr>
        <w:spacing w:line="240" w:lineRule="auto" w:before="8"/>
        <w:rPr>
          <w:rFonts w:ascii="宋体" w:hAnsi="宋体" w:cs="宋体" w:eastAsia="宋体" w:hint="default"/>
          <w:sz w:val="14"/>
          <w:szCs w:val="14"/>
        </w:rPr>
      </w:pPr>
    </w:p>
    <w:p>
      <w:pPr>
        <w:pStyle w:val="BodyText"/>
        <w:spacing w:line="240" w:lineRule="auto"/>
        <w:ind w:right="1016"/>
        <w:jc w:val="left"/>
        <w:rPr>
          <w:rFonts w:ascii="微软雅黑" w:hAnsi="微软雅黑" w:cs="微软雅黑" w:eastAsia="微软雅黑" w:hint="default"/>
        </w:rPr>
      </w:pPr>
      <w:bookmarkStart w:name="3、其他" w:id="225"/>
      <w:bookmarkEnd w:id="225"/>
      <w:r>
        <w:rPr/>
      </w:r>
      <w:r>
        <w:rPr>
          <w:rFonts w:ascii="Times New Roman" w:hAnsi="Times New Roman" w:cs="Times New Roman" w:eastAsia="Times New Roman" w:hint="default"/>
        </w:rPr>
        <w:t>3</w:t>
      </w:r>
      <w:r>
        <w:rPr>
          <w:rFonts w:ascii="微软雅黑" w:hAnsi="微软雅黑" w:cs="微软雅黑" w:eastAsia="微软雅黑" w:hint="default"/>
        </w:rPr>
        <w:t>、其他</w:t>
      </w:r>
    </w:p>
    <w:p>
      <w:pPr>
        <w:spacing w:line="240" w:lineRule="auto" w:before="5"/>
        <w:rPr>
          <w:rFonts w:ascii="微软雅黑" w:hAnsi="微软雅黑" w:cs="微软雅黑" w:eastAsia="微软雅黑" w:hint="default"/>
          <w:sz w:val="23"/>
          <w:szCs w:val="23"/>
        </w:rPr>
      </w:pPr>
    </w:p>
    <w:p>
      <w:pPr>
        <w:pStyle w:val="Heading2"/>
        <w:spacing w:line="240" w:lineRule="auto"/>
        <w:ind w:right="1016"/>
        <w:jc w:val="left"/>
      </w:pPr>
      <w:bookmarkStart w:name="七、合并财务报表项目注释" w:id="226"/>
      <w:bookmarkEnd w:id="226"/>
      <w:r>
        <w:rPr/>
      </w:r>
      <w:r>
        <w:rPr/>
        <w:t>七、合并财务报表项目注释</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货币资金" w:id="227"/>
      <w:bookmarkEnd w:id="227"/>
      <w:r>
        <w:rPr/>
      </w:r>
      <w:r>
        <w:rPr>
          <w:rFonts w:ascii="Times New Roman" w:hAnsi="Times New Roman" w:cs="Times New Roman" w:eastAsia="Times New Roman" w:hint="default"/>
        </w:rPr>
        <w:t>1</w:t>
      </w:r>
      <w:r>
        <w:rPr>
          <w:rFonts w:ascii="微软雅黑" w:hAnsi="微软雅黑" w:cs="微软雅黑" w:eastAsia="微软雅黑" w:hint="default"/>
        </w:rPr>
        <w:t>、货币资金</w:t>
      </w:r>
    </w:p>
    <w:p>
      <w:pPr>
        <w:spacing w:line="240" w:lineRule="auto" w:before="17"/>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214,328.09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217,876.94</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892,741,392.74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1,273,566,990.26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1,512,190.56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818,129.60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894,467,911.39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1,274,602,996.80</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254,218,302.79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117,682,964.46</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10"/>
        <w:rPr>
          <w:rFonts w:ascii="宋体" w:hAnsi="宋体" w:cs="宋体" w:eastAsia="宋体" w:hint="default"/>
          <w:sz w:val="17"/>
          <w:szCs w:val="17"/>
        </w:rPr>
      </w:pPr>
    </w:p>
    <w:p>
      <w:pPr>
        <w:pStyle w:val="BodyText"/>
        <w:spacing w:line="280" w:lineRule="auto"/>
        <w:ind w:left="214" w:right="1131" w:firstLine="420"/>
        <w:jc w:val="both"/>
      </w:pPr>
      <w:r>
        <w:rPr/>
        <w:t>期末使用受限的银行存款 </w:t>
      </w:r>
      <w:r>
        <w:rPr>
          <w:rFonts w:ascii="Times New Roman" w:hAnsi="Times New Roman" w:cs="Times New Roman" w:eastAsia="Times New Roman" w:hint="default"/>
        </w:rPr>
        <w:t>180,471,891.00</w:t>
      </w:r>
      <w:r>
        <w:rPr>
          <w:rFonts w:ascii="Times New Roman" w:hAnsi="Times New Roman" w:cs="Times New Roman" w:eastAsia="Times New Roman" w:hint="default"/>
          <w:spacing w:val="-23"/>
        </w:rPr>
        <w:t> </w:t>
      </w:r>
      <w:r>
        <w:rPr/>
        <w:t>元，系开立备用信用证质押所致，期末使用受限的其他货币 资金</w:t>
      </w:r>
      <w:r>
        <w:rPr>
          <w:spacing w:val="-64"/>
        </w:rPr>
        <w:t> </w:t>
      </w:r>
      <w:r>
        <w:rPr>
          <w:rFonts w:ascii="Times New Roman" w:hAnsi="Times New Roman" w:cs="Times New Roman" w:eastAsia="Times New Roman" w:hint="default"/>
        </w:rPr>
        <w:t>19,774.80</w:t>
      </w:r>
      <w:r>
        <w:rPr>
          <w:rFonts w:ascii="Times New Roman" w:hAnsi="Times New Roman" w:cs="Times New Roman" w:eastAsia="Times New Roman" w:hint="default"/>
          <w:spacing w:val="-11"/>
        </w:rPr>
        <w:t> </w:t>
      </w:r>
      <w:r>
        <w:rPr/>
        <w:t>元，系为员工提供出入境保证金所致，本报告</w:t>
      </w:r>
      <w:r>
        <w:rPr>
          <w:rFonts w:ascii="Times New Roman" w:hAnsi="Times New Roman" w:cs="Times New Roman" w:eastAsia="Times New Roman" w:hint="default"/>
        </w:rPr>
        <w:t>“</w:t>
      </w:r>
      <w:r>
        <w:rPr/>
        <w:t>第十一节财务报告</w:t>
      </w:r>
      <w:r>
        <w:rPr>
          <w:spacing w:val="-22"/>
        </w:rPr>
        <w:t> </w:t>
      </w:r>
      <w:r>
        <w:rPr>
          <w:spacing w:val="-4"/>
        </w:rPr>
        <w:t>七、</w:t>
      </w:r>
      <w:r>
        <w:rPr>
          <w:rFonts w:ascii="Times New Roman" w:hAnsi="Times New Roman" w:cs="Times New Roman" w:eastAsia="Times New Roman" w:hint="default"/>
          <w:spacing w:val="-4"/>
        </w:rPr>
        <w:t>26”</w:t>
      </w:r>
      <w:r>
        <w:rPr>
          <w:spacing w:val="-4"/>
        </w:rPr>
        <w:t>、</w:t>
      </w:r>
      <w:r>
        <w:rPr>
          <w:rFonts w:ascii="Times New Roman" w:hAnsi="Times New Roman" w:cs="Times New Roman" w:eastAsia="Times New Roman" w:hint="default"/>
          <w:spacing w:val="-4"/>
        </w:rPr>
        <w:t>“</w:t>
      </w:r>
      <w:r>
        <w:rPr>
          <w:spacing w:val="-4"/>
        </w:rPr>
        <w:t>第十一节财务</w:t>
      </w:r>
      <w:r>
        <w:rPr/>
        <w:t> 报告七、</w:t>
      </w:r>
      <w:r>
        <w:rPr>
          <w:rFonts w:ascii="Times New Roman" w:hAnsi="Times New Roman" w:cs="Times New Roman" w:eastAsia="Times New Roman" w:hint="default"/>
        </w:rPr>
        <w:t>37”</w:t>
      </w:r>
      <w:r>
        <w:rPr/>
        <w:t>。</w:t>
      </w:r>
    </w:p>
    <w:p>
      <w:pPr>
        <w:pStyle w:val="BodyText"/>
        <w:spacing w:line="240" w:lineRule="auto" w:before="170"/>
        <w:ind w:right="1016"/>
        <w:jc w:val="left"/>
        <w:rPr>
          <w:rFonts w:ascii="微软雅黑" w:hAnsi="微软雅黑" w:cs="微软雅黑" w:eastAsia="微软雅黑" w:hint="default"/>
        </w:rPr>
      </w:pPr>
      <w:bookmarkStart w:name="2、以公允价值计量且其变动计入当期损益的金融资产" w:id="228"/>
      <w:bookmarkEnd w:id="228"/>
      <w:r>
        <w:rPr/>
      </w:r>
      <w:r>
        <w:rPr>
          <w:rFonts w:ascii="Times New Roman" w:hAnsi="Times New Roman" w:cs="Times New Roman" w:eastAsia="Times New Roman" w:hint="default"/>
        </w:rPr>
        <w:t>2</w:t>
      </w:r>
      <w:r>
        <w:rPr>
          <w:rFonts w:ascii="微软雅黑" w:hAnsi="微软雅黑" w:cs="微软雅黑" w:eastAsia="微软雅黑" w:hint="default"/>
        </w:rPr>
        <w:t>、以公允价值计量且其变动计入当期损益的金融资产</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3、衍生金融资产" w:id="229"/>
      <w:bookmarkEnd w:id="229"/>
      <w:r>
        <w:rPr/>
      </w:r>
      <w:r>
        <w:rPr>
          <w:rFonts w:ascii="Times New Roman" w:hAnsi="Times New Roman" w:cs="Times New Roman" w:eastAsia="Times New Roman" w:hint="default"/>
        </w:rPr>
        <w:t>3</w:t>
      </w:r>
      <w:r>
        <w:rPr>
          <w:rFonts w:ascii="微软雅黑" w:hAnsi="微软雅黑" w:cs="微软雅黑" w:eastAsia="微软雅黑" w:hint="default"/>
        </w:rPr>
        <w:t>、衍生金融资产</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4、应收票据及应收账款" w:id="230"/>
      <w:bookmarkEnd w:id="230"/>
      <w:r>
        <w:rPr/>
      </w:r>
      <w:r>
        <w:rPr>
          <w:rFonts w:ascii="Times New Roman" w:hAnsi="Times New Roman" w:cs="Times New Roman" w:eastAsia="Times New Roman" w:hint="default"/>
        </w:rPr>
        <w:t>4</w:t>
      </w:r>
      <w:r>
        <w:rPr>
          <w:rFonts w:ascii="微软雅黑" w:hAnsi="微软雅黑" w:cs="微软雅黑" w:eastAsia="微软雅黑" w:hint="default"/>
        </w:rPr>
        <w:t>、应收票据及应收账款</w:t>
      </w:r>
    </w:p>
    <w:p>
      <w:pPr>
        <w:spacing w:line="240" w:lineRule="auto" w:before="17"/>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3,019,625.45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2,466,088.51</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489,376,153.81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405,667,009.02</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492,395,779.26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408,133,097.53</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420" w:lineRule="auto" w:before="35"/>
        <w:ind w:right="8652"/>
        <w:jc w:val="left"/>
      </w:pPr>
      <w:bookmarkStart w:name="（1）应收票据" w:id="231"/>
      <w:bookmarkEnd w:id="231"/>
      <w:r>
        <w:rPr/>
      </w:r>
      <w:r>
        <w:rPr/>
        <w:t>（</w:t>
      </w:r>
      <w:r>
        <w:rPr>
          <w:rFonts w:ascii="Times New Roman" w:hAnsi="Times New Roman" w:cs="Times New Roman" w:eastAsia="Times New Roman" w:hint="default"/>
        </w:rPr>
        <w:t>1</w:t>
      </w:r>
      <w:r>
        <w:rPr/>
        <w:t>）应收票据 应收票据分类列示</w:t>
      </w:r>
    </w:p>
    <w:p>
      <w:pPr>
        <w:spacing w:before="8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3,019,625.45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2,466,088.51</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3,019,625.45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2,466,088.51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1016"/>
        <w:jc w:val="left"/>
      </w:pPr>
      <w:bookmarkStart w:name="（2）应收账款" w:id="232"/>
      <w:bookmarkEnd w:id="232"/>
      <w:r>
        <w:rPr/>
      </w:r>
      <w:r>
        <w:rPr/>
        <w:t>（</w:t>
      </w:r>
      <w:r>
        <w:rPr>
          <w:rFonts w:ascii="Times New Roman" w:hAnsi="Times New Roman" w:cs="Times New Roman" w:eastAsia="Times New Roman" w:hint="default"/>
        </w:rPr>
        <w:t>2</w:t>
      </w:r>
      <w:r>
        <w:rPr/>
        <w:t>）应收账款</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1)</w:t>
      </w:r>
      <w:r>
        <w:rPr/>
        <w:t>应收账款分类披露</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1643"/>
        <w:gridCol w:w="968"/>
        <w:gridCol w:w="610"/>
        <w:gridCol w:w="899"/>
        <w:gridCol w:w="610"/>
        <w:gridCol w:w="968"/>
        <w:gridCol w:w="968"/>
        <w:gridCol w:w="610"/>
        <w:gridCol w:w="899"/>
        <w:gridCol w:w="611"/>
        <w:gridCol w:w="967"/>
      </w:tblGrid>
      <w:tr>
        <w:trPr>
          <w:trHeight w:val="407" w:hRule="exact"/>
        </w:trPr>
        <w:tc>
          <w:tcPr>
            <w:tcW w:w="1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0"/>
              <w:jc w:val="center"/>
              <w:rPr>
                <w:rFonts w:ascii="宋体" w:hAnsi="宋体" w:cs="宋体" w:eastAsia="宋体" w:hint="default"/>
                <w:sz w:val="15"/>
                <w:szCs w:val="15"/>
              </w:rPr>
            </w:pPr>
            <w:r>
              <w:rPr>
                <w:rFonts w:ascii="宋体" w:hAnsi="宋体" w:cs="宋体" w:eastAsia="宋体" w:hint="default"/>
                <w:spacing w:val="-12"/>
                <w:sz w:val="15"/>
                <w:szCs w:val="15"/>
              </w:rPr>
              <w:t>类别</w:t>
            </w:r>
            <w:r>
              <w:rPr>
                <w:rFonts w:ascii="宋体" w:hAnsi="宋体" w:cs="宋体" w:eastAsia="宋体" w:hint="default"/>
                <w:sz w:val="15"/>
                <w:szCs w:val="15"/>
              </w:rPr>
            </w: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pacing w:val="-12"/>
                <w:sz w:val="15"/>
                <w:szCs w:val="15"/>
              </w:rPr>
              <w:t>期末余额</w:t>
            </w:r>
            <w:r>
              <w:rPr>
                <w:rFonts w:ascii="宋体" w:hAnsi="宋体" w:cs="宋体" w:eastAsia="宋体" w:hint="default"/>
                <w:sz w:val="15"/>
                <w:szCs w:val="15"/>
              </w:rPr>
            </w: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 w:right="0"/>
              <w:jc w:val="center"/>
              <w:rPr>
                <w:rFonts w:ascii="宋体" w:hAnsi="宋体" w:cs="宋体" w:eastAsia="宋体" w:hint="default"/>
                <w:sz w:val="15"/>
                <w:szCs w:val="15"/>
              </w:rPr>
            </w:pPr>
            <w:r>
              <w:rPr>
                <w:rFonts w:ascii="宋体" w:hAnsi="宋体" w:cs="宋体" w:eastAsia="宋体" w:hint="default"/>
                <w:spacing w:val="-12"/>
                <w:sz w:val="15"/>
                <w:szCs w:val="15"/>
              </w:rPr>
              <w:t>期初余额</w:t>
            </w:r>
            <w:r>
              <w:rPr>
                <w:rFonts w:ascii="宋体" w:hAnsi="宋体" w:cs="宋体" w:eastAsia="宋体" w:hint="default"/>
                <w:sz w:val="15"/>
                <w:szCs w:val="15"/>
              </w:rPr>
            </w:r>
          </w:p>
        </w:tc>
      </w:tr>
      <w:tr>
        <w:trPr>
          <w:trHeight w:val="301" w:hRule="exact"/>
        </w:trPr>
        <w:tc>
          <w:tcPr>
            <w:tcW w:w="1643" w:type="dxa"/>
            <w:vMerge/>
            <w:tcBorders>
              <w:left w:val="single" w:sz="4" w:space="0" w:color="000000"/>
              <w:right w:val="single" w:sz="4" w:space="0" w:color="000000"/>
            </w:tcBorders>
            <w:shd w:val="clear" w:color="auto" w:fill="D2D2D2"/>
          </w:tcPr>
          <w:p>
            <w:pPr/>
          </w:p>
        </w:tc>
        <w:tc>
          <w:tcPr>
            <w:tcW w:w="1578"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6"/>
              <w:ind w:left="507" w:right="0"/>
              <w:jc w:val="left"/>
              <w:rPr>
                <w:rFonts w:ascii="宋体" w:hAnsi="宋体" w:cs="宋体" w:eastAsia="宋体" w:hint="default"/>
                <w:sz w:val="15"/>
                <w:szCs w:val="15"/>
              </w:rPr>
            </w:pPr>
            <w:r>
              <w:rPr>
                <w:rFonts w:ascii="宋体" w:hAnsi="宋体" w:cs="宋体" w:eastAsia="宋体" w:hint="default"/>
                <w:spacing w:val="-12"/>
                <w:sz w:val="15"/>
                <w:szCs w:val="15"/>
              </w:rPr>
              <w:t>账面余额</w:t>
            </w:r>
            <w:r>
              <w:rPr>
                <w:rFonts w:ascii="宋体" w:hAnsi="宋体" w:cs="宋体" w:eastAsia="宋体" w:hint="default"/>
                <w:sz w:val="15"/>
                <w:szCs w:val="15"/>
              </w:rPr>
            </w:r>
          </w:p>
        </w:tc>
        <w:tc>
          <w:tcPr>
            <w:tcW w:w="1509"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6"/>
              <w:ind w:left="472" w:right="0"/>
              <w:jc w:val="left"/>
              <w:rPr>
                <w:rFonts w:ascii="宋体" w:hAnsi="宋体" w:cs="宋体" w:eastAsia="宋体" w:hint="default"/>
                <w:sz w:val="15"/>
                <w:szCs w:val="15"/>
              </w:rPr>
            </w:pPr>
            <w:r>
              <w:rPr>
                <w:rFonts w:ascii="宋体" w:hAnsi="宋体" w:cs="宋体" w:eastAsia="宋体" w:hint="default"/>
                <w:spacing w:val="-12"/>
                <w:sz w:val="15"/>
                <w:szCs w:val="15"/>
              </w:rPr>
              <w:t>坏账准备</w:t>
            </w:r>
            <w:r>
              <w:rPr>
                <w:rFonts w:ascii="宋体" w:hAnsi="宋体" w:cs="宋体" w:eastAsia="宋体" w:hint="default"/>
                <w:sz w:val="15"/>
                <w:szCs w:val="15"/>
              </w:rPr>
            </w:r>
          </w:p>
        </w:tc>
        <w:tc>
          <w:tcPr>
            <w:tcW w:w="9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8"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6"/>
              <w:ind w:left="508" w:right="0"/>
              <w:jc w:val="left"/>
              <w:rPr>
                <w:rFonts w:ascii="宋体" w:hAnsi="宋体" w:cs="宋体" w:eastAsia="宋体" w:hint="default"/>
                <w:sz w:val="15"/>
                <w:szCs w:val="15"/>
              </w:rPr>
            </w:pPr>
            <w:r>
              <w:rPr>
                <w:rFonts w:ascii="宋体" w:hAnsi="宋体" w:cs="宋体" w:eastAsia="宋体" w:hint="default"/>
                <w:spacing w:val="-12"/>
                <w:sz w:val="15"/>
                <w:szCs w:val="15"/>
              </w:rPr>
              <w:t>账面余额</w:t>
            </w:r>
            <w:r>
              <w:rPr>
                <w:rFonts w:ascii="宋体" w:hAnsi="宋体" w:cs="宋体" w:eastAsia="宋体" w:hint="default"/>
                <w:sz w:val="15"/>
                <w:szCs w:val="15"/>
              </w:rPr>
            </w:r>
          </w:p>
        </w:tc>
        <w:tc>
          <w:tcPr>
            <w:tcW w:w="1510"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6"/>
              <w:ind w:left="472" w:right="0"/>
              <w:jc w:val="left"/>
              <w:rPr>
                <w:rFonts w:ascii="宋体" w:hAnsi="宋体" w:cs="宋体" w:eastAsia="宋体" w:hint="default"/>
                <w:sz w:val="15"/>
                <w:szCs w:val="15"/>
              </w:rPr>
            </w:pPr>
            <w:r>
              <w:rPr>
                <w:rFonts w:ascii="宋体" w:hAnsi="宋体" w:cs="宋体" w:eastAsia="宋体" w:hint="default"/>
                <w:spacing w:val="-12"/>
                <w:sz w:val="15"/>
                <w:szCs w:val="15"/>
              </w:rPr>
              <w:t>坏账准备</w:t>
            </w:r>
            <w:r>
              <w:rPr>
                <w:rFonts w:ascii="宋体" w:hAnsi="宋体" w:cs="宋体" w:eastAsia="宋体" w:hint="default"/>
                <w:sz w:val="15"/>
                <w:szCs w:val="15"/>
              </w:rPr>
            </w:r>
          </w:p>
        </w:tc>
        <w:tc>
          <w:tcPr>
            <w:tcW w:w="9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7" w:hRule="exact"/>
        </w:trPr>
        <w:tc>
          <w:tcPr>
            <w:tcW w:w="1643" w:type="dxa"/>
            <w:vMerge/>
            <w:tcBorders>
              <w:left w:val="single" w:sz="4" w:space="0" w:color="000000"/>
              <w:right w:val="single" w:sz="4" w:space="0" w:color="000000"/>
            </w:tcBorders>
            <w:shd w:val="clear" w:color="auto" w:fill="D2D2D2"/>
          </w:tcPr>
          <w:p>
            <w:pPr/>
          </w:p>
        </w:tc>
        <w:tc>
          <w:tcPr>
            <w:tcW w:w="15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0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Style w:val="TableParagraph"/>
              <w:spacing w:line="181" w:lineRule="exact"/>
              <w:ind w:left="203" w:right="0"/>
              <w:jc w:val="left"/>
              <w:rPr>
                <w:rFonts w:ascii="宋体" w:hAnsi="宋体" w:cs="宋体" w:eastAsia="宋体" w:hint="default"/>
                <w:sz w:val="15"/>
                <w:szCs w:val="15"/>
              </w:rPr>
            </w:pPr>
            <w:r>
              <w:rPr>
                <w:rFonts w:ascii="宋体" w:hAnsi="宋体" w:cs="宋体" w:eastAsia="宋体" w:hint="default"/>
                <w:spacing w:val="-12"/>
                <w:sz w:val="15"/>
                <w:szCs w:val="15"/>
              </w:rPr>
              <w:t>账面价值</w:t>
            </w:r>
            <w:r>
              <w:rPr>
                <w:rFonts w:ascii="宋体" w:hAnsi="宋体" w:cs="宋体" w:eastAsia="宋体" w:hint="default"/>
                <w:sz w:val="15"/>
                <w:szCs w:val="15"/>
              </w:rPr>
            </w:r>
          </w:p>
        </w:tc>
        <w:tc>
          <w:tcPr>
            <w:tcW w:w="157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vMerge w:val="restart"/>
            <w:tcBorders>
              <w:top w:val="nil" w:sz="6" w:space="0" w:color="auto"/>
              <w:left w:val="single" w:sz="4" w:space="0" w:color="000000"/>
              <w:right w:val="single" w:sz="4" w:space="0" w:color="000000"/>
            </w:tcBorders>
            <w:shd w:val="clear" w:color="auto" w:fill="D2D2D2"/>
          </w:tcPr>
          <w:p>
            <w:pPr>
              <w:pStyle w:val="TableParagraph"/>
              <w:spacing w:line="181" w:lineRule="exact"/>
              <w:ind w:left="202" w:right="0"/>
              <w:jc w:val="left"/>
              <w:rPr>
                <w:rFonts w:ascii="宋体" w:hAnsi="宋体" w:cs="宋体" w:eastAsia="宋体" w:hint="default"/>
                <w:sz w:val="15"/>
                <w:szCs w:val="15"/>
              </w:rPr>
            </w:pPr>
            <w:r>
              <w:rPr>
                <w:rFonts w:ascii="宋体" w:hAnsi="宋体" w:cs="宋体" w:eastAsia="宋体" w:hint="default"/>
                <w:spacing w:val="-12"/>
                <w:sz w:val="15"/>
                <w:szCs w:val="15"/>
              </w:rPr>
              <w:t>账面价值</w:t>
            </w:r>
            <w:r>
              <w:rPr>
                <w:rFonts w:ascii="宋体" w:hAnsi="宋体" w:cs="宋体" w:eastAsia="宋体" w:hint="default"/>
                <w:sz w:val="15"/>
                <w:szCs w:val="15"/>
              </w:rPr>
            </w:r>
          </w:p>
        </w:tc>
      </w:tr>
      <w:tr>
        <w:trPr>
          <w:trHeight w:val="407" w:hRule="exact"/>
        </w:trPr>
        <w:tc>
          <w:tcPr>
            <w:tcW w:w="1643"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pacing w:val="-12"/>
                <w:sz w:val="15"/>
                <w:szCs w:val="15"/>
              </w:rPr>
              <w:t>金额</w:t>
            </w:r>
            <w:r>
              <w:rPr>
                <w:rFonts w:ascii="宋体" w:hAnsi="宋体" w:cs="宋体" w:eastAsia="宋体" w:hint="default"/>
                <w:sz w:val="15"/>
                <w:szCs w:val="15"/>
              </w:rPr>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pacing w:val="-12"/>
                <w:sz w:val="15"/>
                <w:szCs w:val="15"/>
              </w:rPr>
              <w:t>比例</w:t>
            </w:r>
            <w:r>
              <w:rPr>
                <w:rFonts w:ascii="宋体" w:hAnsi="宋体" w:cs="宋体" w:eastAsia="宋体" w:hint="default"/>
                <w:sz w:val="15"/>
                <w:szCs w:val="15"/>
              </w:rPr>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pacing w:val="-12"/>
                <w:sz w:val="15"/>
                <w:szCs w:val="15"/>
              </w:rPr>
              <w:t>金额</w:t>
            </w:r>
            <w:r>
              <w:rPr>
                <w:rFonts w:ascii="宋体" w:hAnsi="宋体" w:cs="宋体" w:eastAsia="宋体" w:hint="default"/>
                <w:sz w:val="15"/>
                <w:szCs w:val="15"/>
              </w:rPr>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62" w:right="0"/>
              <w:jc w:val="left"/>
              <w:rPr>
                <w:rFonts w:ascii="宋体" w:hAnsi="宋体" w:cs="宋体" w:eastAsia="宋体" w:hint="default"/>
                <w:sz w:val="15"/>
                <w:szCs w:val="15"/>
              </w:rPr>
            </w:pPr>
            <w:r>
              <w:rPr>
                <w:rFonts w:ascii="宋体" w:hAnsi="宋体" w:cs="宋体" w:eastAsia="宋体" w:hint="default"/>
                <w:spacing w:val="-12"/>
                <w:sz w:val="15"/>
                <w:szCs w:val="15"/>
              </w:rPr>
              <w:t>计提</w:t>
            </w:r>
            <w:r>
              <w:rPr>
                <w:rFonts w:ascii="宋体" w:hAnsi="宋体" w:cs="宋体" w:eastAsia="宋体" w:hint="default"/>
                <w:sz w:val="15"/>
                <w:szCs w:val="15"/>
              </w:rPr>
            </w:r>
          </w:p>
          <w:p>
            <w:pPr>
              <w:pStyle w:val="TableParagraph"/>
              <w:spacing w:line="195" w:lineRule="exact"/>
              <w:ind w:left="162" w:right="0"/>
              <w:jc w:val="left"/>
              <w:rPr>
                <w:rFonts w:ascii="宋体" w:hAnsi="宋体" w:cs="宋体" w:eastAsia="宋体" w:hint="default"/>
                <w:sz w:val="15"/>
                <w:szCs w:val="15"/>
              </w:rPr>
            </w:pPr>
            <w:r>
              <w:rPr>
                <w:rFonts w:ascii="宋体" w:hAnsi="宋体" w:cs="宋体" w:eastAsia="宋体" w:hint="default"/>
                <w:spacing w:val="-12"/>
                <w:sz w:val="15"/>
                <w:szCs w:val="15"/>
              </w:rPr>
              <w:t>比例</w:t>
            </w:r>
            <w:r>
              <w:rPr>
                <w:rFonts w:ascii="宋体" w:hAnsi="宋体" w:cs="宋体" w:eastAsia="宋体" w:hint="default"/>
                <w:sz w:val="15"/>
                <w:szCs w:val="15"/>
              </w:rPr>
            </w:r>
          </w:p>
        </w:tc>
        <w:tc>
          <w:tcPr>
            <w:tcW w:w="968"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宋体" w:hAnsi="宋体" w:cs="宋体" w:eastAsia="宋体" w:hint="default"/>
                <w:sz w:val="15"/>
                <w:szCs w:val="15"/>
              </w:rPr>
            </w:pPr>
            <w:r>
              <w:rPr>
                <w:rFonts w:ascii="宋体" w:hAnsi="宋体" w:cs="宋体" w:eastAsia="宋体" w:hint="default"/>
                <w:spacing w:val="-12"/>
                <w:sz w:val="15"/>
                <w:szCs w:val="15"/>
              </w:rPr>
              <w:t>金额</w:t>
            </w:r>
            <w:r>
              <w:rPr>
                <w:rFonts w:ascii="宋体" w:hAnsi="宋体" w:cs="宋体" w:eastAsia="宋体" w:hint="default"/>
                <w:sz w:val="15"/>
                <w:szCs w:val="15"/>
              </w:rPr>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pacing w:val="-12"/>
                <w:sz w:val="15"/>
                <w:szCs w:val="15"/>
              </w:rPr>
              <w:t>比例</w:t>
            </w:r>
            <w:r>
              <w:rPr>
                <w:rFonts w:ascii="宋体" w:hAnsi="宋体" w:cs="宋体" w:eastAsia="宋体" w:hint="default"/>
                <w:sz w:val="15"/>
                <w:szCs w:val="15"/>
              </w:rPr>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pacing w:val="-12"/>
                <w:sz w:val="15"/>
                <w:szCs w:val="15"/>
              </w:rPr>
              <w:t>金额</w:t>
            </w:r>
            <w:r>
              <w:rPr>
                <w:rFonts w:ascii="宋体" w:hAnsi="宋体" w:cs="宋体" w:eastAsia="宋体" w:hint="default"/>
                <w:sz w:val="15"/>
                <w:szCs w:val="15"/>
              </w:rPr>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61" w:right="0"/>
              <w:jc w:val="left"/>
              <w:rPr>
                <w:rFonts w:ascii="宋体" w:hAnsi="宋体" w:cs="宋体" w:eastAsia="宋体" w:hint="default"/>
                <w:sz w:val="15"/>
                <w:szCs w:val="15"/>
              </w:rPr>
            </w:pPr>
            <w:r>
              <w:rPr>
                <w:rFonts w:ascii="宋体" w:hAnsi="宋体" w:cs="宋体" w:eastAsia="宋体" w:hint="default"/>
                <w:spacing w:val="-12"/>
                <w:sz w:val="15"/>
                <w:szCs w:val="15"/>
              </w:rPr>
              <w:t>计提</w:t>
            </w:r>
            <w:r>
              <w:rPr>
                <w:rFonts w:ascii="宋体" w:hAnsi="宋体" w:cs="宋体" w:eastAsia="宋体" w:hint="default"/>
                <w:sz w:val="15"/>
                <w:szCs w:val="15"/>
              </w:rPr>
            </w:r>
          </w:p>
          <w:p>
            <w:pPr>
              <w:pStyle w:val="TableParagraph"/>
              <w:spacing w:line="195" w:lineRule="exact"/>
              <w:ind w:left="161" w:right="0"/>
              <w:jc w:val="left"/>
              <w:rPr>
                <w:rFonts w:ascii="宋体" w:hAnsi="宋体" w:cs="宋体" w:eastAsia="宋体" w:hint="default"/>
                <w:sz w:val="15"/>
                <w:szCs w:val="15"/>
              </w:rPr>
            </w:pPr>
            <w:r>
              <w:rPr>
                <w:rFonts w:ascii="宋体" w:hAnsi="宋体" w:cs="宋体" w:eastAsia="宋体" w:hint="default"/>
                <w:spacing w:val="-12"/>
                <w:sz w:val="15"/>
                <w:szCs w:val="15"/>
              </w:rPr>
              <w:t>比例</w:t>
            </w:r>
            <w:r>
              <w:rPr>
                <w:rFonts w:ascii="宋体" w:hAnsi="宋体" w:cs="宋体" w:eastAsia="宋体" w:hint="default"/>
                <w:sz w:val="15"/>
                <w:szCs w:val="15"/>
              </w:rPr>
            </w:r>
          </w:p>
        </w:tc>
        <w:tc>
          <w:tcPr>
            <w:tcW w:w="967"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按信用风险特征组合计提</w:t>
            </w:r>
            <w:r>
              <w:rPr>
                <w:rFonts w:ascii="宋体" w:hAnsi="宋体" w:cs="宋体" w:eastAsia="宋体" w:hint="default"/>
                <w:sz w:val="15"/>
                <w:szCs w:val="15"/>
              </w:rPr>
            </w:r>
          </w:p>
          <w:p>
            <w:pPr>
              <w:pStyle w:val="TableParagraph"/>
              <w:spacing w:line="195"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坏账准备的应收账款</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 w:right="0"/>
              <w:jc w:val="center"/>
              <w:rPr>
                <w:rFonts w:ascii="Times New Roman" w:hAnsi="Times New Roman" w:cs="Times New Roman" w:eastAsia="Times New Roman" w:hint="default"/>
                <w:sz w:val="15"/>
                <w:szCs w:val="15"/>
              </w:rPr>
            </w:pPr>
            <w:r>
              <w:rPr>
                <w:rFonts w:ascii="Times New Roman"/>
                <w:spacing w:val="-7"/>
                <w:sz w:val="15"/>
              </w:rPr>
              <w:t>501,346,425.75</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5" w:right="0"/>
              <w:jc w:val="center"/>
              <w:rPr>
                <w:rFonts w:ascii="Times New Roman" w:hAnsi="Times New Roman" w:cs="Times New Roman" w:eastAsia="Times New Roman" w:hint="default"/>
                <w:sz w:val="15"/>
                <w:szCs w:val="15"/>
              </w:rPr>
            </w:pPr>
            <w:r>
              <w:rPr>
                <w:rFonts w:ascii="Times New Roman"/>
                <w:spacing w:val="-6"/>
                <w:sz w:val="15"/>
              </w:rPr>
              <w:t>99.78%</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11,970,271.94</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2"/>
              <w:jc w:val="right"/>
              <w:rPr>
                <w:rFonts w:ascii="Times New Roman" w:hAnsi="Times New Roman" w:cs="Times New Roman" w:eastAsia="Times New Roman" w:hint="default"/>
                <w:sz w:val="15"/>
                <w:szCs w:val="15"/>
              </w:rPr>
            </w:pPr>
            <w:r>
              <w:rPr>
                <w:rFonts w:ascii="Times New Roman"/>
                <w:spacing w:val="-5"/>
                <w:w w:val="95"/>
                <w:sz w:val="15"/>
              </w:rPr>
              <w:t>2.39%</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489,376,153.81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413,962,556.38</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5" w:right="0"/>
              <w:jc w:val="center"/>
              <w:rPr>
                <w:rFonts w:ascii="Times New Roman" w:hAnsi="Times New Roman" w:cs="Times New Roman" w:eastAsia="Times New Roman" w:hint="default"/>
                <w:sz w:val="15"/>
                <w:szCs w:val="15"/>
              </w:rPr>
            </w:pPr>
            <w:r>
              <w:rPr>
                <w:rFonts w:ascii="Times New Roman"/>
                <w:spacing w:val="-6"/>
                <w:sz w:val="15"/>
              </w:rPr>
              <w:t>99.54%</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4" w:right="0"/>
              <w:jc w:val="center"/>
              <w:rPr>
                <w:rFonts w:ascii="Times New Roman" w:hAnsi="Times New Roman" w:cs="Times New Roman" w:eastAsia="Times New Roman" w:hint="default"/>
                <w:sz w:val="15"/>
                <w:szCs w:val="15"/>
              </w:rPr>
            </w:pPr>
            <w:r>
              <w:rPr>
                <w:rFonts w:ascii="Times New Roman"/>
                <w:spacing w:val="-6"/>
                <w:sz w:val="15"/>
              </w:rPr>
              <w:t>8,295,547.36</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5" w:right="0"/>
              <w:jc w:val="center"/>
              <w:rPr>
                <w:rFonts w:ascii="Times New Roman" w:hAnsi="Times New Roman" w:cs="Times New Roman" w:eastAsia="Times New Roman" w:hint="default"/>
                <w:sz w:val="15"/>
                <w:szCs w:val="15"/>
              </w:rPr>
            </w:pPr>
            <w:r>
              <w:rPr>
                <w:rFonts w:ascii="Times New Roman"/>
                <w:spacing w:val="-5"/>
                <w:sz w:val="15"/>
              </w:rPr>
              <w:t>2.00%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405,667,009.02</w:t>
            </w:r>
          </w:p>
        </w:tc>
      </w:tr>
      <w:tr>
        <w:trPr>
          <w:trHeight w:val="407" w:hRule="exact"/>
        </w:trPr>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单项金额不重大但单独计</w:t>
            </w:r>
            <w:r>
              <w:rPr>
                <w:rFonts w:ascii="宋体" w:hAnsi="宋体" w:cs="宋体" w:eastAsia="宋体" w:hint="default"/>
                <w:sz w:val="15"/>
                <w:szCs w:val="15"/>
              </w:rPr>
            </w:r>
          </w:p>
          <w:p>
            <w:pPr>
              <w:pStyle w:val="TableParagraph"/>
              <w:spacing w:line="195"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提坏账准备的应收账款</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4" w:right="0"/>
              <w:jc w:val="center"/>
              <w:rPr>
                <w:rFonts w:ascii="Times New Roman" w:hAnsi="Times New Roman" w:cs="Times New Roman" w:eastAsia="Times New Roman" w:hint="default"/>
                <w:sz w:val="15"/>
                <w:szCs w:val="15"/>
              </w:rPr>
            </w:pPr>
            <w:r>
              <w:rPr>
                <w:rFonts w:ascii="Times New Roman"/>
                <w:spacing w:val="-6"/>
                <w:sz w:val="15"/>
              </w:rPr>
              <w:t>1,097,175.90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4" w:right="0"/>
              <w:jc w:val="center"/>
              <w:rPr>
                <w:rFonts w:ascii="Times New Roman" w:hAnsi="Times New Roman" w:cs="Times New Roman" w:eastAsia="Times New Roman" w:hint="default"/>
                <w:sz w:val="15"/>
                <w:szCs w:val="15"/>
              </w:rPr>
            </w:pPr>
            <w:r>
              <w:rPr>
                <w:rFonts w:ascii="Times New Roman"/>
                <w:spacing w:val="-5"/>
                <w:sz w:val="15"/>
              </w:rPr>
              <w:t>0.22%</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1,097,175.90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2"/>
              <w:jc w:val="right"/>
              <w:rPr>
                <w:rFonts w:ascii="Times New Roman" w:hAnsi="Times New Roman" w:cs="Times New Roman" w:eastAsia="Times New Roman" w:hint="default"/>
                <w:sz w:val="15"/>
                <w:szCs w:val="15"/>
              </w:rPr>
            </w:pPr>
            <w:r>
              <w:rPr>
                <w:rFonts w:ascii="Times New Roman"/>
                <w:spacing w:val="-6"/>
                <w:sz w:val="15"/>
              </w:rPr>
              <w:t>100.00%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5"/>
                <w:sz w:val="15"/>
              </w:rPr>
              <w:t>0.00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1,893,215.73</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3" w:right="0"/>
              <w:jc w:val="center"/>
              <w:rPr>
                <w:rFonts w:ascii="Times New Roman" w:hAnsi="Times New Roman" w:cs="Times New Roman" w:eastAsia="Times New Roman" w:hint="default"/>
                <w:sz w:val="15"/>
                <w:szCs w:val="15"/>
              </w:rPr>
            </w:pPr>
            <w:r>
              <w:rPr>
                <w:rFonts w:ascii="Times New Roman"/>
                <w:spacing w:val="-5"/>
                <w:sz w:val="15"/>
              </w:rPr>
              <w:t>0.46%</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4" w:right="0"/>
              <w:jc w:val="center"/>
              <w:rPr>
                <w:rFonts w:ascii="Times New Roman" w:hAnsi="Times New Roman" w:cs="Times New Roman" w:eastAsia="Times New Roman" w:hint="default"/>
                <w:sz w:val="15"/>
                <w:szCs w:val="15"/>
              </w:rPr>
            </w:pPr>
            <w:r>
              <w:rPr>
                <w:rFonts w:ascii="Times New Roman"/>
                <w:spacing w:val="-6"/>
                <w:sz w:val="15"/>
              </w:rPr>
              <w:t>1,893,215.73</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 w:right="0"/>
              <w:jc w:val="center"/>
              <w:rPr>
                <w:rFonts w:ascii="Times New Roman" w:hAnsi="Times New Roman" w:cs="Times New Roman" w:eastAsia="Times New Roman" w:hint="default"/>
                <w:sz w:val="15"/>
                <w:szCs w:val="15"/>
              </w:rPr>
            </w:pPr>
            <w:r>
              <w:rPr>
                <w:rFonts w:ascii="Times New Roman"/>
                <w:spacing w:val="-6"/>
                <w:sz w:val="15"/>
              </w:rPr>
              <w:t>100.00%</w:t>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2" w:right="0"/>
              <w:jc w:val="left"/>
              <w:rPr>
                <w:rFonts w:ascii="宋体" w:hAnsi="宋体" w:cs="宋体" w:eastAsia="宋体" w:hint="default"/>
                <w:sz w:val="15"/>
                <w:szCs w:val="15"/>
              </w:rPr>
            </w:pPr>
            <w:r>
              <w:rPr>
                <w:rFonts w:ascii="宋体" w:hAnsi="宋体" w:cs="宋体" w:eastAsia="宋体" w:hint="default"/>
                <w:spacing w:val="-12"/>
                <w:sz w:val="15"/>
                <w:szCs w:val="15"/>
              </w:rPr>
              <w:t>合计</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 w:right="0"/>
              <w:jc w:val="center"/>
              <w:rPr>
                <w:rFonts w:ascii="Times New Roman" w:hAnsi="Times New Roman" w:cs="Times New Roman" w:eastAsia="Times New Roman" w:hint="default"/>
                <w:sz w:val="15"/>
                <w:szCs w:val="15"/>
              </w:rPr>
            </w:pPr>
            <w:r>
              <w:rPr>
                <w:rFonts w:ascii="Times New Roman"/>
                <w:spacing w:val="-7"/>
                <w:sz w:val="15"/>
              </w:rPr>
              <w:t>502,443,601.65</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6" w:right="0"/>
              <w:jc w:val="center"/>
              <w:rPr>
                <w:rFonts w:ascii="Times New Roman" w:hAnsi="Times New Roman" w:cs="Times New Roman" w:eastAsia="Times New Roman" w:hint="default"/>
                <w:sz w:val="15"/>
                <w:szCs w:val="15"/>
              </w:rPr>
            </w:pPr>
            <w:r>
              <w:rPr>
                <w:rFonts w:ascii="Times New Roman"/>
                <w:spacing w:val="-6"/>
                <w:sz w:val="15"/>
              </w:rPr>
              <w:t>100.00%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13,067,447.84</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2"/>
              <w:jc w:val="right"/>
              <w:rPr>
                <w:rFonts w:ascii="Times New Roman" w:hAnsi="Times New Roman" w:cs="Times New Roman" w:eastAsia="Times New Roman" w:hint="default"/>
                <w:sz w:val="15"/>
                <w:szCs w:val="15"/>
              </w:rPr>
            </w:pPr>
            <w:r>
              <w:rPr>
                <w:rFonts w:ascii="Times New Roman"/>
                <w:spacing w:val="-5"/>
                <w:w w:val="95"/>
                <w:sz w:val="15"/>
              </w:rPr>
              <w:t>2.60%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489,376,153.81</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415,855,772.11</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 w:right="0"/>
              <w:jc w:val="center"/>
              <w:rPr>
                <w:rFonts w:ascii="Times New Roman" w:hAnsi="Times New Roman" w:cs="Times New Roman" w:eastAsia="Times New Roman" w:hint="default"/>
                <w:sz w:val="15"/>
                <w:szCs w:val="15"/>
              </w:rPr>
            </w:pPr>
            <w:r>
              <w:rPr>
                <w:rFonts w:ascii="Times New Roman"/>
                <w:spacing w:val="-6"/>
                <w:sz w:val="15"/>
              </w:rPr>
              <w:t>100.00%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 w:right="0"/>
              <w:jc w:val="center"/>
              <w:rPr>
                <w:rFonts w:ascii="Times New Roman" w:hAnsi="Times New Roman" w:cs="Times New Roman" w:eastAsia="Times New Roman" w:hint="default"/>
                <w:sz w:val="15"/>
                <w:szCs w:val="15"/>
              </w:rPr>
            </w:pPr>
            <w:r>
              <w:rPr>
                <w:rFonts w:ascii="Times New Roman"/>
                <w:spacing w:val="-6"/>
                <w:sz w:val="15"/>
              </w:rPr>
              <w:t>10,188,763.09</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45" w:right="0"/>
              <w:jc w:val="center"/>
              <w:rPr>
                <w:rFonts w:ascii="Times New Roman" w:hAnsi="Times New Roman" w:cs="Times New Roman" w:eastAsia="Times New Roman" w:hint="default"/>
                <w:sz w:val="15"/>
                <w:szCs w:val="15"/>
              </w:rPr>
            </w:pPr>
            <w:r>
              <w:rPr>
                <w:rFonts w:ascii="Times New Roman"/>
                <w:spacing w:val="-5"/>
                <w:sz w:val="15"/>
              </w:rPr>
              <w:t>2.45%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405,667,009.02</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期末单项金额重大并单项计提坏账准备的应收账款：</w:t>
      </w:r>
    </w:p>
    <w:p>
      <w:pPr>
        <w:spacing w:line="240" w:lineRule="auto" w:before="10"/>
        <w:rPr>
          <w:rFonts w:ascii="宋体" w:hAnsi="宋体" w:cs="宋体" w:eastAsia="宋体" w:hint="default"/>
          <w:sz w:val="17"/>
          <w:szCs w:val="17"/>
        </w:rPr>
      </w:pPr>
    </w:p>
    <w:p>
      <w:pPr>
        <w:pStyle w:val="BodyText"/>
        <w:spacing w:line="420" w:lineRule="auto"/>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组合中，按账龄分析法计提坏账准备的应收账款：</w:t>
      </w:r>
    </w:p>
    <w:p>
      <w:pPr>
        <w:pStyle w:val="BodyText"/>
        <w:spacing w:line="240" w:lineRule="auto" w:before="76"/>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464"/>
        <w:gridCol w:w="2465"/>
      </w:tblGrid>
      <w:tr>
        <w:trPr>
          <w:trHeight w:val="407" w:hRule="exact"/>
        </w:trPr>
        <w:tc>
          <w:tcPr>
            <w:tcW w:w="2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3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464" w:type="dxa"/>
            <w:vMerge/>
            <w:tcBorders>
              <w:left w:val="single" w:sz="4" w:space="0" w:color="000000"/>
              <w:bottom w:val="single" w:sz="4" w:space="0" w:color="000000"/>
              <w:right w:val="single" w:sz="4" w:space="0" w:color="000000"/>
            </w:tcBorders>
            <w:shd w:val="clear" w:color="auto" w:fill="D2D2D2"/>
          </w:tcPr>
          <w:p>
            <w:pP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447,204,934.76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4,472,051.63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447,204,934.76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4,472,051.63</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44,069,872.50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4,406,987.26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7,046,610.28</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1,409,322.02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2,300,301.53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1,150,150.77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643,154.72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450,208.30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70.00%</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81,551.96</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81,551.96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501,346,425.75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11,970,271.94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2.39%</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444" w:lineRule="auto" w:before="35"/>
        <w:ind w:right="5292"/>
        <w:jc w:val="left"/>
      </w:pPr>
      <w:r>
        <w:rPr/>
        <w:t>确定该组合依据的说明： 账龄组合，按账龄分析法计提坏账准备。 组合中，采用余额百分比法计提坏账准备的应收账款：</w:t>
      </w:r>
    </w:p>
    <w:p>
      <w:pPr>
        <w:pStyle w:val="BodyText"/>
        <w:spacing w:line="432" w:lineRule="auto" w:before="56"/>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组合中，采用其他方法计提坏账准备的应收账款： 无</w:t>
      </w:r>
    </w:p>
    <w:p>
      <w:pPr>
        <w:pStyle w:val="BodyText"/>
        <w:spacing w:line="280" w:lineRule="auto" w:before="66"/>
        <w:ind w:left="214" w:right="1010" w:firstLine="420"/>
        <w:jc w:val="left"/>
      </w:pPr>
      <w:r>
        <w:rPr/>
        <w:t>公司需遵守《深圳证券交易所行业信息披露指引第</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上市公司从事软件与信息技术服务业务》 的披露要求</w:t>
      </w:r>
    </w:p>
    <w:p>
      <w:pPr>
        <w:spacing w:line="240" w:lineRule="auto" w:before="2"/>
        <w:rPr>
          <w:rFonts w:ascii="宋体" w:hAnsi="宋体" w:cs="宋体" w:eastAsia="宋体" w:hint="default"/>
          <w:sz w:val="15"/>
          <w:szCs w:val="15"/>
        </w:rPr>
      </w:pPr>
    </w:p>
    <w:p>
      <w:pPr>
        <w:pStyle w:val="BodyText"/>
        <w:spacing w:line="240" w:lineRule="auto"/>
        <w:ind w:right="1016"/>
        <w:jc w:val="left"/>
      </w:pPr>
      <w:r>
        <w:rPr>
          <w:rFonts w:ascii="Times New Roman" w:hAnsi="Times New Roman" w:cs="Times New Roman" w:eastAsia="Times New Roman" w:hint="default"/>
        </w:rPr>
        <w:t>2)</w:t>
      </w:r>
      <w:r>
        <w:rPr/>
        <w:t>本期计提、收回或转回的坏账准备情况</w:t>
      </w:r>
    </w:p>
    <w:p>
      <w:pPr>
        <w:spacing w:line="240" w:lineRule="auto" w:before="8"/>
        <w:rPr>
          <w:rFonts w:ascii="宋体" w:hAnsi="宋体" w:cs="宋体" w:eastAsia="宋体" w:hint="default"/>
          <w:sz w:val="16"/>
          <w:szCs w:val="16"/>
        </w:rPr>
      </w:pPr>
    </w:p>
    <w:p>
      <w:pPr>
        <w:pStyle w:val="BodyText"/>
        <w:spacing w:line="240" w:lineRule="auto"/>
        <w:ind w:right="1016"/>
        <w:jc w:val="left"/>
      </w:pPr>
      <w:r>
        <w:rPr/>
        <w:t>本期计提坏账准备金额</w:t>
      </w:r>
      <w:r>
        <w:rPr>
          <w:spacing w:val="-53"/>
        </w:rPr>
        <w:t> </w:t>
      </w:r>
      <w:r>
        <w:rPr>
          <w:rFonts w:ascii="Times New Roman" w:hAnsi="Times New Roman" w:cs="Times New Roman" w:eastAsia="Times New Roman" w:hint="default"/>
        </w:rPr>
        <w:t>2,878,684.75</w:t>
      </w:r>
      <w:r>
        <w:rPr>
          <w:rFonts w:ascii="Times New Roman" w:hAnsi="Times New Roman" w:cs="Times New Roman" w:eastAsia="Times New Roman" w:hint="default"/>
          <w:spacing w:val="-2"/>
        </w:rPr>
        <w:t> </w:t>
      </w:r>
      <w:r>
        <w:rPr/>
        <w:t>元；本期收回或转回坏账准备金额</w:t>
      </w:r>
      <w:r>
        <w:rPr>
          <w:spacing w:val="-53"/>
        </w:rPr>
        <w:t> </w:t>
      </w:r>
      <w:r>
        <w:rPr>
          <w:rFonts w:ascii="Times New Roman" w:hAnsi="Times New Roman" w:cs="Times New Roman" w:eastAsia="Times New Roman" w:hint="default"/>
        </w:rPr>
        <w:t>0.00 </w:t>
      </w:r>
      <w:r>
        <w:rPr/>
        <w:t>元。</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3)</w:t>
      </w:r>
      <w:r>
        <w:rPr/>
        <w:t>本期实际核销的应收账款情况</w:t>
      </w:r>
    </w:p>
    <w:p>
      <w:pPr>
        <w:spacing w:line="240" w:lineRule="auto" w:before="1"/>
        <w:rPr>
          <w:rFonts w:ascii="宋体" w:hAnsi="宋体" w:cs="宋体" w:eastAsia="宋体"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2,096,780.58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1016"/>
        <w:jc w:val="left"/>
      </w:pPr>
      <w:r>
        <w:rPr>
          <w:rFonts w:ascii="Times New Roman" w:hAnsi="Times New Roman" w:cs="Times New Roman" w:eastAsia="Times New Roman" w:hint="default"/>
        </w:rPr>
        <w:t>4)</w:t>
      </w:r>
      <w:r>
        <w:rPr/>
        <w:t>按欠款方归集的期末余额前五名的应收账款情况</w:t>
      </w:r>
    </w:p>
    <w:p>
      <w:pPr>
        <w:spacing w:line="240" w:lineRule="auto" w:before="9"/>
        <w:rPr>
          <w:rFonts w:ascii="宋体" w:hAnsi="宋体" w:cs="宋体" w:eastAsia="宋体" w:hint="default"/>
          <w:sz w:val="16"/>
          <w:szCs w:val="16"/>
        </w:rPr>
      </w:pPr>
    </w:p>
    <w:p>
      <w:pPr>
        <w:pStyle w:val="BodyText"/>
        <w:spacing w:line="280" w:lineRule="auto"/>
        <w:ind w:left="214" w:right="1010" w:firstLine="420"/>
        <w:jc w:val="left"/>
      </w:pPr>
      <w:r>
        <w:rPr/>
        <w:t>公司需遵守《深圳证券交易所行业信息披露指引第</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上市公司从事软件与信息技术服务业务》 的披露要求</w:t>
      </w:r>
    </w:p>
    <w:p>
      <w:pPr>
        <w:spacing w:line="240" w:lineRule="auto" w:before="1"/>
        <w:rPr>
          <w:rFonts w:ascii="宋体" w:hAnsi="宋体" w:cs="宋体" w:eastAsia="宋体" w:hint="default"/>
          <w:sz w:val="15"/>
          <w:szCs w:val="15"/>
        </w:rPr>
      </w:pPr>
    </w:p>
    <w:p>
      <w:pPr>
        <w:pStyle w:val="BodyText"/>
        <w:spacing w:line="280" w:lineRule="auto"/>
        <w:ind w:left="214" w:right="1115" w:firstLine="420"/>
        <w:jc w:val="left"/>
      </w:pPr>
      <w:r>
        <w:rPr/>
        <w:t>本期按欠款方归集的期末余额前五名应收账款汇总金额 </w:t>
      </w:r>
      <w:r>
        <w:rPr>
          <w:rFonts w:ascii="Times New Roman" w:hAnsi="Times New Roman" w:cs="Times New Roman" w:eastAsia="Times New Roman" w:hint="default"/>
        </w:rPr>
        <w:t>146,208,827.58</w:t>
      </w:r>
      <w:r>
        <w:rPr>
          <w:rFonts w:ascii="Times New Roman" w:hAnsi="Times New Roman" w:cs="Times New Roman" w:eastAsia="Times New Roman" w:hint="default"/>
          <w:spacing w:val="-23"/>
        </w:rPr>
        <w:t> </w:t>
      </w:r>
      <w:r>
        <w:rPr/>
        <w:t>元，占应收账款期末余额合计 数的比例</w:t>
      </w:r>
      <w:r>
        <w:rPr>
          <w:spacing w:val="-55"/>
        </w:rPr>
        <w:t> </w:t>
      </w:r>
      <w:r>
        <w:rPr>
          <w:rFonts w:ascii="Times New Roman" w:hAnsi="Times New Roman" w:cs="Times New Roman" w:eastAsia="Times New Roman" w:hint="default"/>
        </w:rPr>
        <w:t>29.10%</w:t>
      </w:r>
      <w:r>
        <w:rPr/>
        <w:t>，相应计提的坏账准备期末余额汇总金额</w:t>
      </w:r>
      <w:r>
        <w:rPr>
          <w:spacing w:val="-55"/>
        </w:rPr>
        <w:t> </w:t>
      </w:r>
      <w:r>
        <w:rPr>
          <w:rFonts w:ascii="Times New Roman" w:hAnsi="Times New Roman" w:cs="Times New Roman" w:eastAsia="Times New Roman" w:hint="default"/>
        </w:rPr>
        <w:t>2,146,554.68</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pStyle w:val="BodyText"/>
        <w:spacing w:line="240" w:lineRule="auto"/>
        <w:ind w:right="1016"/>
        <w:jc w:val="left"/>
        <w:rPr>
          <w:rFonts w:ascii="微软雅黑" w:hAnsi="微软雅黑" w:cs="微软雅黑" w:eastAsia="微软雅黑" w:hint="default"/>
        </w:rPr>
      </w:pPr>
      <w:bookmarkStart w:name="5、预付款项" w:id="233"/>
      <w:bookmarkEnd w:id="233"/>
      <w:r>
        <w:rPr/>
      </w:r>
      <w:r>
        <w:rPr>
          <w:rFonts w:ascii="Times New Roman" w:hAnsi="Times New Roman" w:cs="Times New Roman" w:eastAsia="Times New Roman" w:hint="default"/>
        </w:rPr>
        <w:t>5</w:t>
      </w:r>
      <w:r>
        <w:rPr>
          <w:rFonts w:ascii="微软雅黑" w:hAnsi="微软雅黑" w:cs="微软雅黑" w:eastAsia="微软雅黑" w:hint="default"/>
        </w:rPr>
        <w:t>、预付款项</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bookmarkStart w:name="（1）预付款项按账龄列示" w:id="234"/>
      <w:bookmarkEnd w:id="234"/>
      <w:r>
        <w:rPr/>
      </w:r>
      <w:r>
        <w:rPr/>
        <w:t>（</w:t>
      </w:r>
      <w:r>
        <w:rPr>
          <w:rFonts w:ascii="Times New Roman" w:hAnsi="Times New Roman" w:cs="Times New Roman" w:eastAsia="Times New Roman" w:hint="default"/>
        </w:rPr>
        <w:t>1</w:t>
      </w:r>
      <w:r>
        <w:rPr/>
        <w:t>）预付款项按账龄列示</w:t>
      </w:r>
    </w:p>
    <w:p>
      <w:pPr>
        <w:spacing w:line="240" w:lineRule="auto" w:before="13"/>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68"/>
        <w:gridCol w:w="1972"/>
        <w:gridCol w:w="1972"/>
        <w:gridCol w:w="1971"/>
        <w:gridCol w:w="1973"/>
      </w:tblGrid>
      <w:tr>
        <w:trPr>
          <w:trHeight w:val="407" w:hRule="exact"/>
        </w:trPr>
        <w:tc>
          <w:tcPr>
            <w:tcW w:w="1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968" w:type="dxa"/>
            <w:vMerge/>
            <w:tcBorders>
              <w:left w:val="single" w:sz="4" w:space="0" w:color="000000"/>
              <w:bottom w:val="single" w:sz="4" w:space="0" w:color="000000"/>
              <w:right w:val="single" w:sz="4" w:space="0" w:color="000000"/>
            </w:tcBorders>
            <w:shd w:val="clear" w:color="auto" w:fill="D2D2D2"/>
          </w:tcPr>
          <w:p>
            <w:pP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22,763,004.49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96.45%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41,394,261.89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98.26%</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517,895.71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647,289.13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1.54%</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233,252.93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77,897.68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0.18%</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87,816.95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0.37%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10,000.00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0.02%</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1"/>
        <w:gridCol w:w="1971"/>
        <w:gridCol w:w="1973"/>
      </w:tblGrid>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4" w:right="0"/>
              <w:jc w:val="left"/>
              <w:rPr>
                <w:rFonts w:ascii="Times New Roman" w:hAnsi="Times New Roman" w:cs="Times New Roman" w:eastAsia="Times New Roman" w:hint="default"/>
                <w:sz w:val="18"/>
                <w:szCs w:val="18"/>
              </w:rPr>
            </w:pPr>
            <w:r>
              <w:rPr>
                <w:rFonts w:ascii="Times New Roman"/>
                <w:sz w:val="18"/>
              </w:rPr>
              <w:t>23,601,970.08</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4" w:right="0"/>
              <w:jc w:val="left"/>
              <w:rPr>
                <w:rFonts w:ascii="Times New Roman" w:hAnsi="Times New Roman" w:cs="Times New Roman" w:eastAsia="Times New Roman" w:hint="default"/>
                <w:sz w:val="18"/>
                <w:szCs w:val="18"/>
              </w:rPr>
            </w:pPr>
            <w:r>
              <w:rPr>
                <w:rFonts w:ascii="Times New Roman"/>
                <w:sz w:val="18"/>
              </w:rPr>
              <w:t>42,129,448.70</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1016"/>
        <w:jc w:val="left"/>
      </w:pPr>
      <w:bookmarkStart w:name="（2）按预付对象归集的期末余额前五名的预付款情况" w:id="235"/>
      <w:bookmarkEnd w:id="235"/>
      <w:r>
        <w:rPr/>
      </w:r>
      <w:r>
        <w:rPr/>
        <w:t>（</w:t>
      </w:r>
      <w:r>
        <w:rPr>
          <w:rFonts w:ascii="Times New Roman" w:hAnsi="Times New Roman" w:cs="Times New Roman" w:eastAsia="Times New Roman" w:hint="default"/>
        </w:rPr>
        <w:t>2</w:t>
      </w:r>
      <w:r>
        <w:rPr/>
        <w:t>）按预付对象归集的期末余额前五名的预付款情况</w:t>
      </w:r>
    </w:p>
    <w:p>
      <w:pPr>
        <w:spacing w:line="240" w:lineRule="auto" w:before="9"/>
        <w:rPr>
          <w:rFonts w:ascii="宋体" w:hAnsi="宋体" w:cs="宋体" w:eastAsia="宋体" w:hint="default"/>
          <w:sz w:val="16"/>
          <w:szCs w:val="16"/>
        </w:rPr>
      </w:pPr>
    </w:p>
    <w:p>
      <w:pPr>
        <w:pStyle w:val="BodyText"/>
        <w:spacing w:line="280" w:lineRule="auto"/>
        <w:ind w:left="214" w:right="1115" w:firstLine="420"/>
        <w:jc w:val="left"/>
      </w:pPr>
      <w:r>
        <w:rPr/>
        <w:t>本期按预付对象归集的期末余额前五名预付款项汇总金额</w:t>
      </w:r>
      <w:r>
        <w:rPr>
          <w:spacing w:val="-52"/>
        </w:rPr>
        <w:t> </w:t>
      </w:r>
      <w:r>
        <w:rPr>
          <w:rFonts w:ascii="Times New Roman" w:hAnsi="Times New Roman" w:cs="Times New Roman" w:eastAsia="Times New Roman" w:hint="default"/>
        </w:rPr>
        <w:t>11,037,873.37</w:t>
      </w:r>
      <w:r>
        <w:rPr>
          <w:rFonts w:ascii="Times New Roman" w:hAnsi="Times New Roman" w:cs="Times New Roman" w:eastAsia="Times New Roman" w:hint="default"/>
          <w:spacing w:val="-11"/>
        </w:rPr>
        <w:t> </w:t>
      </w:r>
      <w:r>
        <w:rPr>
          <w:spacing w:val="-5"/>
        </w:rPr>
        <w:t>元，占预付款项期末余额合计</w:t>
      </w:r>
      <w:r>
        <w:rPr/>
        <w:t> 数的比例</w:t>
      </w:r>
      <w:r>
        <w:rPr>
          <w:spacing w:val="-52"/>
        </w:rPr>
        <w:t> </w:t>
      </w:r>
      <w:r>
        <w:rPr>
          <w:rFonts w:ascii="Times New Roman" w:hAnsi="Times New Roman" w:cs="Times New Roman" w:eastAsia="Times New Roman" w:hint="default"/>
        </w:rPr>
        <w:t>46.77%</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7"/>
          <w:szCs w:val="27"/>
        </w:rPr>
      </w:pPr>
    </w:p>
    <w:p>
      <w:pPr>
        <w:pStyle w:val="BodyText"/>
        <w:spacing w:line="240" w:lineRule="auto"/>
        <w:ind w:right="1016"/>
        <w:jc w:val="left"/>
        <w:rPr>
          <w:rFonts w:ascii="微软雅黑" w:hAnsi="微软雅黑" w:cs="微软雅黑" w:eastAsia="微软雅黑" w:hint="default"/>
        </w:rPr>
      </w:pPr>
      <w:bookmarkStart w:name="6、其他应收款" w:id="236"/>
      <w:bookmarkEnd w:id="236"/>
      <w:r>
        <w:rPr/>
      </w:r>
      <w:r>
        <w:rPr>
          <w:rFonts w:ascii="Times New Roman" w:hAnsi="Times New Roman" w:cs="Times New Roman" w:eastAsia="Times New Roman" w:hint="default"/>
        </w:rPr>
        <w:t>6</w:t>
      </w:r>
      <w:r>
        <w:rPr>
          <w:rFonts w:ascii="微软雅黑" w:hAnsi="微软雅黑" w:cs="微软雅黑" w:eastAsia="微软雅黑" w:hint="default"/>
        </w:rPr>
        <w:t>、其他应收款</w:t>
      </w:r>
    </w:p>
    <w:p>
      <w:pPr>
        <w:spacing w:line="240" w:lineRule="auto" w:before="16"/>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3,629,429.71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5,715,386.44</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12,891,625.05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11,275,330.75</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16,521,054.76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16,990,717.19</w:t>
            </w:r>
          </w:p>
        </w:tc>
      </w:tr>
    </w:tbl>
    <w:p>
      <w:pPr>
        <w:spacing w:line="240" w:lineRule="auto" w:before="6"/>
        <w:rPr>
          <w:rFonts w:ascii="宋体" w:hAnsi="宋体" w:cs="宋体" w:eastAsia="宋体" w:hint="default"/>
          <w:sz w:val="7"/>
          <w:szCs w:val="7"/>
        </w:rPr>
      </w:pPr>
    </w:p>
    <w:p>
      <w:pPr>
        <w:pStyle w:val="BodyText"/>
        <w:spacing w:line="420" w:lineRule="auto" w:before="35"/>
        <w:ind w:right="8967"/>
        <w:jc w:val="left"/>
      </w:pPr>
      <w:bookmarkStart w:name="（1）应收利息" w:id="237"/>
      <w:bookmarkEnd w:id="237"/>
      <w:r>
        <w:rPr/>
      </w:r>
      <w:r>
        <w:rPr/>
        <w:t>（</w:t>
      </w:r>
      <w:r>
        <w:rPr>
          <w:rFonts w:ascii="Times New Roman" w:hAnsi="Times New Roman" w:cs="Times New Roman" w:eastAsia="Times New Roman" w:hint="default"/>
        </w:rPr>
        <w:t>1</w:t>
      </w:r>
      <w:r>
        <w:rPr/>
        <w:t>）应收利息 应收利息分类</w:t>
      </w:r>
    </w:p>
    <w:p>
      <w:pPr>
        <w:spacing w:before="8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6"/>
        <w:gridCol w:w="3285"/>
        <w:gridCol w:w="3285"/>
      </w:tblGrid>
      <w:tr>
        <w:trPr>
          <w:trHeight w:val="408"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协议定期存款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3,629,429.71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5,715,386.44</w:t>
            </w:r>
          </w:p>
        </w:tc>
      </w:tr>
      <w:tr>
        <w:trPr>
          <w:trHeight w:val="407"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3,629,429.71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5,715,386.44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5"/>
        <w:ind w:right="1016"/>
        <w:jc w:val="left"/>
      </w:pPr>
      <w:bookmarkStart w:name="（2）其他应收款" w:id="238"/>
      <w:bookmarkEnd w:id="238"/>
      <w:r>
        <w:rPr/>
      </w:r>
      <w:r>
        <w:rPr/>
        <w:t>（</w:t>
      </w:r>
      <w:r>
        <w:rPr>
          <w:rFonts w:ascii="Times New Roman" w:hAnsi="Times New Roman" w:cs="Times New Roman" w:eastAsia="Times New Roman" w:hint="default"/>
        </w:rPr>
        <w:t>2</w:t>
      </w:r>
      <w:r>
        <w:rPr/>
        <w:t>）其他应收款</w:t>
      </w:r>
    </w:p>
    <w:p>
      <w:pPr>
        <w:spacing w:line="240" w:lineRule="auto" w:before="8"/>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1)</w:t>
      </w:r>
      <w:r>
        <w:rPr/>
        <w:t>其他应收款分类披露</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1577"/>
        <w:gridCol w:w="899"/>
        <w:gridCol w:w="688"/>
        <w:gridCol w:w="830"/>
        <w:gridCol w:w="689"/>
        <w:gridCol w:w="900"/>
        <w:gridCol w:w="899"/>
        <w:gridCol w:w="688"/>
        <w:gridCol w:w="830"/>
        <w:gridCol w:w="862"/>
        <w:gridCol w:w="893"/>
      </w:tblGrid>
      <w:tr>
        <w:trPr>
          <w:trHeight w:val="407" w:hRule="exact"/>
        </w:trPr>
        <w:tc>
          <w:tcPr>
            <w:tcW w:w="1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7"/>
              <w:ind w:right="0"/>
              <w:jc w:val="center"/>
              <w:rPr>
                <w:rFonts w:ascii="宋体" w:hAnsi="宋体" w:cs="宋体" w:eastAsia="宋体" w:hint="default"/>
                <w:sz w:val="15"/>
                <w:szCs w:val="15"/>
              </w:rPr>
            </w:pPr>
            <w:r>
              <w:rPr>
                <w:rFonts w:ascii="宋体" w:hAnsi="宋体" w:cs="宋体" w:eastAsia="宋体" w:hint="default"/>
                <w:spacing w:val="-12"/>
                <w:sz w:val="15"/>
                <w:szCs w:val="15"/>
              </w:rPr>
              <w:t>类别</w:t>
            </w:r>
            <w:r>
              <w:rPr>
                <w:rFonts w:ascii="宋体" w:hAnsi="宋体" w:cs="宋体" w:eastAsia="宋体" w:hint="default"/>
                <w:sz w:val="15"/>
                <w:szCs w:val="15"/>
              </w:rPr>
            </w:r>
          </w:p>
        </w:tc>
        <w:tc>
          <w:tcPr>
            <w:tcW w:w="400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hAnsi="宋体" w:cs="宋体" w:eastAsia="宋体" w:hint="default"/>
                <w:spacing w:val="-12"/>
                <w:sz w:val="15"/>
                <w:szCs w:val="15"/>
              </w:rPr>
              <w:t>期末余额</w:t>
            </w:r>
            <w:r>
              <w:rPr>
                <w:rFonts w:ascii="宋体" w:hAnsi="宋体" w:cs="宋体" w:eastAsia="宋体" w:hint="default"/>
                <w:sz w:val="15"/>
                <w:szCs w:val="15"/>
              </w:rPr>
            </w:r>
          </w:p>
        </w:tc>
        <w:tc>
          <w:tcPr>
            <w:tcW w:w="41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pacing w:val="-12"/>
                <w:sz w:val="15"/>
                <w:szCs w:val="15"/>
              </w:rPr>
              <w:t>期初余额</w:t>
            </w:r>
            <w:r>
              <w:rPr>
                <w:rFonts w:ascii="宋体" w:hAnsi="宋体" w:cs="宋体" w:eastAsia="宋体" w:hint="default"/>
                <w:sz w:val="15"/>
                <w:szCs w:val="15"/>
              </w:rPr>
            </w:r>
          </w:p>
        </w:tc>
      </w:tr>
      <w:tr>
        <w:trPr>
          <w:trHeight w:val="301" w:hRule="exact"/>
        </w:trPr>
        <w:tc>
          <w:tcPr>
            <w:tcW w:w="1577" w:type="dxa"/>
            <w:vMerge/>
            <w:tcBorders>
              <w:left w:val="single" w:sz="4" w:space="0" w:color="000000"/>
              <w:right w:val="single" w:sz="4" w:space="0" w:color="000000"/>
            </w:tcBorders>
            <w:shd w:val="clear" w:color="auto" w:fill="D2D2D2"/>
          </w:tcPr>
          <w:p>
            <w:pPr/>
          </w:p>
        </w:tc>
        <w:tc>
          <w:tcPr>
            <w:tcW w:w="1586"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7"/>
              <w:ind w:left="511" w:right="0"/>
              <w:jc w:val="left"/>
              <w:rPr>
                <w:rFonts w:ascii="宋体" w:hAnsi="宋体" w:cs="宋体" w:eastAsia="宋体" w:hint="default"/>
                <w:sz w:val="15"/>
                <w:szCs w:val="15"/>
              </w:rPr>
            </w:pPr>
            <w:r>
              <w:rPr>
                <w:rFonts w:ascii="宋体" w:hAnsi="宋体" w:cs="宋体" w:eastAsia="宋体" w:hint="default"/>
                <w:spacing w:val="-12"/>
                <w:sz w:val="15"/>
                <w:szCs w:val="15"/>
              </w:rPr>
              <w:t>账面余额</w:t>
            </w:r>
            <w:r>
              <w:rPr>
                <w:rFonts w:ascii="宋体" w:hAnsi="宋体" w:cs="宋体" w:eastAsia="宋体" w:hint="default"/>
                <w:sz w:val="15"/>
                <w:szCs w:val="15"/>
              </w:rPr>
            </w:r>
          </w:p>
        </w:tc>
        <w:tc>
          <w:tcPr>
            <w:tcW w:w="1518"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7"/>
              <w:ind w:left="477" w:right="0"/>
              <w:jc w:val="left"/>
              <w:rPr>
                <w:rFonts w:ascii="宋体" w:hAnsi="宋体" w:cs="宋体" w:eastAsia="宋体" w:hint="default"/>
                <w:sz w:val="15"/>
                <w:szCs w:val="15"/>
              </w:rPr>
            </w:pPr>
            <w:r>
              <w:rPr>
                <w:rFonts w:ascii="宋体" w:hAnsi="宋体" w:cs="宋体" w:eastAsia="宋体" w:hint="default"/>
                <w:spacing w:val="-12"/>
                <w:sz w:val="15"/>
                <w:szCs w:val="15"/>
              </w:rPr>
              <w:t>坏账准备</w:t>
            </w:r>
            <w:r>
              <w:rPr>
                <w:rFonts w:ascii="宋体" w:hAnsi="宋体" w:cs="宋体" w:eastAsia="宋体" w:hint="default"/>
                <w:sz w:val="15"/>
                <w:szCs w:val="15"/>
              </w:rPr>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7"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7"/>
              <w:ind w:left="511" w:right="0"/>
              <w:jc w:val="left"/>
              <w:rPr>
                <w:rFonts w:ascii="宋体" w:hAnsi="宋体" w:cs="宋体" w:eastAsia="宋体" w:hint="default"/>
                <w:sz w:val="15"/>
                <w:szCs w:val="15"/>
              </w:rPr>
            </w:pPr>
            <w:r>
              <w:rPr>
                <w:rFonts w:ascii="宋体" w:hAnsi="宋体" w:cs="宋体" w:eastAsia="宋体" w:hint="default"/>
                <w:spacing w:val="-12"/>
                <w:sz w:val="15"/>
                <w:szCs w:val="15"/>
              </w:rPr>
              <w:t>账面余额</w:t>
            </w:r>
            <w:r>
              <w:rPr>
                <w:rFonts w:ascii="宋体" w:hAnsi="宋体" w:cs="宋体" w:eastAsia="宋体" w:hint="default"/>
                <w:sz w:val="15"/>
                <w:szCs w:val="15"/>
              </w:rPr>
            </w:r>
          </w:p>
        </w:tc>
        <w:tc>
          <w:tcPr>
            <w:tcW w:w="1692"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pacing w:val="-12"/>
                <w:sz w:val="15"/>
                <w:szCs w:val="15"/>
              </w:rPr>
              <w:t>坏账准备</w:t>
            </w:r>
            <w:r>
              <w:rPr>
                <w:rFonts w:ascii="宋体" w:hAnsi="宋体" w:cs="宋体" w:eastAsia="宋体" w:hint="default"/>
                <w:sz w:val="15"/>
                <w:szCs w:val="15"/>
              </w:rPr>
            </w: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06" w:hRule="exact"/>
        </w:trPr>
        <w:tc>
          <w:tcPr>
            <w:tcW w:w="1577" w:type="dxa"/>
            <w:vMerge/>
            <w:tcBorders>
              <w:left w:val="single" w:sz="4" w:space="0" w:color="000000"/>
              <w:right w:val="single" w:sz="4" w:space="0" w:color="000000"/>
            </w:tcBorders>
            <w:shd w:val="clear" w:color="auto" w:fill="D2D2D2"/>
          </w:tcPr>
          <w:p>
            <w:pPr/>
          </w:p>
        </w:tc>
        <w:tc>
          <w:tcPr>
            <w:tcW w:w="158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51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179" w:lineRule="exact"/>
              <w:ind w:left="169" w:right="0"/>
              <w:jc w:val="left"/>
              <w:rPr>
                <w:rFonts w:ascii="宋体" w:hAnsi="宋体" w:cs="宋体" w:eastAsia="宋体" w:hint="default"/>
                <w:sz w:val="15"/>
                <w:szCs w:val="15"/>
              </w:rPr>
            </w:pPr>
            <w:r>
              <w:rPr>
                <w:rFonts w:ascii="宋体" w:hAnsi="宋体" w:cs="宋体" w:eastAsia="宋体" w:hint="default"/>
                <w:spacing w:val="-12"/>
                <w:sz w:val="15"/>
                <w:szCs w:val="15"/>
              </w:rPr>
              <w:t>账面价值</w:t>
            </w:r>
            <w:r>
              <w:rPr>
                <w:rFonts w:ascii="宋体" w:hAnsi="宋体" w:cs="宋体" w:eastAsia="宋体" w:hint="default"/>
                <w:sz w:val="15"/>
                <w:szCs w:val="15"/>
              </w:rPr>
            </w:r>
          </w:p>
        </w:tc>
        <w:tc>
          <w:tcPr>
            <w:tcW w:w="158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179" w:lineRule="exact"/>
              <w:ind w:left="165" w:right="0"/>
              <w:jc w:val="left"/>
              <w:rPr>
                <w:rFonts w:ascii="宋体" w:hAnsi="宋体" w:cs="宋体" w:eastAsia="宋体" w:hint="default"/>
                <w:sz w:val="15"/>
                <w:szCs w:val="15"/>
              </w:rPr>
            </w:pPr>
            <w:r>
              <w:rPr>
                <w:rFonts w:ascii="宋体" w:hAnsi="宋体" w:cs="宋体" w:eastAsia="宋体" w:hint="default"/>
                <w:spacing w:val="-12"/>
                <w:sz w:val="15"/>
                <w:szCs w:val="15"/>
              </w:rPr>
              <w:t>账面价值</w:t>
            </w:r>
            <w:r>
              <w:rPr>
                <w:rFonts w:ascii="宋体" w:hAnsi="宋体" w:cs="宋体" w:eastAsia="宋体" w:hint="default"/>
                <w:sz w:val="15"/>
                <w:szCs w:val="15"/>
              </w:rPr>
            </w:r>
          </w:p>
        </w:tc>
      </w:tr>
      <w:tr>
        <w:trPr>
          <w:trHeight w:val="407" w:hRule="exact"/>
        </w:trPr>
        <w:tc>
          <w:tcPr>
            <w:tcW w:w="1577" w:type="dxa"/>
            <w:vMerge/>
            <w:tcBorders>
              <w:left w:val="single" w:sz="4" w:space="0" w:color="000000"/>
              <w:bottom w:val="single" w:sz="4" w:space="0" w:color="000000"/>
              <w:right w:val="single" w:sz="4" w:space="0" w:color="000000"/>
            </w:tcBorders>
            <w:shd w:val="clear" w:color="auto" w:fill="D2D2D2"/>
          </w:tcPr>
          <w:p>
            <w:pP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center"/>
              <w:rPr>
                <w:rFonts w:ascii="宋体" w:hAnsi="宋体" w:cs="宋体" w:eastAsia="宋体" w:hint="default"/>
                <w:sz w:val="15"/>
                <w:szCs w:val="15"/>
              </w:rPr>
            </w:pPr>
            <w:r>
              <w:rPr>
                <w:rFonts w:ascii="宋体" w:hAnsi="宋体" w:cs="宋体" w:eastAsia="宋体" w:hint="default"/>
                <w:spacing w:val="-6"/>
                <w:sz w:val="15"/>
                <w:szCs w:val="15"/>
              </w:rPr>
              <w:t>金额</w:t>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99" w:right="0"/>
              <w:jc w:val="left"/>
              <w:rPr>
                <w:rFonts w:ascii="宋体" w:hAnsi="宋体" w:cs="宋体" w:eastAsia="宋体" w:hint="default"/>
                <w:sz w:val="15"/>
                <w:szCs w:val="15"/>
              </w:rPr>
            </w:pPr>
            <w:r>
              <w:rPr>
                <w:rFonts w:ascii="宋体" w:hAnsi="宋体" w:cs="宋体" w:eastAsia="宋体" w:hint="default"/>
                <w:spacing w:val="-12"/>
                <w:sz w:val="15"/>
                <w:szCs w:val="15"/>
              </w:rPr>
              <w:t>比例</w:t>
            </w:r>
            <w:r>
              <w:rPr>
                <w:rFonts w:ascii="宋体" w:hAnsi="宋体" w:cs="宋体" w:eastAsia="宋体" w:hint="default"/>
                <w:sz w:val="15"/>
                <w:szCs w:val="15"/>
              </w:rPr>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pacing w:val="-12"/>
                <w:sz w:val="15"/>
                <w:szCs w:val="15"/>
              </w:rPr>
              <w:t>金额</w:t>
            </w:r>
            <w:r>
              <w:rPr>
                <w:rFonts w:ascii="宋体" w:hAnsi="宋体" w:cs="宋体" w:eastAsia="宋体" w:hint="default"/>
                <w:sz w:val="15"/>
                <w:szCs w:val="15"/>
              </w:rPr>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201" w:right="0"/>
              <w:jc w:val="left"/>
              <w:rPr>
                <w:rFonts w:ascii="宋体" w:hAnsi="宋体" w:cs="宋体" w:eastAsia="宋体" w:hint="default"/>
                <w:sz w:val="15"/>
                <w:szCs w:val="15"/>
              </w:rPr>
            </w:pPr>
            <w:r>
              <w:rPr>
                <w:rFonts w:ascii="宋体" w:hAnsi="宋体" w:cs="宋体" w:eastAsia="宋体" w:hint="default"/>
                <w:spacing w:val="-12"/>
                <w:sz w:val="15"/>
                <w:szCs w:val="15"/>
              </w:rPr>
              <w:t>计提</w:t>
            </w:r>
            <w:r>
              <w:rPr>
                <w:rFonts w:ascii="宋体" w:hAnsi="宋体" w:cs="宋体" w:eastAsia="宋体" w:hint="default"/>
                <w:sz w:val="15"/>
                <w:szCs w:val="15"/>
              </w:rPr>
            </w:r>
          </w:p>
          <w:p>
            <w:pPr>
              <w:pStyle w:val="TableParagraph"/>
              <w:spacing w:line="195" w:lineRule="exact"/>
              <w:ind w:left="201" w:right="0"/>
              <w:jc w:val="left"/>
              <w:rPr>
                <w:rFonts w:ascii="宋体" w:hAnsi="宋体" w:cs="宋体" w:eastAsia="宋体" w:hint="default"/>
                <w:sz w:val="15"/>
                <w:szCs w:val="15"/>
              </w:rPr>
            </w:pPr>
            <w:r>
              <w:rPr>
                <w:rFonts w:ascii="宋体" w:hAnsi="宋体" w:cs="宋体" w:eastAsia="宋体" w:hint="default"/>
                <w:spacing w:val="-12"/>
                <w:sz w:val="15"/>
                <w:szCs w:val="15"/>
              </w:rPr>
              <w:t>比例</w:t>
            </w:r>
            <w:r>
              <w:rPr>
                <w:rFonts w:ascii="宋体" w:hAnsi="宋体" w:cs="宋体" w:eastAsia="宋体" w:hint="default"/>
                <w:sz w:val="15"/>
                <w:szCs w:val="15"/>
              </w:rPr>
            </w:r>
          </w:p>
        </w:tc>
        <w:tc>
          <w:tcPr>
            <w:tcW w:w="900" w:type="dxa"/>
            <w:vMerge/>
            <w:tcBorders>
              <w:left w:val="single" w:sz="4" w:space="0" w:color="000000"/>
              <w:bottom w:val="single" w:sz="4" w:space="0" w:color="000000"/>
              <w:right w:val="single" w:sz="4" w:space="0" w:color="000000"/>
            </w:tcBorders>
            <w:shd w:val="clear" w:color="auto" w:fill="D2D2D2"/>
          </w:tcPr>
          <w:p>
            <w:pP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pacing w:val="-12"/>
                <w:sz w:val="15"/>
                <w:szCs w:val="15"/>
              </w:rPr>
              <w:t>金额</w:t>
            </w:r>
            <w:r>
              <w:rPr>
                <w:rFonts w:ascii="宋体" w:hAnsi="宋体" w:cs="宋体" w:eastAsia="宋体" w:hint="default"/>
                <w:sz w:val="15"/>
                <w:szCs w:val="15"/>
              </w:rPr>
            </w:r>
          </w:p>
        </w:tc>
        <w:tc>
          <w:tcPr>
            <w:tcW w:w="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
              <w:jc w:val="center"/>
              <w:rPr>
                <w:rFonts w:ascii="宋体" w:hAnsi="宋体" w:cs="宋体" w:eastAsia="宋体" w:hint="default"/>
                <w:sz w:val="15"/>
                <w:szCs w:val="15"/>
              </w:rPr>
            </w:pPr>
            <w:r>
              <w:rPr>
                <w:rFonts w:ascii="宋体" w:hAnsi="宋体" w:cs="宋体" w:eastAsia="宋体" w:hint="default"/>
                <w:spacing w:val="-12"/>
                <w:sz w:val="15"/>
                <w:szCs w:val="15"/>
              </w:rPr>
              <w:t>比例</w:t>
            </w:r>
            <w:r>
              <w:rPr>
                <w:rFonts w:ascii="宋体" w:hAnsi="宋体" w:cs="宋体" w:eastAsia="宋体" w:hint="default"/>
                <w:sz w:val="15"/>
                <w:szCs w:val="15"/>
              </w:rPr>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pacing w:val="-12"/>
                <w:sz w:val="15"/>
                <w:szCs w:val="15"/>
              </w:rPr>
              <w:t>金额</w:t>
            </w:r>
            <w:r>
              <w:rPr>
                <w:rFonts w:ascii="宋体" w:hAnsi="宋体" w:cs="宋体" w:eastAsia="宋体" w:hint="default"/>
                <w:sz w:val="15"/>
                <w:szCs w:val="15"/>
              </w:rPr>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计提</w:t>
            </w:r>
            <w:r>
              <w:rPr>
                <w:rFonts w:ascii="宋体" w:hAnsi="宋体" w:cs="宋体" w:eastAsia="宋体" w:hint="default"/>
                <w:sz w:val="15"/>
                <w:szCs w:val="15"/>
              </w:rPr>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比例</w:t>
            </w:r>
            <w:r>
              <w:rPr>
                <w:rFonts w:ascii="宋体" w:hAnsi="宋体" w:cs="宋体" w:eastAsia="宋体" w:hint="default"/>
                <w:sz w:val="15"/>
                <w:szCs w:val="15"/>
              </w:rPr>
            </w: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594"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1" w:lineRule="exact"/>
              <w:ind w:left="52" w:right="0"/>
              <w:jc w:val="left"/>
              <w:rPr>
                <w:rFonts w:ascii="宋体" w:hAnsi="宋体" w:cs="宋体" w:eastAsia="宋体" w:hint="default"/>
                <w:sz w:val="15"/>
                <w:szCs w:val="15"/>
              </w:rPr>
            </w:pPr>
            <w:r>
              <w:rPr>
                <w:rFonts w:ascii="宋体" w:hAnsi="宋体" w:cs="宋体" w:eastAsia="宋体" w:hint="default"/>
                <w:spacing w:val="-12"/>
                <w:sz w:val="15"/>
                <w:szCs w:val="15"/>
              </w:rPr>
              <w:t>按信用风险特征组合计</w:t>
            </w:r>
            <w:r>
              <w:rPr>
                <w:rFonts w:ascii="宋体" w:hAnsi="宋体" w:cs="宋体" w:eastAsia="宋体" w:hint="default"/>
                <w:sz w:val="15"/>
                <w:szCs w:val="15"/>
              </w:rPr>
            </w:r>
          </w:p>
          <w:p>
            <w:pPr>
              <w:pStyle w:val="TableParagraph"/>
              <w:spacing w:line="240" w:lineRule="auto"/>
              <w:ind w:left="52" w:right="132"/>
              <w:jc w:val="left"/>
              <w:rPr>
                <w:rFonts w:ascii="宋体" w:hAnsi="宋体" w:cs="宋体" w:eastAsia="宋体" w:hint="default"/>
                <w:sz w:val="15"/>
                <w:szCs w:val="15"/>
              </w:rPr>
            </w:pPr>
            <w:r>
              <w:rPr>
                <w:rFonts w:ascii="宋体" w:hAnsi="宋体" w:cs="宋体" w:eastAsia="宋体" w:hint="default"/>
                <w:spacing w:val="-12"/>
                <w:sz w:val="15"/>
                <w:szCs w:val="15"/>
              </w:rPr>
              <w:t>提坏账准备的其他应收 </w:t>
            </w:r>
            <w:r>
              <w:rPr>
                <w:rFonts w:ascii="宋体" w:hAnsi="宋体" w:cs="宋体" w:eastAsia="宋体" w:hint="default"/>
                <w:sz w:val="15"/>
                <w:szCs w:val="15"/>
              </w:rPr>
              <w:t>款</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pacing w:val="-6"/>
                <w:sz w:val="15"/>
              </w:rPr>
              <w:t>14,717,816.35</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5"/>
                <w:szCs w:val="15"/>
              </w:rPr>
            </w:pPr>
            <w:r>
              <w:rPr>
                <w:rFonts w:ascii="Times New Roman"/>
                <w:spacing w:val="-6"/>
                <w:sz w:val="15"/>
              </w:rPr>
              <w:t>100.00%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center"/>
              <w:rPr>
                <w:rFonts w:ascii="Times New Roman" w:hAnsi="Times New Roman" w:cs="Times New Roman" w:eastAsia="Times New Roman" w:hint="default"/>
                <w:sz w:val="15"/>
                <w:szCs w:val="15"/>
              </w:rPr>
            </w:pPr>
            <w:r>
              <w:rPr>
                <w:rFonts w:ascii="Times New Roman"/>
                <w:spacing w:val="-6"/>
                <w:sz w:val="15"/>
              </w:rPr>
              <w:t>1,826,191.30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2"/>
              <w:jc w:val="right"/>
              <w:rPr>
                <w:rFonts w:ascii="Times New Roman" w:hAnsi="Times New Roman" w:cs="Times New Roman" w:eastAsia="Times New Roman" w:hint="default"/>
                <w:sz w:val="15"/>
                <w:szCs w:val="15"/>
              </w:rPr>
            </w:pPr>
            <w:r>
              <w:rPr>
                <w:rFonts w:ascii="Times New Roman"/>
                <w:spacing w:val="-6"/>
                <w:sz w:val="15"/>
              </w:rPr>
              <w:t>12.41%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12,891,625.05</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5"/>
                <w:szCs w:val="15"/>
              </w:rPr>
            </w:pPr>
            <w:r>
              <w:rPr>
                <w:rFonts w:ascii="Times New Roman"/>
                <w:spacing w:val="-6"/>
                <w:sz w:val="15"/>
              </w:rPr>
              <w:t>12,820,997.98</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3" w:right="0"/>
              <w:jc w:val="center"/>
              <w:rPr>
                <w:rFonts w:ascii="Times New Roman" w:hAnsi="Times New Roman" w:cs="Times New Roman" w:eastAsia="Times New Roman" w:hint="default"/>
                <w:sz w:val="15"/>
                <w:szCs w:val="15"/>
              </w:rPr>
            </w:pPr>
            <w:r>
              <w:rPr>
                <w:rFonts w:ascii="Times New Roman"/>
                <w:spacing w:val="-6"/>
                <w:sz w:val="15"/>
              </w:rPr>
              <w:t>100.00%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 w:right="0"/>
              <w:jc w:val="center"/>
              <w:rPr>
                <w:rFonts w:ascii="Times New Roman" w:hAnsi="Times New Roman" w:cs="Times New Roman" w:eastAsia="Times New Roman" w:hint="default"/>
                <w:sz w:val="15"/>
                <w:szCs w:val="15"/>
              </w:rPr>
            </w:pPr>
            <w:r>
              <w:rPr>
                <w:rFonts w:ascii="Times New Roman"/>
                <w:spacing w:val="-6"/>
                <w:sz w:val="15"/>
              </w:rPr>
              <w:t>1,545,667.23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6"/>
                <w:sz w:val="15"/>
              </w:rPr>
              <w:t>12.06%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11,275,330.75</w:t>
            </w:r>
          </w:p>
        </w:tc>
      </w:tr>
      <w:tr>
        <w:trPr>
          <w:trHeight w:val="407" w:hRule="exact"/>
        </w:trPr>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2" w:right="0"/>
              <w:jc w:val="left"/>
              <w:rPr>
                <w:rFonts w:ascii="宋体" w:hAnsi="宋体" w:cs="宋体" w:eastAsia="宋体" w:hint="default"/>
                <w:sz w:val="15"/>
                <w:szCs w:val="15"/>
              </w:rPr>
            </w:pPr>
            <w:r>
              <w:rPr>
                <w:rFonts w:ascii="宋体" w:hAnsi="宋体" w:cs="宋体" w:eastAsia="宋体" w:hint="default"/>
                <w:spacing w:val="-12"/>
                <w:sz w:val="15"/>
                <w:szCs w:val="15"/>
              </w:rPr>
              <w:t>合计</w:t>
            </w:r>
            <w:r>
              <w:rPr>
                <w:rFonts w:ascii="宋体" w:hAnsi="宋体" w:cs="宋体" w:eastAsia="宋体" w:hint="default"/>
                <w:sz w:val="15"/>
                <w:szCs w:val="15"/>
              </w:rPr>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 w:right="0"/>
              <w:jc w:val="center"/>
              <w:rPr>
                <w:rFonts w:ascii="Times New Roman" w:hAnsi="Times New Roman" w:cs="Times New Roman" w:eastAsia="Times New Roman" w:hint="default"/>
                <w:sz w:val="15"/>
                <w:szCs w:val="15"/>
              </w:rPr>
            </w:pPr>
            <w:r>
              <w:rPr>
                <w:rFonts w:ascii="Times New Roman"/>
                <w:spacing w:val="-6"/>
                <w:sz w:val="15"/>
              </w:rPr>
              <w:t>14,717,816.35</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28" w:right="0"/>
              <w:jc w:val="left"/>
              <w:rPr>
                <w:rFonts w:ascii="Times New Roman" w:hAnsi="Times New Roman" w:cs="Times New Roman" w:eastAsia="Times New Roman" w:hint="default"/>
                <w:sz w:val="15"/>
                <w:szCs w:val="15"/>
              </w:rPr>
            </w:pPr>
            <w:r>
              <w:rPr>
                <w:rFonts w:ascii="Times New Roman"/>
                <w:spacing w:val="-6"/>
                <w:sz w:val="15"/>
              </w:rPr>
              <w:t>100.00%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7" w:right="0"/>
              <w:jc w:val="center"/>
              <w:rPr>
                <w:rFonts w:ascii="Times New Roman" w:hAnsi="Times New Roman" w:cs="Times New Roman" w:eastAsia="Times New Roman" w:hint="default"/>
                <w:sz w:val="15"/>
                <w:szCs w:val="15"/>
              </w:rPr>
            </w:pPr>
            <w:r>
              <w:rPr>
                <w:rFonts w:ascii="Times New Roman"/>
                <w:spacing w:val="-6"/>
                <w:sz w:val="15"/>
              </w:rPr>
              <w:t>1,826,191.30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2"/>
              <w:jc w:val="right"/>
              <w:rPr>
                <w:rFonts w:ascii="Times New Roman" w:hAnsi="Times New Roman" w:cs="Times New Roman" w:eastAsia="Times New Roman" w:hint="default"/>
                <w:sz w:val="15"/>
                <w:szCs w:val="15"/>
              </w:rPr>
            </w:pPr>
            <w:r>
              <w:rPr>
                <w:rFonts w:ascii="Times New Roman"/>
                <w:spacing w:val="-6"/>
                <w:sz w:val="15"/>
              </w:rPr>
              <w:t>12.41%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12,891,625.05</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 w:right="0"/>
              <w:jc w:val="center"/>
              <w:rPr>
                <w:rFonts w:ascii="Times New Roman" w:hAnsi="Times New Roman" w:cs="Times New Roman" w:eastAsia="Times New Roman" w:hint="default"/>
                <w:sz w:val="15"/>
                <w:szCs w:val="15"/>
              </w:rPr>
            </w:pPr>
            <w:r>
              <w:rPr>
                <w:rFonts w:ascii="Times New Roman"/>
                <w:spacing w:val="-6"/>
                <w:sz w:val="15"/>
              </w:rPr>
              <w:t>12,820,997.98</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3" w:right="0"/>
              <w:jc w:val="center"/>
              <w:rPr>
                <w:rFonts w:ascii="Times New Roman" w:hAnsi="Times New Roman" w:cs="Times New Roman" w:eastAsia="Times New Roman" w:hint="default"/>
                <w:sz w:val="15"/>
                <w:szCs w:val="15"/>
              </w:rPr>
            </w:pPr>
            <w:r>
              <w:rPr>
                <w:rFonts w:ascii="Times New Roman"/>
                <w:spacing w:val="-6"/>
                <w:sz w:val="15"/>
              </w:rPr>
              <w:t>100.00%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 w:right="0"/>
              <w:jc w:val="center"/>
              <w:rPr>
                <w:rFonts w:ascii="Times New Roman" w:hAnsi="Times New Roman" w:cs="Times New Roman" w:eastAsia="Times New Roman" w:hint="default"/>
                <w:sz w:val="15"/>
                <w:szCs w:val="15"/>
              </w:rPr>
            </w:pPr>
            <w:r>
              <w:rPr>
                <w:rFonts w:ascii="Times New Roman"/>
                <w:spacing w:val="-6"/>
                <w:sz w:val="15"/>
              </w:rPr>
              <w:t>1,545,667.23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3"/>
              <w:jc w:val="right"/>
              <w:rPr>
                <w:rFonts w:ascii="Times New Roman" w:hAnsi="Times New Roman" w:cs="Times New Roman" w:eastAsia="Times New Roman" w:hint="default"/>
                <w:sz w:val="15"/>
                <w:szCs w:val="15"/>
              </w:rPr>
            </w:pPr>
            <w:r>
              <w:rPr>
                <w:rFonts w:ascii="Times New Roman"/>
                <w:spacing w:val="-6"/>
                <w:sz w:val="15"/>
              </w:rPr>
              <w:t>12.06%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11,275,330.75</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期末单项金额重大并单项计提坏账准备的其他应收款：</w:t>
      </w:r>
    </w:p>
    <w:p>
      <w:pPr>
        <w:spacing w:line="240" w:lineRule="auto" w:before="12"/>
        <w:rPr>
          <w:rFonts w:ascii="宋体" w:hAnsi="宋体" w:cs="宋体" w:eastAsia="宋体" w:hint="default"/>
          <w:sz w:val="17"/>
          <w:szCs w:val="17"/>
        </w:rPr>
      </w:pPr>
    </w:p>
    <w:p>
      <w:pPr>
        <w:pStyle w:val="BodyText"/>
        <w:spacing w:line="420" w:lineRule="auto"/>
        <w:ind w:right="55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组合中，按账龄分析法计提坏账准备的其他应收款：</w:t>
      </w:r>
    </w:p>
    <w:p>
      <w:pPr>
        <w:spacing w:after="0" w:line="420" w:lineRule="auto"/>
        <w:jc w:val="left"/>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40" w:lineRule="auto" w:before="35"/>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62"/>
        <w:gridCol w:w="2465"/>
        <w:gridCol w:w="2464"/>
        <w:gridCol w:w="2465"/>
      </w:tblGrid>
      <w:tr>
        <w:trPr>
          <w:trHeight w:val="407" w:hRule="exact"/>
        </w:trPr>
        <w:tc>
          <w:tcPr>
            <w:tcW w:w="2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3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2462" w:type="dxa"/>
            <w:vMerge/>
            <w:tcBorders>
              <w:left w:val="single" w:sz="4" w:space="0" w:color="000000"/>
              <w:bottom w:val="single" w:sz="4" w:space="0" w:color="000000"/>
              <w:right w:val="single" w:sz="4" w:space="0" w:color="000000"/>
            </w:tcBorders>
            <w:shd w:val="clear" w:color="auto" w:fill="D2D2D2"/>
          </w:tcPr>
          <w:p>
            <w:pP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9,723,702.77</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97,253.56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9,723,702.77</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97,253.56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2,031,861.00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203,087.92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1,041,337.84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208,192.56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19.99%</w:t>
            </w:r>
          </w:p>
        </w:tc>
      </w:tr>
      <w:tr>
        <w:trPr>
          <w:trHeight w:val="408"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1,920,914.74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1,317,657.26</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68.60%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1,120,545.82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560,272.92</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50.00%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143,281.92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100,297.34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70.00%</w:t>
            </w:r>
          </w:p>
        </w:tc>
      </w:tr>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657,087.00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657,087.00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100.00%</w:t>
            </w:r>
          </w:p>
        </w:tc>
      </w:tr>
      <w:tr>
        <w:trPr>
          <w:trHeight w:val="408"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14,717,816.35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1,826,191.30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12.41%</w:t>
            </w:r>
          </w:p>
        </w:tc>
      </w:tr>
    </w:tbl>
    <w:p>
      <w:pPr>
        <w:spacing w:line="240" w:lineRule="auto" w:before="6"/>
        <w:rPr>
          <w:rFonts w:ascii="宋体" w:hAnsi="宋体" w:cs="宋体" w:eastAsia="宋体" w:hint="default"/>
          <w:sz w:val="7"/>
          <w:szCs w:val="7"/>
        </w:rPr>
      </w:pPr>
    </w:p>
    <w:p>
      <w:pPr>
        <w:pStyle w:val="BodyText"/>
        <w:spacing w:line="444" w:lineRule="auto" w:before="35"/>
        <w:ind w:right="5082"/>
        <w:jc w:val="left"/>
      </w:pPr>
      <w:r>
        <w:rPr/>
        <w:t>确定该组合依据的说明： 账龄组合，按账龄分析法计提坏账准备。 组合中，采用余额百分比法计提坏账准备的其他应收款：</w:t>
      </w:r>
    </w:p>
    <w:p>
      <w:pPr>
        <w:pStyle w:val="BodyText"/>
        <w:spacing w:line="420" w:lineRule="auto" w:before="55"/>
        <w:ind w:right="55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组合中，采用其他方法计提坏账准备的其他应收款：</w:t>
      </w:r>
    </w:p>
    <w:p>
      <w:pPr>
        <w:pStyle w:val="BodyText"/>
        <w:spacing w:line="240" w:lineRule="auto" w:before="76"/>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2)</w:t>
      </w:r>
      <w:r>
        <w:rPr/>
        <w:t>本期计提、收回或转回的坏账准备情况</w:t>
      </w:r>
    </w:p>
    <w:p>
      <w:pPr>
        <w:spacing w:line="240" w:lineRule="auto" w:before="8"/>
        <w:rPr>
          <w:rFonts w:ascii="宋体" w:hAnsi="宋体" w:cs="宋体" w:eastAsia="宋体" w:hint="default"/>
          <w:sz w:val="16"/>
          <w:szCs w:val="16"/>
        </w:rPr>
      </w:pPr>
    </w:p>
    <w:p>
      <w:pPr>
        <w:pStyle w:val="BodyText"/>
        <w:spacing w:line="240" w:lineRule="auto"/>
        <w:ind w:right="1016"/>
        <w:jc w:val="left"/>
      </w:pPr>
      <w:r>
        <w:rPr/>
        <w:t>本期计提坏账准备金额</w:t>
      </w:r>
      <w:r>
        <w:rPr>
          <w:spacing w:val="-53"/>
        </w:rPr>
        <w:t> </w:t>
      </w:r>
      <w:r>
        <w:rPr>
          <w:rFonts w:ascii="Times New Roman" w:hAnsi="Times New Roman" w:cs="Times New Roman" w:eastAsia="Times New Roman" w:hint="default"/>
        </w:rPr>
        <w:t>280,524.06</w:t>
      </w:r>
      <w:r>
        <w:rPr>
          <w:rFonts w:ascii="Times New Roman" w:hAnsi="Times New Roman" w:cs="Times New Roman" w:eastAsia="Times New Roman" w:hint="default"/>
          <w:spacing w:val="-1"/>
        </w:rPr>
        <w:t> </w:t>
      </w:r>
      <w:r>
        <w:rPr/>
        <w:t>元；本期收回或转回坏账准备金额</w:t>
      </w:r>
      <w:r>
        <w:rPr>
          <w:spacing w:val="-53"/>
        </w:rPr>
        <w:t> </w:t>
      </w:r>
      <w:r>
        <w:rPr>
          <w:rFonts w:ascii="Times New Roman" w:hAnsi="Times New Roman" w:cs="Times New Roman" w:eastAsia="Times New Roman" w:hint="default"/>
        </w:rPr>
        <w:t>0.00 </w:t>
      </w:r>
      <w:r>
        <w:rPr/>
        <w:t>元。</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3)</w:t>
      </w:r>
      <w:r>
        <w:rPr/>
        <w:t>其他应收款按款项性质分类情况</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6"/>
        <w:gridCol w:w="3287"/>
      </w:tblGrid>
      <w:tr>
        <w:trPr>
          <w:trHeight w:val="406"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期末账面余额</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员工预支款</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1,035,804.85</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699,984.23</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12,745,197.30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7,438,394.47</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936,814.20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4,682,619.28</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14,717,816.35</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12,820,997.98</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rFonts w:ascii="Times New Roman" w:hAnsi="Times New Roman" w:cs="Times New Roman" w:eastAsia="Times New Roman" w:hint="default"/>
        </w:rPr>
        <w:t>4)</w:t>
      </w:r>
      <w:r>
        <w:rPr/>
        <w:t>按欠款方归集的期末余额前五名的其他应收款情况</w:t>
      </w:r>
    </w:p>
    <w:p>
      <w:pPr>
        <w:spacing w:after="0" w:line="240" w:lineRule="auto"/>
        <w:jc w:val="left"/>
        <w:sectPr>
          <w:pgSz w:w="11910" w:h="16840"/>
          <w:pgMar w:header="801" w:footer="1007" w:top="1080" w:bottom="1200" w:left="920" w:right="0"/>
        </w:sectPr>
      </w:pPr>
    </w:p>
    <w:p>
      <w:pPr>
        <w:spacing w:line="240" w:lineRule="auto" w:before="5"/>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642"/>
        <w:gridCol w:w="1643"/>
        <w:gridCol w:w="1642"/>
        <w:gridCol w:w="1642"/>
        <w:gridCol w:w="1644"/>
        <w:gridCol w:w="1643"/>
      </w:tblGrid>
      <w:tr>
        <w:trPr>
          <w:trHeight w:val="709"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85" w:right="0"/>
              <w:jc w:val="left"/>
              <w:rPr>
                <w:rFonts w:ascii="宋体" w:hAnsi="宋体" w:cs="宋体" w:eastAsia="宋体" w:hint="default"/>
                <w:sz w:val="18"/>
                <w:szCs w:val="18"/>
              </w:rPr>
            </w:pPr>
            <w:r>
              <w:rPr>
                <w:rFonts w:ascii="宋体" w:hAnsi="宋体" w:cs="宋体" w:eastAsia="宋体" w:hint="default"/>
                <w:sz w:val="18"/>
                <w:szCs w:val="18"/>
              </w:rPr>
              <w:t>占其他应收款期</w:t>
            </w:r>
          </w:p>
          <w:p>
            <w:pPr>
              <w:pStyle w:val="TableParagraph"/>
              <w:spacing w:line="240" w:lineRule="auto"/>
              <w:ind w:left="636" w:right="186" w:hanging="451"/>
              <w:jc w:val="left"/>
              <w:rPr>
                <w:rFonts w:ascii="宋体" w:hAnsi="宋体" w:cs="宋体" w:eastAsia="宋体" w:hint="default"/>
                <w:sz w:val="18"/>
                <w:szCs w:val="18"/>
              </w:rPr>
            </w:pPr>
            <w:r>
              <w:rPr>
                <w:rFonts w:ascii="宋体" w:hAnsi="宋体" w:cs="宋体" w:eastAsia="宋体" w:hint="default"/>
                <w:sz w:val="18"/>
                <w:szCs w:val="18"/>
              </w:rPr>
              <w:t>末余额合计数的 比例</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634" w:right="276"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7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北京市海淀区欣</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华农工商公司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5,921,543.00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年以内，</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40.23%</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550,990.00</w:t>
            </w:r>
          </w:p>
        </w:tc>
      </w:tr>
      <w:tr>
        <w:trPr>
          <w:trHeight w:val="476"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上海民润投资管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1,195,374.00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8.12%</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82,581.15</w:t>
            </w:r>
          </w:p>
        </w:tc>
      </w:tr>
      <w:tr>
        <w:trPr>
          <w:trHeight w:val="47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株式会社テーオ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ーシー</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840,687.86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5.71%</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8,406.88</w:t>
            </w:r>
          </w:p>
        </w:tc>
      </w:tr>
      <w:tr>
        <w:trPr>
          <w:trHeight w:val="407"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I-enes</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514,500.00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3.50%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5,145.00</w:t>
            </w:r>
          </w:p>
        </w:tc>
      </w:tr>
      <w:tr>
        <w:trPr>
          <w:trHeight w:val="710"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深圳市怡化物业</w:t>
            </w:r>
          </w:p>
          <w:p>
            <w:pPr>
              <w:pStyle w:val="TableParagraph"/>
              <w:spacing w:line="232" w:lineRule="exact" w:before="24"/>
              <w:ind w:left="103" w:right="267"/>
              <w:jc w:val="left"/>
              <w:rPr>
                <w:rFonts w:ascii="宋体" w:hAnsi="宋体" w:cs="宋体" w:eastAsia="宋体" w:hint="default"/>
                <w:sz w:val="18"/>
                <w:szCs w:val="18"/>
              </w:rPr>
            </w:pPr>
            <w:r>
              <w:rPr>
                <w:rFonts w:ascii="宋体" w:hAnsi="宋体" w:cs="宋体" w:eastAsia="宋体" w:hint="default"/>
                <w:sz w:val="18"/>
                <w:szCs w:val="18"/>
              </w:rPr>
              <w:t>管理有限公司南 京分公司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402,591.88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2.74%</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4,025.92</w:t>
            </w:r>
          </w:p>
        </w:tc>
      </w:tr>
      <w:tr>
        <w:trPr>
          <w:trHeight w:val="407"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8,874,696.74</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60.30%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651,148.95</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7、存货" w:id="239"/>
      <w:bookmarkEnd w:id="239"/>
      <w:r>
        <w:rPr/>
      </w:r>
      <w:r>
        <w:rPr>
          <w:rFonts w:ascii="Times New Roman" w:hAnsi="Times New Roman" w:cs="Times New Roman" w:eastAsia="Times New Roman" w:hint="default"/>
        </w:rPr>
        <w:t>7</w:t>
      </w:r>
      <w:r>
        <w:rPr>
          <w:rFonts w:ascii="微软雅黑" w:hAnsi="微软雅黑" w:cs="微软雅黑" w:eastAsia="微软雅黑" w:hint="default"/>
        </w:rPr>
        <w:t>、存货</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存货分类" w:id="240"/>
      <w:bookmarkEnd w:id="240"/>
      <w:r>
        <w:rPr/>
      </w:r>
      <w:r>
        <w:rPr/>
        <w:t>（</w:t>
      </w:r>
      <w:r>
        <w:rPr>
          <w:rFonts w:ascii="Times New Roman" w:hAnsi="Times New Roman" w:cs="Times New Roman" w:eastAsia="Times New Roman" w:hint="default"/>
        </w:rPr>
        <w:t>1</w:t>
      </w:r>
      <w:r>
        <w:rPr/>
        <w:t>）存货分类</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409"/>
        <w:gridCol w:w="1409"/>
        <w:gridCol w:w="1409"/>
        <w:gridCol w:w="1406"/>
        <w:gridCol w:w="1408"/>
        <w:gridCol w:w="1407"/>
        <w:gridCol w:w="1408"/>
      </w:tblGrid>
      <w:tr>
        <w:trPr>
          <w:trHeight w:val="407" w:hRule="exact"/>
        </w:trPr>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409"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6,678,258.41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67,388.06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6,610,870.35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Times New Roman" w:hAnsi="Times New Roman" w:cs="Times New Roman" w:eastAsia="Times New Roman" w:hint="default"/>
                <w:sz w:val="18"/>
                <w:szCs w:val="18"/>
              </w:rPr>
            </w:pPr>
            <w:r>
              <w:rPr>
                <w:rFonts w:ascii="Times New Roman"/>
                <w:sz w:val="18"/>
              </w:rPr>
              <w:t>6,002,979.04</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Times New Roman" w:hAnsi="Times New Roman" w:cs="Times New Roman" w:eastAsia="Times New Roman" w:hint="default"/>
                <w:sz w:val="18"/>
                <w:szCs w:val="18"/>
              </w:rPr>
            </w:pPr>
            <w:r>
              <w:rPr>
                <w:rFonts w:ascii="Times New Roman"/>
                <w:sz w:val="18"/>
              </w:rPr>
              <w:t>6,002,979.04</w:t>
            </w:r>
          </w:p>
        </w:tc>
      </w:tr>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8,488,241.76</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8,488,241.76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Times New Roman" w:hAnsi="Times New Roman" w:cs="Times New Roman" w:eastAsia="Times New Roman" w:hint="default"/>
                <w:sz w:val="18"/>
                <w:szCs w:val="18"/>
              </w:rPr>
            </w:pPr>
            <w:r>
              <w:rPr>
                <w:rFonts w:ascii="Times New Roman"/>
                <w:sz w:val="18"/>
              </w:rPr>
              <w:t>2,962,293.88</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502,123.52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Times New Roman" w:hAnsi="Times New Roman" w:cs="Times New Roman" w:eastAsia="Times New Roman" w:hint="default"/>
                <w:sz w:val="18"/>
                <w:szCs w:val="18"/>
              </w:rPr>
            </w:pPr>
            <w:r>
              <w:rPr>
                <w:rFonts w:ascii="Times New Roman"/>
                <w:sz w:val="18"/>
              </w:rPr>
              <w:t>2,460,170.36</w:t>
            </w:r>
          </w:p>
        </w:tc>
      </w:tr>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15,166,500.17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67,388.06</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2"/>
                <w:sz w:val="18"/>
              </w:rPr>
              <w:t>15,099,112.11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Times New Roman" w:hAnsi="Times New Roman" w:cs="Times New Roman" w:eastAsia="Times New Roman" w:hint="default"/>
                <w:sz w:val="18"/>
                <w:szCs w:val="18"/>
              </w:rPr>
            </w:pPr>
            <w:r>
              <w:rPr>
                <w:rFonts w:ascii="Times New Roman"/>
                <w:sz w:val="18"/>
              </w:rPr>
              <w:t>8,965,272.92</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502,123.52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50" w:right="0"/>
              <w:jc w:val="left"/>
              <w:rPr>
                <w:rFonts w:ascii="Times New Roman" w:hAnsi="Times New Roman" w:cs="Times New Roman" w:eastAsia="Times New Roman" w:hint="default"/>
                <w:sz w:val="18"/>
                <w:szCs w:val="18"/>
              </w:rPr>
            </w:pPr>
            <w:r>
              <w:rPr>
                <w:rFonts w:ascii="Times New Roman"/>
                <w:sz w:val="18"/>
              </w:rPr>
              <w:t>8,463,149.40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5"/>
        <w:ind w:right="1016"/>
        <w:jc w:val="left"/>
      </w:pPr>
      <w:bookmarkStart w:name="（2）存货跌价准备" w:id="241"/>
      <w:bookmarkEnd w:id="241"/>
      <w:r>
        <w:rPr/>
      </w:r>
      <w:r>
        <w:rPr/>
        <w:t>（</w:t>
      </w:r>
      <w:r>
        <w:rPr>
          <w:rFonts w:ascii="Times New Roman" w:hAnsi="Times New Roman" w:cs="Times New Roman" w:eastAsia="Times New Roman" w:hint="default"/>
        </w:rPr>
        <w:t>2</w:t>
      </w:r>
      <w:r>
        <w:rPr/>
        <w:t>）存货跌价准备</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409"/>
        <w:gridCol w:w="1409"/>
        <w:gridCol w:w="1409"/>
        <w:gridCol w:w="1406"/>
        <w:gridCol w:w="1408"/>
        <w:gridCol w:w="1407"/>
        <w:gridCol w:w="1408"/>
      </w:tblGrid>
      <w:tr>
        <w:trPr>
          <w:trHeight w:val="407" w:hRule="exact"/>
        </w:trPr>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8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409"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08"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4" w:right="0"/>
              <w:jc w:val="left"/>
              <w:rPr>
                <w:rFonts w:ascii="Times New Roman" w:hAnsi="Times New Roman" w:cs="Times New Roman" w:eastAsia="Times New Roman" w:hint="default"/>
                <w:sz w:val="18"/>
                <w:szCs w:val="18"/>
              </w:rPr>
            </w:pPr>
            <w:r>
              <w:rPr>
                <w:rFonts w:ascii="Times New Roman"/>
                <w:sz w:val="18"/>
              </w:rPr>
              <w:t>67,031.03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357.03</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67,388.06</w:t>
            </w:r>
          </w:p>
        </w:tc>
      </w:tr>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502,123.52</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502,123.52</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502,123.52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74" w:right="0"/>
              <w:jc w:val="left"/>
              <w:rPr>
                <w:rFonts w:ascii="Times New Roman" w:hAnsi="Times New Roman" w:cs="Times New Roman" w:eastAsia="Times New Roman" w:hint="default"/>
                <w:sz w:val="18"/>
                <w:szCs w:val="18"/>
              </w:rPr>
            </w:pPr>
            <w:r>
              <w:rPr>
                <w:rFonts w:ascii="Times New Roman"/>
                <w:sz w:val="18"/>
              </w:rPr>
              <w:t>67,031.03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z w:val="18"/>
              </w:rPr>
              <w:t>357.03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502,123.52</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67,388.06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8、持有待售资产" w:id="242"/>
      <w:bookmarkEnd w:id="242"/>
      <w:r>
        <w:rPr/>
      </w:r>
      <w:r>
        <w:rPr>
          <w:rFonts w:ascii="Times New Roman" w:hAnsi="Times New Roman" w:cs="Times New Roman" w:eastAsia="Times New Roman" w:hint="default"/>
        </w:rPr>
        <w:t>8</w:t>
      </w:r>
      <w:r>
        <w:rPr>
          <w:rFonts w:ascii="微软雅黑" w:hAnsi="微软雅黑" w:cs="微软雅黑" w:eastAsia="微软雅黑" w:hint="default"/>
        </w:rPr>
        <w:t>、持有待售资产</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r>
        <w:rPr/>
        <w:t>不适用</w:t>
      </w:r>
    </w:p>
    <w:p>
      <w:pPr>
        <w:spacing w:after="0" w:line="240" w:lineRule="auto"/>
        <w:jc w:val="left"/>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9、一年内到期的非流动资产" w:id="243"/>
      <w:bookmarkEnd w:id="243"/>
      <w:r>
        <w:rPr/>
      </w:r>
      <w:r>
        <w:rPr>
          <w:rFonts w:ascii="Times New Roman" w:hAnsi="Times New Roman" w:cs="Times New Roman" w:eastAsia="Times New Roman" w:hint="default"/>
        </w:rPr>
        <w:t>9</w:t>
      </w:r>
      <w:r>
        <w:rPr>
          <w:rFonts w:ascii="微软雅黑" w:hAnsi="微软雅黑" w:cs="微软雅黑" w:eastAsia="微软雅黑" w:hint="default"/>
        </w:rPr>
        <w:t>、一年内到期的非流动资产</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6"/>
        <w:gridCol w:w="3287"/>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年内到期的长期应收款</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2,459,159.64</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6,634,979.76</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2,459,159.64</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6,634,979.76</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10、其他流动资产" w:id="244"/>
      <w:bookmarkEnd w:id="244"/>
      <w:r>
        <w:rPr/>
      </w:r>
      <w:r>
        <w:rPr>
          <w:rFonts w:ascii="Times New Roman" w:hAnsi="Times New Roman" w:cs="Times New Roman" w:eastAsia="Times New Roman" w:hint="default"/>
        </w:rPr>
        <w:t>10</w:t>
      </w:r>
      <w:r>
        <w:rPr>
          <w:rFonts w:ascii="微软雅黑" w:hAnsi="微软雅黑" w:cs="微软雅黑" w:eastAsia="微软雅黑" w:hint="default"/>
        </w:rPr>
        <w:t>、其他流动资产</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6"/>
        <w:gridCol w:w="3287"/>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进项税额</w:t>
            </w:r>
          </w:p>
        </w:tc>
        <w:tc>
          <w:tcPr>
            <w:tcW w:w="3286" w:type="dxa"/>
            <w:tcBorders>
              <w:top w:val="single" w:sz="4" w:space="0" w:color="000000"/>
              <w:left w:val="single" w:sz="4" w:space="0" w:color="000000"/>
              <w:bottom w:val="single" w:sz="4" w:space="0" w:color="000000"/>
              <w:right w:val="single" w:sz="4" w:space="0" w:color="000000"/>
            </w:tcBorders>
          </w:tcPr>
          <w:p>
            <w:pP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520,891.70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3,406,612.94</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2,874,362.96</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4,289,904.21</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3,368,310.30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616,917.35</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141,775.07</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3,964,972.42</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395,922.37</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预缴个人所得税</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40,402.31</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10,594.07</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12,318,809.23</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7,311,856.47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11、可供出售金融资产" w:id="245"/>
      <w:bookmarkEnd w:id="245"/>
      <w:r>
        <w:rPr/>
      </w:r>
      <w:r>
        <w:rPr>
          <w:rFonts w:ascii="Times New Roman" w:hAnsi="Times New Roman" w:cs="Times New Roman" w:eastAsia="Times New Roman" w:hint="default"/>
        </w:rPr>
        <w:t>11</w:t>
      </w:r>
      <w:r>
        <w:rPr>
          <w:rFonts w:ascii="微软雅黑" w:hAnsi="微软雅黑" w:cs="微软雅黑" w:eastAsia="微软雅黑" w:hint="default"/>
        </w:rPr>
        <w:t>、可供出售金融资产</w:t>
      </w:r>
    </w:p>
    <w:p>
      <w:pPr>
        <w:spacing w:line="240" w:lineRule="auto" w:before="7"/>
        <w:rPr>
          <w:rFonts w:ascii="微软雅黑" w:hAnsi="微软雅黑" w:cs="微软雅黑" w:eastAsia="微软雅黑" w:hint="default"/>
          <w:sz w:val="20"/>
          <w:szCs w:val="20"/>
        </w:rPr>
      </w:pPr>
    </w:p>
    <w:p>
      <w:pPr>
        <w:pStyle w:val="Heading3"/>
        <w:spacing w:line="240" w:lineRule="auto"/>
        <w:ind w:right="1016"/>
        <w:jc w:val="left"/>
        <w:rPr>
          <w:b w:val="0"/>
          <w:bCs w:val="0"/>
        </w:rPr>
      </w:pPr>
      <w:bookmarkStart w:name="（1）可供出售金融资产情况" w:id="246"/>
      <w:bookmarkEnd w:id="24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9"/>
        <w:rPr>
          <w:rFonts w:ascii="宋体" w:hAnsi="宋体" w:cs="宋体" w:eastAsia="宋体" w:hint="default"/>
          <w:b/>
          <w:bCs/>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91"/>
        <w:gridCol w:w="1342"/>
        <w:gridCol w:w="1164"/>
        <w:gridCol w:w="1334"/>
        <w:gridCol w:w="1342"/>
        <w:gridCol w:w="1339"/>
        <w:gridCol w:w="1343"/>
      </w:tblGrid>
      <w:tr>
        <w:trPr>
          <w:trHeight w:val="407" w:hRule="exact"/>
        </w:trPr>
        <w:tc>
          <w:tcPr>
            <w:tcW w:w="1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991"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204,195,489.92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1" w:right="0"/>
              <w:jc w:val="left"/>
              <w:rPr>
                <w:rFonts w:ascii="Times New Roman" w:hAnsi="Times New Roman" w:cs="Times New Roman" w:eastAsia="Times New Roman" w:hint="default"/>
                <w:sz w:val="18"/>
                <w:szCs w:val="18"/>
              </w:rPr>
            </w:pPr>
            <w:r>
              <w:rPr>
                <w:rFonts w:ascii="Times New Roman"/>
                <w:sz w:val="18"/>
              </w:rPr>
              <w:t>531,778.82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203,663,711.10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160,936,452.83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9,044,944.72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151,891,508.11</w:t>
            </w:r>
          </w:p>
        </w:tc>
      </w:tr>
      <w:tr>
        <w:trPr>
          <w:trHeight w:val="407" w:hRule="exact"/>
        </w:trPr>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204,195,489.92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1" w:right="0"/>
              <w:jc w:val="left"/>
              <w:rPr>
                <w:rFonts w:ascii="Times New Roman" w:hAnsi="Times New Roman" w:cs="Times New Roman" w:eastAsia="Times New Roman" w:hint="default"/>
                <w:sz w:val="18"/>
                <w:szCs w:val="18"/>
              </w:rPr>
            </w:pPr>
            <w:r>
              <w:rPr>
                <w:rFonts w:ascii="Times New Roman"/>
                <w:sz w:val="18"/>
              </w:rPr>
              <w:t>531,778.82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203,663,711.10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160,936,452.83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9,044,944.72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151,891,508.11</w:t>
            </w:r>
          </w:p>
        </w:tc>
      </w:tr>
      <w:tr>
        <w:trPr>
          <w:trHeight w:val="408" w:hRule="exact"/>
        </w:trPr>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204,195,489.92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1" w:right="0"/>
              <w:jc w:val="left"/>
              <w:rPr>
                <w:rFonts w:ascii="Times New Roman" w:hAnsi="Times New Roman" w:cs="Times New Roman" w:eastAsia="Times New Roman" w:hint="default"/>
                <w:sz w:val="18"/>
                <w:szCs w:val="18"/>
              </w:rPr>
            </w:pPr>
            <w:r>
              <w:rPr>
                <w:rFonts w:ascii="Times New Roman"/>
                <w:sz w:val="18"/>
              </w:rPr>
              <w:t>531,778.82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203,663,711.10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160,936,452.83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9,044,944.72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151,891,508.11</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2）期末按成本计量的可供出售金融资产" w:id="247"/>
      <w:bookmarkEnd w:id="247"/>
      <w:r>
        <w:rPr/>
      </w:r>
      <w:r>
        <w:rPr/>
        <w:t>（</w:t>
      </w:r>
      <w:r>
        <w:rPr>
          <w:rFonts w:ascii="Times New Roman" w:hAnsi="Times New Roman" w:cs="Times New Roman" w:eastAsia="Times New Roman" w:hint="default"/>
        </w:rPr>
        <w:t>2</w:t>
      </w:r>
      <w:r>
        <w:rPr/>
        <w:t>）期末按成本计量的可供出售金融资产</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1649"/>
        <w:gridCol w:w="968"/>
        <w:gridCol w:w="899"/>
        <w:gridCol w:w="899"/>
        <w:gridCol w:w="968"/>
        <w:gridCol w:w="829"/>
        <w:gridCol w:w="629"/>
        <w:gridCol w:w="830"/>
        <w:gridCol w:w="730"/>
        <w:gridCol w:w="628"/>
        <w:gridCol w:w="725"/>
      </w:tblGrid>
      <w:tr>
        <w:trPr>
          <w:trHeight w:val="305" w:hRule="exact"/>
        </w:trPr>
        <w:tc>
          <w:tcPr>
            <w:tcW w:w="1649" w:type="dxa"/>
            <w:tcBorders>
              <w:top w:val="single" w:sz="4" w:space="0" w:color="000000"/>
              <w:left w:val="single" w:sz="4" w:space="0" w:color="000000"/>
              <w:bottom w:val="single" w:sz="3" w:space="0" w:color="FFFFFF"/>
              <w:right w:val="single" w:sz="4" w:space="0" w:color="000000"/>
            </w:tcBorders>
            <w:shd w:val="clear" w:color="auto" w:fill="D2D2D2"/>
          </w:tcPr>
          <w:p>
            <w:pPr/>
          </w:p>
        </w:tc>
        <w:tc>
          <w:tcPr>
            <w:tcW w:w="373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pacing w:val="-12"/>
                <w:sz w:val="15"/>
                <w:szCs w:val="15"/>
              </w:rPr>
              <w:t>账面余额</w:t>
            </w:r>
            <w:r>
              <w:rPr>
                <w:rFonts w:ascii="宋体" w:hAnsi="宋体" w:cs="宋体" w:eastAsia="宋体" w:hint="default"/>
                <w:sz w:val="15"/>
                <w:szCs w:val="15"/>
              </w:rPr>
            </w:r>
          </w:p>
        </w:tc>
        <w:tc>
          <w:tcPr>
            <w:tcW w:w="301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pacing w:val="-12"/>
                <w:sz w:val="15"/>
                <w:szCs w:val="15"/>
              </w:rPr>
              <w:t>减值准备</w:t>
            </w:r>
            <w:r>
              <w:rPr>
                <w:rFonts w:ascii="宋体" w:hAnsi="宋体" w:cs="宋体" w:eastAsia="宋体" w:hint="default"/>
                <w:sz w:val="15"/>
                <w:szCs w:val="15"/>
              </w:rPr>
            </w:r>
          </w:p>
        </w:tc>
        <w:tc>
          <w:tcPr>
            <w:tcW w:w="628" w:type="dxa"/>
            <w:vMerge w:val="restart"/>
            <w:tcBorders>
              <w:top w:val="single" w:sz="4" w:space="0" w:color="000000"/>
              <w:left w:val="single" w:sz="4" w:space="0" w:color="000000"/>
              <w:right w:val="single" w:sz="4" w:space="0" w:color="000000"/>
            </w:tcBorders>
            <w:shd w:val="clear" w:color="auto" w:fill="D2D2D2"/>
          </w:tcPr>
          <w:p>
            <w:pPr>
              <w:pStyle w:val="TableParagraph"/>
              <w:spacing w:line="194" w:lineRule="exact" w:before="8"/>
              <w:ind w:left="100" w:right="101"/>
              <w:jc w:val="center"/>
              <w:rPr>
                <w:rFonts w:ascii="宋体" w:hAnsi="宋体" w:cs="宋体" w:eastAsia="宋体" w:hint="default"/>
                <w:sz w:val="15"/>
                <w:szCs w:val="15"/>
              </w:rPr>
            </w:pPr>
            <w:r>
              <w:rPr>
                <w:rFonts w:ascii="宋体" w:hAnsi="宋体" w:cs="宋体" w:eastAsia="宋体" w:hint="default"/>
                <w:spacing w:val="-12"/>
                <w:sz w:val="15"/>
                <w:szCs w:val="15"/>
              </w:rPr>
              <w:t>在被投 资单位</w:t>
            </w:r>
            <w:r>
              <w:rPr>
                <w:rFonts w:ascii="宋体" w:hAnsi="宋体" w:cs="宋体" w:eastAsia="宋体" w:hint="default"/>
                <w:sz w:val="15"/>
                <w:szCs w:val="15"/>
              </w:rPr>
            </w:r>
          </w:p>
          <w:p>
            <w:pPr>
              <w:pStyle w:val="TableParagraph"/>
              <w:spacing w:line="177"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持股比</w:t>
            </w:r>
            <w:r>
              <w:rPr>
                <w:rFonts w:ascii="宋体" w:hAnsi="宋体" w:cs="宋体" w:eastAsia="宋体" w:hint="default"/>
                <w:sz w:val="15"/>
                <w:szCs w:val="15"/>
              </w:rPr>
            </w:r>
          </w:p>
          <w:p>
            <w:pPr>
              <w:pStyle w:val="TableParagraph"/>
              <w:spacing w:line="196" w:lineRule="exact"/>
              <w:ind w:left="9" w:right="0"/>
              <w:jc w:val="center"/>
              <w:rPr>
                <w:rFonts w:ascii="宋体" w:hAnsi="宋体" w:cs="宋体" w:eastAsia="宋体" w:hint="default"/>
                <w:sz w:val="15"/>
                <w:szCs w:val="15"/>
              </w:rPr>
            </w:pPr>
            <w:r>
              <w:rPr>
                <w:rFonts w:ascii="宋体" w:hAnsi="宋体" w:cs="宋体" w:eastAsia="宋体" w:hint="default"/>
                <w:sz w:val="15"/>
                <w:szCs w:val="15"/>
              </w:rPr>
              <w:t>例</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9" w:right="79" w:hanging="138"/>
              <w:jc w:val="left"/>
              <w:rPr>
                <w:rFonts w:ascii="宋体" w:hAnsi="宋体" w:cs="宋体" w:eastAsia="宋体" w:hint="default"/>
                <w:sz w:val="15"/>
                <w:szCs w:val="15"/>
              </w:rPr>
            </w:pPr>
            <w:r>
              <w:rPr>
                <w:rFonts w:ascii="宋体" w:hAnsi="宋体" w:cs="宋体" w:eastAsia="宋体" w:hint="default"/>
                <w:spacing w:val="-12"/>
                <w:sz w:val="15"/>
                <w:szCs w:val="15"/>
              </w:rPr>
              <w:t>本期现金 红利</w:t>
            </w:r>
            <w:r>
              <w:rPr>
                <w:rFonts w:ascii="宋体" w:hAnsi="宋体" w:cs="宋体" w:eastAsia="宋体" w:hint="default"/>
                <w:sz w:val="15"/>
                <w:szCs w:val="15"/>
              </w:rPr>
            </w:r>
          </w:p>
        </w:tc>
      </w:tr>
      <w:tr>
        <w:trPr>
          <w:trHeight w:val="102" w:hRule="exact"/>
        </w:trPr>
        <w:tc>
          <w:tcPr>
            <w:tcW w:w="1649" w:type="dxa"/>
            <w:vMerge w:val="restart"/>
            <w:tcBorders>
              <w:top w:val="single" w:sz="3" w:space="0" w:color="FFFFFF"/>
              <w:left w:val="single" w:sz="4" w:space="0" w:color="000000"/>
              <w:right w:val="single" w:sz="4" w:space="0" w:color="000000"/>
            </w:tcBorders>
            <w:shd w:val="clear" w:color="auto" w:fill="D2D2D2"/>
          </w:tcPr>
          <w:p>
            <w:pPr>
              <w:pStyle w:val="TableParagraph"/>
              <w:spacing w:line="171" w:lineRule="exact"/>
              <w:ind w:left="474" w:right="0"/>
              <w:jc w:val="left"/>
              <w:rPr>
                <w:rFonts w:ascii="宋体" w:hAnsi="宋体" w:cs="宋体" w:eastAsia="宋体" w:hint="default"/>
                <w:sz w:val="15"/>
                <w:szCs w:val="15"/>
              </w:rPr>
            </w:pPr>
            <w:r>
              <w:rPr>
                <w:rFonts w:ascii="宋体" w:hAnsi="宋体" w:cs="宋体" w:eastAsia="宋体" w:hint="default"/>
                <w:spacing w:val="-12"/>
                <w:sz w:val="15"/>
                <w:szCs w:val="15"/>
              </w:rPr>
              <w:t>被投资单位</w:t>
            </w:r>
            <w:r>
              <w:rPr>
                <w:rFonts w:ascii="宋体" w:hAnsi="宋体" w:cs="宋体" w:eastAsia="宋体" w:hint="default"/>
                <w:sz w:val="15"/>
                <w:szCs w:val="15"/>
              </w:rPr>
            </w:r>
          </w:p>
        </w:tc>
        <w:tc>
          <w:tcPr>
            <w:tcW w:w="3735" w:type="dxa"/>
            <w:gridSpan w:val="4"/>
            <w:vMerge/>
            <w:tcBorders>
              <w:left w:val="single" w:sz="4" w:space="0" w:color="000000"/>
              <w:bottom w:val="single" w:sz="4" w:space="0" w:color="000000"/>
              <w:right w:val="single" w:sz="4" w:space="0" w:color="000000"/>
            </w:tcBorders>
            <w:shd w:val="clear" w:color="auto" w:fill="D2D2D2"/>
          </w:tcPr>
          <w:p>
            <w:pPr/>
          </w:p>
        </w:tc>
        <w:tc>
          <w:tcPr>
            <w:tcW w:w="3017" w:type="dxa"/>
            <w:gridSpan w:val="4"/>
            <w:vMerge/>
            <w:tcBorders>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407" w:hRule="exact"/>
        </w:trPr>
        <w:tc>
          <w:tcPr>
            <w:tcW w:w="1649"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pacing w:val="-12"/>
                <w:sz w:val="15"/>
                <w:szCs w:val="15"/>
              </w:rPr>
              <w:t>期初</w:t>
            </w:r>
            <w:r>
              <w:rPr>
                <w:rFonts w:ascii="宋体" w:hAnsi="宋体" w:cs="宋体" w:eastAsia="宋体" w:hint="default"/>
                <w:sz w:val="15"/>
                <w:szCs w:val="15"/>
              </w:rPr>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right="1"/>
              <w:jc w:val="center"/>
              <w:rPr>
                <w:rFonts w:ascii="宋体" w:hAnsi="宋体" w:cs="宋体" w:eastAsia="宋体" w:hint="default"/>
                <w:sz w:val="15"/>
                <w:szCs w:val="15"/>
              </w:rPr>
            </w:pPr>
            <w:r>
              <w:rPr>
                <w:rFonts w:ascii="宋体" w:hAnsi="宋体" w:cs="宋体" w:eastAsia="宋体" w:hint="default"/>
                <w:spacing w:val="-12"/>
                <w:sz w:val="15"/>
                <w:szCs w:val="15"/>
              </w:rPr>
              <w:t>本期</w:t>
            </w:r>
            <w:r>
              <w:rPr>
                <w:rFonts w:ascii="宋体" w:hAnsi="宋体" w:cs="宋体" w:eastAsia="宋体" w:hint="default"/>
                <w:sz w:val="15"/>
                <w:szCs w:val="15"/>
              </w:rPr>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pacing w:val="-12"/>
                <w:sz w:val="15"/>
                <w:szCs w:val="15"/>
              </w:rPr>
              <w:t>增加</w:t>
            </w:r>
            <w:r>
              <w:rPr>
                <w:rFonts w:ascii="宋体" w:hAnsi="宋体" w:cs="宋体" w:eastAsia="宋体" w:hint="default"/>
                <w:sz w:val="15"/>
                <w:szCs w:val="15"/>
              </w:rPr>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本期</w:t>
            </w:r>
            <w:r>
              <w:rPr>
                <w:rFonts w:ascii="宋体" w:hAnsi="宋体" w:cs="宋体" w:eastAsia="宋体" w:hint="default"/>
                <w:sz w:val="15"/>
                <w:szCs w:val="15"/>
              </w:rPr>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减少</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pacing w:val="-12"/>
                <w:sz w:val="15"/>
                <w:szCs w:val="15"/>
              </w:rPr>
              <w:t>期末</w:t>
            </w:r>
            <w:r>
              <w:rPr>
                <w:rFonts w:ascii="宋体" w:hAnsi="宋体" w:cs="宋体" w:eastAsia="宋体" w:hint="default"/>
                <w:sz w:val="15"/>
                <w:szCs w:val="15"/>
              </w:rPr>
            </w:r>
          </w:p>
        </w:tc>
        <w:tc>
          <w:tcPr>
            <w:tcW w:w="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71" w:right="0"/>
              <w:jc w:val="left"/>
              <w:rPr>
                <w:rFonts w:ascii="宋体" w:hAnsi="宋体" w:cs="宋体" w:eastAsia="宋体" w:hint="default"/>
                <w:sz w:val="15"/>
                <w:szCs w:val="15"/>
              </w:rPr>
            </w:pPr>
            <w:r>
              <w:rPr>
                <w:rFonts w:ascii="宋体" w:hAnsi="宋体" w:cs="宋体" w:eastAsia="宋体" w:hint="default"/>
                <w:spacing w:val="-12"/>
                <w:sz w:val="15"/>
                <w:szCs w:val="15"/>
              </w:rPr>
              <w:t>期初</w:t>
            </w:r>
            <w:r>
              <w:rPr>
                <w:rFonts w:ascii="宋体" w:hAnsi="宋体" w:cs="宋体" w:eastAsia="宋体" w:hint="default"/>
                <w:sz w:val="15"/>
                <w:szCs w:val="15"/>
              </w:rPr>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171" w:right="0"/>
              <w:jc w:val="left"/>
              <w:rPr>
                <w:rFonts w:ascii="宋体" w:hAnsi="宋体" w:cs="宋体" w:eastAsia="宋体" w:hint="default"/>
                <w:sz w:val="15"/>
                <w:szCs w:val="15"/>
              </w:rPr>
            </w:pPr>
            <w:r>
              <w:rPr>
                <w:rFonts w:ascii="宋体" w:hAnsi="宋体" w:cs="宋体" w:eastAsia="宋体" w:hint="default"/>
                <w:spacing w:val="-12"/>
                <w:sz w:val="15"/>
                <w:szCs w:val="15"/>
              </w:rPr>
              <w:t>本期</w:t>
            </w:r>
            <w:r>
              <w:rPr>
                <w:rFonts w:ascii="宋体" w:hAnsi="宋体" w:cs="宋体" w:eastAsia="宋体" w:hint="default"/>
                <w:sz w:val="15"/>
                <w:szCs w:val="15"/>
              </w:rPr>
            </w:r>
          </w:p>
          <w:p>
            <w:pPr>
              <w:pStyle w:val="TableParagraph"/>
              <w:spacing w:line="195" w:lineRule="exact"/>
              <w:ind w:left="171" w:right="0"/>
              <w:jc w:val="left"/>
              <w:rPr>
                <w:rFonts w:ascii="宋体" w:hAnsi="宋体" w:cs="宋体" w:eastAsia="宋体" w:hint="default"/>
                <w:sz w:val="15"/>
                <w:szCs w:val="15"/>
              </w:rPr>
            </w:pPr>
            <w:r>
              <w:rPr>
                <w:rFonts w:ascii="宋体" w:hAnsi="宋体" w:cs="宋体" w:eastAsia="宋体" w:hint="default"/>
                <w:spacing w:val="-12"/>
                <w:sz w:val="15"/>
                <w:szCs w:val="15"/>
              </w:rPr>
              <w:t>增加</w:t>
            </w:r>
            <w:r>
              <w:rPr>
                <w:rFonts w:ascii="宋体" w:hAnsi="宋体" w:cs="宋体" w:eastAsia="宋体" w:hint="default"/>
                <w:sz w:val="15"/>
                <w:szCs w:val="15"/>
              </w:rPr>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5" w:lineRule="exact"/>
              <w:ind w:left="271" w:right="0"/>
              <w:jc w:val="left"/>
              <w:rPr>
                <w:rFonts w:ascii="宋体" w:hAnsi="宋体" w:cs="宋体" w:eastAsia="宋体" w:hint="default"/>
                <w:sz w:val="15"/>
                <w:szCs w:val="15"/>
              </w:rPr>
            </w:pPr>
            <w:r>
              <w:rPr>
                <w:rFonts w:ascii="宋体" w:hAnsi="宋体" w:cs="宋体" w:eastAsia="宋体" w:hint="default"/>
                <w:spacing w:val="-12"/>
                <w:sz w:val="15"/>
                <w:szCs w:val="15"/>
              </w:rPr>
              <w:t>本期</w:t>
            </w:r>
            <w:r>
              <w:rPr>
                <w:rFonts w:ascii="宋体" w:hAnsi="宋体" w:cs="宋体" w:eastAsia="宋体" w:hint="default"/>
                <w:sz w:val="15"/>
                <w:szCs w:val="15"/>
              </w:rPr>
            </w:r>
          </w:p>
          <w:p>
            <w:pPr>
              <w:pStyle w:val="TableParagraph"/>
              <w:spacing w:line="195" w:lineRule="exact"/>
              <w:ind w:left="271" w:right="0"/>
              <w:jc w:val="left"/>
              <w:rPr>
                <w:rFonts w:ascii="宋体" w:hAnsi="宋体" w:cs="宋体" w:eastAsia="宋体" w:hint="default"/>
                <w:sz w:val="15"/>
                <w:szCs w:val="15"/>
              </w:rPr>
            </w:pPr>
            <w:r>
              <w:rPr>
                <w:rFonts w:ascii="宋体" w:hAnsi="宋体" w:cs="宋体" w:eastAsia="宋体" w:hint="default"/>
                <w:spacing w:val="-12"/>
                <w:sz w:val="15"/>
                <w:szCs w:val="15"/>
              </w:rPr>
              <w:t>减少</w:t>
            </w:r>
            <w:r>
              <w:rPr>
                <w:rFonts w:ascii="宋体" w:hAnsi="宋体" w:cs="宋体" w:eastAsia="宋体" w:hint="default"/>
                <w:sz w:val="15"/>
                <w:szCs w:val="15"/>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22" w:right="0"/>
              <w:jc w:val="left"/>
              <w:rPr>
                <w:rFonts w:ascii="宋体" w:hAnsi="宋体" w:cs="宋体" w:eastAsia="宋体" w:hint="default"/>
                <w:sz w:val="15"/>
                <w:szCs w:val="15"/>
              </w:rPr>
            </w:pPr>
            <w:r>
              <w:rPr>
                <w:rFonts w:ascii="宋体" w:hAnsi="宋体" w:cs="宋体" w:eastAsia="宋体" w:hint="default"/>
                <w:spacing w:val="-12"/>
                <w:sz w:val="15"/>
                <w:szCs w:val="15"/>
              </w:rPr>
              <w:t>期末</w:t>
            </w:r>
            <w:r>
              <w:rPr>
                <w:rFonts w:ascii="宋体" w:hAnsi="宋体" w:cs="宋体" w:eastAsia="宋体" w:hint="default"/>
                <w:sz w:val="15"/>
                <w:szCs w:val="15"/>
              </w:rPr>
            </w:r>
          </w:p>
        </w:tc>
        <w:tc>
          <w:tcPr>
            <w:tcW w:w="6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深圳羚羊极速科技有</w:t>
            </w:r>
            <w:r>
              <w:rPr>
                <w:rFonts w:ascii="宋体" w:hAnsi="宋体" w:cs="宋体" w:eastAsia="宋体" w:hint="default"/>
                <w:sz w:val="18"/>
                <w:szCs w:val="18"/>
              </w:rPr>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限公司</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13,000,000.00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74" w:right="0"/>
              <w:jc w:val="center"/>
              <w:rPr>
                <w:rFonts w:ascii="Times New Roman" w:hAnsi="Times New Roman" w:cs="Times New Roman" w:eastAsia="Times New Roman" w:hint="default"/>
                <w:sz w:val="15"/>
                <w:szCs w:val="15"/>
              </w:rPr>
            </w:pPr>
            <w:r>
              <w:rPr>
                <w:rFonts w:ascii="Times New Roman"/>
                <w:spacing w:val="-6"/>
                <w:sz w:val="15"/>
              </w:rPr>
              <w:t>13,000,000.00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5"/>
                <w:w w:val="95"/>
                <w:sz w:val="15"/>
              </w:rPr>
              <w:t>5.00%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深圳进化动力数码科</w:t>
            </w:r>
            <w:r>
              <w:rPr>
                <w:rFonts w:ascii="宋体" w:hAnsi="宋体" w:cs="宋体" w:eastAsia="宋体" w:hint="default"/>
                <w:sz w:val="18"/>
                <w:szCs w:val="18"/>
              </w:rPr>
            </w:r>
          </w:p>
          <w:p>
            <w:pPr>
              <w:pStyle w:val="TableParagraph"/>
              <w:spacing w:line="23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技有限公司</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6,531,228.00</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44" w:right="0"/>
              <w:jc w:val="center"/>
              <w:rPr>
                <w:rFonts w:ascii="Times New Roman" w:hAnsi="Times New Roman" w:cs="Times New Roman" w:eastAsia="Times New Roman" w:hint="default"/>
                <w:sz w:val="15"/>
                <w:szCs w:val="15"/>
              </w:rPr>
            </w:pPr>
            <w:r>
              <w:rPr>
                <w:rFonts w:ascii="Times New Roman"/>
                <w:spacing w:val="-6"/>
                <w:sz w:val="15"/>
              </w:rPr>
              <w:t>6,531,228.00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5"/>
                <w:w w:val="95"/>
                <w:sz w:val="15"/>
              </w:rPr>
              <w:t>0.80%</w:t>
            </w:r>
          </w:p>
        </w:tc>
        <w:tc>
          <w:tcPr>
            <w:tcW w:w="7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51" w:type="dxa"/>
        <w:tblLayout w:type="fixed"/>
        <w:tblCellMar>
          <w:top w:w="0" w:type="dxa"/>
          <w:left w:w="0" w:type="dxa"/>
          <w:bottom w:w="0" w:type="dxa"/>
          <w:right w:w="0" w:type="dxa"/>
        </w:tblCellMar>
        <w:tblLook w:val="01E0"/>
      </w:tblPr>
      <w:tblGrid>
        <w:gridCol w:w="1649"/>
        <w:gridCol w:w="968"/>
        <w:gridCol w:w="899"/>
        <w:gridCol w:w="899"/>
        <w:gridCol w:w="968"/>
        <w:gridCol w:w="829"/>
        <w:gridCol w:w="629"/>
        <w:gridCol w:w="830"/>
        <w:gridCol w:w="730"/>
        <w:gridCol w:w="628"/>
        <w:gridCol w:w="725"/>
      </w:tblGrid>
      <w:tr>
        <w:trPr>
          <w:trHeight w:val="305" w:hRule="exact"/>
        </w:trPr>
        <w:tc>
          <w:tcPr>
            <w:tcW w:w="1649" w:type="dxa"/>
            <w:tcBorders>
              <w:top w:val="single" w:sz="4" w:space="0" w:color="000000"/>
              <w:left w:val="single" w:sz="4" w:space="0" w:color="000000"/>
              <w:bottom w:val="single" w:sz="3" w:space="0" w:color="FFFFFF"/>
              <w:right w:val="single" w:sz="4" w:space="0" w:color="000000"/>
            </w:tcBorders>
            <w:shd w:val="clear" w:color="auto" w:fill="D2D2D2"/>
          </w:tcPr>
          <w:p>
            <w:pPr/>
          </w:p>
        </w:tc>
        <w:tc>
          <w:tcPr>
            <w:tcW w:w="373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pacing w:val="-12"/>
                <w:sz w:val="15"/>
                <w:szCs w:val="15"/>
              </w:rPr>
              <w:t>账面余额</w:t>
            </w:r>
            <w:r>
              <w:rPr>
                <w:rFonts w:ascii="宋体" w:hAnsi="宋体" w:cs="宋体" w:eastAsia="宋体" w:hint="default"/>
                <w:sz w:val="15"/>
                <w:szCs w:val="15"/>
              </w:rPr>
            </w:r>
          </w:p>
        </w:tc>
        <w:tc>
          <w:tcPr>
            <w:tcW w:w="301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right="0"/>
              <w:jc w:val="center"/>
              <w:rPr>
                <w:rFonts w:ascii="宋体" w:hAnsi="宋体" w:cs="宋体" w:eastAsia="宋体" w:hint="default"/>
                <w:sz w:val="15"/>
                <w:szCs w:val="15"/>
              </w:rPr>
            </w:pPr>
            <w:r>
              <w:rPr>
                <w:rFonts w:ascii="宋体" w:hAnsi="宋体" w:cs="宋体" w:eastAsia="宋体" w:hint="default"/>
                <w:spacing w:val="-12"/>
                <w:sz w:val="15"/>
                <w:szCs w:val="15"/>
              </w:rPr>
              <w:t>减值准备</w:t>
            </w:r>
            <w:r>
              <w:rPr>
                <w:rFonts w:ascii="宋体" w:hAnsi="宋体" w:cs="宋体" w:eastAsia="宋体" w:hint="default"/>
                <w:sz w:val="15"/>
                <w:szCs w:val="15"/>
              </w:rPr>
            </w:r>
          </w:p>
        </w:tc>
        <w:tc>
          <w:tcPr>
            <w:tcW w:w="628" w:type="dxa"/>
            <w:vMerge w:val="restart"/>
            <w:tcBorders>
              <w:top w:val="single" w:sz="4" w:space="0" w:color="000000"/>
              <w:left w:val="single" w:sz="4" w:space="0" w:color="000000"/>
              <w:right w:val="single" w:sz="4" w:space="0" w:color="000000"/>
            </w:tcBorders>
            <w:shd w:val="clear" w:color="auto" w:fill="D2D2D2"/>
          </w:tcPr>
          <w:p>
            <w:pPr>
              <w:pStyle w:val="TableParagraph"/>
              <w:spacing w:line="194" w:lineRule="exact" w:before="8"/>
              <w:ind w:left="100" w:right="101"/>
              <w:jc w:val="center"/>
              <w:rPr>
                <w:rFonts w:ascii="宋体" w:hAnsi="宋体" w:cs="宋体" w:eastAsia="宋体" w:hint="default"/>
                <w:sz w:val="15"/>
                <w:szCs w:val="15"/>
              </w:rPr>
            </w:pPr>
            <w:r>
              <w:rPr>
                <w:rFonts w:ascii="宋体" w:hAnsi="宋体" w:cs="宋体" w:eastAsia="宋体" w:hint="default"/>
                <w:spacing w:val="-12"/>
                <w:sz w:val="15"/>
                <w:szCs w:val="15"/>
              </w:rPr>
              <w:t>在被投 资单位 持股比 </w:t>
            </w:r>
            <w:r>
              <w:rPr>
                <w:rFonts w:ascii="宋体" w:hAnsi="宋体" w:cs="宋体" w:eastAsia="宋体" w:hint="default"/>
                <w:sz w:val="15"/>
                <w:szCs w:val="15"/>
              </w:rPr>
              <w:t>例</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9" w:right="79" w:hanging="138"/>
              <w:jc w:val="left"/>
              <w:rPr>
                <w:rFonts w:ascii="宋体" w:hAnsi="宋体" w:cs="宋体" w:eastAsia="宋体" w:hint="default"/>
                <w:sz w:val="15"/>
                <w:szCs w:val="15"/>
              </w:rPr>
            </w:pPr>
            <w:r>
              <w:rPr>
                <w:rFonts w:ascii="宋体" w:hAnsi="宋体" w:cs="宋体" w:eastAsia="宋体" w:hint="default"/>
                <w:spacing w:val="-12"/>
                <w:sz w:val="15"/>
                <w:szCs w:val="15"/>
              </w:rPr>
              <w:t>本期现金 红利</w:t>
            </w:r>
            <w:r>
              <w:rPr>
                <w:rFonts w:ascii="宋体" w:hAnsi="宋体" w:cs="宋体" w:eastAsia="宋体" w:hint="default"/>
                <w:sz w:val="15"/>
                <w:szCs w:val="15"/>
              </w:rPr>
            </w:r>
          </w:p>
        </w:tc>
      </w:tr>
      <w:tr>
        <w:trPr>
          <w:trHeight w:val="102" w:hRule="exact"/>
        </w:trPr>
        <w:tc>
          <w:tcPr>
            <w:tcW w:w="1649" w:type="dxa"/>
            <w:vMerge w:val="restart"/>
            <w:tcBorders>
              <w:top w:val="single" w:sz="3" w:space="0" w:color="FFFFFF"/>
              <w:left w:val="single" w:sz="4" w:space="0" w:color="000000"/>
              <w:right w:val="single" w:sz="4" w:space="0" w:color="000000"/>
            </w:tcBorders>
            <w:shd w:val="clear" w:color="auto" w:fill="D2D2D2"/>
          </w:tcPr>
          <w:p>
            <w:pPr>
              <w:pStyle w:val="TableParagraph"/>
              <w:spacing w:line="171" w:lineRule="exact"/>
              <w:ind w:left="474" w:right="0"/>
              <w:jc w:val="left"/>
              <w:rPr>
                <w:rFonts w:ascii="宋体" w:hAnsi="宋体" w:cs="宋体" w:eastAsia="宋体" w:hint="default"/>
                <w:sz w:val="15"/>
                <w:szCs w:val="15"/>
              </w:rPr>
            </w:pPr>
            <w:r>
              <w:rPr>
                <w:rFonts w:ascii="宋体" w:hAnsi="宋体" w:cs="宋体" w:eastAsia="宋体" w:hint="default"/>
                <w:spacing w:val="-12"/>
                <w:sz w:val="15"/>
                <w:szCs w:val="15"/>
              </w:rPr>
              <w:t>被投资单位</w:t>
            </w:r>
            <w:r>
              <w:rPr>
                <w:rFonts w:ascii="宋体" w:hAnsi="宋体" w:cs="宋体" w:eastAsia="宋体" w:hint="default"/>
                <w:sz w:val="15"/>
                <w:szCs w:val="15"/>
              </w:rPr>
            </w:r>
          </w:p>
        </w:tc>
        <w:tc>
          <w:tcPr>
            <w:tcW w:w="3735" w:type="dxa"/>
            <w:gridSpan w:val="4"/>
            <w:vMerge/>
            <w:tcBorders>
              <w:left w:val="single" w:sz="4" w:space="0" w:color="000000"/>
              <w:bottom w:val="single" w:sz="4" w:space="0" w:color="000000"/>
              <w:right w:val="single" w:sz="4" w:space="0" w:color="000000"/>
            </w:tcBorders>
            <w:shd w:val="clear" w:color="auto" w:fill="D2D2D2"/>
          </w:tcPr>
          <w:p>
            <w:pPr/>
          </w:p>
        </w:tc>
        <w:tc>
          <w:tcPr>
            <w:tcW w:w="3017" w:type="dxa"/>
            <w:gridSpan w:val="4"/>
            <w:vMerge/>
            <w:tcBorders>
              <w:left w:val="single" w:sz="4" w:space="0" w:color="000000"/>
              <w:bottom w:val="single" w:sz="4" w:space="0" w:color="000000"/>
              <w:right w:val="single" w:sz="4" w:space="0" w:color="000000"/>
            </w:tcBorders>
            <w:shd w:val="clear" w:color="auto" w:fill="D2D2D2"/>
          </w:tcPr>
          <w:p>
            <w:pPr/>
          </w:p>
        </w:tc>
        <w:tc>
          <w:tcPr>
            <w:tcW w:w="6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406" w:hRule="exact"/>
        </w:trPr>
        <w:tc>
          <w:tcPr>
            <w:tcW w:w="1649" w:type="dxa"/>
            <w:vMerge/>
            <w:tcBorders>
              <w:left w:val="single" w:sz="4" w:space="0" w:color="000000"/>
              <w:bottom w:val="single" w:sz="4" w:space="0" w:color="000000"/>
              <w:right w:val="single" w:sz="4" w:space="0" w:color="000000"/>
            </w:tcBorders>
            <w:shd w:val="clear" w:color="auto" w:fill="D2D2D2"/>
          </w:tcPr>
          <w:p>
            <w:pP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pacing w:val="-12"/>
                <w:sz w:val="15"/>
                <w:szCs w:val="15"/>
              </w:rPr>
              <w:t>期初</w:t>
            </w:r>
            <w:r>
              <w:rPr>
                <w:rFonts w:ascii="宋体" w:hAnsi="宋体" w:cs="宋体" w:eastAsia="宋体" w:hint="default"/>
                <w:sz w:val="15"/>
                <w:szCs w:val="15"/>
              </w:rPr>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right="1"/>
              <w:jc w:val="center"/>
              <w:rPr>
                <w:rFonts w:ascii="宋体" w:hAnsi="宋体" w:cs="宋体" w:eastAsia="宋体" w:hint="default"/>
                <w:sz w:val="15"/>
                <w:szCs w:val="15"/>
              </w:rPr>
            </w:pPr>
            <w:r>
              <w:rPr>
                <w:rFonts w:ascii="宋体" w:hAnsi="宋体" w:cs="宋体" w:eastAsia="宋体" w:hint="default"/>
                <w:spacing w:val="-12"/>
                <w:sz w:val="15"/>
                <w:szCs w:val="15"/>
              </w:rPr>
              <w:t>本期</w:t>
            </w:r>
            <w:r>
              <w:rPr>
                <w:rFonts w:ascii="宋体" w:hAnsi="宋体" w:cs="宋体" w:eastAsia="宋体" w:hint="default"/>
                <w:sz w:val="15"/>
                <w:szCs w:val="15"/>
              </w:rPr>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pacing w:val="-12"/>
                <w:sz w:val="15"/>
                <w:szCs w:val="15"/>
              </w:rPr>
              <w:t>增加</w:t>
            </w:r>
            <w:r>
              <w:rPr>
                <w:rFonts w:ascii="宋体" w:hAnsi="宋体" w:cs="宋体" w:eastAsia="宋体" w:hint="default"/>
                <w:sz w:val="15"/>
                <w:szCs w:val="15"/>
              </w:rPr>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本期</w:t>
            </w:r>
            <w:r>
              <w:rPr>
                <w:rFonts w:ascii="宋体" w:hAnsi="宋体" w:cs="宋体" w:eastAsia="宋体" w:hint="default"/>
                <w:sz w:val="15"/>
                <w:szCs w:val="15"/>
              </w:rPr>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减少</w:t>
            </w:r>
            <w:r>
              <w:rPr>
                <w:rFonts w:ascii="宋体" w:hAnsi="宋体" w:cs="宋体" w:eastAsia="宋体" w:hint="default"/>
                <w:sz w:val="15"/>
                <w:szCs w:val="15"/>
              </w:rPr>
            </w:r>
          </w:p>
        </w:tc>
        <w:tc>
          <w:tcPr>
            <w:tcW w:w="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宋体" w:hAnsi="宋体" w:cs="宋体" w:eastAsia="宋体" w:hint="default"/>
                <w:sz w:val="15"/>
                <w:szCs w:val="15"/>
              </w:rPr>
            </w:pPr>
            <w:r>
              <w:rPr>
                <w:rFonts w:ascii="宋体" w:hAnsi="宋体" w:cs="宋体" w:eastAsia="宋体" w:hint="default"/>
                <w:spacing w:val="-12"/>
                <w:sz w:val="15"/>
                <w:szCs w:val="15"/>
              </w:rPr>
              <w:t>期末</w:t>
            </w:r>
            <w:r>
              <w:rPr>
                <w:rFonts w:ascii="宋体" w:hAnsi="宋体" w:cs="宋体" w:eastAsia="宋体" w:hint="default"/>
                <w:sz w:val="15"/>
                <w:szCs w:val="15"/>
              </w:rPr>
            </w:r>
          </w:p>
        </w:tc>
        <w:tc>
          <w:tcPr>
            <w:tcW w:w="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71" w:right="0"/>
              <w:jc w:val="left"/>
              <w:rPr>
                <w:rFonts w:ascii="宋体" w:hAnsi="宋体" w:cs="宋体" w:eastAsia="宋体" w:hint="default"/>
                <w:sz w:val="15"/>
                <w:szCs w:val="15"/>
              </w:rPr>
            </w:pPr>
            <w:r>
              <w:rPr>
                <w:rFonts w:ascii="宋体" w:hAnsi="宋体" w:cs="宋体" w:eastAsia="宋体" w:hint="default"/>
                <w:spacing w:val="-12"/>
                <w:sz w:val="15"/>
                <w:szCs w:val="15"/>
              </w:rPr>
              <w:t>期初</w:t>
            </w:r>
            <w:r>
              <w:rPr>
                <w:rFonts w:ascii="宋体" w:hAnsi="宋体" w:cs="宋体" w:eastAsia="宋体" w:hint="default"/>
                <w:sz w:val="15"/>
                <w:szCs w:val="15"/>
              </w:rPr>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171" w:right="0"/>
              <w:jc w:val="left"/>
              <w:rPr>
                <w:rFonts w:ascii="宋体" w:hAnsi="宋体" w:cs="宋体" w:eastAsia="宋体" w:hint="default"/>
                <w:sz w:val="15"/>
                <w:szCs w:val="15"/>
              </w:rPr>
            </w:pPr>
            <w:r>
              <w:rPr>
                <w:rFonts w:ascii="宋体" w:hAnsi="宋体" w:cs="宋体" w:eastAsia="宋体" w:hint="default"/>
                <w:spacing w:val="-12"/>
                <w:sz w:val="15"/>
                <w:szCs w:val="15"/>
              </w:rPr>
              <w:t>本期</w:t>
            </w:r>
            <w:r>
              <w:rPr>
                <w:rFonts w:ascii="宋体" w:hAnsi="宋体" w:cs="宋体" w:eastAsia="宋体" w:hint="default"/>
                <w:sz w:val="15"/>
                <w:szCs w:val="15"/>
              </w:rPr>
            </w:r>
          </w:p>
          <w:p>
            <w:pPr>
              <w:pStyle w:val="TableParagraph"/>
              <w:spacing w:line="195" w:lineRule="exact"/>
              <w:ind w:left="171" w:right="0"/>
              <w:jc w:val="left"/>
              <w:rPr>
                <w:rFonts w:ascii="宋体" w:hAnsi="宋体" w:cs="宋体" w:eastAsia="宋体" w:hint="default"/>
                <w:sz w:val="15"/>
                <w:szCs w:val="15"/>
              </w:rPr>
            </w:pPr>
            <w:r>
              <w:rPr>
                <w:rFonts w:ascii="宋体" w:hAnsi="宋体" w:cs="宋体" w:eastAsia="宋体" w:hint="default"/>
                <w:spacing w:val="-12"/>
                <w:sz w:val="15"/>
                <w:szCs w:val="15"/>
              </w:rPr>
              <w:t>增加</w:t>
            </w:r>
            <w:r>
              <w:rPr>
                <w:rFonts w:ascii="宋体" w:hAnsi="宋体" w:cs="宋体" w:eastAsia="宋体" w:hint="default"/>
                <w:sz w:val="15"/>
                <w:szCs w:val="15"/>
              </w:rPr>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ind w:left="271" w:right="0"/>
              <w:jc w:val="left"/>
              <w:rPr>
                <w:rFonts w:ascii="宋体" w:hAnsi="宋体" w:cs="宋体" w:eastAsia="宋体" w:hint="default"/>
                <w:sz w:val="15"/>
                <w:szCs w:val="15"/>
              </w:rPr>
            </w:pPr>
            <w:r>
              <w:rPr>
                <w:rFonts w:ascii="宋体" w:hAnsi="宋体" w:cs="宋体" w:eastAsia="宋体" w:hint="default"/>
                <w:spacing w:val="-12"/>
                <w:sz w:val="15"/>
                <w:szCs w:val="15"/>
              </w:rPr>
              <w:t>本期</w:t>
            </w:r>
            <w:r>
              <w:rPr>
                <w:rFonts w:ascii="宋体" w:hAnsi="宋体" w:cs="宋体" w:eastAsia="宋体" w:hint="default"/>
                <w:sz w:val="15"/>
                <w:szCs w:val="15"/>
              </w:rPr>
            </w:r>
          </w:p>
          <w:p>
            <w:pPr>
              <w:pStyle w:val="TableParagraph"/>
              <w:spacing w:line="195" w:lineRule="exact"/>
              <w:ind w:left="271" w:right="0"/>
              <w:jc w:val="left"/>
              <w:rPr>
                <w:rFonts w:ascii="宋体" w:hAnsi="宋体" w:cs="宋体" w:eastAsia="宋体" w:hint="default"/>
                <w:sz w:val="15"/>
                <w:szCs w:val="15"/>
              </w:rPr>
            </w:pPr>
            <w:r>
              <w:rPr>
                <w:rFonts w:ascii="宋体" w:hAnsi="宋体" w:cs="宋体" w:eastAsia="宋体" w:hint="default"/>
                <w:spacing w:val="-12"/>
                <w:sz w:val="15"/>
                <w:szCs w:val="15"/>
              </w:rPr>
              <w:t>减少</w:t>
            </w:r>
            <w:r>
              <w:rPr>
                <w:rFonts w:ascii="宋体" w:hAnsi="宋体" w:cs="宋体" w:eastAsia="宋体" w:hint="default"/>
                <w:sz w:val="15"/>
                <w:szCs w:val="15"/>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宋体" w:hAnsi="宋体" w:cs="宋体" w:eastAsia="宋体" w:hint="default"/>
                <w:sz w:val="15"/>
                <w:szCs w:val="15"/>
              </w:rPr>
            </w:pPr>
            <w:r>
              <w:rPr>
                <w:rFonts w:ascii="宋体" w:hAnsi="宋体" w:cs="宋体" w:eastAsia="宋体" w:hint="default"/>
                <w:spacing w:val="-12"/>
                <w:sz w:val="15"/>
                <w:szCs w:val="15"/>
              </w:rPr>
              <w:t>期末</w:t>
            </w:r>
            <w:r>
              <w:rPr>
                <w:rFonts w:ascii="宋体" w:hAnsi="宋体" w:cs="宋体" w:eastAsia="宋体" w:hint="default"/>
                <w:sz w:val="15"/>
                <w:szCs w:val="15"/>
              </w:rPr>
            </w:r>
          </w:p>
        </w:tc>
        <w:tc>
          <w:tcPr>
            <w:tcW w:w="6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深圳安创科技股权投</w:t>
            </w:r>
            <w:r>
              <w:rPr>
                <w:rFonts w:ascii="宋体" w:hAnsi="宋体" w:cs="宋体" w:eastAsia="宋体" w:hint="default"/>
                <w:sz w:val="18"/>
                <w:szCs w:val="18"/>
              </w:rPr>
            </w:r>
          </w:p>
          <w:p>
            <w:pPr>
              <w:pStyle w:val="TableParagraph"/>
              <w:spacing w:line="240" w:lineRule="auto"/>
              <w:ind w:left="52" w:right="72"/>
              <w:jc w:val="left"/>
              <w:rPr>
                <w:rFonts w:ascii="宋体" w:hAnsi="宋体" w:cs="宋体" w:eastAsia="宋体" w:hint="default"/>
                <w:sz w:val="18"/>
                <w:szCs w:val="18"/>
              </w:rPr>
            </w:pPr>
            <w:r>
              <w:rPr>
                <w:rFonts w:ascii="宋体" w:hAnsi="宋体" w:cs="宋体" w:eastAsia="宋体" w:hint="default"/>
                <w:spacing w:val="-12"/>
                <w:sz w:val="18"/>
                <w:szCs w:val="18"/>
              </w:rPr>
              <w:t>资合伙企业（有限合 伙）</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3,000,000.00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3,000,000.00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6,000,000.00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5"/>
                <w:w w:val="95"/>
                <w:sz w:val="15"/>
              </w:rPr>
              <w:t>6.78%</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重庆极创渝源股权投</w:t>
            </w:r>
            <w:r>
              <w:rPr>
                <w:rFonts w:ascii="宋体" w:hAnsi="宋体" w:cs="宋体" w:eastAsia="宋体" w:hint="default"/>
                <w:sz w:val="18"/>
                <w:szCs w:val="18"/>
              </w:rPr>
            </w:r>
          </w:p>
          <w:p>
            <w:pPr>
              <w:pStyle w:val="TableParagraph"/>
              <w:spacing w:line="240" w:lineRule="auto"/>
              <w:ind w:left="52" w:right="72"/>
              <w:jc w:val="left"/>
              <w:rPr>
                <w:rFonts w:ascii="宋体" w:hAnsi="宋体" w:cs="宋体" w:eastAsia="宋体" w:hint="default"/>
                <w:sz w:val="18"/>
                <w:szCs w:val="18"/>
              </w:rPr>
            </w:pPr>
            <w:r>
              <w:rPr>
                <w:rFonts w:ascii="宋体" w:hAnsi="宋体" w:cs="宋体" w:eastAsia="宋体" w:hint="default"/>
                <w:spacing w:val="-12"/>
                <w:sz w:val="18"/>
                <w:szCs w:val="18"/>
              </w:rPr>
              <w:t>资基金合伙企业（有 限合伙）</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50,000,000.00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50,000,000.00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7"/>
                <w:sz w:val="15"/>
              </w:rPr>
              <w:t>100,000,000.00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6"/>
                <w:sz w:val="15"/>
              </w:rPr>
              <w:t>22.50%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pacing w:val="-6"/>
                <w:sz w:val="18"/>
              </w:rPr>
              <w:t>PerceptIn</w:t>
            </w:r>
            <w:r>
              <w:rPr>
                <w:rFonts w:ascii="Times New Roman"/>
                <w:spacing w:val="-8"/>
                <w:sz w:val="18"/>
              </w:rPr>
              <w:t> </w:t>
            </w:r>
            <w:r>
              <w:rPr>
                <w:rFonts w:ascii="Times New Roman"/>
                <w:spacing w:val="-5"/>
                <w:sz w:val="18"/>
              </w:rPr>
              <w:t>Inc.,</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438,008.96</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31" w:right="0"/>
              <w:jc w:val="center"/>
              <w:rPr>
                <w:rFonts w:ascii="Times New Roman" w:hAnsi="Times New Roman" w:cs="Times New Roman" w:eastAsia="Times New Roman" w:hint="default"/>
                <w:sz w:val="15"/>
                <w:szCs w:val="15"/>
              </w:rPr>
            </w:pPr>
            <w:r>
              <w:rPr>
                <w:rFonts w:ascii="Times New Roman"/>
                <w:spacing w:val="-6"/>
                <w:sz w:val="15"/>
              </w:rPr>
              <w:t>-219,004.48</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219,004.48</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5"/>
                <w:sz w:val="15"/>
              </w:rPr>
              <w:t>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3"/>
              <w:jc w:val="right"/>
              <w:rPr>
                <w:rFonts w:ascii="Times New Roman" w:hAnsi="Times New Roman" w:cs="Times New Roman" w:eastAsia="Times New Roman" w:hint="default"/>
                <w:sz w:val="15"/>
                <w:szCs w:val="15"/>
              </w:rPr>
            </w:pPr>
            <w:r>
              <w:rPr>
                <w:rFonts w:ascii="Times New Roman"/>
                <w:spacing w:val="-5"/>
                <w:w w:val="95"/>
                <w:sz w:val="15"/>
              </w:rPr>
              <w:t>0.69%</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pacing w:val="-6"/>
                <w:sz w:val="18"/>
              </w:rPr>
              <w:t>Trifo</w:t>
            </w:r>
          </w:p>
        </w:tc>
        <w:tc>
          <w:tcPr>
            <w:tcW w:w="96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-219,004.48</w:t>
            </w: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219,004.48</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3"/>
              <w:jc w:val="right"/>
              <w:rPr>
                <w:rFonts w:ascii="Times New Roman" w:hAnsi="Times New Roman" w:cs="Times New Roman" w:eastAsia="Times New Roman" w:hint="default"/>
                <w:sz w:val="15"/>
                <w:szCs w:val="15"/>
              </w:rPr>
            </w:pPr>
            <w:r>
              <w:rPr>
                <w:rFonts w:ascii="Times New Roman"/>
                <w:spacing w:val="-5"/>
                <w:w w:val="95"/>
                <w:sz w:val="15"/>
              </w:rPr>
              <w:t>0.69%</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left"/>
              <w:rPr>
                <w:rFonts w:ascii="Times New Roman" w:hAnsi="Times New Roman" w:cs="Times New Roman" w:eastAsia="Times New Roman" w:hint="default"/>
                <w:sz w:val="18"/>
                <w:szCs w:val="18"/>
              </w:rPr>
            </w:pPr>
            <w:r>
              <w:rPr>
                <w:rFonts w:ascii="Times New Roman"/>
                <w:spacing w:val="-6"/>
                <w:sz w:val="18"/>
              </w:rPr>
              <w:t>Sesame </w:t>
            </w:r>
            <w:r>
              <w:rPr>
                <w:rFonts w:ascii="Times New Roman"/>
                <w:spacing w:val="-5"/>
                <w:sz w:val="18"/>
              </w:rPr>
              <w:t>Pie</w:t>
            </w:r>
            <w:r>
              <w:rPr>
                <w:rFonts w:ascii="Times New Roman"/>
                <w:spacing w:val="-9"/>
                <w:sz w:val="18"/>
              </w:rPr>
              <w:t> </w:t>
            </w:r>
            <w:r>
              <w:rPr>
                <w:rFonts w:ascii="Times New Roman"/>
                <w:spacing w:val="-6"/>
                <w:sz w:val="18"/>
              </w:rPr>
              <w:t>Limited</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4"/>
              <w:jc w:val="right"/>
              <w:rPr>
                <w:rFonts w:ascii="Times New Roman" w:hAnsi="Times New Roman" w:cs="Times New Roman" w:eastAsia="Times New Roman" w:hint="default"/>
                <w:sz w:val="15"/>
                <w:szCs w:val="15"/>
              </w:rPr>
            </w:pPr>
            <w:r>
              <w:rPr>
                <w:rFonts w:ascii="Times New Roman"/>
                <w:spacing w:val="-6"/>
                <w:sz w:val="15"/>
              </w:rPr>
              <w:t>1,275,040.00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4"/>
              <w:jc w:val="right"/>
              <w:rPr>
                <w:rFonts w:ascii="Times New Roman" w:hAnsi="Times New Roman" w:cs="Times New Roman" w:eastAsia="Times New Roman" w:hint="default"/>
                <w:sz w:val="15"/>
                <w:szCs w:val="15"/>
              </w:rPr>
            </w:pPr>
            <w:r>
              <w:rPr>
                <w:rFonts w:ascii="Times New Roman"/>
                <w:spacing w:val="-6"/>
                <w:sz w:val="15"/>
              </w:rPr>
              <w:t>1,275,040.00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43"/>
              <w:jc w:val="right"/>
              <w:rPr>
                <w:rFonts w:ascii="Times New Roman" w:hAnsi="Times New Roman" w:cs="Times New Roman" w:eastAsia="Times New Roman" w:hint="default"/>
                <w:sz w:val="15"/>
                <w:szCs w:val="15"/>
              </w:rPr>
            </w:pPr>
            <w:r>
              <w:rPr>
                <w:rFonts w:ascii="Times New Roman"/>
                <w:spacing w:val="-5"/>
                <w:w w:val="95"/>
                <w:sz w:val="15"/>
              </w:rPr>
              <w:t>0.95%</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 w:right="200"/>
              <w:jc w:val="left"/>
              <w:rPr>
                <w:rFonts w:ascii="Times New Roman" w:hAnsi="Times New Roman" w:cs="Times New Roman" w:eastAsia="Times New Roman" w:hint="default"/>
                <w:sz w:val="18"/>
                <w:szCs w:val="18"/>
              </w:rPr>
            </w:pPr>
            <w:r>
              <w:rPr>
                <w:rFonts w:ascii="Times New Roman"/>
                <w:spacing w:val="-6"/>
                <w:sz w:val="18"/>
              </w:rPr>
              <w:t>Evolution Dynamics</w:t>
            </w:r>
            <w:r>
              <w:rPr>
                <w:rFonts w:ascii="Times New Roman"/>
                <w:spacing w:val="-42"/>
                <w:sz w:val="18"/>
              </w:rPr>
              <w:t> </w:t>
            </w:r>
            <w:r>
              <w:rPr>
                <w:rFonts w:ascii="Times New Roman"/>
                <w:spacing w:val="-42"/>
                <w:sz w:val="18"/>
              </w:rPr>
            </w:r>
            <w:r>
              <w:rPr>
                <w:rFonts w:ascii="Times New Roman"/>
                <w:spacing w:val="-5"/>
                <w:sz w:val="18"/>
              </w:rPr>
              <w:t>Ltd.</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531,778.82</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531,778.82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531,778.82</w:t>
            </w: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 w:right="0"/>
              <w:jc w:val="center"/>
              <w:rPr>
                <w:rFonts w:ascii="Times New Roman" w:hAnsi="Times New Roman" w:cs="Times New Roman" w:eastAsia="Times New Roman" w:hint="default"/>
                <w:sz w:val="15"/>
                <w:szCs w:val="15"/>
              </w:rPr>
            </w:pPr>
            <w:r>
              <w:rPr>
                <w:rFonts w:ascii="Times New Roman"/>
                <w:spacing w:val="-6"/>
                <w:sz w:val="15"/>
              </w:rPr>
              <w:t>531,778.82</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3"/>
              <w:jc w:val="right"/>
              <w:rPr>
                <w:rFonts w:ascii="Times New Roman" w:hAnsi="Times New Roman" w:cs="Times New Roman" w:eastAsia="Times New Roman" w:hint="default"/>
                <w:sz w:val="15"/>
                <w:szCs w:val="15"/>
              </w:rPr>
            </w:pPr>
            <w:r>
              <w:rPr>
                <w:rFonts w:ascii="Times New Roman"/>
                <w:spacing w:val="-5"/>
                <w:w w:val="95"/>
                <w:sz w:val="15"/>
              </w:rPr>
              <w:t>1.00%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 w:right="400"/>
              <w:jc w:val="left"/>
              <w:rPr>
                <w:rFonts w:ascii="Times New Roman" w:hAnsi="Times New Roman" w:cs="Times New Roman" w:eastAsia="Times New Roman" w:hint="default"/>
                <w:sz w:val="18"/>
                <w:szCs w:val="18"/>
              </w:rPr>
            </w:pPr>
            <w:r>
              <w:rPr>
                <w:rFonts w:ascii="Times New Roman"/>
                <w:spacing w:val="-8"/>
                <w:sz w:val="18"/>
              </w:rPr>
              <w:t>CISTA</w:t>
            </w:r>
            <w:r>
              <w:rPr>
                <w:rFonts w:ascii="Times New Roman"/>
                <w:spacing w:val="-21"/>
                <w:sz w:val="18"/>
              </w:rPr>
              <w:t> </w:t>
            </w:r>
            <w:r>
              <w:rPr>
                <w:rFonts w:ascii="Times New Roman"/>
                <w:spacing w:val="-6"/>
                <w:sz w:val="18"/>
              </w:rPr>
              <w:t>SYSTEM</w:t>
            </w:r>
            <w:r>
              <w:rPr>
                <w:rFonts w:ascii="Times New Roman"/>
                <w:w w:val="99"/>
                <w:sz w:val="18"/>
              </w:rPr>
              <w:t> </w:t>
            </w:r>
            <w:r>
              <w:rPr>
                <w:rFonts w:ascii="Times New Roman"/>
                <w:spacing w:val="-10"/>
                <w:sz w:val="18"/>
              </w:rPr>
              <w:t>CORP.</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9,361,700.00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9,361,700.00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3"/>
              <w:jc w:val="right"/>
              <w:rPr>
                <w:rFonts w:ascii="Times New Roman" w:hAnsi="Times New Roman" w:cs="Times New Roman" w:eastAsia="Times New Roman" w:hint="default"/>
                <w:sz w:val="15"/>
                <w:szCs w:val="15"/>
              </w:rPr>
            </w:pPr>
            <w:r>
              <w:rPr>
                <w:rFonts w:ascii="Times New Roman"/>
                <w:spacing w:val="-5"/>
                <w:w w:val="95"/>
                <w:sz w:val="15"/>
              </w:rPr>
              <w:t>2.35%</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pacing w:val="-5"/>
                <w:sz w:val="18"/>
              </w:rPr>
              <w:t>Nok Nok</w:t>
            </w:r>
            <w:r>
              <w:rPr>
                <w:rFonts w:ascii="Times New Roman"/>
                <w:spacing w:val="-12"/>
                <w:sz w:val="18"/>
              </w:rPr>
              <w:t> </w:t>
            </w:r>
            <w:r>
              <w:rPr>
                <w:rFonts w:ascii="Times New Roman"/>
                <w:spacing w:val="-6"/>
                <w:sz w:val="18"/>
              </w:rPr>
              <w:t>Labs,Inc</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9,622,832.56</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9,622,832.56</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3"/>
              <w:jc w:val="right"/>
              <w:rPr>
                <w:rFonts w:ascii="Times New Roman" w:hAnsi="Times New Roman" w:cs="Times New Roman" w:eastAsia="Times New Roman" w:hint="default"/>
                <w:sz w:val="15"/>
                <w:szCs w:val="15"/>
              </w:rPr>
            </w:pPr>
            <w:r>
              <w:rPr>
                <w:rFonts w:ascii="Times New Roman"/>
                <w:spacing w:val="-5"/>
                <w:w w:val="95"/>
                <w:sz w:val="15"/>
              </w:rPr>
              <w:t>4.00%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BELLUS</w:t>
            </w:r>
            <w:r>
              <w:rPr>
                <w:rFonts w:ascii="Times New Roman" w:hAnsi="Times New Roman" w:cs="Times New Roman" w:eastAsia="Times New Roman" w:hint="default"/>
                <w:spacing w:val="-7"/>
                <w:sz w:val="18"/>
                <w:szCs w:val="18"/>
              </w:rPr>
              <w:t> 3D</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INC</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10,017,599.73</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10,017,599.73</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3"/>
              <w:jc w:val="right"/>
              <w:rPr>
                <w:rFonts w:ascii="Times New Roman" w:hAnsi="Times New Roman" w:cs="Times New Roman" w:eastAsia="Times New Roman" w:hint="default"/>
                <w:sz w:val="15"/>
                <w:szCs w:val="15"/>
              </w:rPr>
            </w:pPr>
            <w:r>
              <w:rPr>
                <w:rFonts w:ascii="Times New Roman"/>
                <w:spacing w:val="-7"/>
                <w:sz w:val="15"/>
              </w:rPr>
              <w:t>11.22%</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 w:right="409"/>
              <w:jc w:val="left"/>
              <w:rPr>
                <w:rFonts w:ascii="Times New Roman" w:hAnsi="Times New Roman" w:cs="Times New Roman" w:eastAsia="Times New Roman" w:hint="default"/>
                <w:sz w:val="18"/>
                <w:szCs w:val="18"/>
              </w:rPr>
            </w:pPr>
            <w:r>
              <w:rPr>
                <w:rFonts w:ascii="Times New Roman"/>
                <w:spacing w:val="-6"/>
                <w:sz w:val="18"/>
              </w:rPr>
              <w:t>BYROBOT</w:t>
            </w:r>
            <w:r>
              <w:rPr>
                <w:rFonts w:ascii="Times New Roman"/>
                <w:spacing w:val="-16"/>
                <w:sz w:val="18"/>
              </w:rPr>
              <w:t> </w:t>
            </w:r>
            <w:r>
              <w:rPr>
                <w:rFonts w:ascii="Times New Roman"/>
                <w:spacing w:val="-5"/>
                <w:sz w:val="18"/>
              </w:rPr>
              <w:t>CO.,</w:t>
            </w:r>
            <w:r>
              <w:rPr>
                <w:rFonts w:ascii="Times New Roman"/>
                <w:sz w:val="18"/>
              </w:rPr>
              <w:t> </w:t>
            </w:r>
            <w:r>
              <w:rPr>
                <w:rFonts w:ascii="Times New Roman"/>
                <w:spacing w:val="-9"/>
                <w:sz w:val="18"/>
              </w:rPr>
              <w:t>LTD.</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7"/>
                <w:sz w:val="15"/>
              </w:rPr>
              <w:t>11,844,000.00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7"/>
                <w:sz w:val="15"/>
              </w:rPr>
              <w:t>11,844,000.00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3"/>
              <w:jc w:val="right"/>
              <w:rPr>
                <w:rFonts w:ascii="Times New Roman" w:hAnsi="Times New Roman" w:cs="Times New Roman" w:eastAsia="Times New Roman" w:hint="default"/>
                <w:sz w:val="15"/>
                <w:szCs w:val="15"/>
              </w:rPr>
            </w:pPr>
            <w:r>
              <w:rPr>
                <w:rFonts w:ascii="Times New Roman"/>
                <w:spacing w:val="-6"/>
                <w:sz w:val="15"/>
              </w:rPr>
              <w:t>16.67%</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 w:right="148"/>
              <w:jc w:val="left"/>
              <w:rPr>
                <w:rFonts w:ascii="Times New Roman" w:hAnsi="Times New Roman" w:cs="Times New Roman" w:eastAsia="Times New Roman" w:hint="default"/>
                <w:sz w:val="18"/>
                <w:szCs w:val="18"/>
              </w:rPr>
            </w:pPr>
            <w:r>
              <w:rPr>
                <w:rFonts w:ascii="Times New Roman"/>
                <w:spacing w:val="-5"/>
                <w:sz w:val="18"/>
              </w:rPr>
              <w:t>Black</w:t>
            </w:r>
            <w:r>
              <w:rPr>
                <w:rFonts w:ascii="Times New Roman"/>
                <w:spacing w:val="-13"/>
                <w:sz w:val="18"/>
              </w:rPr>
              <w:t> </w:t>
            </w:r>
            <w:r>
              <w:rPr>
                <w:rFonts w:ascii="Times New Roman"/>
                <w:spacing w:val="-6"/>
                <w:sz w:val="18"/>
              </w:rPr>
              <w:t>Sesame</w:t>
            </w:r>
            <w:r>
              <w:rPr>
                <w:rFonts w:ascii="Times New Roman"/>
                <w:spacing w:val="-43"/>
                <w:sz w:val="18"/>
              </w:rPr>
              <w:t> </w:t>
            </w:r>
            <w:r>
              <w:rPr>
                <w:rFonts w:ascii="Times New Roman"/>
                <w:spacing w:val="-43"/>
                <w:sz w:val="18"/>
              </w:rPr>
            </w:r>
            <w:r>
              <w:rPr>
                <w:rFonts w:ascii="Times New Roman"/>
                <w:spacing w:val="-6"/>
                <w:sz w:val="18"/>
              </w:rPr>
              <w:t>International Holding</w:t>
            </w:r>
            <w:r>
              <w:rPr>
                <w:rFonts w:ascii="Times New Roman"/>
                <w:spacing w:val="-43"/>
                <w:sz w:val="18"/>
              </w:rPr>
              <w:t> </w:t>
            </w:r>
            <w:r>
              <w:rPr>
                <w:rFonts w:ascii="Times New Roman"/>
                <w:spacing w:val="-43"/>
                <w:sz w:val="18"/>
              </w:rPr>
            </w:r>
            <w:r>
              <w:rPr>
                <w:rFonts w:ascii="Times New Roman"/>
                <w:spacing w:val="-6"/>
                <w:sz w:val="18"/>
              </w:rPr>
              <w:t>Limited</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7,450,740.00</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2,613,465.17</w:t>
            </w: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10,064,205.17</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5"/>
                <w:w w:val="95"/>
                <w:sz w:val="15"/>
              </w:rPr>
              <w:t>3.26%</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left"/>
              <w:rPr>
                <w:rFonts w:ascii="Times New Roman" w:hAnsi="Times New Roman" w:cs="Times New Roman" w:eastAsia="Times New Roman" w:hint="default"/>
                <w:sz w:val="18"/>
                <w:szCs w:val="18"/>
              </w:rPr>
            </w:pPr>
            <w:r>
              <w:rPr>
                <w:rFonts w:ascii="Times New Roman"/>
                <w:spacing w:val="-6"/>
                <w:sz w:val="18"/>
              </w:rPr>
              <w:t>ZingBox,</w:t>
            </w:r>
            <w:r>
              <w:rPr>
                <w:rFonts w:ascii="Times New Roman"/>
                <w:spacing w:val="-4"/>
                <w:sz w:val="18"/>
              </w:rPr>
              <w:t> </w:t>
            </w:r>
            <w:r>
              <w:rPr>
                <w:rFonts w:ascii="Times New Roman"/>
                <w:spacing w:val="-6"/>
                <w:sz w:val="18"/>
              </w:rPr>
              <w:t>Limited</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10,160,096.68</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10,160,096.68</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3"/>
              <w:jc w:val="right"/>
              <w:rPr>
                <w:rFonts w:ascii="Times New Roman" w:hAnsi="Times New Roman" w:cs="Times New Roman" w:eastAsia="Times New Roman" w:hint="default"/>
                <w:sz w:val="15"/>
                <w:szCs w:val="15"/>
              </w:rPr>
            </w:pPr>
            <w:r>
              <w:rPr>
                <w:rFonts w:ascii="Times New Roman"/>
                <w:spacing w:val="-5"/>
                <w:w w:val="95"/>
                <w:sz w:val="15"/>
              </w:rPr>
              <w:t>2.83%</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 w:right="44"/>
              <w:jc w:val="left"/>
              <w:rPr>
                <w:rFonts w:ascii="Times New Roman" w:hAnsi="Times New Roman" w:cs="Times New Roman" w:eastAsia="Times New Roman" w:hint="default"/>
                <w:sz w:val="18"/>
                <w:szCs w:val="18"/>
              </w:rPr>
            </w:pPr>
            <w:r>
              <w:rPr>
                <w:rFonts w:ascii="Times New Roman"/>
                <w:spacing w:val="-6"/>
                <w:sz w:val="18"/>
              </w:rPr>
              <w:t>AlCES</w:t>
            </w:r>
            <w:r>
              <w:rPr>
                <w:rFonts w:ascii="Times New Roman"/>
                <w:spacing w:val="-42"/>
                <w:sz w:val="18"/>
              </w:rPr>
              <w:t> </w:t>
            </w:r>
            <w:r>
              <w:rPr>
                <w:rFonts w:ascii="Times New Roman"/>
                <w:spacing w:val="-42"/>
                <w:sz w:val="18"/>
              </w:rPr>
            </w:r>
            <w:r>
              <w:rPr>
                <w:rFonts w:ascii="Times New Roman"/>
                <w:spacing w:val="-6"/>
                <w:sz w:val="18"/>
              </w:rPr>
              <w:t>TECHNOLOGY</w:t>
            </w:r>
            <w:r>
              <w:rPr>
                <w:rFonts w:ascii="Times New Roman"/>
                <w:spacing w:val="-18"/>
                <w:sz w:val="18"/>
              </w:rPr>
              <w:t> </w:t>
            </w:r>
            <w:r>
              <w:rPr>
                <w:rFonts w:ascii="Times New Roman"/>
                <w:spacing w:val="-5"/>
                <w:sz w:val="18"/>
              </w:rPr>
              <w:t>,INC</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8,714,428.08</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74" w:right="0"/>
              <w:jc w:val="center"/>
              <w:rPr>
                <w:rFonts w:ascii="Times New Roman" w:hAnsi="Times New Roman" w:cs="Times New Roman" w:eastAsia="Times New Roman" w:hint="default"/>
                <w:sz w:val="15"/>
                <w:szCs w:val="15"/>
              </w:rPr>
            </w:pPr>
            <w:r>
              <w:rPr>
                <w:rFonts w:ascii="Times New Roman"/>
                <w:spacing w:val="-6"/>
                <w:sz w:val="15"/>
              </w:rPr>
              <w:t>8,714,428.08</w:t>
            </w:r>
          </w:p>
        </w:tc>
        <w:tc>
          <w:tcPr>
            <w:tcW w:w="968"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8,513,165.90</w:t>
            </w: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3"/>
              <w:jc w:val="right"/>
              <w:rPr>
                <w:rFonts w:ascii="Times New Roman" w:hAnsi="Times New Roman" w:cs="Times New Roman" w:eastAsia="Times New Roman" w:hint="default"/>
                <w:sz w:val="15"/>
                <w:szCs w:val="15"/>
              </w:rPr>
            </w:pPr>
            <w:r>
              <w:rPr>
                <w:rFonts w:ascii="Times New Roman"/>
                <w:spacing w:val="-6"/>
                <w:sz w:val="15"/>
              </w:rPr>
              <w:t>8,513,165.90</w:t>
            </w: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3"/>
              <w:jc w:val="right"/>
              <w:rPr>
                <w:rFonts w:ascii="Times New Roman" w:hAnsi="Times New Roman" w:cs="Times New Roman" w:eastAsia="Times New Roman" w:hint="default"/>
                <w:sz w:val="15"/>
                <w:szCs w:val="15"/>
              </w:rPr>
            </w:pPr>
            <w:r>
              <w:rPr>
                <w:rFonts w:ascii="Times New Roman"/>
                <w:spacing w:val="-5"/>
                <w:w w:val="95"/>
                <w:sz w:val="15"/>
              </w:rPr>
              <w:t>0.00%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52" w:right="0"/>
              <w:jc w:val="left"/>
              <w:rPr>
                <w:rFonts w:ascii="Times New Roman" w:hAnsi="Times New Roman" w:cs="Times New Roman" w:eastAsia="Times New Roman" w:hint="default"/>
                <w:sz w:val="18"/>
                <w:szCs w:val="18"/>
              </w:rPr>
            </w:pPr>
            <w:r>
              <w:rPr>
                <w:rFonts w:ascii="Times New Roman"/>
                <w:spacing w:val="-6"/>
                <w:sz w:val="18"/>
              </w:rPr>
              <w:t>KNERON</w:t>
            </w:r>
          </w:p>
          <w:p>
            <w:pPr>
              <w:pStyle w:val="TableParagraph"/>
              <w:spacing w:line="207" w:lineRule="exact"/>
              <w:ind w:left="52" w:right="0"/>
              <w:jc w:val="left"/>
              <w:rPr>
                <w:rFonts w:ascii="Times New Roman" w:hAnsi="Times New Roman" w:cs="Times New Roman" w:eastAsia="Times New Roman" w:hint="default"/>
                <w:sz w:val="18"/>
                <w:szCs w:val="18"/>
              </w:rPr>
            </w:pPr>
            <w:r>
              <w:rPr>
                <w:rFonts w:ascii="Times New Roman"/>
                <w:spacing w:val="-6"/>
                <w:sz w:val="18"/>
              </w:rPr>
              <w:t>Incorprorated</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1,989,000.00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4"/>
              <w:jc w:val="right"/>
              <w:rPr>
                <w:rFonts w:ascii="Times New Roman" w:hAnsi="Times New Roman" w:cs="Times New Roman" w:eastAsia="Times New Roman" w:hint="default"/>
                <w:sz w:val="15"/>
                <w:szCs w:val="15"/>
              </w:rPr>
            </w:pPr>
            <w:r>
              <w:rPr>
                <w:rFonts w:ascii="Times New Roman"/>
                <w:spacing w:val="-6"/>
                <w:sz w:val="15"/>
              </w:rPr>
              <w:t>1,989,000.00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43"/>
              <w:jc w:val="right"/>
              <w:rPr>
                <w:rFonts w:ascii="Times New Roman" w:hAnsi="Times New Roman" w:cs="Times New Roman" w:eastAsia="Times New Roman" w:hint="default"/>
                <w:sz w:val="15"/>
                <w:szCs w:val="15"/>
              </w:rPr>
            </w:pPr>
            <w:r>
              <w:rPr>
                <w:rFonts w:ascii="Times New Roman"/>
                <w:spacing w:val="-5"/>
                <w:w w:val="95"/>
                <w:sz w:val="15"/>
              </w:rPr>
              <w:t>0.59%</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芯联达科技（北京）</w:t>
            </w:r>
            <w:r>
              <w:rPr>
                <w:rFonts w:ascii="宋体" w:hAnsi="宋体" w:cs="宋体" w:eastAsia="宋体" w:hint="default"/>
                <w:sz w:val="18"/>
                <w:szCs w:val="18"/>
              </w:rPr>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有限公司</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5,000,000.00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74" w:right="0"/>
              <w:jc w:val="center"/>
              <w:rPr>
                <w:rFonts w:ascii="Times New Roman" w:hAnsi="Times New Roman" w:cs="Times New Roman" w:eastAsia="Times New Roman" w:hint="default"/>
                <w:sz w:val="15"/>
                <w:szCs w:val="15"/>
              </w:rPr>
            </w:pPr>
            <w:r>
              <w:rPr>
                <w:rFonts w:ascii="Times New Roman"/>
                <w:spacing w:val="-6"/>
                <w:sz w:val="15"/>
              </w:rPr>
              <w:t>5,000,000.00</w:t>
            </w:r>
          </w:p>
        </w:tc>
        <w:tc>
          <w:tcPr>
            <w:tcW w:w="968"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5"/>
                <w:w w:val="95"/>
                <w:sz w:val="15"/>
              </w:rPr>
              <w:t>0.00%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上海移远通信技术股</w:t>
            </w:r>
            <w:r>
              <w:rPr>
                <w:rFonts w:ascii="宋体" w:hAnsi="宋体" w:cs="宋体" w:eastAsia="宋体" w:hint="default"/>
                <w:sz w:val="18"/>
                <w:szCs w:val="18"/>
              </w:rPr>
            </w:r>
          </w:p>
          <w:p>
            <w:pPr>
              <w:pStyle w:val="TableParagraph"/>
              <w:spacing w:line="23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份有限公司</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10,000,000.00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10,000,000.00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5"/>
                <w:w w:val="95"/>
                <w:sz w:val="15"/>
              </w:rPr>
              <w:t>0.91%</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重庆极创君源股权投</w:t>
            </w:r>
            <w:r>
              <w:rPr>
                <w:rFonts w:ascii="宋体" w:hAnsi="宋体" w:cs="宋体" w:eastAsia="宋体" w:hint="default"/>
                <w:sz w:val="18"/>
                <w:szCs w:val="18"/>
              </w:rPr>
            </w:r>
          </w:p>
          <w:p>
            <w:pPr>
              <w:pStyle w:val="TableParagraph"/>
              <w:spacing w:line="233"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资基金管理合伙企业</w:t>
            </w:r>
            <w:r>
              <w:rPr>
                <w:rFonts w:ascii="宋体" w:hAnsi="宋体" w:cs="宋体" w:eastAsia="宋体" w:hint="default"/>
                <w:sz w:val="18"/>
                <w:szCs w:val="18"/>
              </w:rPr>
            </w:r>
          </w:p>
          <w:p>
            <w:pPr>
              <w:pStyle w:val="TableParagraph"/>
              <w:spacing w:line="23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（有限合伙）</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2,000,000.00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2,000,000.00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6"/>
                <w:sz w:val="15"/>
              </w:rPr>
              <w:t>20.00%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北京零号元素科技有</w:t>
            </w:r>
            <w:r>
              <w:rPr>
                <w:rFonts w:ascii="宋体" w:hAnsi="宋体" w:cs="宋体" w:eastAsia="宋体" w:hint="default"/>
                <w:sz w:val="18"/>
                <w:szCs w:val="18"/>
              </w:rPr>
            </w:r>
          </w:p>
          <w:p>
            <w:pPr>
              <w:pStyle w:val="TableParagraph"/>
              <w:spacing w:line="234"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限公司</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1,360,000.00</w:t>
            </w:r>
          </w:p>
        </w:tc>
        <w:tc>
          <w:tcPr>
            <w:tcW w:w="899"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4"/>
              <w:jc w:val="right"/>
              <w:rPr>
                <w:rFonts w:ascii="Times New Roman" w:hAnsi="Times New Roman" w:cs="Times New Roman" w:eastAsia="Times New Roman" w:hint="default"/>
                <w:sz w:val="15"/>
                <w:szCs w:val="15"/>
              </w:rPr>
            </w:pPr>
            <w:r>
              <w:rPr>
                <w:rFonts w:ascii="Times New Roman"/>
                <w:spacing w:val="-6"/>
                <w:sz w:val="15"/>
              </w:rPr>
              <w:t>1,360,000.00</w:t>
            </w:r>
          </w:p>
        </w:tc>
        <w:tc>
          <w:tcPr>
            <w:tcW w:w="829"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43"/>
              <w:jc w:val="right"/>
              <w:rPr>
                <w:rFonts w:ascii="Times New Roman" w:hAnsi="Times New Roman" w:cs="Times New Roman" w:eastAsia="Times New Roman" w:hint="default"/>
                <w:sz w:val="15"/>
                <w:szCs w:val="15"/>
              </w:rPr>
            </w:pPr>
            <w:r>
              <w:rPr>
                <w:rFonts w:ascii="Times New Roman"/>
                <w:spacing w:val="-5"/>
                <w:w w:val="95"/>
                <w:sz w:val="15"/>
              </w:rPr>
              <w:t>6.29%</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合计</w:t>
            </w:r>
            <w:r>
              <w:rPr>
                <w:rFonts w:ascii="宋体" w:hAnsi="宋体" w:cs="宋体" w:eastAsia="宋体" w:hint="default"/>
                <w:sz w:val="18"/>
                <w:szCs w:val="18"/>
              </w:rPr>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160,936,452.83</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56,754,460.69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 w:right="0"/>
              <w:jc w:val="center"/>
              <w:rPr>
                <w:rFonts w:ascii="Times New Roman" w:hAnsi="Times New Roman" w:cs="Times New Roman" w:eastAsia="Times New Roman" w:hint="default"/>
                <w:sz w:val="15"/>
                <w:szCs w:val="15"/>
              </w:rPr>
            </w:pPr>
            <w:r>
              <w:rPr>
                <w:rFonts w:ascii="Times New Roman"/>
                <w:spacing w:val="-6"/>
                <w:sz w:val="15"/>
              </w:rPr>
              <w:t>13,495,423.60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7"/>
                <w:sz w:val="15"/>
              </w:rPr>
              <w:t>204,195,489.92</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4"/>
              <w:jc w:val="right"/>
              <w:rPr>
                <w:rFonts w:ascii="Times New Roman" w:hAnsi="Times New Roman" w:cs="Times New Roman" w:eastAsia="Times New Roman" w:hint="default"/>
                <w:sz w:val="15"/>
                <w:szCs w:val="15"/>
              </w:rPr>
            </w:pPr>
            <w:r>
              <w:rPr>
                <w:rFonts w:ascii="Times New Roman"/>
                <w:spacing w:val="-6"/>
                <w:sz w:val="15"/>
              </w:rPr>
              <w:t>9,044,944.72</w:t>
            </w:r>
          </w:p>
        </w:tc>
        <w:tc>
          <w:tcPr>
            <w:tcW w:w="62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43"/>
              <w:jc w:val="right"/>
              <w:rPr>
                <w:rFonts w:ascii="Times New Roman" w:hAnsi="Times New Roman" w:cs="Times New Roman" w:eastAsia="Times New Roman" w:hint="default"/>
                <w:sz w:val="15"/>
                <w:szCs w:val="15"/>
              </w:rPr>
            </w:pPr>
            <w:r>
              <w:rPr>
                <w:rFonts w:ascii="Times New Roman"/>
                <w:spacing w:val="-6"/>
                <w:sz w:val="15"/>
              </w:rPr>
              <w:t>8,513,165.90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9" w:right="0"/>
              <w:jc w:val="center"/>
              <w:rPr>
                <w:rFonts w:ascii="Times New Roman" w:hAnsi="Times New Roman" w:cs="Times New Roman" w:eastAsia="Times New Roman" w:hint="default"/>
                <w:sz w:val="15"/>
                <w:szCs w:val="15"/>
              </w:rPr>
            </w:pPr>
            <w:r>
              <w:rPr>
                <w:rFonts w:ascii="Times New Roman"/>
                <w:spacing w:val="-6"/>
                <w:sz w:val="15"/>
              </w:rPr>
              <w:t>531,778.82</w:t>
            </w:r>
          </w:p>
        </w:tc>
        <w:tc>
          <w:tcPr>
            <w:tcW w:w="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right="1"/>
              <w:jc w:val="center"/>
              <w:rPr>
                <w:rFonts w:ascii="Times New Roman" w:hAnsi="Times New Roman" w:cs="Times New Roman" w:eastAsia="Times New Roman" w:hint="default"/>
                <w:sz w:val="15"/>
                <w:szCs w:val="15"/>
              </w:rPr>
            </w:pPr>
            <w:r>
              <w:rPr>
                <w:rFonts w:ascii="Times New Roman"/>
                <w:spacing w:val="-6"/>
                <w:sz w:val="15"/>
              </w:rPr>
              <w:t>--</w:t>
            </w:r>
            <w:r>
              <w:rPr>
                <w:rFonts w:ascii="Times New Roman"/>
                <w:sz w:val="15"/>
              </w:rPr>
            </w:r>
          </w:p>
        </w:tc>
        <w:tc>
          <w:tcPr>
            <w:tcW w:w="7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3）报告期内可供出售金融资产减值的变动情况" w:id="248"/>
      <w:bookmarkEnd w:id="248"/>
      <w:r>
        <w:rPr/>
      </w:r>
      <w:r>
        <w:rPr/>
        <w:t>（</w:t>
      </w:r>
      <w:r>
        <w:rPr>
          <w:rFonts w:ascii="Times New Roman" w:hAnsi="Times New Roman" w:cs="Times New Roman" w:eastAsia="Times New Roman" w:hint="default"/>
        </w:rPr>
        <w:t>3</w:t>
      </w:r>
      <w:r>
        <w:rPr/>
        <w:t>）报告期内可供出售金融资产减值的变动情况</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088"/>
        <w:gridCol w:w="1853"/>
        <w:gridCol w:w="1972"/>
        <w:gridCol w:w="1971"/>
        <w:gridCol w:w="1972"/>
      </w:tblGrid>
      <w:tr>
        <w:trPr>
          <w:trHeight w:val="408"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7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9,044,944.72</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9,044,944.72</w:t>
            </w:r>
          </w:p>
        </w:tc>
      </w:tr>
      <w:tr>
        <w:trPr>
          <w:trHeight w:val="407"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8,513,165.90</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8,513,165.90</w:t>
            </w:r>
          </w:p>
        </w:tc>
      </w:tr>
      <w:tr>
        <w:trPr>
          <w:trHeight w:val="407"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531,778.82</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531,778.82</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4）其他说明" w:id="249"/>
      <w:bookmarkEnd w:id="249"/>
      <w:r>
        <w:rPr/>
      </w:r>
      <w:r>
        <w:rPr/>
        <w:t>（</w:t>
      </w:r>
      <w:r>
        <w:rPr>
          <w:rFonts w:ascii="Times New Roman" w:hAnsi="Times New Roman" w:cs="Times New Roman" w:eastAsia="Times New Roman" w:hint="default"/>
        </w:rPr>
        <w:t>4</w:t>
      </w:r>
      <w:r>
        <w:rPr/>
        <w:t>）其他说明</w:t>
      </w:r>
    </w:p>
    <w:p>
      <w:pPr>
        <w:spacing w:line="240" w:lineRule="auto" w:before="9"/>
        <w:rPr>
          <w:rFonts w:ascii="宋体" w:hAnsi="宋体" w:cs="宋体" w:eastAsia="宋体" w:hint="default"/>
          <w:sz w:val="16"/>
          <w:szCs w:val="16"/>
        </w:rPr>
      </w:pPr>
    </w:p>
    <w:p>
      <w:pPr>
        <w:pStyle w:val="BodyText"/>
        <w:spacing w:line="297" w:lineRule="auto"/>
        <w:ind w:left="214" w:right="1016" w:firstLine="526"/>
        <w:jc w:val="left"/>
      </w:pPr>
      <w:r>
        <w:rPr>
          <w:rFonts w:ascii="宋体" w:hAnsi="宋体" w:cs="宋体" w:eastAsia="宋体" w:hint="default"/>
          <w:spacing w:val="-1"/>
        </w:rPr>
        <w:t>1</w:t>
      </w:r>
      <w:r>
        <w:rPr>
          <w:spacing w:val="-1"/>
        </w:rPr>
        <w:t>）上述被投资单位为非上市公司，目前不存在活跃的权益交易市场，同时相关财务信息和市场信息</w:t>
      </w:r>
      <w:r>
        <w:rPr/>
        <w:t> </w:t>
      </w:r>
      <w:r>
        <w:rPr>
          <w:spacing w:val="-1"/>
        </w:rPr>
        <w:t>的获取不具备持续性和及时性，公允价值无法可靠计量。本集团暂无意图处置这些金融资产，此类金融资</w:t>
      </w:r>
    </w:p>
    <w:p>
      <w:pPr>
        <w:spacing w:after="0" w:line="297" w:lineRule="auto"/>
        <w:jc w:val="left"/>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40" w:lineRule="auto" w:before="35"/>
        <w:ind w:left="214" w:right="1016"/>
        <w:jc w:val="left"/>
      </w:pPr>
      <w:r>
        <w:rPr/>
        <w:t>产按成本法计量。</w:t>
      </w:r>
    </w:p>
    <w:p>
      <w:pPr>
        <w:spacing w:line="240" w:lineRule="auto" w:before="12"/>
        <w:rPr>
          <w:rFonts w:ascii="宋体" w:hAnsi="宋体" w:cs="宋体" w:eastAsia="宋体" w:hint="default"/>
          <w:sz w:val="17"/>
          <w:szCs w:val="17"/>
        </w:rPr>
      </w:pPr>
    </w:p>
    <w:p>
      <w:pPr>
        <w:pStyle w:val="BodyText"/>
        <w:spacing w:line="240" w:lineRule="auto"/>
        <w:ind w:left="740" w:right="1016"/>
        <w:jc w:val="left"/>
      </w:pPr>
      <w:r>
        <w:rPr>
          <w:rFonts w:ascii="宋体" w:hAnsi="宋体" w:cs="宋体" w:eastAsia="宋体" w:hint="default"/>
        </w:rPr>
        <w:t>2</w:t>
      </w:r>
      <w:r>
        <w:rPr/>
        <w:t>）本公司于</w:t>
      </w:r>
      <w:r>
        <w:rPr>
          <w:spacing w:val="-61"/>
        </w:rPr>
        <w:t>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0"/>
        </w:rPr>
        <w:t> </w:t>
      </w:r>
      <w:r>
        <w:rPr/>
        <w:t>月认缴深圳安创科技股权投资合伙企业（有限合伙）出资额，本年缴纳出资</w:t>
      </w:r>
    </w:p>
    <w:p>
      <w:pPr>
        <w:pStyle w:val="BodyText"/>
        <w:spacing w:line="240" w:lineRule="auto" w:before="64"/>
        <w:ind w:left="214" w:right="1016"/>
        <w:jc w:val="left"/>
      </w:pPr>
      <w:r>
        <w:rPr>
          <w:rFonts w:ascii="宋体" w:hAnsi="宋体" w:cs="宋体" w:eastAsia="宋体" w:hint="default"/>
        </w:rPr>
        <w:t>3,000,000.00</w:t>
      </w:r>
      <w:r>
        <w:rPr>
          <w:rFonts w:ascii="宋体" w:hAnsi="宋体" w:cs="宋体" w:eastAsia="宋体" w:hint="default"/>
          <w:spacing w:val="-53"/>
        </w:rPr>
        <w:t> </w:t>
      </w:r>
      <w:r>
        <w:rPr/>
        <w:t>元，持有的份额比例</w:t>
      </w:r>
      <w:r>
        <w:rPr>
          <w:spacing w:val="-54"/>
        </w:rPr>
        <w:t> </w:t>
      </w:r>
      <w:r>
        <w:rPr>
          <w:rFonts w:ascii="宋体" w:hAnsi="宋体" w:cs="宋体" w:eastAsia="宋体" w:hint="default"/>
        </w:rPr>
        <w:t>6.78%</w:t>
      </w:r>
      <w:r>
        <w:rPr/>
        <w:t>。</w:t>
      </w:r>
    </w:p>
    <w:p>
      <w:pPr>
        <w:spacing w:line="240" w:lineRule="auto" w:before="12"/>
        <w:rPr>
          <w:rFonts w:ascii="宋体" w:hAnsi="宋体" w:cs="宋体" w:eastAsia="宋体" w:hint="default"/>
          <w:sz w:val="17"/>
          <w:szCs w:val="17"/>
        </w:rPr>
      </w:pPr>
    </w:p>
    <w:p>
      <w:pPr>
        <w:pStyle w:val="BodyText"/>
        <w:spacing w:line="240" w:lineRule="auto"/>
        <w:ind w:left="740" w:right="1016"/>
        <w:jc w:val="left"/>
      </w:pPr>
      <w:r>
        <w:rPr>
          <w:rFonts w:ascii="宋体" w:hAnsi="宋体" w:cs="宋体" w:eastAsia="宋体" w:hint="default"/>
        </w:rPr>
        <w:t>3</w:t>
      </w:r>
      <w:r>
        <w:rPr/>
        <w:t>）本公司于</w:t>
      </w:r>
      <w:r>
        <w:rPr>
          <w:spacing w:val="-34"/>
        </w:rPr>
        <w:t> </w:t>
      </w:r>
      <w:r>
        <w:rPr>
          <w:rFonts w:ascii="宋体" w:hAnsi="宋体" w:cs="宋体" w:eastAsia="宋体" w:hint="default"/>
        </w:rPr>
        <w:t>2017</w:t>
      </w:r>
      <w:r>
        <w:rPr>
          <w:rFonts w:ascii="宋体" w:hAnsi="宋体" w:cs="宋体" w:eastAsia="宋体" w:hint="default"/>
          <w:spacing w:val="-32"/>
        </w:rPr>
        <w:t> </w:t>
      </w:r>
      <w:r>
        <w:rPr/>
        <w:t>年</w:t>
      </w:r>
      <w:r>
        <w:rPr>
          <w:spacing w:val="-33"/>
        </w:rPr>
        <w:t> </w:t>
      </w:r>
      <w:r>
        <w:rPr>
          <w:rFonts w:ascii="宋体" w:hAnsi="宋体" w:cs="宋体" w:eastAsia="宋体" w:hint="default"/>
        </w:rPr>
        <w:t>3</w:t>
      </w:r>
      <w:r>
        <w:rPr>
          <w:rFonts w:ascii="宋体" w:hAnsi="宋体" w:cs="宋体" w:eastAsia="宋体" w:hint="default"/>
          <w:spacing w:val="-33"/>
        </w:rPr>
        <w:t> </w:t>
      </w:r>
      <w:r>
        <w:rPr/>
        <w:t>月与重庆极创君源股权投资基金管理合伙企业（有限合伙）及其他有限合伙</w:t>
      </w:r>
    </w:p>
    <w:p>
      <w:pPr>
        <w:pStyle w:val="BodyText"/>
        <w:spacing w:line="297" w:lineRule="auto" w:before="66"/>
        <w:ind w:left="214" w:right="1011"/>
        <w:jc w:val="left"/>
      </w:pPr>
      <w:r>
        <w:rPr/>
        <w:t>人共同发起设立重庆极创渝源股权投资基金合伙企业（有限合伙），本公司认缴出资</w:t>
      </w:r>
      <w:r>
        <w:rPr>
          <w:spacing w:val="-64"/>
        </w:rPr>
        <w:t> </w:t>
      </w:r>
      <w:r>
        <w:rPr>
          <w:rFonts w:ascii="宋体" w:hAnsi="宋体" w:cs="宋体" w:eastAsia="宋体" w:hint="default"/>
        </w:rPr>
        <w:t>25,000</w:t>
      </w:r>
      <w:r>
        <w:rPr>
          <w:rFonts w:ascii="宋体" w:hAnsi="宋体" w:cs="宋体" w:eastAsia="宋体" w:hint="default"/>
          <w:spacing w:val="-65"/>
        </w:rPr>
        <w:t> </w:t>
      </w:r>
      <w:r>
        <w:rPr/>
        <w:t>万元出资额， 认缴出资比例</w:t>
      </w:r>
      <w:r>
        <w:rPr>
          <w:spacing w:val="-20"/>
        </w:rPr>
        <w:t> </w:t>
      </w:r>
      <w:r>
        <w:rPr>
          <w:rFonts w:ascii="宋体" w:hAnsi="宋体" w:cs="宋体" w:eastAsia="宋体" w:hint="default"/>
          <w:spacing w:val="-5"/>
        </w:rPr>
        <w:t>31.25%</w:t>
      </w:r>
      <w:r>
        <w:rPr>
          <w:spacing w:val="-5"/>
        </w:rPr>
        <w:t>，该合伙企业由重庆极创君源股权投资基金管理合伙企业（有限合伙）执行合伙事务，</w:t>
      </w:r>
      <w:r>
        <w:rPr>
          <w:spacing w:val="-100"/>
        </w:rPr>
        <w:t> </w:t>
      </w:r>
      <w:r>
        <w:rPr>
          <w:spacing w:val="-100"/>
        </w:rPr>
      </w:r>
      <w:r>
        <w:rPr/>
        <w:t>本公司在合伙企业的决策机构中无派出人员，对其不控制，无重大影响，本公司将其作为可供出售金融资</w:t>
      </w:r>
      <w:r>
        <w:rPr/>
        <w:t> 产。本公司本年缴纳出资</w:t>
      </w:r>
      <w:r>
        <w:rPr>
          <w:spacing w:val="-43"/>
        </w:rPr>
        <w:t> </w:t>
      </w:r>
      <w:r>
        <w:rPr>
          <w:rFonts w:ascii="宋体" w:hAnsi="宋体" w:cs="宋体" w:eastAsia="宋体" w:hint="default"/>
        </w:rPr>
        <w:t>5,000.00</w:t>
      </w:r>
      <w:r>
        <w:rPr>
          <w:rFonts w:ascii="宋体" w:hAnsi="宋体" w:cs="宋体" w:eastAsia="宋体" w:hint="default"/>
          <w:spacing w:val="-43"/>
        </w:rPr>
        <w:t> </w:t>
      </w:r>
      <w:r>
        <w:rPr/>
        <w:t>万元。本公司</w:t>
      </w:r>
      <w:r>
        <w:rPr>
          <w:spacing w:val="-43"/>
        </w:rPr>
        <w:t> </w:t>
      </w:r>
      <w:r>
        <w:rPr>
          <w:rFonts w:ascii="宋体" w:hAnsi="宋体" w:cs="宋体" w:eastAsia="宋体" w:hint="default"/>
        </w:rPr>
        <w:t>2018</w:t>
      </w:r>
      <w:r>
        <w:rPr>
          <w:rFonts w:ascii="宋体" w:hAnsi="宋体" w:cs="宋体" w:eastAsia="宋体" w:hint="default"/>
          <w:spacing w:val="-42"/>
        </w:rPr>
        <w:t> </w:t>
      </w:r>
      <w:r>
        <w:rPr/>
        <w:t>年</w:t>
      </w:r>
      <w:r>
        <w:rPr>
          <w:spacing w:val="-43"/>
        </w:rPr>
        <w:t> </w:t>
      </w:r>
      <w:r>
        <w:rPr>
          <w:rFonts w:ascii="宋体" w:hAnsi="宋体" w:cs="宋体" w:eastAsia="宋体" w:hint="default"/>
        </w:rPr>
        <w:t>8</w:t>
      </w:r>
      <w:r>
        <w:rPr>
          <w:rFonts w:ascii="宋体" w:hAnsi="宋体" w:cs="宋体" w:eastAsia="宋体" w:hint="default"/>
          <w:spacing w:val="-44"/>
        </w:rPr>
        <w:t> </w:t>
      </w:r>
      <w:r>
        <w:rPr/>
        <w:t>月将认缴出资中的</w:t>
      </w:r>
      <w:r>
        <w:rPr>
          <w:spacing w:val="-43"/>
        </w:rPr>
        <w:t> </w:t>
      </w:r>
      <w:r>
        <w:rPr>
          <w:rFonts w:ascii="宋体" w:hAnsi="宋体" w:cs="宋体" w:eastAsia="宋体" w:hint="default"/>
        </w:rPr>
        <w:t>7,000.00</w:t>
      </w:r>
      <w:r>
        <w:rPr>
          <w:rFonts w:ascii="宋体" w:hAnsi="宋体" w:cs="宋体" w:eastAsia="宋体" w:hint="default"/>
          <w:spacing w:val="-42"/>
        </w:rPr>
        <w:t> </w:t>
      </w:r>
      <w:r>
        <w:rPr/>
        <w:t>万元（未实际缴</w:t>
      </w:r>
    </w:p>
    <w:p>
      <w:pPr>
        <w:pStyle w:val="BodyText"/>
        <w:spacing w:line="297" w:lineRule="auto" w:before="15"/>
        <w:ind w:left="214" w:right="1017"/>
        <w:jc w:val="left"/>
      </w:pPr>
      <w:r>
        <w:rPr>
          <w:spacing w:val="-7"/>
        </w:rPr>
        <w:t>纳）对外转让，转让后，公司认缴出资</w:t>
      </w:r>
      <w:r>
        <w:rPr>
          <w:spacing w:val="-51"/>
        </w:rPr>
        <w:t> </w:t>
      </w:r>
      <w:r>
        <w:rPr>
          <w:rFonts w:ascii="宋体" w:hAnsi="宋体" w:cs="宋体" w:eastAsia="宋体" w:hint="default"/>
        </w:rPr>
        <w:t>18,000</w:t>
      </w:r>
      <w:r>
        <w:rPr>
          <w:rFonts w:ascii="宋体" w:hAnsi="宋体" w:cs="宋体" w:eastAsia="宋体" w:hint="default"/>
          <w:spacing w:val="-50"/>
        </w:rPr>
        <w:t> </w:t>
      </w:r>
      <w:r>
        <w:rPr>
          <w:spacing w:val="-8"/>
        </w:rPr>
        <w:t>万元，比例</w:t>
      </w:r>
      <w:r>
        <w:rPr>
          <w:spacing w:val="-51"/>
        </w:rPr>
        <w:t> </w:t>
      </w:r>
      <w:r>
        <w:rPr>
          <w:rFonts w:ascii="宋体" w:hAnsi="宋体" w:cs="宋体" w:eastAsia="宋体" w:hint="default"/>
          <w:spacing w:val="-4"/>
        </w:rPr>
        <w:t>22.5%</w:t>
      </w:r>
      <w:r>
        <w:rPr>
          <w:spacing w:val="-4"/>
        </w:rPr>
        <w:t>。该事项已于</w:t>
      </w:r>
      <w:r>
        <w:rPr>
          <w:spacing w:val="-50"/>
        </w:rPr>
        <w:t> </w:t>
      </w:r>
      <w:r>
        <w:rPr>
          <w:rFonts w:ascii="宋体" w:hAnsi="宋体" w:cs="宋体" w:eastAsia="宋体" w:hint="default"/>
        </w:rPr>
        <w:t>2018</w:t>
      </w:r>
      <w:r>
        <w:rPr>
          <w:rFonts w:ascii="宋体" w:hAnsi="宋体" w:cs="宋体" w:eastAsia="宋体" w:hint="default"/>
          <w:spacing w:val="-51"/>
        </w:rPr>
        <w:t> </w:t>
      </w:r>
      <w:r>
        <w:rPr/>
        <w:t>年</w:t>
      </w:r>
      <w:r>
        <w:rPr>
          <w:spacing w:val="-52"/>
        </w:rPr>
        <w:t> </w:t>
      </w:r>
      <w:r>
        <w:rPr>
          <w:rFonts w:ascii="宋体" w:hAnsi="宋体" w:cs="宋体" w:eastAsia="宋体" w:hint="default"/>
        </w:rPr>
        <w:t>8</w:t>
      </w:r>
      <w:r>
        <w:rPr>
          <w:rFonts w:ascii="宋体" w:hAnsi="宋体" w:cs="宋体" w:eastAsia="宋体" w:hint="default"/>
          <w:spacing w:val="-50"/>
        </w:rPr>
        <w:t> </w:t>
      </w:r>
      <w:r>
        <w:rPr/>
        <w:t>月</w:t>
      </w:r>
      <w:r>
        <w:rPr>
          <w:spacing w:val="-52"/>
        </w:rPr>
        <w:t> </w:t>
      </w:r>
      <w:r>
        <w:rPr>
          <w:rFonts w:ascii="宋体" w:hAnsi="宋体" w:cs="宋体" w:eastAsia="宋体" w:hint="default"/>
        </w:rPr>
        <w:t>10</w:t>
      </w:r>
      <w:r>
        <w:rPr>
          <w:rFonts w:ascii="宋体" w:hAnsi="宋体" w:cs="宋体" w:eastAsia="宋体" w:hint="default"/>
          <w:spacing w:val="-50"/>
        </w:rPr>
        <w:t> </w:t>
      </w:r>
      <w:r>
        <w:rPr/>
        <w:t>日发布公告， 公告编号</w:t>
      </w:r>
      <w:r>
        <w:rPr>
          <w:spacing w:val="-53"/>
        </w:rPr>
        <w:t> </w:t>
      </w:r>
      <w:r>
        <w:rPr>
          <w:rFonts w:ascii="宋体" w:hAnsi="宋体" w:cs="宋体" w:eastAsia="宋体" w:hint="default"/>
        </w:rPr>
        <w:t>2018-061</w:t>
      </w:r>
      <w:r>
        <w:rPr/>
        <w:t>。</w:t>
      </w:r>
    </w:p>
    <w:p>
      <w:pPr>
        <w:spacing w:line="240" w:lineRule="auto" w:before="0"/>
        <w:rPr>
          <w:rFonts w:ascii="宋体" w:hAnsi="宋体" w:cs="宋体" w:eastAsia="宋体" w:hint="default"/>
          <w:sz w:val="14"/>
          <w:szCs w:val="14"/>
        </w:rPr>
      </w:pPr>
    </w:p>
    <w:p>
      <w:pPr>
        <w:pStyle w:val="BodyText"/>
        <w:spacing w:line="240" w:lineRule="auto"/>
        <w:ind w:left="740" w:right="1016"/>
        <w:jc w:val="left"/>
      </w:pPr>
      <w:r>
        <w:rPr>
          <w:rFonts w:ascii="宋体" w:hAnsi="宋体" w:cs="宋体" w:eastAsia="宋体" w:hint="default"/>
        </w:rPr>
        <w:t>4</w:t>
      </w:r>
      <w:r>
        <w:rPr/>
        <w:t>）本公司投资的</w:t>
      </w:r>
      <w:r>
        <w:rPr>
          <w:spacing w:val="-54"/>
        </w:rPr>
        <w:t> </w:t>
      </w:r>
      <w:r>
        <w:rPr>
          <w:rFonts w:ascii="宋体" w:hAnsi="宋体" w:cs="宋体" w:eastAsia="宋体" w:hint="default"/>
        </w:rPr>
        <w:t>AlCES</w:t>
      </w:r>
      <w:r>
        <w:rPr>
          <w:rFonts w:ascii="宋体" w:hAnsi="宋体" w:cs="宋体" w:eastAsia="宋体" w:hint="default"/>
          <w:spacing w:val="-39"/>
        </w:rPr>
        <w:t> </w:t>
      </w:r>
      <w:r>
        <w:rPr>
          <w:rFonts w:ascii="宋体" w:hAnsi="宋体" w:cs="宋体" w:eastAsia="宋体" w:hint="default"/>
        </w:rPr>
        <w:t>TECHNOLOGY</w:t>
      </w:r>
      <w:r>
        <w:rPr>
          <w:rFonts w:ascii="宋体" w:hAnsi="宋体" w:cs="宋体" w:eastAsia="宋体" w:hint="default"/>
          <w:spacing w:val="-39"/>
        </w:rPr>
        <w:t> </w:t>
      </w:r>
      <w:r>
        <w:rPr>
          <w:rFonts w:ascii="宋体" w:hAnsi="宋体" w:cs="宋体" w:eastAsia="宋体" w:hint="default"/>
        </w:rPr>
        <w:t>,INC</w:t>
      </w:r>
      <w:r>
        <w:rPr/>
        <w:t>，已于</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月完成对其核心资产的出售，本公司收到</w:t>
      </w:r>
    </w:p>
    <w:p>
      <w:pPr>
        <w:pStyle w:val="BodyText"/>
        <w:spacing w:line="240" w:lineRule="auto" w:before="66"/>
        <w:ind w:left="214" w:right="1016"/>
        <w:jc w:val="left"/>
      </w:pPr>
      <w:r>
        <w:rPr>
          <w:rFonts w:ascii="宋体" w:hAnsi="宋体" w:cs="宋体" w:eastAsia="宋体" w:hint="default"/>
        </w:rPr>
        <w:t>29,937.98</w:t>
      </w:r>
      <w:r>
        <w:rPr>
          <w:rFonts w:ascii="宋体" w:hAnsi="宋体" w:cs="宋体" w:eastAsia="宋体" w:hint="default"/>
          <w:spacing w:val="-54"/>
        </w:rPr>
        <w:t> </w:t>
      </w:r>
      <w:r>
        <w:rPr/>
        <w:t>美元，其与账面价值的差额转入投资收益。</w:t>
      </w:r>
    </w:p>
    <w:p>
      <w:pPr>
        <w:spacing w:line="240" w:lineRule="auto" w:before="10"/>
        <w:rPr>
          <w:rFonts w:ascii="宋体" w:hAnsi="宋体" w:cs="宋体" w:eastAsia="宋体" w:hint="default"/>
          <w:sz w:val="17"/>
          <w:szCs w:val="17"/>
        </w:rPr>
      </w:pPr>
    </w:p>
    <w:p>
      <w:pPr>
        <w:pStyle w:val="BodyText"/>
        <w:spacing w:line="297" w:lineRule="auto"/>
        <w:ind w:left="214" w:right="1124" w:firstLine="526"/>
        <w:jc w:val="left"/>
      </w:pPr>
      <w:r>
        <w:rPr>
          <w:rFonts w:ascii="宋体" w:hAnsi="宋体" w:cs="宋体" w:eastAsia="宋体" w:hint="default"/>
          <w:spacing w:val="-17"/>
        </w:rPr>
        <w:t>5</w:t>
      </w:r>
      <w:r>
        <w:rPr>
          <w:spacing w:val="-17"/>
        </w:rPr>
        <w:t>）本公司投资的芯联达科技（北京）有限公司，已于</w:t>
      </w:r>
      <w:r>
        <w:rPr>
          <w:spacing w:val="-49"/>
        </w:rPr>
        <w:t> </w:t>
      </w:r>
      <w:r>
        <w:rPr>
          <w:rFonts w:ascii="宋体" w:hAnsi="宋体" w:cs="宋体" w:eastAsia="宋体" w:hint="default"/>
        </w:rPr>
        <w:t>2018</w:t>
      </w:r>
      <w:r>
        <w:rPr>
          <w:rFonts w:ascii="宋体" w:hAnsi="宋体" w:cs="宋体" w:eastAsia="宋体" w:hint="default"/>
          <w:spacing w:val="-50"/>
        </w:rPr>
        <w:t> </w:t>
      </w:r>
      <w:r>
        <w:rPr/>
        <w:t>年</w:t>
      </w:r>
      <w:r>
        <w:rPr>
          <w:spacing w:val="-50"/>
        </w:rPr>
        <w:t> </w:t>
      </w:r>
      <w:r>
        <w:rPr>
          <w:rFonts w:ascii="宋体" w:hAnsi="宋体" w:cs="宋体" w:eastAsia="宋体" w:hint="default"/>
          <w:spacing w:val="-1"/>
        </w:rPr>
        <w:t>12</w:t>
      </w:r>
      <w:r>
        <w:rPr>
          <w:rFonts w:ascii="宋体" w:hAnsi="宋体" w:cs="宋体" w:eastAsia="宋体" w:hint="default"/>
          <w:spacing w:val="-49"/>
        </w:rPr>
        <w:t> </w:t>
      </w:r>
      <w:r>
        <w:rPr>
          <w:spacing w:val="-10"/>
        </w:rPr>
        <w:t>月处置完成，本公司收到</w:t>
      </w:r>
      <w:r>
        <w:rPr>
          <w:spacing w:val="-50"/>
        </w:rPr>
        <w:t> </w:t>
      </w:r>
      <w:r>
        <w:rPr>
          <w:rFonts w:ascii="宋体" w:hAnsi="宋体" w:cs="宋体" w:eastAsia="宋体" w:hint="default"/>
        </w:rPr>
        <w:t>6,394,996.41 </w:t>
      </w:r>
      <w:r>
        <w:rPr/>
        <w:t>元，与账面价值的差额转入投资收益。</w:t>
      </w:r>
    </w:p>
    <w:p>
      <w:pPr>
        <w:pStyle w:val="BodyText"/>
        <w:spacing w:line="456" w:lineRule="auto" w:before="176"/>
        <w:ind w:right="8442"/>
        <w:jc w:val="left"/>
        <w:rPr>
          <w:rFonts w:ascii="微软雅黑" w:hAnsi="微软雅黑" w:cs="微软雅黑" w:eastAsia="微软雅黑" w:hint="default"/>
        </w:rPr>
      </w:pPr>
      <w:bookmarkStart w:name="12、持有至到期投资" w:id="250"/>
      <w:bookmarkEnd w:id="250"/>
      <w:r>
        <w:rPr/>
      </w:r>
      <w:r>
        <w:rPr>
          <w:rFonts w:ascii="Times New Roman" w:hAnsi="Times New Roman" w:cs="Times New Roman" w:eastAsia="Times New Roman" w:hint="default"/>
        </w:rPr>
        <w:t>12</w:t>
      </w:r>
      <w:r>
        <w:rPr>
          <w:rFonts w:ascii="微软雅黑" w:hAnsi="微软雅黑" w:cs="微软雅黑" w:eastAsia="微软雅黑" w:hint="default"/>
        </w:rPr>
        <w:t>、持有至到期投资 </w:t>
      </w:r>
      <w:bookmarkStart w:name="不适用" w:id="251"/>
      <w:bookmarkEnd w:id="251"/>
      <w:r>
        <w:rPr>
          <w:rFonts w:ascii="微软雅黑" w:hAnsi="微软雅黑" w:cs="微软雅黑" w:eastAsia="微软雅黑" w:hint="default"/>
        </w:rPr>
      </w:r>
      <w:r>
        <w:rPr/>
        <w:t>不适用 </w:t>
      </w:r>
      <w:bookmarkStart w:name="13、长期应收款" w:id="252"/>
      <w:bookmarkEnd w:id="252"/>
      <w:r>
        <w:rPr/>
      </w:r>
      <w:r>
        <w:rPr>
          <w:rFonts w:ascii="Times New Roman" w:hAnsi="Times New Roman" w:cs="Times New Roman" w:eastAsia="Times New Roman" w:hint="default"/>
        </w:rPr>
        <w:t>13</w:t>
      </w:r>
      <w:r>
        <w:rPr>
          <w:rFonts w:ascii="微软雅黑" w:hAnsi="微软雅黑" w:cs="微软雅黑" w:eastAsia="微软雅黑" w:hint="default"/>
        </w:rPr>
        <w:t>、长期应收款</w:t>
      </w:r>
    </w:p>
    <w:p>
      <w:pPr>
        <w:spacing w:before="6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396"/>
        <w:gridCol w:w="1250"/>
        <w:gridCol w:w="1152"/>
        <w:gridCol w:w="1252"/>
        <w:gridCol w:w="1250"/>
        <w:gridCol w:w="1152"/>
        <w:gridCol w:w="1252"/>
        <w:gridCol w:w="1151"/>
      </w:tblGrid>
      <w:tr>
        <w:trPr>
          <w:trHeight w:val="407" w:hRule="exact"/>
        </w:trPr>
        <w:tc>
          <w:tcPr>
            <w:tcW w:w="1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7" w:hRule="exact"/>
        </w:trPr>
        <w:tc>
          <w:tcPr>
            <w:tcW w:w="1396" w:type="dxa"/>
            <w:vMerge/>
            <w:tcBorders>
              <w:left w:val="single" w:sz="4" w:space="0" w:color="000000"/>
              <w:bottom w:val="single" w:sz="4" w:space="0" w:color="000000"/>
              <w:right w:val="single" w:sz="4" w:space="0" w:color="000000"/>
            </w:tcBorders>
            <w:shd w:val="clear" w:color="auto" w:fill="D2D2D2"/>
          </w:tcPr>
          <w:p>
            <w:pP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51"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应收员工借款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7,438,500.67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74,385.01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7,364,115.66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7,223,667.06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72,236.67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7,151,430.39</w:t>
            </w: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应收优先股投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6,176,880.00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61,768.80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2"/>
                <w:sz w:val="18"/>
              </w:rPr>
              <w:t>6,115,111.20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5,880,780.00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58,807.80</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5,821,972.20</w:t>
            </w: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应收股权转让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37,999,664.81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379,996.65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37,619,668.16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44,448,124.72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444,481.25</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44,003,643.47</w:t>
            </w: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1"/>
                <w:sz w:val="18"/>
                <w:szCs w:val="18"/>
              </w:rPr>
              <w:t>他</w:t>
            </w:r>
            <w:r>
              <w:rPr>
                <w:rFonts w:ascii="宋体" w:hAnsi="宋体" w:cs="宋体" w:eastAsia="宋体" w:hint="default"/>
                <w:sz w:val="18"/>
                <w:szCs w:val="18"/>
              </w:rPr>
              <w:t>（办公场所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押金保证金等）</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759,967.06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7,599.67</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752,367.39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476,991.19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4,769.91</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472,221.28</w:t>
            </w: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减：</w:t>
            </w:r>
            <w:r>
              <w:rPr>
                <w:rFonts w:ascii="Times New Roman" w:hAnsi="Times New Roman" w:cs="Times New Roman" w:eastAsia="Times New Roman" w:hint="default"/>
                <w:spacing w:val="-12"/>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的长期应收款</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-2,483,999.64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-24,840.00</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-2,459,159.64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-6,701,999.76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-67,020.00</w:t>
            </w:r>
            <w:r>
              <w:rPr>
                <w:rFonts w:ascii="Times New Roman"/>
                <w:sz w:val="18"/>
              </w:rPr>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-6,634,979.76</w:t>
            </w:r>
          </w:p>
        </w:tc>
        <w:tc>
          <w:tcPr>
            <w:tcW w:w="115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49,891,012.90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498,910.13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49,392,102.77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51,327,563.21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513,275.63</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50,814,287.58</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left="674" w:right="4872"/>
        <w:jc w:val="left"/>
        <w:rPr>
          <w:rFonts w:ascii="微软雅黑" w:hAnsi="微软雅黑" w:cs="微软雅黑" w:eastAsia="微软雅黑" w:hint="default"/>
        </w:rPr>
      </w:pPr>
      <w:bookmarkStart w:name="14、长期股权投资" w:id="253"/>
      <w:bookmarkEnd w:id="253"/>
      <w:r>
        <w:rPr/>
      </w:r>
      <w:r>
        <w:rPr>
          <w:rFonts w:ascii="Times New Roman" w:hAnsi="Times New Roman" w:cs="Times New Roman" w:eastAsia="Times New Roman" w:hint="default"/>
        </w:rPr>
        <w:t>14</w:t>
      </w:r>
      <w:r>
        <w:rPr>
          <w:rFonts w:ascii="微软雅黑" w:hAnsi="微软雅黑" w:cs="微软雅黑" w:eastAsia="微软雅黑" w:hint="default"/>
        </w:rPr>
        <w:t>、长期股权投资</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786"/>
        <w:gridCol w:w="1072"/>
        <w:gridCol w:w="474"/>
        <w:gridCol w:w="1040"/>
        <w:gridCol w:w="1190"/>
        <w:gridCol w:w="864"/>
        <w:gridCol w:w="865"/>
        <w:gridCol w:w="635"/>
        <w:gridCol w:w="636"/>
        <w:gridCol w:w="636"/>
        <w:gridCol w:w="636"/>
        <w:gridCol w:w="1072"/>
      </w:tblGrid>
      <w:tr>
        <w:trPr>
          <w:trHeight w:val="407" w:hRule="exact"/>
        </w:trPr>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0" w:right="135" w:hanging="84"/>
              <w:jc w:val="left"/>
              <w:rPr>
                <w:rFonts w:ascii="宋体" w:hAnsi="宋体" w:cs="宋体" w:eastAsia="宋体" w:hint="default"/>
                <w:sz w:val="18"/>
                <w:szCs w:val="18"/>
              </w:rPr>
            </w:pPr>
            <w:r>
              <w:rPr>
                <w:rFonts w:ascii="宋体" w:hAnsi="宋体" w:cs="宋体" w:eastAsia="宋体" w:hint="default"/>
                <w:spacing w:val="-12"/>
                <w:sz w:val="18"/>
                <w:szCs w:val="18"/>
              </w:rPr>
              <w:t>被投资 单位</w:t>
            </w:r>
            <w:r>
              <w:rPr>
                <w:rFonts w:ascii="宋体" w:hAnsi="宋体" w:cs="宋体" w:eastAsia="宋体" w:hint="default"/>
                <w:sz w:val="18"/>
                <w:szCs w:val="18"/>
              </w:rPr>
            </w:r>
          </w:p>
        </w:tc>
        <w:tc>
          <w:tcPr>
            <w:tcW w:w="10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3" w:right="360"/>
              <w:jc w:val="center"/>
              <w:rPr>
                <w:rFonts w:ascii="宋体" w:hAnsi="宋体" w:cs="宋体" w:eastAsia="宋体" w:hint="default"/>
                <w:sz w:val="18"/>
                <w:szCs w:val="18"/>
              </w:rPr>
            </w:pPr>
            <w:r>
              <w:rPr>
                <w:rFonts w:ascii="宋体" w:hAnsi="宋体" w:cs="宋体" w:eastAsia="宋体" w:hint="default"/>
                <w:spacing w:val="-12"/>
                <w:sz w:val="18"/>
                <w:szCs w:val="18"/>
              </w:rPr>
              <w:t>期初 余额</w:t>
            </w:r>
            <w:r>
              <w:rPr>
                <w:rFonts w:ascii="宋体" w:hAnsi="宋体" w:cs="宋体" w:eastAsia="宋体" w:hint="default"/>
                <w:sz w:val="18"/>
                <w:szCs w:val="18"/>
              </w:rPr>
            </w:r>
          </w:p>
        </w:tc>
        <w:tc>
          <w:tcPr>
            <w:tcW w:w="634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12"/>
                <w:sz w:val="18"/>
                <w:szCs w:val="18"/>
              </w:rPr>
              <w:t>本期增减变动</w:t>
            </w:r>
            <w:r>
              <w:rPr>
                <w:rFonts w:ascii="宋体" w:hAnsi="宋体" w:cs="宋体" w:eastAsia="宋体" w:hint="default"/>
                <w:sz w:val="18"/>
                <w:szCs w:val="18"/>
              </w:rPr>
            </w: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5" w:right="143"/>
              <w:jc w:val="left"/>
              <w:rPr>
                <w:rFonts w:ascii="宋体" w:hAnsi="宋体" w:cs="宋体" w:eastAsia="宋体" w:hint="default"/>
                <w:sz w:val="18"/>
                <w:szCs w:val="18"/>
              </w:rPr>
            </w:pPr>
            <w:r>
              <w:rPr>
                <w:rFonts w:ascii="宋体" w:hAnsi="宋体" w:cs="宋体" w:eastAsia="宋体" w:hint="default"/>
                <w:spacing w:val="-12"/>
                <w:sz w:val="18"/>
                <w:szCs w:val="18"/>
              </w:rPr>
              <w:t>期末 余额</w:t>
            </w:r>
            <w:r>
              <w:rPr>
                <w:rFonts w:ascii="宋体" w:hAnsi="宋体" w:cs="宋体" w:eastAsia="宋体" w:hint="default"/>
                <w:sz w:val="18"/>
                <w:szCs w:val="18"/>
              </w:rPr>
            </w:r>
          </w:p>
        </w:tc>
        <w:tc>
          <w:tcPr>
            <w:tcW w:w="10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79" w:right="108" w:hanging="168"/>
              <w:jc w:val="left"/>
              <w:rPr>
                <w:rFonts w:ascii="宋体" w:hAnsi="宋体" w:cs="宋体" w:eastAsia="宋体" w:hint="default"/>
                <w:sz w:val="18"/>
                <w:szCs w:val="18"/>
              </w:rPr>
            </w:pPr>
            <w:r>
              <w:rPr>
                <w:rFonts w:ascii="宋体" w:hAnsi="宋体" w:cs="宋体" w:eastAsia="宋体" w:hint="default"/>
                <w:spacing w:val="-12"/>
                <w:sz w:val="18"/>
                <w:szCs w:val="18"/>
              </w:rPr>
              <w:t>减值准备期 末余额</w:t>
            </w:r>
            <w:r>
              <w:rPr>
                <w:rFonts w:ascii="宋体" w:hAnsi="宋体" w:cs="宋体" w:eastAsia="宋体" w:hint="default"/>
                <w:sz w:val="18"/>
                <w:szCs w:val="18"/>
              </w:rPr>
            </w:r>
          </w:p>
        </w:tc>
      </w:tr>
      <w:tr>
        <w:trPr>
          <w:trHeight w:val="944" w:hRule="exact"/>
        </w:trPr>
        <w:tc>
          <w:tcPr>
            <w:tcW w:w="786" w:type="dxa"/>
            <w:vMerge/>
            <w:tcBorders>
              <w:left w:val="single" w:sz="4" w:space="0" w:color="000000"/>
              <w:bottom w:val="single" w:sz="4" w:space="0" w:color="000000"/>
              <w:right w:val="single" w:sz="4" w:space="0" w:color="000000"/>
            </w:tcBorders>
            <w:shd w:val="clear" w:color="auto" w:fill="D2D2D2"/>
          </w:tcPr>
          <w:p>
            <w:pPr/>
          </w:p>
        </w:tc>
        <w:tc>
          <w:tcPr>
            <w:tcW w:w="1072" w:type="dxa"/>
            <w:vMerge/>
            <w:tcBorders>
              <w:left w:val="single" w:sz="4" w:space="0" w:color="000000"/>
              <w:bottom w:val="single" w:sz="4" w:space="0" w:color="000000"/>
              <w:right w:val="single" w:sz="4" w:space="0" w:color="000000"/>
            </w:tcBorders>
            <w:shd w:val="clear" w:color="auto" w:fill="D2D2D2"/>
          </w:tcPr>
          <w:p>
            <w:pPr/>
          </w:p>
        </w:tc>
        <w:tc>
          <w:tcPr>
            <w:tcW w:w="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63" w:right="62"/>
              <w:jc w:val="left"/>
              <w:rPr>
                <w:rFonts w:ascii="宋体" w:hAnsi="宋体" w:cs="宋体" w:eastAsia="宋体" w:hint="default"/>
                <w:sz w:val="18"/>
                <w:szCs w:val="18"/>
              </w:rPr>
            </w:pPr>
            <w:r>
              <w:rPr>
                <w:rFonts w:ascii="宋体" w:hAnsi="宋体" w:cs="宋体" w:eastAsia="宋体" w:hint="default"/>
                <w:spacing w:val="-12"/>
                <w:sz w:val="18"/>
                <w:szCs w:val="18"/>
              </w:rPr>
              <w:t>追加 投资</w:t>
            </w:r>
            <w:r>
              <w:rPr>
                <w:rFonts w:ascii="宋体" w:hAnsi="宋体" w:cs="宋体" w:eastAsia="宋体" w:hint="default"/>
                <w:sz w:val="18"/>
                <w:szCs w:val="18"/>
              </w:rPr>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346" w:right="347"/>
              <w:jc w:val="center"/>
              <w:rPr>
                <w:rFonts w:ascii="宋体" w:hAnsi="宋体" w:cs="宋体" w:eastAsia="宋体" w:hint="default"/>
                <w:sz w:val="18"/>
                <w:szCs w:val="18"/>
              </w:rPr>
            </w:pPr>
            <w:r>
              <w:rPr>
                <w:rFonts w:ascii="宋体" w:hAnsi="宋体" w:cs="宋体" w:eastAsia="宋体" w:hint="default"/>
                <w:spacing w:val="-12"/>
                <w:sz w:val="18"/>
                <w:szCs w:val="18"/>
              </w:rPr>
              <w:t>减少 投资</w:t>
            </w:r>
            <w:r>
              <w:rPr>
                <w:rFonts w:ascii="宋体" w:hAnsi="宋体" w:cs="宋体" w:eastAsia="宋体" w:hint="default"/>
                <w:sz w:val="18"/>
                <w:szCs w:val="18"/>
              </w:rPr>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70" w:right="83" w:hanging="84"/>
              <w:jc w:val="left"/>
              <w:rPr>
                <w:rFonts w:ascii="宋体" w:hAnsi="宋体" w:cs="宋体" w:eastAsia="宋体" w:hint="default"/>
                <w:sz w:val="18"/>
                <w:szCs w:val="18"/>
              </w:rPr>
            </w:pPr>
            <w:r>
              <w:rPr>
                <w:rFonts w:ascii="宋体" w:hAnsi="宋体" w:cs="宋体" w:eastAsia="宋体" w:hint="default"/>
                <w:spacing w:val="-12"/>
                <w:sz w:val="18"/>
                <w:szCs w:val="18"/>
              </w:rPr>
              <w:t>权益法下确认 的投资损益</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89" w:right="90"/>
              <w:jc w:val="left"/>
              <w:rPr>
                <w:rFonts w:ascii="宋体" w:hAnsi="宋体" w:cs="宋体" w:eastAsia="宋体" w:hint="default"/>
                <w:sz w:val="18"/>
                <w:szCs w:val="18"/>
              </w:rPr>
            </w:pPr>
            <w:r>
              <w:rPr>
                <w:rFonts w:ascii="宋体" w:hAnsi="宋体" w:cs="宋体" w:eastAsia="宋体" w:hint="default"/>
                <w:spacing w:val="-12"/>
                <w:sz w:val="18"/>
                <w:szCs w:val="18"/>
              </w:rPr>
              <w:t>其他综合 收益调整</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260" w:right="77" w:hanging="168"/>
              <w:jc w:val="left"/>
              <w:rPr>
                <w:rFonts w:ascii="宋体" w:hAnsi="宋体" w:cs="宋体" w:eastAsia="宋体" w:hint="default"/>
                <w:sz w:val="18"/>
                <w:szCs w:val="18"/>
              </w:rPr>
            </w:pPr>
            <w:r>
              <w:rPr>
                <w:rFonts w:ascii="宋体" w:hAnsi="宋体" w:cs="宋体" w:eastAsia="宋体" w:hint="default"/>
                <w:spacing w:val="-9"/>
                <w:sz w:val="18"/>
                <w:szCs w:val="18"/>
              </w:rPr>
              <w:t>其他权益</w:t>
            </w:r>
            <w:r>
              <w:rPr>
                <w:rFonts w:ascii="宋体" w:hAnsi="宋体" w:cs="宋体" w:eastAsia="宋体" w:hint="default"/>
                <w:sz w:val="18"/>
                <w:szCs w:val="18"/>
              </w:rPr>
              <w:t> </w:t>
            </w:r>
            <w:r>
              <w:rPr>
                <w:rFonts w:ascii="宋体" w:hAnsi="宋体" w:cs="宋体" w:eastAsia="宋体" w:hint="default"/>
                <w:spacing w:val="-12"/>
                <w:sz w:val="18"/>
                <w:szCs w:val="18"/>
              </w:rPr>
              <w:t>变动</w:t>
            </w:r>
            <w:r>
              <w:rPr>
                <w:rFonts w:ascii="宋体" w:hAnsi="宋体" w:cs="宋体" w:eastAsia="宋体" w:hint="default"/>
                <w:sz w:val="18"/>
                <w:szCs w:val="18"/>
              </w:rPr>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9" w:right="0"/>
              <w:jc w:val="both"/>
              <w:rPr>
                <w:rFonts w:ascii="宋体" w:hAnsi="宋体" w:cs="宋体" w:eastAsia="宋体" w:hint="default"/>
                <w:sz w:val="18"/>
                <w:szCs w:val="18"/>
              </w:rPr>
            </w:pPr>
            <w:r>
              <w:rPr>
                <w:rFonts w:ascii="宋体" w:hAnsi="宋体" w:cs="宋体" w:eastAsia="宋体" w:hint="default"/>
                <w:spacing w:val="-12"/>
                <w:sz w:val="18"/>
                <w:szCs w:val="18"/>
              </w:rPr>
              <w:t>宣告发</w:t>
            </w:r>
            <w:r>
              <w:rPr>
                <w:rFonts w:ascii="宋体" w:hAnsi="宋体" w:cs="宋体" w:eastAsia="宋体" w:hint="default"/>
                <w:sz w:val="18"/>
                <w:szCs w:val="18"/>
              </w:rPr>
            </w:r>
          </w:p>
          <w:p>
            <w:pPr>
              <w:pStyle w:val="TableParagraph"/>
              <w:spacing w:line="237" w:lineRule="auto" w:before="1"/>
              <w:ind w:left="59" w:right="59"/>
              <w:jc w:val="both"/>
              <w:rPr>
                <w:rFonts w:ascii="宋体" w:hAnsi="宋体" w:cs="宋体" w:eastAsia="宋体" w:hint="default"/>
                <w:sz w:val="18"/>
                <w:szCs w:val="18"/>
              </w:rPr>
            </w:pPr>
            <w:r>
              <w:rPr>
                <w:rFonts w:ascii="宋体" w:hAnsi="宋体" w:cs="宋体" w:eastAsia="宋体" w:hint="default"/>
                <w:spacing w:val="-12"/>
                <w:sz w:val="18"/>
                <w:szCs w:val="18"/>
              </w:rPr>
              <w:t>放现金 股利或 利润</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61" w:right="59"/>
              <w:jc w:val="left"/>
              <w:rPr>
                <w:rFonts w:ascii="宋体" w:hAnsi="宋体" w:cs="宋体" w:eastAsia="宋体" w:hint="default"/>
                <w:sz w:val="18"/>
                <w:szCs w:val="18"/>
              </w:rPr>
            </w:pPr>
            <w:r>
              <w:rPr>
                <w:rFonts w:ascii="宋体" w:hAnsi="宋体" w:cs="宋体" w:eastAsia="宋体" w:hint="default"/>
                <w:spacing w:val="-12"/>
                <w:sz w:val="18"/>
                <w:szCs w:val="18"/>
              </w:rPr>
              <w:t>计提减 值准备</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636" w:type="dxa"/>
            <w:vMerge/>
            <w:tcBorders>
              <w:left w:val="single" w:sz="4" w:space="0" w:color="000000"/>
              <w:bottom w:val="single" w:sz="4" w:space="0" w:color="000000"/>
              <w:right w:val="single" w:sz="4" w:space="0" w:color="000000"/>
            </w:tcBorders>
            <w:shd w:val="clear" w:color="auto" w:fill="D2D2D2"/>
          </w:tcPr>
          <w:p>
            <w:pPr/>
          </w:p>
        </w:tc>
        <w:tc>
          <w:tcPr>
            <w:tcW w:w="1072"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990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pacing w:val="-12"/>
                <w:sz w:val="18"/>
                <w:szCs w:val="18"/>
              </w:rPr>
              <w:t>一、合营企业</w:t>
            </w:r>
            <w:r>
              <w:rPr>
                <w:rFonts w:ascii="宋体" w:hAnsi="宋体" w:cs="宋体" w:eastAsia="宋体" w:hint="default"/>
                <w:sz w:val="18"/>
                <w:szCs w:val="18"/>
              </w:rPr>
            </w:r>
          </w:p>
        </w:tc>
      </w:tr>
      <w:tr>
        <w:trPr>
          <w:trHeight w:val="710"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中天智慧</w:t>
            </w:r>
            <w:r>
              <w:rPr>
                <w:rFonts w:ascii="宋体" w:hAnsi="宋体" w:cs="宋体" w:eastAsia="宋体" w:hint="default"/>
                <w:sz w:val="18"/>
                <w:szCs w:val="18"/>
              </w:rPr>
            </w:r>
          </w:p>
          <w:p>
            <w:pPr>
              <w:pStyle w:val="TableParagraph"/>
              <w:spacing w:line="240" w:lineRule="auto"/>
              <w:ind w:left="52" w:right="51"/>
              <w:jc w:val="left"/>
              <w:rPr>
                <w:rFonts w:ascii="宋体" w:hAnsi="宋体" w:cs="宋体" w:eastAsia="宋体" w:hint="default"/>
                <w:sz w:val="18"/>
                <w:szCs w:val="18"/>
              </w:rPr>
            </w:pPr>
            <w:r>
              <w:rPr>
                <w:rFonts w:ascii="宋体" w:hAnsi="宋体" w:cs="宋体" w:eastAsia="宋体" w:hint="default"/>
                <w:spacing w:val="-12"/>
                <w:sz w:val="18"/>
                <w:szCs w:val="18"/>
              </w:rPr>
              <w:t>科技有限 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3,456,389.80</w:t>
            </w:r>
          </w:p>
        </w:tc>
        <w:tc>
          <w:tcPr>
            <w:tcW w:w="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6"/>
                <w:sz w:val="18"/>
              </w:rPr>
              <w:t>3,739,195.58</w:t>
            </w:r>
          </w:p>
        </w:tc>
        <w:tc>
          <w:tcPr>
            <w:tcW w:w="86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6"/>
                <w:sz w:val="18"/>
              </w:rPr>
              <w:t>43,767.85</w:t>
            </w: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7,239,353.23</w:t>
            </w:r>
          </w:p>
        </w:tc>
      </w:tr>
      <w:tr>
        <w:trPr>
          <w:trHeight w:val="709"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北京安创</w:t>
            </w:r>
            <w:r>
              <w:rPr>
                <w:rFonts w:ascii="宋体" w:hAnsi="宋体" w:cs="宋体" w:eastAsia="宋体" w:hint="default"/>
                <w:sz w:val="18"/>
                <w:szCs w:val="18"/>
              </w:rPr>
            </w:r>
          </w:p>
          <w:p>
            <w:pPr>
              <w:pStyle w:val="TableParagraph"/>
              <w:spacing w:line="240" w:lineRule="auto"/>
              <w:ind w:left="52" w:right="51"/>
              <w:jc w:val="left"/>
              <w:rPr>
                <w:rFonts w:ascii="宋体" w:hAnsi="宋体" w:cs="宋体" w:eastAsia="宋体" w:hint="default"/>
                <w:sz w:val="18"/>
                <w:szCs w:val="18"/>
              </w:rPr>
            </w:pPr>
            <w:r>
              <w:rPr>
                <w:rFonts w:ascii="宋体" w:hAnsi="宋体" w:cs="宋体" w:eastAsia="宋体" w:hint="default"/>
                <w:spacing w:val="-12"/>
                <w:sz w:val="18"/>
                <w:szCs w:val="18"/>
              </w:rPr>
              <w:t>空间科技 有限公司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9,720,269.70</w:t>
            </w:r>
          </w:p>
        </w:tc>
        <w:tc>
          <w:tcPr>
            <w:tcW w:w="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6"/>
                <w:sz w:val="18"/>
              </w:rPr>
              <w:t>814,537.33</w:t>
            </w:r>
          </w:p>
        </w:tc>
        <w:tc>
          <w:tcPr>
            <w:tcW w:w="86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158,229.88</w:t>
            </w: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10,693,036.91</w:t>
            </w:r>
          </w:p>
        </w:tc>
      </w:tr>
      <w:tr>
        <w:trPr>
          <w:trHeight w:val="710"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重庆创华</w:t>
            </w:r>
            <w:r>
              <w:rPr>
                <w:rFonts w:ascii="宋体" w:hAnsi="宋体" w:cs="宋体" w:eastAsia="宋体" w:hint="default"/>
                <w:sz w:val="18"/>
                <w:szCs w:val="18"/>
              </w:rPr>
            </w:r>
          </w:p>
          <w:p>
            <w:pPr>
              <w:pStyle w:val="TableParagraph"/>
              <w:spacing w:line="240" w:lineRule="auto"/>
              <w:ind w:left="52" w:right="51"/>
              <w:jc w:val="left"/>
              <w:rPr>
                <w:rFonts w:ascii="宋体" w:hAnsi="宋体" w:cs="宋体" w:eastAsia="宋体" w:hint="default"/>
                <w:sz w:val="18"/>
                <w:szCs w:val="18"/>
              </w:rPr>
            </w:pPr>
            <w:r>
              <w:rPr>
                <w:rFonts w:ascii="宋体" w:hAnsi="宋体" w:cs="宋体" w:eastAsia="宋体" w:hint="default"/>
                <w:spacing w:val="-12"/>
                <w:sz w:val="18"/>
                <w:szCs w:val="18"/>
              </w:rPr>
              <w:t>科技有限 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8,477,532.70</w:t>
            </w:r>
          </w:p>
        </w:tc>
        <w:tc>
          <w:tcPr>
            <w:tcW w:w="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-8,388,480.00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6"/>
                <w:sz w:val="18"/>
              </w:rPr>
              <w:t>-89,052.70</w:t>
            </w:r>
          </w:p>
        </w:tc>
        <w:tc>
          <w:tcPr>
            <w:tcW w:w="86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5"/>
                <w:sz w:val="18"/>
              </w:rPr>
              <w:t>0.00</w:t>
            </w:r>
          </w:p>
        </w:tc>
      </w:tr>
      <w:tr>
        <w:trPr>
          <w:trHeight w:val="408" w:hRule="exact"/>
        </w:trPr>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pacing w:val="-12"/>
                <w:sz w:val="18"/>
                <w:szCs w:val="18"/>
              </w:rPr>
              <w:t>小计</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6"/>
                <w:sz w:val="18"/>
              </w:rPr>
              <w:t>21,654,192.20</w:t>
            </w:r>
          </w:p>
        </w:tc>
        <w:tc>
          <w:tcPr>
            <w:tcW w:w="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6"/>
                <w:sz w:val="18"/>
              </w:rPr>
              <w:t>-8,388,480.00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pacing w:val="-6"/>
                <w:sz w:val="18"/>
              </w:rPr>
              <w:t>4,464,680.21</w:t>
            </w:r>
          </w:p>
        </w:tc>
        <w:tc>
          <w:tcPr>
            <w:tcW w:w="86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6"/>
                <w:sz w:val="18"/>
              </w:rPr>
              <w:t>201,997.73</w:t>
            </w: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6"/>
                <w:sz w:val="18"/>
              </w:rPr>
              <w:t>17,932,390.14</w:t>
            </w:r>
          </w:p>
        </w:tc>
      </w:tr>
      <w:tr>
        <w:trPr>
          <w:trHeight w:val="407" w:hRule="exact"/>
        </w:trPr>
        <w:tc>
          <w:tcPr>
            <w:tcW w:w="990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二、联营企业</w:t>
            </w:r>
            <w:r>
              <w:rPr>
                <w:rFonts w:ascii="宋体" w:hAnsi="宋体" w:cs="宋体" w:eastAsia="宋体" w:hint="default"/>
                <w:sz w:val="18"/>
                <w:szCs w:val="18"/>
              </w:rPr>
            </w:r>
          </w:p>
        </w:tc>
      </w:tr>
      <w:tr>
        <w:trPr>
          <w:trHeight w:val="710"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杭州格像</w:t>
            </w:r>
            <w:r>
              <w:rPr>
                <w:rFonts w:ascii="宋体" w:hAnsi="宋体" w:cs="宋体" w:eastAsia="宋体" w:hint="default"/>
                <w:sz w:val="18"/>
                <w:szCs w:val="18"/>
              </w:rPr>
            </w:r>
          </w:p>
          <w:p>
            <w:pPr>
              <w:pStyle w:val="TableParagraph"/>
              <w:spacing w:line="232" w:lineRule="exact" w:before="24"/>
              <w:ind w:left="52" w:right="51"/>
              <w:jc w:val="left"/>
              <w:rPr>
                <w:rFonts w:ascii="宋体" w:hAnsi="宋体" w:cs="宋体" w:eastAsia="宋体" w:hint="default"/>
                <w:sz w:val="18"/>
                <w:szCs w:val="18"/>
              </w:rPr>
            </w:pPr>
            <w:r>
              <w:rPr>
                <w:rFonts w:ascii="宋体" w:hAnsi="宋体" w:cs="宋体" w:eastAsia="宋体" w:hint="default"/>
                <w:spacing w:val="-12"/>
                <w:sz w:val="18"/>
                <w:szCs w:val="18"/>
              </w:rPr>
              <w:t>科技有限 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16,392,510.10</w:t>
            </w:r>
          </w:p>
        </w:tc>
        <w:tc>
          <w:tcPr>
            <w:tcW w:w="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6"/>
                <w:sz w:val="18"/>
              </w:rPr>
              <w:t>-1,096,963.29</w:t>
            </w:r>
          </w:p>
        </w:tc>
        <w:tc>
          <w:tcPr>
            <w:tcW w:w="86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15,295,546.81</w:t>
            </w:r>
          </w:p>
        </w:tc>
      </w:tr>
      <w:tr>
        <w:trPr>
          <w:trHeight w:val="944"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both"/>
              <w:rPr>
                <w:rFonts w:ascii="宋体" w:hAnsi="宋体" w:cs="宋体" w:eastAsia="宋体" w:hint="default"/>
                <w:sz w:val="18"/>
                <w:szCs w:val="18"/>
              </w:rPr>
            </w:pPr>
            <w:r>
              <w:rPr>
                <w:rFonts w:ascii="宋体" w:hAnsi="宋体" w:cs="宋体" w:eastAsia="宋体" w:hint="default"/>
                <w:spacing w:val="-12"/>
                <w:sz w:val="18"/>
                <w:szCs w:val="18"/>
              </w:rPr>
              <w:t>北京云创</w:t>
            </w:r>
            <w:r>
              <w:rPr>
                <w:rFonts w:ascii="宋体" w:hAnsi="宋体" w:cs="宋体" w:eastAsia="宋体" w:hint="default"/>
                <w:sz w:val="18"/>
                <w:szCs w:val="18"/>
              </w:rPr>
            </w:r>
          </w:p>
          <w:p>
            <w:pPr>
              <w:pStyle w:val="TableParagraph"/>
              <w:spacing w:line="237" w:lineRule="auto" w:before="1"/>
              <w:ind w:left="52" w:right="51"/>
              <w:jc w:val="both"/>
              <w:rPr>
                <w:rFonts w:ascii="宋体" w:hAnsi="宋体" w:cs="宋体" w:eastAsia="宋体" w:hint="default"/>
                <w:sz w:val="18"/>
                <w:szCs w:val="18"/>
              </w:rPr>
            </w:pPr>
            <w:r>
              <w:rPr>
                <w:rFonts w:ascii="宋体" w:hAnsi="宋体" w:cs="宋体" w:eastAsia="宋体" w:hint="default"/>
                <w:spacing w:val="-12"/>
                <w:sz w:val="18"/>
                <w:szCs w:val="18"/>
              </w:rPr>
              <w:t>远景软件 有限责任 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1"/>
              <w:jc w:val="right"/>
              <w:rPr>
                <w:rFonts w:ascii="Times New Roman" w:hAnsi="Times New Roman" w:cs="Times New Roman" w:eastAsia="Times New Roman" w:hint="default"/>
                <w:sz w:val="18"/>
                <w:szCs w:val="18"/>
              </w:rPr>
            </w:pPr>
            <w:r>
              <w:rPr>
                <w:rFonts w:ascii="Times New Roman"/>
                <w:spacing w:val="-6"/>
                <w:sz w:val="18"/>
              </w:rPr>
              <w:t>146,399.01</w:t>
            </w:r>
          </w:p>
        </w:tc>
        <w:tc>
          <w:tcPr>
            <w:tcW w:w="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2"/>
              <w:jc w:val="right"/>
              <w:rPr>
                <w:rFonts w:ascii="Times New Roman" w:hAnsi="Times New Roman" w:cs="Times New Roman" w:eastAsia="Times New Roman" w:hint="default"/>
                <w:sz w:val="18"/>
                <w:szCs w:val="18"/>
              </w:rPr>
            </w:pPr>
            <w:r>
              <w:rPr>
                <w:rFonts w:ascii="Times New Roman"/>
                <w:spacing w:val="-6"/>
                <w:sz w:val="18"/>
              </w:rPr>
              <w:t>-149,071.07</w:t>
            </w:r>
          </w:p>
        </w:tc>
        <w:tc>
          <w:tcPr>
            <w:tcW w:w="86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2"/>
              <w:jc w:val="right"/>
              <w:rPr>
                <w:rFonts w:ascii="Times New Roman" w:hAnsi="Times New Roman" w:cs="Times New Roman" w:eastAsia="Times New Roman" w:hint="default"/>
                <w:sz w:val="18"/>
                <w:szCs w:val="18"/>
              </w:rPr>
            </w:pPr>
            <w:r>
              <w:rPr>
                <w:rFonts w:ascii="Times New Roman"/>
                <w:spacing w:val="-6"/>
                <w:sz w:val="18"/>
              </w:rPr>
              <w:t>2,672.06</w:t>
            </w: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 w:right="43"/>
              <w:jc w:val="left"/>
              <w:rPr>
                <w:rFonts w:ascii="Times New Roman" w:hAnsi="Times New Roman" w:cs="Times New Roman" w:eastAsia="Times New Roman" w:hint="default"/>
                <w:sz w:val="18"/>
                <w:szCs w:val="18"/>
              </w:rPr>
            </w:pPr>
            <w:r>
              <w:rPr>
                <w:rFonts w:ascii="Times New Roman"/>
                <w:spacing w:val="-6"/>
                <w:sz w:val="18"/>
              </w:rPr>
              <w:t>T2Mobile</w:t>
            </w:r>
            <w:r>
              <w:rPr>
                <w:rFonts w:ascii="Times New Roman"/>
                <w:spacing w:val="-40"/>
                <w:sz w:val="18"/>
              </w:rPr>
              <w:t> </w:t>
            </w:r>
            <w:r>
              <w:rPr>
                <w:rFonts w:ascii="Times New Roman"/>
                <w:spacing w:val="-40"/>
                <w:sz w:val="18"/>
              </w:rPr>
            </w:r>
            <w:r>
              <w:rPr>
                <w:rFonts w:ascii="Times New Roman"/>
                <w:spacing w:val="-6"/>
                <w:sz w:val="18"/>
              </w:rPr>
              <w:t>Limited</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1"/>
              <w:jc w:val="right"/>
              <w:rPr>
                <w:rFonts w:ascii="Times New Roman" w:hAnsi="Times New Roman" w:cs="Times New Roman" w:eastAsia="Times New Roman" w:hint="default"/>
                <w:sz w:val="18"/>
                <w:szCs w:val="18"/>
              </w:rPr>
            </w:pPr>
            <w:r>
              <w:rPr>
                <w:rFonts w:ascii="Times New Roman"/>
                <w:spacing w:val="-6"/>
                <w:sz w:val="18"/>
              </w:rPr>
              <w:t>8,072,052.12</w:t>
            </w:r>
          </w:p>
        </w:tc>
        <w:tc>
          <w:tcPr>
            <w:tcW w:w="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8"/>
                <w:szCs w:val="18"/>
              </w:rPr>
            </w:pPr>
            <w:r>
              <w:rPr>
                <w:rFonts w:ascii="Times New Roman"/>
                <w:spacing w:val="-6"/>
                <w:sz w:val="18"/>
              </w:rPr>
              <w:t>-1,027.08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2"/>
              <w:jc w:val="right"/>
              <w:rPr>
                <w:rFonts w:ascii="Times New Roman" w:hAnsi="Times New Roman" w:cs="Times New Roman" w:eastAsia="Times New Roman" w:hint="default"/>
                <w:sz w:val="18"/>
                <w:szCs w:val="18"/>
              </w:rPr>
            </w:pPr>
            <w:r>
              <w:rPr>
                <w:rFonts w:ascii="Times New Roman"/>
                <w:spacing w:val="-6"/>
                <w:sz w:val="18"/>
              </w:rPr>
              <w:t>1,643,281.23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6" w:right="0"/>
              <w:jc w:val="center"/>
              <w:rPr>
                <w:rFonts w:ascii="Times New Roman" w:hAnsi="Times New Roman" w:cs="Times New Roman" w:eastAsia="Times New Roman" w:hint="default"/>
                <w:sz w:val="18"/>
                <w:szCs w:val="18"/>
              </w:rPr>
            </w:pPr>
            <w:r>
              <w:rPr>
                <w:rFonts w:ascii="Times New Roman"/>
                <w:spacing w:val="-6"/>
                <w:sz w:val="18"/>
              </w:rPr>
              <w:t>424,992.89</w:t>
            </w:r>
          </w:p>
        </w:tc>
        <w:tc>
          <w:tcPr>
            <w:tcW w:w="865"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1"/>
              <w:jc w:val="right"/>
              <w:rPr>
                <w:rFonts w:ascii="Times New Roman" w:hAnsi="Times New Roman" w:cs="Times New Roman" w:eastAsia="Times New Roman" w:hint="default"/>
                <w:sz w:val="18"/>
                <w:szCs w:val="18"/>
              </w:rPr>
            </w:pPr>
            <w:r>
              <w:rPr>
                <w:rFonts w:ascii="Times New Roman"/>
                <w:spacing w:val="-6"/>
                <w:sz w:val="18"/>
              </w:rPr>
              <w:t>10,139,299.16</w:t>
            </w:r>
          </w:p>
        </w:tc>
      </w:tr>
      <w:tr>
        <w:trPr>
          <w:trHeight w:val="710"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深圳互连</w:t>
            </w:r>
            <w:r>
              <w:rPr>
                <w:rFonts w:ascii="宋体" w:hAnsi="宋体" w:cs="宋体" w:eastAsia="宋体" w:hint="default"/>
                <w:sz w:val="18"/>
                <w:szCs w:val="18"/>
              </w:rPr>
            </w:r>
          </w:p>
          <w:p>
            <w:pPr>
              <w:pStyle w:val="TableParagraph"/>
              <w:spacing w:line="240" w:lineRule="auto"/>
              <w:ind w:left="52" w:right="51"/>
              <w:jc w:val="left"/>
              <w:rPr>
                <w:rFonts w:ascii="宋体" w:hAnsi="宋体" w:cs="宋体" w:eastAsia="宋体" w:hint="default"/>
                <w:sz w:val="18"/>
                <w:szCs w:val="18"/>
              </w:rPr>
            </w:pPr>
            <w:r>
              <w:rPr>
                <w:rFonts w:ascii="宋体" w:hAnsi="宋体" w:cs="宋体" w:eastAsia="宋体" w:hint="default"/>
                <w:spacing w:val="-12"/>
                <w:sz w:val="18"/>
                <w:szCs w:val="18"/>
              </w:rPr>
              <w:t>科技有限 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1,710,499.87</w:t>
            </w:r>
          </w:p>
        </w:tc>
        <w:tc>
          <w:tcPr>
            <w:tcW w:w="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2"/>
              <w:jc w:val="right"/>
              <w:rPr>
                <w:rFonts w:ascii="Times New Roman" w:hAnsi="Times New Roman" w:cs="Times New Roman" w:eastAsia="Times New Roman" w:hint="default"/>
                <w:sz w:val="18"/>
                <w:szCs w:val="18"/>
              </w:rPr>
            </w:pPr>
            <w:r>
              <w:rPr>
                <w:rFonts w:ascii="Times New Roman"/>
                <w:spacing w:val="-6"/>
                <w:sz w:val="18"/>
              </w:rPr>
              <w:t>-319,357.60</w:t>
            </w:r>
          </w:p>
        </w:tc>
        <w:tc>
          <w:tcPr>
            <w:tcW w:w="864"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pacing w:val="-6"/>
                <w:sz w:val="18"/>
              </w:rPr>
              <w:t>1,391,142.27</w:t>
            </w:r>
          </w:p>
        </w:tc>
      </w:tr>
      <w:tr>
        <w:trPr>
          <w:trHeight w:val="408" w:hRule="exact"/>
        </w:trPr>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pacing w:val="-12"/>
                <w:sz w:val="18"/>
                <w:szCs w:val="18"/>
              </w:rPr>
              <w:t>小计</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6"/>
                <w:sz w:val="18"/>
              </w:rPr>
              <w:t>26,321,461.10</w:t>
            </w:r>
          </w:p>
        </w:tc>
        <w:tc>
          <w:tcPr>
            <w:tcW w:w="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pacing w:val="-6"/>
                <w:sz w:val="18"/>
              </w:rPr>
              <w:t>-1,027.08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pacing w:val="-6"/>
                <w:sz w:val="18"/>
              </w:rPr>
              <w:t>77,889.27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pacing w:val="-6"/>
                <w:sz w:val="18"/>
              </w:rPr>
              <w:t>424,992.89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2"/>
              <w:jc w:val="right"/>
              <w:rPr>
                <w:rFonts w:ascii="Times New Roman" w:hAnsi="Times New Roman" w:cs="Times New Roman" w:eastAsia="Times New Roman" w:hint="default"/>
                <w:sz w:val="18"/>
                <w:szCs w:val="18"/>
              </w:rPr>
            </w:pPr>
            <w:r>
              <w:rPr>
                <w:rFonts w:ascii="Times New Roman"/>
                <w:spacing w:val="-6"/>
                <w:sz w:val="18"/>
              </w:rPr>
              <w:t>2,672.06</w:t>
            </w: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pacing w:val="-6"/>
                <w:sz w:val="18"/>
              </w:rPr>
              <w:t>26,825,988.24</w:t>
            </w:r>
          </w:p>
        </w:tc>
      </w:tr>
      <w:tr>
        <w:trPr>
          <w:trHeight w:val="407" w:hRule="exact"/>
        </w:trPr>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合计</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right"/>
              <w:rPr>
                <w:rFonts w:ascii="Times New Roman" w:hAnsi="Times New Roman" w:cs="Times New Roman" w:eastAsia="Times New Roman" w:hint="default"/>
                <w:sz w:val="18"/>
                <w:szCs w:val="18"/>
              </w:rPr>
            </w:pPr>
            <w:r>
              <w:rPr>
                <w:rFonts w:ascii="Times New Roman"/>
                <w:spacing w:val="-6"/>
                <w:sz w:val="18"/>
              </w:rPr>
              <w:t>47,975,653.30</w:t>
            </w:r>
          </w:p>
        </w:tc>
        <w:tc>
          <w:tcPr>
            <w:tcW w:w="47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right"/>
              <w:rPr>
                <w:rFonts w:ascii="Times New Roman" w:hAnsi="Times New Roman" w:cs="Times New Roman" w:eastAsia="Times New Roman" w:hint="default"/>
                <w:sz w:val="18"/>
                <w:szCs w:val="18"/>
              </w:rPr>
            </w:pPr>
            <w:r>
              <w:rPr>
                <w:rFonts w:ascii="Times New Roman"/>
                <w:spacing w:val="-6"/>
                <w:sz w:val="18"/>
              </w:rPr>
              <w:t>-8,389,507.08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2"/>
              <w:jc w:val="right"/>
              <w:rPr>
                <w:rFonts w:ascii="Times New Roman" w:hAnsi="Times New Roman" w:cs="Times New Roman" w:eastAsia="Times New Roman" w:hint="default"/>
                <w:sz w:val="18"/>
                <w:szCs w:val="18"/>
              </w:rPr>
            </w:pPr>
            <w:r>
              <w:rPr>
                <w:rFonts w:ascii="Times New Roman"/>
                <w:spacing w:val="-6"/>
                <w:sz w:val="18"/>
              </w:rPr>
              <w:t>4,542,569.48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 w:right="0"/>
              <w:jc w:val="center"/>
              <w:rPr>
                <w:rFonts w:ascii="Times New Roman" w:hAnsi="Times New Roman" w:cs="Times New Roman" w:eastAsia="Times New Roman" w:hint="default"/>
                <w:sz w:val="18"/>
                <w:szCs w:val="18"/>
              </w:rPr>
            </w:pPr>
            <w:r>
              <w:rPr>
                <w:rFonts w:ascii="Times New Roman"/>
                <w:spacing w:val="-6"/>
                <w:sz w:val="18"/>
              </w:rPr>
              <w:t>424,992.89</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right"/>
              <w:rPr>
                <w:rFonts w:ascii="Times New Roman" w:hAnsi="Times New Roman" w:cs="Times New Roman" w:eastAsia="Times New Roman" w:hint="default"/>
                <w:sz w:val="18"/>
                <w:szCs w:val="18"/>
              </w:rPr>
            </w:pPr>
            <w:r>
              <w:rPr>
                <w:rFonts w:ascii="Times New Roman"/>
                <w:spacing w:val="-6"/>
                <w:sz w:val="18"/>
              </w:rPr>
              <w:t>204,669.79</w:t>
            </w:r>
          </w:p>
        </w:tc>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right"/>
              <w:rPr>
                <w:rFonts w:ascii="Times New Roman" w:hAnsi="Times New Roman" w:cs="Times New Roman" w:eastAsia="Times New Roman" w:hint="default"/>
                <w:sz w:val="18"/>
                <w:szCs w:val="18"/>
              </w:rPr>
            </w:pPr>
            <w:r>
              <w:rPr>
                <w:rFonts w:ascii="Times New Roman"/>
                <w:spacing w:val="-6"/>
                <w:sz w:val="18"/>
              </w:rPr>
              <w:t>44,758,378.38</w:t>
            </w:r>
          </w:p>
        </w:tc>
      </w:tr>
    </w:tbl>
    <w:p>
      <w:pPr>
        <w:spacing w:line="240" w:lineRule="auto" w:before="6"/>
        <w:rPr>
          <w:rFonts w:ascii="宋体" w:hAnsi="宋体" w:cs="宋体" w:eastAsia="宋体" w:hint="default"/>
          <w:sz w:val="7"/>
          <w:szCs w:val="7"/>
        </w:rPr>
      </w:pPr>
    </w:p>
    <w:p>
      <w:pPr>
        <w:pStyle w:val="BodyText"/>
        <w:spacing w:line="240" w:lineRule="auto" w:before="35"/>
        <w:ind w:left="674" w:right="4872"/>
        <w:jc w:val="left"/>
      </w:pPr>
      <w:r>
        <w:rPr/>
        <w:t>其他说明</w:t>
      </w:r>
    </w:p>
    <w:p>
      <w:pPr>
        <w:spacing w:line="240" w:lineRule="auto" w:before="12"/>
        <w:rPr>
          <w:rFonts w:ascii="宋体" w:hAnsi="宋体" w:cs="宋体" w:eastAsia="宋体" w:hint="default"/>
          <w:sz w:val="17"/>
          <w:szCs w:val="17"/>
        </w:rPr>
      </w:pPr>
    </w:p>
    <w:p>
      <w:pPr>
        <w:pStyle w:val="BodyText"/>
        <w:tabs>
          <w:tab w:pos="1094" w:val="left" w:leader="none"/>
        </w:tabs>
        <w:spacing w:line="280" w:lineRule="auto"/>
        <w:ind w:left="254" w:right="1132" w:firstLine="420"/>
        <w:jc w:val="left"/>
      </w:pPr>
      <w:r>
        <w:rPr>
          <w:rFonts w:ascii="Times New Roman" w:hAnsi="Times New Roman" w:cs="Times New Roman" w:eastAsia="Times New Roman" w:hint="default"/>
          <w:spacing w:val="-1"/>
        </w:rPr>
        <w:t>A.</w:t>
        <w:tab/>
      </w:r>
      <w:r>
        <w:rPr>
          <w:spacing w:val="-2"/>
        </w:rPr>
        <w:t>本公司对合营企业中天智慧科技有限公司实施股份支付，增加资本公积</w:t>
      </w:r>
      <w:r>
        <w:rPr/>
        <w:t> </w:t>
      </w:r>
      <w:r>
        <w:rPr>
          <w:rFonts w:ascii="宋体" w:hAnsi="宋体" w:cs="宋体" w:eastAsia="宋体" w:hint="default"/>
        </w:rPr>
        <w:t>43,767.85</w:t>
      </w:r>
      <w:r>
        <w:rPr>
          <w:rFonts w:ascii="宋体" w:hAnsi="宋体" w:cs="宋体" w:eastAsia="宋体" w:hint="default"/>
          <w:spacing w:val="-27"/>
        </w:rPr>
        <w:t> </w:t>
      </w:r>
      <w:r>
        <w:rPr>
          <w:spacing w:val="-7"/>
        </w:rPr>
        <w:t>元，相应增加</w:t>
      </w:r>
      <w:r>
        <w:rPr/>
        <w:t> 长期股权投资</w:t>
      </w:r>
      <w:r>
        <w:rPr>
          <w:spacing w:val="-52"/>
        </w:rPr>
        <w:t> </w:t>
      </w:r>
      <w:r>
        <w:rPr>
          <w:rFonts w:ascii="宋体" w:hAnsi="宋体" w:cs="宋体" w:eastAsia="宋体" w:hint="default"/>
        </w:rPr>
        <w:t>43,767.85</w:t>
      </w:r>
      <w:r>
        <w:rPr>
          <w:rFonts w:ascii="宋体" w:hAnsi="宋体" w:cs="宋体" w:eastAsia="宋体" w:hint="default"/>
          <w:spacing w:val="-52"/>
        </w:rPr>
        <w:t> </w:t>
      </w:r>
      <w:r>
        <w:rPr/>
        <w:t>元。</w:t>
      </w:r>
    </w:p>
    <w:p>
      <w:pPr>
        <w:spacing w:line="240" w:lineRule="auto" w:before="2"/>
        <w:rPr>
          <w:rFonts w:ascii="宋体" w:hAnsi="宋体" w:cs="宋体" w:eastAsia="宋体" w:hint="default"/>
          <w:sz w:val="15"/>
          <w:szCs w:val="15"/>
        </w:rPr>
      </w:pPr>
    </w:p>
    <w:p>
      <w:pPr>
        <w:pStyle w:val="BodyText"/>
        <w:tabs>
          <w:tab w:pos="1094" w:val="left" w:leader="none"/>
        </w:tabs>
        <w:spacing w:line="297" w:lineRule="auto"/>
        <w:ind w:left="254" w:right="1132" w:firstLine="420"/>
        <w:jc w:val="left"/>
      </w:pPr>
      <w:r>
        <w:rPr>
          <w:rFonts w:ascii="宋体" w:hAnsi="宋体" w:cs="宋体" w:eastAsia="宋体" w:hint="default"/>
        </w:rPr>
        <w:t>B.</w:t>
        <w:tab/>
      </w:r>
      <w:r>
        <w:rPr/>
        <w:t>因北京安创空间科技有限公司其他股东增资，导致本公司持股比例由 </w:t>
      </w:r>
      <w:r>
        <w:rPr>
          <w:rFonts w:ascii="宋体" w:hAnsi="宋体" w:cs="宋体" w:eastAsia="宋体" w:hint="default"/>
        </w:rPr>
        <w:t>40.08%</w:t>
      </w:r>
      <w:r>
        <w:rPr/>
        <w:t>降到</w:t>
      </w:r>
      <w:r>
        <w:rPr>
          <w:spacing w:val="-24"/>
        </w:rPr>
        <w:t> </w:t>
      </w:r>
      <w:r>
        <w:rPr>
          <w:rFonts w:ascii="宋体" w:hAnsi="宋体" w:cs="宋体" w:eastAsia="宋体" w:hint="default"/>
        </w:rPr>
        <w:t>35.07%</w:t>
      </w:r>
      <w:r>
        <w:rPr/>
        <w:t>，同时 增加长期股权投资</w:t>
      </w:r>
      <w:r>
        <w:rPr>
          <w:spacing w:val="-52"/>
        </w:rPr>
        <w:t> </w:t>
      </w:r>
      <w:r>
        <w:rPr>
          <w:rFonts w:ascii="宋体" w:hAnsi="宋体" w:cs="宋体" w:eastAsia="宋体" w:hint="default"/>
        </w:rPr>
        <w:t>158,229.88</w:t>
      </w:r>
      <w:r>
        <w:rPr>
          <w:rFonts w:ascii="宋体" w:hAnsi="宋体" w:cs="宋体" w:eastAsia="宋体" w:hint="default"/>
          <w:spacing w:val="-53"/>
        </w:rPr>
        <w:t> </w:t>
      </w:r>
      <w:r>
        <w:rPr/>
        <w:t>元。</w:t>
      </w:r>
    </w:p>
    <w:p>
      <w:pPr>
        <w:spacing w:line="240" w:lineRule="auto" w:before="12"/>
        <w:rPr>
          <w:rFonts w:ascii="宋体" w:hAnsi="宋体" w:cs="宋体" w:eastAsia="宋体" w:hint="default"/>
          <w:sz w:val="13"/>
          <w:szCs w:val="13"/>
        </w:rPr>
      </w:pPr>
    </w:p>
    <w:p>
      <w:pPr>
        <w:pStyle w:val="BodyText"/>
        <w:tabs>
          <w:tab w:pos="1094" w:val="left" w:leader="none"/>
        </w:tabs>
        <w:spacing w:line="297" w:lineRule="auto"/>
        <w:ind w:left="254" w:right="1132" w:firstLine="420"/>
        <w:jc w:val="left"/>
      </w:pPr>
      <w:r>
        <w:rPr>
          <w:rFonts w:ascii="宋体" w:hAnsi="宋体" w:cs="宋体" w:eastAsia="宋体" w:hint="default"/>
        </w:rPr>
        <w:t>C.</w:t>
        <w:tab/>
      </w:r>
      <w:r>
        <w:rPr/>
        <w:t>本公司对联营企业云创远景实施股份支付，增加资本公积 </w:t>
      </w:r>
      <w:r>
        <w:rPr>
          <w:rFonts w:ascii="宋体" w:hAnsi="宋体" w:cs="宋体" w:eastAsia="宋体" w:hint="default"/>
        </w:rPr>
        <w:t>2,672.06</w:t>
      </w:r>
      <w:r>
        <w:rPr>
          <w:rFonts w:ascii="宋体" w:hAnsi="宋体" w:cs="宋体" w:eastAsia="宋体" w:hint="default"/>
          <w:spacing w:val="-24"/>
        </w:rPr>
        <w:t> </w:t>
      </w:r>
      <w:r>
        <w:rPr/>
        <w:t>元，相应增加长期股权投资 </w:t>
      </w:r>
      <w:r>
        <w:rPr>
          <w:rFonts w:ascii="宋体" w:hAnsi="宋体" w:cs="宋体" w:eastAsia="宋体" w:hint="default"/>
        </w:rPr>
        <w:t>2,672.06</w:t>
      </w:r>
      <w:r>
        <w:rPr>
          <w:rFonts w:ascii="宋体" w:hAnsi="宋体" w:cs="宋体" w:eastAsia="宋体" w:hint="default"/>
          <w:spacing w:val="-55"/>
        </w:rPr>
        <w:t> </w:t>
      </w:r>
      <w:r>
        <w:rPr/>
        <w:t>元。</w:t>
      </w:r>
    </w:p>
    <w:p>
      <w:pPr>
        <w:spacing w:line="240" w:lineRule="auto" w:before="1"/>
        <w:rPr>
          <w:rFonts w:ascii="宋体" w:hAnsi="宋体" w:cs="宋体" w:eastAsia="宋体" w:hint="default"/>
          <w:sz w:val="14"/>
          <w:szCs w:val="14"/>
        </w:rPr>
      </w:pPr>
    </w:p>
    <w:p>
      <w:pPr>
        <w:pStyle w:val="BodyText"/>
        <w:tabs>
          <w:tab w:pos="1094" w:val="left" w:leader="none"/>
        </w:tabs>
        <w:spacing w:line="240" w:lineRule="auto"/>
        <w:ind w:left="674" w:right="1114"/>
        <w:jc w:val="left"/>
      </w:pPr>
      <w:r>
        <w:rPr>
          <w:rFonts w:ascii="宋体" w:hAnsi="宋体" w:cs="宋体" w:eastAsia="宋体" w:hint="default"/>
        </w:rPr>
        <w:t>D.</w:t>
        <w:tab/>
      </w:r>
      <w:r>
        <w:rPr/>
        <w:t>因</w:t>
      </w:r>
      <w:r>
        <w:rPr>
          <w:spacing w:val="-54"/>
        </w:rPr>
        <w:t> </w:t>
      </w:r>
      <w:r>
        <w:rPr>
          <w:rFonts w:ascii="宋体" w:hAnsi="宋体" w:cs="宋体" w:eastAsia="宋体" w:hint="default"/>
        </w:rPr>
        <w:t>T2</w:t>
      </w:r>
      <w:r>
        <w:rPr>
          <w:rFonts w:ascii="宋体" w:hAnsi="宋体" w:cs="宋体" w:eastAsia="宋体" w:hint="default"/>
          <w:spacing w:val="-2"/>
        </w:rPr>
        <w:t> </w:t>
      </w:r>
      <w:r>
        <w:rPr>
          <w:rFonts w:ascii="宋体" w:hAnsi="宋体" w:cs="宋体" w:eastAsia="宋体" w:hint="default"/>
        </w:rPr>
        <w:t>Mobile</w:t>
      </w:r>
      <w:r>
        <w:rPr>
          <w:rFonts w:ascii="宋体" w:hAnsi="宋体" w:cs="宋体" w:eastAsia="宋体" w:hint="default"/>
          <w:spacing w:val="-2"/>
        </w:rPr>
        <w:t> </w:t>
      </w:r>
      <w:r>
        <w:rPr>
          <w:rFonts w:ascii="宋体" w:hAnsi="宋体" w:cs="宋体" w:eastAsia="宋体" w:hint="default"/>
        </w:rPr>
        <w:t>Limited</w:t>
      </w:r>
      <w:r>
        <w:rPr>
          <w:rFonts w:ascii="宋体" w:hAnsi="宋体" w:cs="宋体" w:eastAsia="宋体" w:hint="default"/>
          <w:spacing w:val="-53"/>
        </w:rPr>
        <w:t> </w:t>
      </w:r>
      <w:r>
        <w:rPr/>
        <w:t>其他净资产变动，相应增加本集团长期股权投资</w:t>
      </w:r>
      <w:r>
        <w:rPr>
          <w:spacing w:val="-53"/>
        </w:rPr>
        <w:t> </w:t>
      </w:r>
      <w:r>
        <w:rPr>
          <w:rFonts w:ascii="宋体" w:hAnsi="宋体" w:cs="宋体" w:eastAsia="宋体" w:hint="default"/>
        </w:rPr>
        <w:t>424,992.89</w:t>
      </w:r>
      <w:r>
        <w:rPr>
          <w:rFonts w:ascii="宋体" w:hAnsi="宋体" w:cs="宋体" w:eastAsia="宋体" w:hint="default"/>
          <w:spacing w:val="-54"/>
        </w:rPr>
        <w:t> </w:t>
      </w:r>
      <w:r>
        <w:rPr/>
        <w:t>元。</w:t>
      </w:r>
    </w:p>
    <w:p>
      <w:pPr>
        <w:spacing w:line="240" w:lineRule="auto" w:before="12"/>
        <w:rPr>
          <w:rFonts w:ascii="宋体" w:hAnsi="宋体" w:cs="宋体" w:eastAsia="宋体" w:hint="default"/>
          <w:sz w:val="17"/>
          <w:szCs w:val="17"/>
        </w:rPr>
      </w:pPr>
    </w:p>
    <w:p>
      <w:pPr>
        <w:pStyle w:val="BodyText"/>
        <w:tabs>
          <w:tab w:pos="1094" w:val="left" w:leader="none"/>
        </w:tabs>
        <w:spacing w:line="240" w:lineRule="auto"/>
        <w:ind w:left="674" w:right="0"/>
        <w:jc w:val="left"/>
      </w:pPr>
      <w:r>
        <w:rPr>
          <w:rFonts w:ascii="宋体" w:hAnsi="宋体" w:cs="宋体" w:eastAsia="宋体" w:hint="default"/>
        </w:rPr>
        <w:t>E.</w:t>
        <w:tab/>
      </w:r>
      <w:r>
        <w:rPr/>
        <w:t>公司于</w:t>
      </w:r>
      <w:r>
        <w:rPr>
          <w:spacing w:val="-55"/>
        </w:rPr>
        <w:t> </w:t>
      </w:r>
      <w:r>
        <w:rPr>
          <w:rFonts w:ascii="宋体" w:hAnsi="宋体" w:cs="宋体" w:eastAsia="宋体" w:hint="default"/>
        </w:rPr>
        <w:t>2018</w:t>
      </w:r>
      <w:r>
        <w:rPr>
          <w:rFonts w:ascii="宋体" w:hAnsi="宋体" w:cs="宋体" w:eastAsia="宋体" w:hint="default"/>
          <w:spacing w:val="-56"/>
        </w:rPr>
        <w:t> </w:t>
      </w:r>
      <w:r>
        <w:rPr/>
        <w:t>年</w:t>
      </w:r>
      <w:r>
        <w:rPr>
          <w:spacing w:val="-55"/>
        </w:rPr>
        <w:t> </w:t>
      </w:r>
      <w:r>
        <w:rPr>
          <w:rFonts w:ascii="宋体" w:hAnsi="宋体" w:cs="宋体" w:eastAsia="宋体" w:hint="default"/>
        </w:rPr>
        <w:t>6</w:t>
      </w:r>
      <w:r>
        <w:rPr>
          <w:rFonts w:ascii="宋体" w:hAnsi="宋体" w:cs="宋体" w:eastAsia="宋体" w:hint="default"/>
          <w:spacing w:val="-54"/>
        </w:rPr>
        <w:t> </w:t>
      </w:r>
      <w:r>
        <w:rPr/>
        <w:t>月成立清算组对重庆创华科技有限公司进行清算，减少投资</w:t>
      </w:r>
      <w:r>
        <w:rPr>
          <w:spacing w:val="-2"/>
        </w:rPr>
        <w:t> </w:t>
      </w:r>
      <w:r>
        <w:rPr>
          <w:rFonts w:ascii="宋体" w:hAnsi="宋体" w:cs="宋体" w:eastAsia="宋体" w:hint="default"/>
        </w:rPr>
        <w:t>8,388,480.00</w:t>
      </w:r>
      <w:r>
        <w:rPr>
          <w:rFonts w:ascii="宋体" w:hAnsi="宋体" w:cs="宋体" w:eastAsia="宋体" w:hint="default"/>
          <w:spacing w:val="-53"/>
        </w:rPr>
        <w:t> </w:t>
      </w:r>
      <w:r>
        <w:rPr/>
        <w:t>元，</w:t>
      </w:r>
    </w:p>
    <w:p>
      <w:pPr>
        <w:pStyle w:val="BodyText"/>
        <w:spacing w:line="240" w:lineRule="auto" w:before="64"/>
        <w:ind w:left="254" w:right="4872"/>
        <w:jc w:val="left"/>
      </w:pPr>
      <w:r>
        <w:rPr/>
        <w:t>确认本年权益法调整金额 </w:t>
      </w:r>
      <w:r>
        <w:rPr>
          <w:rFonts w:ascii="宋体" w:hAnsi="宋体" w:cs="宋体" w:eastAsia="宋体" w:hint="default"/>
        </w:rPr>
        <w:t>-89,052.70 </w:t>
      </w:r>
      <w:r>
        <w:rPr/>
        <w:t>元。</w:t>
      </w:r>
    </w:p>
    <w:p>
      <w:pPr>
        <w:spacing w:after="0" w:line="240" w:lineRule="auto"/>
        <w:jc w:val="left"/>
        <w:sectPr>
          <w:pgSz w:w="11910" w:h="16840"/>
          <w:pgMar w:header="801" w:footer="1007" w:top="1080" w:bottom="1200" w:left="880" w:right="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15、投资性房地产" w:id="254"/>
      <w:bookmarkEnd w:id="254"/>
      <w:r>
        <w:rPr/>
      </w:r>
      <w:r>
        <w:rPr>
          <w:rFonts w:ascii="Times New Roman" w:hAnsi="Times New Roman" w:cs="Times New Roman" w:eastAsia="Times New Roman" w:hint="default"/>
        </w:rPr>
        <w:t>15</w:t>
      </w:r>
      <w:r>
        <w:rPr>
          <w:rFonts w:ascii="微软雅黑" w:hAnsi="微软雅黑" w:cs="微软雅黑" w:eastAsia="微软雅黑" w:hint="default"/>
        </w:rPr>
        <w:t>、投资性房地产</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采用成本计量模式的投资性房地产" w:id="255"/>
      <w:bookmarkEnd w:id="255"/>
      <w:r>
        <w:rPr/>
      </w:r>
      <w:r>
        <w:rPr/>
        <w:t>（</w:t>
      </w:r>
      <w:r>
        <w:rPr>
          <w:rFonts w:ascii="Times New Roman" w:hAnsi="Times New Roman" w:cs="Times New Roman" w:eastAsia="Times New Roman" w:hint="default"/>
        </w:rPr>
        <w:t>1</w:t>
      </w:r>
      <w:r>
        <w:rPr/>
        <w:t>）采用成本计量模式的投资性房地产</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6"/>
          <w:szCs w:val="16"/>
        </w:rPr>
      </w:pPr>
    </w:p>
    <w:p>
      <w:pPr>
        <w:pStyle w:val="BodyText"/>
        <w:spacing w:line="240" w:lineRule="auto"/>
        <w:ind w:right="1016"/>
        <w:jc w:val="left"/>
      </w:pPr>
      <w:bookmarkStart w:name="（2）采用公允价值计量模式的投资性房地产" w:id="256"/>
      <w:bookmarkEnd w:id="256"/>
      <w:r>
        <w:rPr/>
      </w:r>
      <w:r>
        <w:rPr/>
        <w:t>（</w:t>
      </w:r>
      <w:r>
        <w:rPr>
          <w:rFonts w:ascii="Times New Roman" w:hAnsi="Times New Roman" w:cs="Times New Roman" w:eastAsia="Times New Roman" w:hint="default"/>
        </w:rPr>
        <w:t>2</w:t>
      </w:r>
      <w:r>
        <w:rPr/>
        <w:t>）采用公允价值计量模式的投资性房地产</w:t>
      </w:r>
    </w:p>
    <w:p>
      <w:pPr>
        <w:spacing w:line="240" w:lineRule="auto" w:before="8"/>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30"/>
          <w:szCs w:val="30"/>
        </w:rPr>
      </w:pPr>
    </w:p>
    <w:p>
      <w:pPr>
        <w:pStyle w:val="BodyText"/>
        <w:spacing w:line="240" w:lineRule="auto"/>
        <w:ind w:right="1016"/>
        <w:jc w:val="left"/>
        <w:rPr>
          <w:rFonts w:ascii="微软雅黑" w:hAnsi="微软雅黑" w:cs="微软雅黑" w:eastAsia="微软雅黑" w:hint="default"/>
        </w:rPr>
      </w:pPr>
      <w:bookmarkStart w:name="16、固定资产" w:id="257"/>
      <w:bookmarkEnd w:id="257"/>
      <w:r>
        <w:rPr/>
      </w:r>
      <w:r>
        <w:rPr>
          <w:rFonts w:ascii="Times New Roman" w:hAnsi="Times New Roman" w:cs="Times New Roman" w:eastAsia="Times New Roman" w:hint="default"/>
        </w:rPr>
        <w:t>16</w:t>
      </w:r>
      <w:r>
        <w:rPr>
          <w:rFonts w:ascii="微软雅黑" w:hAnsi="微软雅黑" w:cs="微软雅黑" w:eastAsia="微软雅黑" w:hint="default"/>
        </w:rPr>
        <w:t>、固定资产</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90"/>
        <w:gridCol w:w="3282"/>
        <w:gridCol w:w="3284"/>
      </w:tblGrid>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73,269,916.59</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75,179,755.20</w:t>
            </w:r>
          </w:p>
        </w:tc>
      </w:tr>
      <w:tr>
        <w:trPr>
          <w:trHeight w:val="407"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73,269,916.59</w:t>
            </w:r>
          </w:p>
        </w:tc>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75,179,755.20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1）固定资产情况" w:id="258"/>
      <w:bookmarkEnd w:id="258"/>
      <w:r>
        <w:rPr/>
      </w:r>
      <w:r>
        <w:rPr/>
        <w:t>（</w:t>
      </w:r>
      <w:r>
        <w:rPr>
          <w:rFonts w:ascii="Times New Roman" w:hAnsi="Times New Roman" w:cs="Times New Roman" w:eastAsia="Times New Roman" w:hint="default"/>
        </w:rPr>
        <w:t>1</w:t>
      </w:r>
      <w:r>
        <w:rPr/>
        <w:t>）固定资产情况</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408"/>
        <w:gridCol w:w="1406"/>
        <w:gridCol w:w="1408"/>
        <w:gridCol w:w="1409"/>
        <w:gridCol w:w="1408"/>
        <w:gridCol w:w="1408"/>
        <w:gridCol w:w="1409"/>
      </w:tblGrid>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1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0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57,894,175.49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38,222,533.74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6,903,578.92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1,688,993.26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3,595,481.55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108,304,762.96</w:t>
            </w:r>
          </w:p>
        </w:tc>
      </w:tr>
      <w:tr>
        <w:trPr>
          <w:trHeight w:val="476"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10,519,173.75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2,336,025.15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88,880.17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1,462,618.69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14,406,697.76</w:t>
            </w:r>
          </w:p>
        </w:tc>
      </w:tr>
      <w:tr>
        <w:trPr>
          <w:trHeight w:val="408"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7,510,892.25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1,899,771.06</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1,446,415.90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10,857,079.21</w:t>
            </w:r>
          </w:p>
        </w:tc>
      </w:tr>
      <w:tr>
        <w:trPr>
          <w:trHeight w:val="476"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工程转入</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2,979,367.08</w:t>
            </w:r>
          </w:p>
        </w:tc>
      </w:tr>
      <w:tr>
        <w:trPr>
          <w:trHeight w:val="476"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2,979,367.08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454,291.88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87,092.24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15,647.43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3,536,398.63</w:t>
            </w:r>
          </w:p>
        </w:tc>
      </w:tr>
      <w:tr>
        <w:trPr>
          <w:trHeight w:val="478" w:hRule="exact"/>
        </w:trPr>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12" w:lineRule="exact"/>
              <w:ind w:left="733" w:right="0"/>
              <w:jc w:val="left"/>
              <w:rPr>
                <w:rFonts w:ascii="宋体" w:hAnsi="宋体" w:cs="宋体" w:eastAsia="宋体" w:hint="default"/>
                <w:sz w:val="18"/>
                <w:szCs w:val="18"/>
              </w:rPr>
            </w:pPr>
            <w:r>
              <w:rPr>
                <w:rFonts w:ascii="宋体" w:hAnsi="宋体" w:cs="宋体" w:eastAsia="宋体" w:hint="default"/>
                <w:spacing w:val="-35"/>
                <w:sz w:val="18"/>
                <w:szCs w:val="18"/>
              </w:rPr>
              <w:t>（</w:t>
            </w:r>
            <w:r>
              <w:rPr>
                <w:rFonts w:ascii="Times New Roman" w:hAnsi="Times New Roman" w:cs="Times New Roman" w:eastAsia="Times New Roman" w:hint="default"/>
                <w:spacing w:val="-35"/>
                <w:sz w:val="18"/>
                <w:szCs w:val="18"/>
              </w:rPr>
              <w:t>4</w:t>
            </w:r>
            <w:r>
              <w:rPr>
                <w:rFonts w:ascii="宋体" w:hAnsi="宋体" w:cs="宋体" w:eastAsia="宋体" w:hint="default"/>
                <w:spacing w:val="-35"/>
                <w:sz w:val="18"/>
                <w:szCs w:val="18"/>
              </w:rPr>
              <w:t>）汇</w:t>
            </w:r>
            <w:r>
              <w:rPr>
                <w:rFonts w:ascii="宋体" w:hAnsi="宋体" w:cs="宋体" w:eastAsia="宋体" w:hint="default"/>
                <w:sz w:val="18"/>
                <w:szCs w:val="18"/>
              </w:rPr>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率变动</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28,914.42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w w:val="95"/>
                <w:sz w:val="18"/>
              </w:rPr>
              <w:t>-18,037.79</w:t>
            </w:r>
            <w:r>
              <w:rPr>
                <w:rFonts w:ascii="Times New Roman"/>
                <w:sz w:val="18"/>
              </w:rPr>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1,787.93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555.36</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13,219.92</w:t>
            </w:r>
          </w:p>
        </w:tc>
      </w:tr>
      <w:tr>
        <w:trPr>
          <w:trHeight w:val="476"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916,351.75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447,516.48</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1,363,868.23</w:t>
            </w:r>
          </w:p>
        </w:tc>
      </w:tr>
      <w:tr>
        <w:trPr>
          <w:trHeight w:val="476"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916,351.75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447,516.48</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1,363,868.23</w:t>
            </w:r>
          </w:p>
        </w:tc>
      </w:tr>
      <w:tr>
        <w:trPr>
          <w:trHeight w:val="408" w:hRule="exact"/>
        </w:trPr>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44,337,338.88</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57,894,175.49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47,825,355.74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8,792,087.59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1,777,873.43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5,058,100.24</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121,347,592.49</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5,253,561.03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20,122,266.81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3,737,033.50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1,436,191.59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2,575,954.83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33,125,007.76</w:t>
            </w:r>
          </w:p>
        </w:tc>
      </w:tr>
      <w:tr>
        <w:trPr>
          <w:trHeight w:val="478"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1,876,506.54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11,596,296.13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1,351,545.98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194,254.90</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888,008.79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15,906,612.34</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1,876,506.54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8,752,476.68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1,149,017.24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105,374.73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886,539.78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12,769,914.97</w:t>
            </w:r>
          </w:p>
        </w:tc>
      </w:tr>
      <w:tr>
        <w:trPr>
          <w:trHeight w:val="476" w:hRule="exact"/>
        </w:trPr>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11" w:lineRule="exact"/>
              <w:ind w:left="338"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）企业合</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2,751,354.07</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178,249.55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87,092.24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1,414.40</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3,018,110.26</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408"/>
        <w:gridCol w:w="1406"/>
        <w:gridCol w:w="1408"/>
        <w:gridCol w:w="1409"/>
        <w:gridCol w:w="1408"/>
        <w:gridCol w:w="1408"/>
        <w:gridCol w:w="1409"/>
      </w:tblGrid>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40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12"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92,465.38</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24,279.19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1,787.93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54.61</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pacing w:val="-2"/>
                <w:sz w:val="18"/>
              </w:rPr>
              <w:t>118,587.11</w:t>
            </w:r>
          </w:p>
        </w:tc>
      </w:tr>
      <w:tr>
        <w:trPr>
          <w:trHeight w:val="47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832,669.39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121,274.81</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953,944.20</w:t>
            </w:r>
          </w:p>
        </w:tc>
      </w:tr>
      <w:tr>
        <w:trPr>
          <w:trHeight w:val="47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832,669.39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121,274.81</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953,944.20</w:t>
            </w:r>
          </w:p>
        </w:tc>
      </w:tr>
      <w:tr>
        <w:trPr>
          <w:trHeight w:val="408" w:hRule="exact"/>
        </w:trPr>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7,130,067.57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30,885,893.55</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4,967,304.67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1,630,446.49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3,463,963.62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48,077,675.90</w:t>
            </w: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或报废</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50,764,107.92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16,939,462.19</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3,824,782.92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147,426.94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1,594,136.62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73,269,916.59</w:t>
            </w:r>
          </w:p>
        </w:tc>
      </w:tr>
      <w:tr>
        <w:trPr>
          <w:trHeight w:val="478" w:hRule="exact"/>
        </w:trPr>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52,640,614.46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18,100,266.93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3,166,545.42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252,801.67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1,019,526.72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75,179,755.20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12"/>
        <w:rPr>
          <w:rFonts w:ascii="宋体" w:hAnsi="宋体" w:cs="宋体" w:eastAsia="宋体" w:hint="default"/>
          <w:sz w:val="17"/>
          <w:szCs w:val="17"/>
        </w:rPr>
      </w:pPr>
    </w:p>
    <w:p>
      <w:pPr>
        <w:pStyle w:val="BodyText"/>
        <w:spacing w:line="240" w:lineRule="auto"/>
        <w:ind w:right="1016"/>
        <w:jc w:val="left"/>
      </w:pPr>
      <w:r>
        <w:rPr>
          <w:rFonts w:ascii="Times New Roman" w:hAnsi="Times New Roman" w:cs="Times New Roman" w:eastAsia="Times New Roman" w:hint="default"/>
        </w:rPr>
        <w:t>1. </w:t>
      </w:r>
      <w:r>
        <w:rPr/>
        <w:t>本期计提折旧金额 </w:t>
      </w:r>
      <w:r>
        <w:rPr>
          <w:rFonts w:ascii="Times New Roman" w:hAnsi="Times New Roman" w:cs="Times New Roman" w:eastAsia="Times New Roman" w:hint="default"/>
        </w:rPr>
        <w:t>12,769,914.97</w:t>
      </w:r>
      <w:r>
        <w:rPr>
          <w:rFonts w:ascii="Times New Roman" w:hAnsi="Times New Roman" w:cs="Times New Roman" w:eastAsia="Times New Roman" w:hint="default"/>
          <w:spacing w:val="-7"/>
        </w:rPr>
        <w:t> </w:t>
      </w:r>
      <w:r>
        <w:rPr/>
        <w:t>元。</w:t>
      </w:r>
    </w:p>
    <w:p>
      <w:pPr>
        <w:spacing w:line="240" w:lineRule="auto" w:before="9"/>
        <w:rPr>
          <w:rFonts w:ascii="宋体" w:hAnsi="宋体" w:cs="宋体" w:eastAsia="宋体" w:hint="default"/>
          <w:sz w:val="16"/>
          <w:szCs w:val="16"/>
        </w:rPr>
      </w:pPr>
    </w:p>
    <w:p>
      <w:pPr>
        <w:pStyle w:val="BodyText"/>
        <w:spacing w:line="280" w:lineRule="auto"/>
        <w:ind w:left="214" w:right="1016" w:firstLine="420"/>
        <w:jc w:val="left"/>
        <w:rPr>
          <w:rFonts w:ascii="Times New Roman" w:hAnsi="Times New Roman" w:cs="Times New Roman" w:eastAsia="Times New Roman" w:hint="default"/>
        </w:rPr>
      </w:pPr>
      <w:r>
        <w:rPr>
          <w:rFonts w:ascii="Times New Roman" w:hAnsi="Times New Roman" w:cs="Times New Roman" w:eastAsia="Times New Roman" w:hint="default"/>
        </w:rPr>
        <w:t>2. </w:t>
      </w:r>
      <w:r>
        <w:rPr/>
        <w:t>本期因短期借款抵押的固定资产期末账面价值 </w:t>
      </w:r>
      <w:r>
        <w:rPr>
          <w:rFonts w:ascii="Times New Roman" w:hAnsi="Times New Roman" w:cs="Times New Roman" w:eastAsia="Times New Roman" w:hint="default"/>
        </w:rPr>
        <w:t>29,232,262.55</w:t>
      </w:r>
      <w:r>
        <w:rPr>
          <w:rFonts w:ascii="Times New Roman" w:hAnsi="Times New Roman" w:cs="Times New Roman" w:eastAsia="Times New Roman" w:hint="default"/>
          <w:spacing w:val="30"/>
        </w:rPr>
        <w:t> </w:t>
      </w:r>
      <w:r>
        <w:rPr/>
        <w:t>元，详见本报告</w:t>
      </w:r>
      <w:r>
        <w:rPr>
          <w:rFonts w:ascii="Times New Roman" w:hAnsi="Times New Roman" w:cs="Times New Roman" w:eastAsia="Times New Roman" w:hint="default"/>
        </w:rPr>
        <w:t>“</w:t>
      </w:r>
      <w:r>
        <w:rPr/>
        <w:t>第十一节财务报告 七、</w:t>
      </w:r>
      <w:r>
        <w:rPr>
          <w:rFonts w:ascii="Times New Roman" w:hAnsi="Times New Roman" w:cs="Times New Roman" w:eastAsia="Times New Roman" w:hint="default"/>
        </w:rPr>
        <w:t>26”</w:t>
      </w:r>
    </w:p>
    <w:p>
      <w:pPr>
        <w:pStyle w:val="BodyText"/>
        <w:spacing w:line="240" w:lineRule="auto" w:before="171"/>
        <w:ind w:right="1016"/>
        <w:jc w:val="left"/>
        <w:rPr>
          <w:rFonts w:ascii="微软雅黑" w:hAnsi="微软雅黑" w:cs="微软雅黑" w:eastAsia="微软雅黑" w:hint="default"/>
        </w:rPr>
      </w:pPr>
      <w:bookmarkStart w:name="17、在建工程" w:id="259"/>
      <w:bookmarkEnd w:id="259"/>
      <w:r>
        <w:rPr/>
      </w:r>
      <w:r>
        <w:rPr>
          <w:rFonts w:ascii="Times New Roman" w:hAnsi="Times New Roman" w:cs="Times New Roman" w:eastAsia="Times New Roman" w:hint="default"/>
        </w:rPr>
        <w:t>17</w:t>
      </w:r>
      <w:r>
        <w:rPr>
          <w:rFonts w:ascii="微软雅黑" w:hAnsi="微软雅黑" w:cs="微软雅黑" w:eastAsia="微软雅黑" w:hint="default"/>
        </w:rPr>
        <w:t>、在建工程</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t>不适用</w:t>
      </w:r>
    </w:p>
    <w:p>
      <w:pPr>
        <w:spacing w:line="240" w:lineRule="auto" w:before="4"/>
        <w:rPr>
          <w:rFonts w:ascii="宋体" w:hAnsi="宋体" w:cs="宋体" w:eastAsia="宋体" w:hint="default"/>
          <w:sz w:val="17"/>
          <w:szCs w:val="17"/>
        </w:rPr>
      </w:pPr>
    </w:p>
    <w:p>
      <w:pPr>
        <w:pStyle w:val="BodyText"/>
        <w:spacing w:line="240" w:lineRule="auto"/>
        <w:ind w:right="1016"/>
        <w:jc w:val="left"/>
        <w:rPr>
          <w:rFonts w:ascii="微软雅黑" w:hAnsi="微软雅黑" w:cs="微软雅黑" w:eastAsia="微软雅黑" w:hint="default"/>
        </w:rPr>
      </w:pPr>
      <w:bookmarkStart w:name="18、生产性生物资产" w:id="260"/>
      <w:bookmarkEnd w:id="260"/>
      <w:r>
        <w:rPr/>
      </w:r>
      <w:r>
        <w:rPr>
          <w:rFonts w:ascii="Times New Roman" w:hAnsi="Times New Roman" w:cs="Times New Roman" w:eastAsia="Times New Roman" w:hint="default"/>
        </w:rPr>
        <w:t>18</w:t>
      </w:r>
      <w:r>
        <w:rPr>
          <w:rFonts w:ascii="微软雅黑" w:hAnsi="微软雅黑" w:cs="微软雅黑" w:eastAsia="微软雅黑" w:hint="default"/>
        </w:rPr>
        <w:t>、生产性生物资产</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采用成本计量模式的生产性生物资产" w:id="261"/>
      <w:bookmarkEnd w:id="261"/>
      <w:r>
        <w:rPr/>
      </w:r>
      <w:r>
        <w:rPr/>
        <w:t>（</w:t>
      </w:r>
      <w:r>
        <w:rPr>
          <w:rFonts w:ascii="Times New Roman" w:hAnsi="Times New Roman" w:cs="Times New Roman" w:eastAsia="Times New Roman" w:hint="default"/>
        </w:rPr>
        <w:t>1</w:t>
      </w:r>
      <w:r>
        <w:rPr/>
        <w:t>）采用成本计量模式的生产性生物资产</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9"/>
        <w:rPr>
          <w:rFonts w:ascii="宋体" w:hAnsi="宋体" w:cs="宋体" w:eastAsia="宋体" w:hint="default"/>
          <w:sz w:val="16"/>
          <w:szCs w:val="16"/>
        </w:rPr>
      </w:pPr>
    </w:p>
    <w:p>
      <w:pPr>
        <w:pStyle w:val="BodyText"/>
        <w:spacing w:line="240" w:lineRule="auto"/>
        <w:ind w:right="1016"/>
        <w:jc w:val="left"/>
      </w:pPr>
      <w:bookmarkStart w:name="（2）采用公允价值计量模式的生产性生物资产" w:id="262"/>
      <w:bookmarkEnd w:id="262"/>
      <w:r>
        <w:rPr/>
      </w:r>
      <w:r>
        <w:rPr/>
        <w:t>（</w:t>
      </w:r>
      <w:r>
        <w:rPr>
          <w:rFonts w:ascii="Times New Roman" w:hAnsi="Times New Roman" w:cs="Times New Roman" w:eastAsia="Times New Roman" w:hint="default"/>
        </w:rPr>
        <w:t>2</w:t>
      </w:r>
      <w:r>
        <w:rPr/>
        <w:t>）采用公允价值计量模式的生产性生物资产</w:t>
      </w:r>
    </w:p>
    <w:p>
      <w:pPr>
        <w:spacing w:line="240" w:lineRule="auto" w:before="8"/>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19、油气资产" w:id="263"/>
      <w:bookmarkEnd w:id="263"/>
      <w:r>
        <w:rPr/>
      </w:r>
      <w:r>
        <w:rPr>
          <w:rFonts w:ascii="Times New Roman" w:hAnsi="Times New Roman" w:cs="Times New Roman" w:eastAsia="Times New Roman" w:hint="default"/>
        </w:rPr>
        <w:t>19</w:t>
      </w:r>
      <w:r>
        <w:rPr>
          <w:rFonts w:ascii="微软雅黑" w:hAnsi="微软雅黑" w:cs="微软雅黑" w:eastAsia="微软雅黑" w:hint="default"/>
        </w:rPr>
        <w:t>、油气资产</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2"/>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20、无形资产" w:id="264"/>
      <w:bookmarkEnd w:id="264"/>
      <w:r>
        <w:rPr/>
      </w:r>
      <w:r>
        <w:rPr>
          <w:rFonts w:ascii="Times New Roman" w:hAnsi="Times New Roman" w:cs="Times New Roman" w:eastAsia="Times New Roman" w:hint="default"/>
        </w:rPr>
        <w:t>20</w:t>
      </w:r>
      <w:r>
        <w:rPr>
          <w:rFonts w:ascii="微软雅黑" w:hAnsi="微软雅黑" w:cs="微软雅黑" w:eastAsia="微软雅黑" w:hint="default"/>
        </w:rPr>
        <w:t>、无形资产</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无形资产情况" w:id="265"/>
      <w:bookmarkEnd w:id="265"/>
      <w:r>
        <w:rPr/>
      </w:r>
      <w:r>
        <w:rPr/>
        <w:t>（</w:t>
      </w:r>
      <w:r>
        <w:rPr>
          <w:rFonts w:ascii="Times New Roman" w:hAnsi="Times New Roman" w:cs="Times New Roman" w:eastAsia="Times New Roman" w:hint="default"/>
        </w:rPr>
        <w:t>1</w:t>
      </w:r>
      <w:r>
        <w:rPr/>
        <w:t>）无形资产情况</w:t>
      </w:r>
    </w:p>
    <w:p>
      <w:pPr>
        <w:spacing w:line="240" w:lineRule="auto" w:before="9"/>
        <w:rPr>
          <w:rFonts w:ascii="宋体" w:hAnsi="宋体" w:cs="宋体" w:eastAsia="宋体" w:hint="default"/>
          <w:sz w:val="16"/>
          <w:szCs w:val="16"/>
        </w:rPr>
      </w:pPr>
    </w:p>
    <w:p>
      <w:pPr>
        <w:pStyle w:val="BodyText"/>
        <w:spacing w:line="280" w:lineRule="auto"/>
        <w:ind w:left="214" w:right="1013" w:firstLine="420"/>
        <w:jc w:val="left"/>
      </w:pPr>
      <w:r>
        <w:rPr>
          <w:spacing w:val="-4"/>
        </w:rPr>
        <w:t>公司是否需遵守《深圳证券交易所创业板行业信息披露指引第</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1"/>
        </w:rPr>
        <w:t>号</w:t>
      </w:r>
      <w:r>
        <w:rPr>
          <w:rFonts w:ascii="Times New Roman" w:hAnsi="Times New Roman" w:cs="Times New Roman" w:eastAsia="Times New Roman" w:hint="default"/>
          <w:spacing w:val="-1"/>
        </w:rPr>
        <w:t>——</w:t>
      </w:r>
      <w:r>
        <w:rPr>
          <w:spacing w:val="-1"/>
        </w:rPr>
        <w:t>上市公司从事互联网游戏业务》</w:t>
      </w:r>
      <w:r>
        <w:rPr/>
        <w:t> 的披露要求</w:t>
      </w:r>
    </w:p>
    <w:p>
      <w:pPr>
        <w:spacing w:line="240" w:lineRule="auto" w:before="1"/>
        <w:rPr>
          <w:rFonts w:ascii="宋体" w:hAnsi="宋体" w:cs="宋体" w:eastAsia="宋体" w:hint="default"/>
          <w:sz w:val="15"/>
          <w:szCs w:val="15"/>
        </w:rPr>
      </w:pPr>
    </w:p>
    <w:p>
      <w:pPr>
        <w:pStyle w:val="BodyText"/>
        <w:spacing w:line="240" w:lineRule="auto"/>
        <w:ind w:right="1016"/>
        <w:jc w:val="left"/>
      </w:pPr>
      <w:r>
        <w:rPr/>
        <w:t>否</w:t>
      </w:r>
    </w:p>
    <w:p>
      <w:pPr>
        <w:spacing w:line="240" w:lineRule="auto" w:before="3"/>
        <w:rPr>
          <w:rFonts w:ascii="宋体" w:hAnsi="宋体" w:cs="宋体" w:eastAsia="宋体" w:hint="default"/>
          <w:sz w:val="18"/>
          <w:szCs w:val="18"/>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831"/>
        <w:gridCol w:w="833"/>
        <w:gridCol w:w="833"/>
        <w:gridCol w:w="833"/>
        <w:gridCol w:w="1252"/>
        <w:gridCol w:w="1250"/>
        <w:gridCol w:w="1342"/>
        <w:gridCol w:w="1340"/>
        <w:gridCol w:w="1342"/>
      </w:tblGrid>
      <w:tr>
        <w:trPr>
          <w:trHeight w:val="476"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31" w:right="0" w:hanging="90"/>
              <w:jc w:val="left"/>
              <w:rPr>
                <w:rFonts w:ascii="宋体" w:hAnsi="宋体" w:cs="宋体" w:eastAsia="宋体" w:hint="default"/>
                <w:sz w:val="18"/>
                <w:szCs w:val="18"/>
              </w:rPr>
            </w:pPr>
            <w:r>
              <w:rPr>
                <w:rFonts w:ascii="宋体" w:hAnsi="宋体" w:cs="宋体" w:eastAsia="宋体" w:hint="default"/>
                <w:sz w:val="18"/>
                <w:szCs w:val="18"/>
              </w:rPr>
              <w:t>土地使</w:t>
            </w:r>
          </w:p>
          <w:p>
            <w:pPr>
              <w:pStyle w:val="TableParagraph"/>
              <w:spacing w:line="234" w:lineRule="exact"/>
              <w:ind w:left="231" w:right="0"/>
              <w:jc w:val="left"/>
              <w:rPr>
                <w:rFonts w:ascii="宋体" w:hAnsi="宋体" w:cs="宋体" w:eastAsia="宋体" w:hint="default"/>
                <w:sz w:val="18"/>
                <w:szCs w:val="18"/>
              </w:rPr>
            </w:pPr>
            <w:r>
              <w:rPr>
                <w:rFonts w:ascii="宋体" w:hAnsi="宋体" w:cs="宋体" w:eastAsia="宋体" w:hint="default"/>
                <w:sz w:val="18"/>
                <w:szCs w:val="18"/>
              </w:rPr>
              <w:t>用权</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4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231" w:right="0" w:hanging="90"/>
              <w:jc w:val="left"/>
              <w:rPr>
                <w:rFonts w:ascii="宋体" w:hAnsi="宋体" w:cs="宋体" w:eastAsia="宋体" w:hint="default"/>
                <w:sz w:val="18"/>
                <w:szCs w:val="18"/>
              </w:rPr>
            </w:pPr>
            <w:r>
              <w:rPr>
                <w:rFonts w:ascii="宋体" w:hAnsi="宋体" w:cs="宋体" w:eastAsia="宋体" w:hint="default"/>
                <w:sz w:val="18"/>
                <w:szCs w:val="18"/>
              </w:rPr>
              <w:t>非专利</w:t>
            </w:r>
          </w:p>
          <w:p>
            <w:pPr>
              <w:pStyle w:val="TableParagraph"/>
              <w:spacing w:line="234" w:lineRule="exact"/>
              <w:ind w:left="231"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12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6"/>
              <w:ind w:left="260"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25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6"/>
              <w:ind w:left="260" w:right="0"/>
              <w:jc w:val="left"/>
              <w:rPr>
                <w:rFonts w:ascii="宋体" w:hAnsi="宋体" w:cs="宋体" w:eastAsia="宋体" w:hint="default"/>
                <w:sz w:val="18"/>
                <w:szCs w:val="18"/>
              </w:rPr>
            </w:pPr>
            <w:r>
              <w:rPr>
                <w:rFonts w:ascii="宋体" w:hAnsi="宋体" w:cs="宋体" w:eastAsia="宋体" w:hint="default"/>
                <w:sz w:val="18"/>
                <w:szCs w:val="18"/>
              </w:rPr>
              <w:t>自有软件</w:t>
            </w:r>
          </w:p>
        </w:tc>
        <w:tc>
          <w:tcPr>
            <w:tcW w:w="134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合同权益及客</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户关系</w:t>
            </w:r>
          </w:p>
        </w:tc>
        <w:tc>
          <w:tcPr>
            <w:tcW w:w="134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专利技术及软</w:t>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sz w:val="18"/>
                <w:szCs w:val="18"/>
              </w:rPr>
              <w:t>件产品</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6"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一、账</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面原值</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463"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34" w:lineRule="exact" w:before="10"/>
              <w:ind w:left="103" w:right="177"/>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7,820,690.34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22,111,523.33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137,089,220.00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115,267,790.00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282,289,223.67</w:t>
            </w: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463"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34" w:lineRule="exact" w:before="10"/>
              <w:ind w:left="103" w:right="177"/>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3,603,614.49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10,890,837.65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42,363,460.73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33,264,232.72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90,122,145.59</w:t>
            </w:r>
          </w:p>
        </w:tc>
      </w:tr>
      <w:tr>
        <w:trPr>
          <w:trHeight w:val="711"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103" w:right="117"/>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pacing w:val="-16"/>
                <w:sz w:val="18"/>
                <w:szCs w:val="18"/>
              </w:rPr>
              <w:t> </w:t>
            </w:r>
            <w:r>
              <w:rPr>
                <w:rFonts w:ascii="宋体" w:hAnsi="宋体" w:cs="宋体" w:eastAsia="宋体" w:hint="default"/>
                <w:sz w:val="18"/>
                <w:szCs w:val="18"/>
              </w:rPr>
              <w:t>置</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3,597,104.02</w:t>
            </w: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3,597,104.02</w:t>
            </w:r>
          </w:p>
        </w:tc>
      </w:tr>
      <w:tr>
        <w:trPr>
          <w:trHeight w:val="710"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117"/>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6"/>
                <w:sz w:val="18"/>
                <w:szCs w:val="18"/>
              </w:rPr>
              <w:t> </w:t>
            </w:r>
            <w:r>
              <w:rPr>
                <w:rFonts w:ascii="宋体" w:hAnsi="宋体" w:cs="宋体" w:eastAsia="宋体" w:hint="default"/>
                <w:sz w:val="18"/>
                <w:szCs w:val="18"/>
              </w:rPr>
              <w:t>部研发</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2,064,093.94</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2,064,093.94</w:t>
            </w:r>
          </w:p>
        </w:tc>
      </w:tr>
      <w:tr>
        <w:trPr>
          <w:trHeight w:val="943"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30" w:lineRule="auto"/>
              <w:ind w:left="103" w:right="117"/>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6"/>
                <w:sz w:val="18"/>
                <w:szCs w:val="18"/>
              </w:rPr>
              <w:t> </w:t>
            </w:r>
            <w:r>
              <w:rPr>
                <w:rFonts w:ascii="宋体" w:hAnsi="宋体" w:cs="宋体" w:eastAsia="宋体" w:hint="default"/>
                <w:sz w:val="18"/>
                <w:szCs w:val="18"/>
              </w:rPr>
              <w:t>业合并</w:t>
            </w:r>
            <w:r>
              <w:rPr>
                <w:rFonts w:ascii="宋体" w:hAnsi="宋体" w:cs="宋体" w:eastAsia="宋体" w:hint="default"/>
                <w:sz w:val="18"/>
                <w:szCs w:val="18"/>
              </w:rPr>
              <w:t> 增加</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pacing w:val="-1"/>
                <w:sz w:val="18"/>
              </w:rPr>
              <w:t>8,643,522.45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40,744,025.68</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9"/>
              <w:jc w:val="right"/>
              <w:rPr>
                <w:rFonts w:ascii="Times New Roman" w:hAnsi="Times New Roman" w:cs="Times New Roman" w:eastAsia="Times New Roman" w:hint="default"/>
                <w:sz w:val="18"/>
                <w:szCs w:val="18"/>
              </w:rPr>
            </w:pPr>
            <w:r>
              <w:rPr>
                <w:rFonts w:ascii="Times New Roman"/>
                <w:spacing w:val="-1"/>
                <w:sz w:val="18"/>
              </w:rPr>
              <w:t>32,052,721.71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81,440,269.84</w:t>
            </w:r>
          </w:p>
        </w:tc>
      </w:tr>
      <w:tr>
        <w:trPr>
          <w:trHeight w:val="710" w:hRule="exact"/>
        </w:trPr>
        <w:tc>
          <w:tcPr>
            <w:tcW w:w="83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103" w:right="117"/>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）汇</w:t>
            </w:r>
            <w:r>
              <w:rPr>
                <w:rFonts w:ascii="宋体" w:hAnsi="宋体" w:cs="宋体" w:eastAsia="宋体" w:hint="default"/>
                <w:spacing w:val="-16"/>
                <w:sz w:val="18"/>
                <w:szCs w:val="18"/>
              </w:rPr>
              <w:t> </w:t>
            </w:r>
            <w:r>
              <w:rPr>
                <w:rFonts w:ascii="宋体" w:hAnsi="宋体" w:cs="宋体" w:eastAsia="宋体" w:hint="default"/>
                <w:sz w:val="18"/>
                <w:szCs w:val="18"/>
              </w:rPr>
              <w:t>率变动</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6,510.47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183,221.26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1,619,435.05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1,211,511.01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3,020,677.79</w:t>
            </w:r>
          </w:p>
        </w:tc>
      </w:tr>
      <w:tr>
        <w:trPr>
          <w:trHeight w:val="710"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03" w:right="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w:t>
            </w:r>
          </w:p>
          <w:p>
            <w:pPr>
              <w:pStyle w:val="TableParagraph"/>
              <w:spacing w:line="234" w:lineRule="exact" w:before="15"/>
              <w:ind w:left="103" w:right="177"/>
              <w:jc w:val="left"/>
              <w:rPr>
                <w:rFonts w:ascii="宋体" w:hAnsi="宋体" w:cs="宋体" w:eastAsia="宋体" w:hint="default"/>
                <w:sz w:val="18"/>
                <w:szCs w:val="18"/>
              </w:rPr>
            </w:pPr>
            <w:r>
              <w:rPr>
                <w:rFonts w:ascii="宋体" w:hAnsi="宋体" w:cs="宋体" w:eastAsia="宋体" w:hint="default"/>
                <w:sz w:val="18"/>
                <w:szCs w:val="18"/>
              </w:rPr>
              <w:t>期减少 金额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1,348,183.16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949,758.72</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2,297,941.88</w:t>
            </w:r>
          </w:p>
        </w:tc>
      </w:tr>
      <w:tr>
        <w:trPr>
          <w:trHeight w:val="710"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103" w:right="117"/>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6"/>
                <w:sz w:val="18"/>
                <w:szCs w:val="18"/>
              </w:rPr>
              <w:t> </w:t>
            </w:r>
            <w:r>
              <w:rPr>
                <w:rFonts w:ascii="宋体" w:hAnsi="宋体" w:cs="宋体" w:eastAsia="宋体" w:hint="default"/>
                <w:sz w:val="18"/>
                <w:szCs w:val="18"/>
              </w:rPr>
              <w:t>置</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1,348,183.16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949,758.72</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2,297,941.88</w:t>
            </w:r>
          </w:p>
        </w:tc>
      </w:tr>
      <w:tr>
        <w:trPr>
          <w:trHeight w:val="407" w:hRule="exact"/>
        </w:trPr>
        <w:tc>
          <w:tcPr>
            <w:tcW w:w="83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463"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34" w:lineRule="exact" w:before="10"/>
              <w:ind w:left="103" w:right="177"/>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10,076,121.67</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32,052,602.26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179,452,680.73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148,532,022.72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370,113,427.38</w:t>
            </w:r>
          </w:p>
        </w:tc>
      </w:tr>
      <w:tr>
        <w:trPr>
          <w:trHeight w:val="478"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计摊销</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463"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34" w:lineRule="exact" w:before="10"/>
              <w:ind w:left="103" w:right="177"/>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5,268,697.74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3,519,716.25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23,003,607.39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13,470,350.06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45,262,371.44</w:t>
            </w: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9" w:lineRule="exact"/>
              <w:ind w:left="463"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34" w:lineRule="exact" w:before="10"/>
              <w:ind w:left="103" w:right="177"/>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2,297,930.32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10,855,029.38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34,591,164.24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16,457,448.68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64,201,572.62</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831"/>
        <w:gridCol w:w="833"/>
        <w:gridCol w:w="833"/>
        <w:gridCol w:w="833"/>
        <w:gridCol w:w="1252"/>
        <w:gridCol w:w="1250"/>
        <w:gridCol w:w="1342"/>
        <w:gridCol w:w="1340"/>
        <w:gridCol w:w="1342"/>
      </w:tblGrid>
      <w:tr>
        <w:trPr>
          <w:trHeight w:val="476"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31" w:right="0" w:hanging="90"/>
              <w:jc w:val="left"/>
              <w:rPr>
                <w:rFonts w:ascii="宋体" w:hAnsi="宋体" w:cs="宋体" w:eastAsia="宋体" w:hint="default"/>
                <w:sz w:val="18"/>
                <w:szCs w:val="18"/>
              </w:rPr>
            </w:pPr>
            <w:r>
              <w:rPr>
                <w:rFonts w:ascii="宋体" w:hAnsi="宋体" w:cs="宋体" w:eastAsia="宋体" w:hint="default"/>
                <w:sz w:val="18"/>
                <w:szCs w:val="18"/>
              </w:rPr>
              <w:t>土地使</w:t>
            </w:r>
          </w:p>
          <w:p>
            <w:pPr>
              <w:pStyle w:val="TableParagraph"/>
              <w:spacing w:line="235" w:lineRule="exact"/>
              <w:ind w:left="231" w:right="0"/>
              <w:jc w:val="left"/>
              <w:rPr>
                <w:rFonts w:ascii="宋体" w:hAnsi="宋体" w:cs="宋体" w:eastAsia="宋体" w:hint="default"/>
                <w:sz w:val="18"/>
                <w:szCs w:val="18"/>
              </w:rPr>
            </w:pPr>
            <w:r>
              <w:rPr>
                <w:rFonts w:ascii="宋体" w:hAnsi="宋体" w:cs="宋体" w:eastAsia="宋体" w:hint="default"/>
                <w:sz w:val="18"/>
                <w:szCs w:val="18"/>
              </w:rPr>
              <w:t>用权</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4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31" w:right="0" w:hanging="90"/>
              <w:jc w:val="left"/>
              <w:rPr>
                <w:rFonts w:ascii="宋体" w:hAnsi="宋体" w:cs="宋体" w:eastAsia="宋体" w:hint="default"/>
                <w:sz w:val="18"/>
                <w:szCs w:val="18"/>
              </w:rPr>
            </w:pPr>
            <w:r>
              <w:rPr>
                <w:rFonts w:ascii="宋体" w:hAnsi="宋体" w:cs="宋体" w:eastAsia="宋体" w:hint="default"/>
                <w:sz w:val="18"/>
                <w:szCs w:val="18"/>
              </w:rPr>
              <w:t>非专利</w:t>
            </w:r>
          </w:p>
          <w:p>
            <w:pPr>
              <w:pStyle w:val="TableParagraph"/>
              <w:spacing w:line="235" w:lineRule="exact"/>
              <w:ind w:left="231" w:right="0"/>
              <w:jc w:val="left"/>
              <w:rPr>
                <w:rFonts w:ascii="宋体" w:hAnsi="宋体" w:cs="宋体" w:eastAsia="宋体" w:hint="default"/>
                <w:sz w:val="18"/>
                <w:szCs w:val="18"/>
              </w:rPr>
            </w:pPr>
            <w:r>
              <w:rPr>
                <w:rFonts w:ascii="宋体" w:hAnsi="宋体" w:cs="宋体" w:eastAsia="宋体" w:hint="default"/>
                <w:sz w:val="18"/>
                <w:szCs w:val="18"/>
              </w:rPr>
              <w:t>技术</w:t>
            </w:r>
          </w:p>
        </w:tc>
        <w:tc>
          <w:tcPr>
            <w:tcW w:w="125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7"/>
              <w:ind w:left="260"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25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7"/>
              <w:ind w:left="260" w:right="0"/>
              <w:jc w:val="left"/>
              <w:rPr>
                <w:rFonts w:ascii="宋体" w:hAnsi="宋体" w:cs="宋体" w:eastAsia="宋体" w:hint="default"/>
                <w:sz w:val="18"/>
                <w:szCs w:val="18"/>
              </w:rPr>
            </w:pPr>
            <w:r>
              <w:rPr>
                <w:rFonts w:ascii="宋体" w:hAnsi="宋体" w:cs="宋体" w:eastAsia="宋体" w:hint="default"/>
                <w:sz w:val="18"/>
                <w:szCs w:val="18"/>
              </w:rPr>
              <w:t>自有软件</w:t>
            </w:r>
          </w:p>
        </w:tc>
        <w:tc>
          <w:tcPr>
            <w:tcW w:w="134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合同权益及客</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户关系</w:t>
            </w:r>
          </w:p>
        </w:tc>
        <w:tc>
          <w:tcPr>
            <w:tcW w:w="134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专利技术及软</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件产品</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0"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34" w:lineRule="exact"/>
              <w:ind w:left="103" w:right="117"/>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pacing w:val="-16"/>
                <w:sz w:val="18"/>
                <w:szCs w:val="18"/>
              </w:rPr>
              <w:t> </w:t>
            </w:r>
            <w:r>
              <w:rPr>
                <w:rFonts w:ascii="宋体" w:hAnsi="宋体" w:cs="宋体" w:eastAsia="宋体" w:hint="default"/>
                <w:sz w:val="18"/>
                <w:szCs w:val="18"/>
              </w:rPr>
              <w:t>提</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2,499,627.66</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5,892,176.10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33,387,378.84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14,523,368.62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56,302,551.22</w:t>
            </w:r>
          </w:p>
        </w:tc>
      </w:tr>
      <w:tr>
        <w:trPr>
          <w:trHeight w:val="918" w:hRule="exact"/>
        </w:trPr>
        <w:tc>
          <w:tcPr>
            <w:tcW w:w="83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3"/>
              <w:ind w:right="0"/>
              <w:jc w:val="left"/>
              <w:rPr>
                <w:rFonts w:ascii="宋体" w:hAnsi="宋体" w:cs="宋体" w:eastAsia="宋体" w:hint="default"/>
                <w:sz w:val="14"/>
                <w:szCs w:val="14"/>
              </w:rPr>
            </w:pPr>
          </w:p>
          <w:p>
            <w:pPr>
              <w:pStyle w:val="TableParagraph"/>
              <w:spacing w:line="230" w:lineRule="auto"/>
              <w:ind w:left="103" w:right="117"/>
              <w:jc w:val="both"/>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）企</w:t>
            </w:r>
            <w:r>
              <w:rPr>
                <w:rFonts w:ascii="宋体" w:hAnsi="宋体" w:cs="宋体" w:eastAsia="宋体" w:hint="default"/>
                <w:spacing w:val="-16"/>
                <w:sz w:val="18"/>
                <w:szCs w:val="18"/>
              </w:rPr>
              <w:t> </w:t>
            </w:r>
            <w:r>
              <w:rPr>
                <w:rFonts w:ascii="宋体" w:hAnsi="宋体" w:cs="宋体" w:eastAsia="宋体" w:hint="default"/>
                <w:sz w:val="18"/>
                <w:szCs w:val="18"/>
              </w:rPr>
              <w:t>业合并</w:t>
            </w:r>
            <w:r>
              <w:rPr>
                <w:rFonts w:ascii="宋体" w:hAnsi="宋体" w:cs="宋体" w:eastAsia="宋体" w:hint="default"/>
                <w:sz w:val="18"/>
                <w:szCs w:val="18"/>
              </w:rPr>
              <w:t> 增加</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4,854,433.61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914,991.04</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1,798,997.63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7,568,422.28</w:t>
            </w:r>
          </w:p>
        </w:tc>
      </w:tr>
      <w:tr>
        <w:trPr>
          <w:trHeight w:val="710" w:hRule="exact"/>
        </w:trPr>
        <w:tc>
          <w:tcPr>
            <w:tcW w:w="83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117"/>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）汇</w:t>
            </w:r>
            <w:r>
              <w:rPr>
                <w:rFonts w:ascii="宋体" w:hAnsi="宋体" w:cs="宋体" w:eastAsia="宋体" w:hint="default"/>
                <w:spacing w:val="-16"/>
                <w:sz w:val="18"/>
                <w:szCs w:val="18"/>
              </w:rPr>
              <w:t> </w:t>
            </w:r>
            <w:r>
              <w:rPr>
                <w:rFonts w:ascii="宋体" w:hAnsi="宋体" w:cs="宋体" w:eastAsia="宋体" w:hint="default"/>
                <w:sz w:val="18"/>
                <w:szCs w:val="18"/>
              </w:rPr>
              <w:t>率变动</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-201,697.34</w:t>
            </w:r>
            <w:r>
              <w:rPr>
                <w:rFonts w:ascii="Times New Roman"/>
                <w:sz w:val="18"/>
              </w:rPr>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108,419.67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288,794.36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135,082.43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330,599.12</w:t>
            </w: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9" w:lineRule="exact"/>
              <w:ind w:left="463"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34" w:lineRule="exact" w:before="10"/>
              <w:ind w:left="103" w:right="177"/>
              <w:jc w:val="left"/>
              <w:rPr>
                <w:rFonts w:ascii="宋体" w:hAnsi="宋体" w:cs="宋体" w:eastAsia="宋体" w:hint="default"/>
                <w:sz w:val="18"/>
                <w:szCs w:val="18"/>
              </w:rPr>
            </w:pPr>
            <w:r>
              <w:rPr>
                <w:rFonts w:ascii="宋体" w:hAnsi="宋体" w:cs="宋体" w:eastAsia="宋体" w:hint="default"/>
                <w:sz w:val="18"/>
                <w:szCs w:val="18"/>
              </w:rPr>
              <w:t>本期减 少金额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3"/>
                <w:sz w:val="18"/>
              </w:rPr>
              <w:t>111.52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123,245.78</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123,357.30</w:t>
            </w:r>
          </w:p>
        </w:tc>
      </w:tr>
      <w:tr>
        <w:trPr>
          <w:trHeight w:val="709"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103" w:right="117"/>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6"/>
                <w:sz w:val="18"/>
                <w:szCs w:val="18"/>
              </w:rPr>
              <w:t> </w:t>
            </w:r>
            <w:r>
              <w:rPr>
                <w:rFonts w:ascii="宋体" w:hAnsi="宋体" w:cs="宋体" w:eastAsia="宋体" w:hint="default"/>
                <w:sz w:val="18"/>
                <w:szCs w:val="18"/>
              </w:rPr>
              <w:t>置</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3"/>
                <w:sz w:val="18"/>
              </w:rPr>
              <w:t>111.52</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123,245.78</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123,357.30</w:t>
            </w:r>
          </w:p>
        </w:tc>
      </w:tr>
      <w:tr>
        <w:trPr>
          <w:trHeight w:val="408" w:hRule="exact"/>
        </w:trPr>
        <w:tc>
          <w:tcPr>
            <w:tcW w:w="83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9" w:lineRule="exact"/>
              <w:ind w:left="463"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34" w:lineRule="exact" w:before="10"/>
              <w:ind w:left="103" w:right="177"/>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7,566,516.54</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14,251,499.85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57,594,771.63</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29,927,798.74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109,340,586.76</w:t>
            </w:r>
          </w:p>
        </w:tc>
      </w:tr>
      <w:tr>
        <w:trPr>
          <w:trHeight w:val="476"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463"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32" w:lineRule="exact" w:before="12"/>
              <w:ind w:left="103" w:right="177"/>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445,580.90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445,580.90</w:t>
            </w: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463"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34" w:lineRule="exact" w:before="10"/>
              <w:ind w:left="103" w:right="177"/>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117"/>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pacing w:val="-16"/>
                <w:sz w:val="18"/>
                <w:szCs w:val="18"/>
              </w:rPr>
              <w:t> </w:t>
            </w:r>
            <w:r>
              <w:rPr>
                <w:rFonts w:ascii="宋体" w:hAnsi="宋体" w:cs="宋体" w:eastAsia="宋体" w:hint="default"/>
                <w:sz w:val="18"/>
                <w:szCs w:val="18"/>
              </w:rPr>
              <w:t>提</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83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463"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32" w:lineRule="exact" w:before="12"/>
              <w:ind w:left="103" w:right="177"/>
              <w:jc w:val="left"/>
              <w:rPr>
                <w:rFonts w:ascii="宋体" w:hAnsi="宋体" w:cs="宋体" w:eastAsia="宋体" w:hint="default"/>
                <w:sz w:val="18"/>
                <w:szCs w:val="18"/>
              </w:rPr>
            </w:pPr>
            <w:r>
              <w:rPr>
                <w:rFonts w:ascii="宋体" w:hAnsi="宋体" w:cs="宋体" w:eastAsia="宋体" w:hint="default"/>
                <w:sz w:val="18"/>
                <w:szCs w:val="18"/>
              </w:rPr>
              <w:t>本期减 少金额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445,580.90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445,580.90</w:t>
            </w:r>
          </w:p>
        </w:tc>
      </w:tr>
      <w:tr>
        <w:trPr>
          <w:trHeight w:val="710"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03" w:right="117"/>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6"/>
                <w:sz w:val="18"/>
                <w:szCs w:val="18"/>
              </w:rPr>
              <w:t> </w:t>
            </w:r>
            <w:r>
              <w:rPr>
                <w:rFonts w:ascii="宋体" w:hAnsi="宋体" w:cs="宋体" w:eastAsia="宋体" w:hint="default"/>
                <w:sz w:val="18"/>
                <w:szCs w:val="18"/>
              </w:rPr>
              <w:t>置</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445,580.90</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445,580.90</w:t>
            </w:r>
          </w:p>
        </w:tc>
      </w:tr>
      <w:tr>
        <w:trPr>
          <w:trHeight w:val="407" w:hRule="exact"/>
        </w:trPr>
        <w:tc>
          <w:tcPr>
            <w:tcW w:w="83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463" w:right="0"/>
              <w:jc w:val="left"/>
              <w:rPr>
                <w:rFonts w:ascii="Times New Roman" w:hAnsi="Times New Roman" w:cs="Times New Roman" w:eastAsia="Times New Roman" w:hint="default"/>
                <w:sz w:val="18"/>
                <w:szCs w:val="18"/>
              </w:rPr>
            </w:pPr>
            <w:r>
              <w:rPr>
                <w:rFonts w:ascii="Times New Roman"/>
                <w:sz w:val="18"/>
              </w:rPr>
              <w:t>4.</w:t>
            </w:r>
          </w:p>
          <w:p>
            <w:pPr>
              <w:pStyle w:val="TableParagraph"/>
              <w:spacing w:line="232" w:lineRule="exact" w:before="12"/>
              <w:ind w:left="103" w:right="177"/>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463"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32" w:lineRule="exact" w:before="12"/>
              <w:ind w:left="103" w:right="177"/>
              <w:jc w:val="left"/>
              <w:rPr>
                <w:rFonts w:ascii="宋体" w:hAnsi="宋体" w:cs="宋体" w:eastAsia="宋体" w:hint="default"/>
                <w:sz w:val="18"/>
                <w:szCs w:val="18"/>
              </w:rPr>
            </w:pPr>
            <w:r>
              <w:rPr>
                <w:rFonts w:ascii="宋体" w:hAnsi="宋体" w:cs="宋体" w:eastAsia="宋体" w:hint="default"/>
                <w:sz w:val="18"/>
                <w:szCs w:val="18"/>
              </w:rPr>
              <w:t>期末账 面价值</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2,509,605.13</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17,801,102.41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121,857,909.10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118,604,223.98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260,772,840.62</w:t>
            </w:r>
          </w:p>
        </w:tc>
      </w:tr>
      <w:tr>
        <w:trPr>
          <w:trHeight w:val="684" w:hRule="exact"/>
        </w:trPr>
        <w:tc>
          <w:tcPr>
            <w:tcW w:w="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0" w:lineRule="exact"/>
              <w:ind w:left="463"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32" w:lineRule="exact" w:before="12"/>
              <w:ind w:left="103" w:right="177"/>
              <w:jc w:val="left"/>
              <w:rPr>
                <w:rFonts w:ascii="宋体" w:hAnsi="宋体" w:cs="宋体" w:eastAsia="宋体" w:hint="default"/>
                <w:sz w:val="18"/>
                <w:szCs w:val="18"/>
              </w:rPr>
            </w:pPr>
            <w:r>
              <w:rPr>
                <w:rFonts w:ascii="宋体" w:hAnsi="宋体" w:cs="宋体" w:eastAsia="宋体" w:hint="default"/>
                <w:sz w:val="18"/>
                <w:szCs w:val="18"/>
              </w:rPr>
              <w:t>期初账 面价值</w:t>
            </w: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2,551,992.60</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18,146,226.18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114,085,612.61</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101,797,439.94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236,581,271.33</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本期末通过公司内部研发形成的无形资产占无形资产余额的比例</w:t>
      </w:r>
      <w:r>
        <w:rPr>
          <w:spacing w:val="-53"/>
        </w:rPr>
        <w:t> </w:t>
      </w:r>
      <w:r>
        <w:rPr>
          <w:rFonts w:ascii="Times New Roman" w:hAnsi="Times New Roman" w:cs="Times New Roman" w:eastAsia="Times New Roman" w:hint="default"/>
        </w:rPr>
        <w:t>8.66%</w:t>
      </w:r>
      <w:r>
        <w:rPr/>
        <w:t>。</w:t>
      </w:r>
    </w:p>
    <w:p>
      <w:pPr>
        <w:spacing w:line="240" w:lineRule="auto" w:before="9"/>
        <w:rPr>
          <w:rFonts w:ascii="宋体" w:hAnsi="宋体" w:cs="宋体" w:eastAsia="宋体" w:hint="default"/>
          <w:sz w:val="16"/>
          <w:szCs w:val="16"/>
        </w:rPr>
      </w:pPr>
    </w:p>
    <w:p>
      <w:pPr>
        <w:pStyle w:val="BodyText"/>
        <w:spacing w:line="240" w:lineRule="auto"/>
        <w:ind w:right="1016"/>
        <w:jc w:val="left"/>
      </w:pPr>
      <w:bookmarkStart w:name="（2）未办妥产权证书的土地使用权情况" w:id="266"/>
      <w:bookmarkEnd w:id="266"/>
      <w:r>
        <w:rPr/>
      </w:r>
      <w:r>
        <w:rPr/>
        <w:t>（</w:t>
      </w:r>
      <w:r>
        <w:rPr>
          <w:rFonts w:ascii="Times New Roman" w:hAnsi="Times New Roman" w:cs="Times New Roman" w:eastAsia="Times New Roman" w:hint="default"/>
        </w:rPr>
        <w:t>2</w:t>
      </w:r>
      <w:r>
        <w:rPr/>
        <w:t>）未办妥产权证书的土地使用权情况</w:t>
      </w:r>
    </w:p>
    <w:p>
      <w:pPr>
        <w:spacing w:after="0" w:line="240" w:lineRule="auto"/>
        <w:jc w:val="left"/>
        <w:sectPr>
          <w:pgSz w:w="11910" w:h="16840"/>
          <w:pgMar w:header="801" w:footer="1007" w:top="1080" w:bottom="1200" w:left="920" w:right="0"/>
        </w:sectPr>
      </w:pPr>
    </w:p>
    <w:p>
      <w:pPr>
        <w:spacing w:line="240" w:lineRule="auto" w:before="5"/>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12"/>
        <w:rPr>
          <w:rFonts w:ascii="宋体" w:hAnsi="宋体" w:cs="宋体" w:eastAsia="宋体" w:hint="default"/>
          <w:sz w:val="17"/>
          <w:szCs w:val="17"/>
        </w:rPr>
      </w:pPr>
    </w:p>
    <w:p>
      <w:pPr>
        <w:pStyle w:val="BodyText"/>
        <w:tabs>
          <w:tab w:pos="1054" w:val="left" w:leader="none"/>
        </w:tabs>
        <w:spacing w:line="240" w:lineRule="auto"/>
        <w:ind w:right="1016"/>
        <w:jc w:val="left"/>
      </w:pPr>
      <w:r>
        <w:rPr>
          <w:rFonts w:ascii="Times New Roman" w:hAnsi="Times New Roman" w:cs="Times New Roman" w:eastAsia="Times New Roman" w:hint="default"/>
        </w:rPr>
        <w:t>1.</w:t>
        <w:tab/>
      </w:r>
      <w:r>
        <w:rPr/>
        <w:t>本年摊销额</w:t>
      </w:r>
      <w:r>
        <w:rPr>
          <w:spacing w:val="-54"/>
        </w:rPr>
        <w:t> </w:t>
      </w:r>
      <w:r>
        <w:rPr>
          <w:rFonts w:ascii="Times New Roman" w:hAnsi="Times New Roman" w:cs="Times New Roman" w:eastAsia="Times New Roman" w:hint="default"/>
        </w:rPr>
        <w:t>56,302,551.22</w:t>
      </w:r>
      <w:r>
        <w:rPr>
          <w:rFonts w:ascii="Times New Roman" w:hAnsi="Times New Roman" w:cs="Times New Roman" w:eastAsia="Times New Roman" w:hint="default"/>
          <w:spacing w:val="-2"/>
        </w:rPr>
        <w:t> </w:t>
      </w:r>
      <w:r>
        <w:rPr/>
        <w:t>元。</w:t>
      </w:r>
    </w:p>
    <w:p>
      <w:pPr>
        <w:spacing w:line="240" w:lineRule="auto" w:before="8"/>
        <w:rPr>
          <w:rFonts w:ascii="宋体" w:hAnsi="宋体" w:cs="宋体" w:eastAsia="宋体" w:hint="default"/>
          <w:sz w:val="16"/>
          <w:szCs w:val="16"/>
        </w:rPr>
      </w:pPr>
    </w:p>
    <w:p>
      <w:pPr>
        <w:pStyle w:val="BodyText"/>
        <w:tabs>
          <w:tab w:pos="1054" w:val="left" w:leader="none"/>
        </w:tabs>
        <w:spacing w:line="240" w:lineRule="auto"/>
        <w:ind w:right="1016"/>
        <w:jc w:val="left"/>
        <w:rPr>
          <w:rFonts w:ascii="Times New Roman" w:hAnsi="Times New Roman" w:cs="Times New Roman" w:eastAsia="Times New Roman" w:hint="default"/>
        </w:rPr>
      </w:pPr>
      <w:r>
        <w:rPr>
          <w:rFonts w:ascii="Times New Roman" w:hAnsi="Times New Roman" w:cs="Times New Roman" w:eastAsia="Times New Roman" w:hint="default"/>
        </w:rPr>
        <w:t>2.</w:t>
        <w:tab/>
        <w:t>2018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日集团购买</w:t>
      </w:r>
      <w:r>
        <w:rPr>
          <w:spacing w:val="-54"/>
        </w:rPr>
        <w:t> </w:t>
      </w:r>
      <w:r>
        <w:rPr>
          <w:rFonts w:ascii="Times New Roman" w:hAnsi="Times New Roman" w:cs="Times New Roman" w:eastAsia="Times New Roman" w:hint="default"/>
        </w:rPr>
        <w:t>MM</w:t>
      </w:r>
      <w:r>
        <w:rPr>
          <w:rFonts w:ascii="Times New Roman" w:hAnsi="Times New Roman" w:cs="Times New Roman" w:eastAsia="Times New Roman" w:hint="default"/>
          <w:spacing w:val="46"/>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45"/>
        </w:rPr>
        <w:t> </w:t>
      </w:r>
      <w:r>
        <w:rPr>
          <w:rFonts w:ascii="Times New Roman" w:hAnsi="Times New Roman" w:cs="Times New Roman" w:eastAsia="Times New Roman" w:hint="default"/>
        </w:rPr>
        <w:t>EAD100%</w:t>
      </w:r>
      <w:r>
        <w:rPr/>
        <w:t>股权，合并增加无形资产原值</w:t>
      </w:r>
      <w:r>
        <w:rPr>
          <w:spacing w:val="-53"/>
        </w:rPr>
        <w:t> </w:t>
      </w:r>
      <w:r>
        <w:rPr>
          <w:rFonts w:ascii="Times New Roman" w:hAnsi="Times New Roman" w:cs="Times New Roman" w:eastAsia="Times New Roman" w:hint="default"/>
        </w:rPr>
        <w:t>81,440,269.84</w:t>
      </w:r>
    </w:p>
    <w:p>
      <w:pPr>
        <w:pStyle w:val="BodyText"/>
        <w:spacing w:line="240" w:lineRule="auto" w:before="50"/>
        <w:ind w:left="214" w:right="1016"/>
        <w:jc w:val="left"/>
      </w:pPr>
      <w:r>
        <w:rPr/>
        <w:t>元丆其中无形资产评估增值</w:t>
      </w:r>
      <w:r>
        <w:rPr>
          <w:spacing w:val="-53"/>
        </w:rPr>
        <w:t> </w:t>
      </w:r>
      <w:r>
        <w:rPr>
          <w:rFonts w:ascii="Times New Roman" w:hAnsi="Times New Roman" w:cs="Times New Roman" w:eastAsia="Times New Roman" w:hint="default"/>
        </w:rPr>
        <w:t>71,149,545.09 </w:t>
      </w:r>
      <w:r>
        <w:rPr/>
        <w:t>元。</w:t>
      </w:r>
    </w:p>
    <w:p>
      <w:pPr>
        <w:spacing w:line="240" w:lineRule="auto" w:before="1"/>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21、开发支出" w:id="267"/>
      <w:bookmarkEnd w:id="267"/>
      <w:r>
        <w:rPr/>
      </w:r>
      <w:r>
        <w:rPr>
          <w:rFonts w:ascii="Times New Roman" w:hAnsi="Times New Roman" w:cs="Times New Roman" w:eastAsia="Times New Roman" w:hint="default"/>
        </w:rPr>
        <w:t>21</w:t>
      </w:r>
      <w:r>
        <w:rPr>
          <w:rFonts w:ascii="微软雅黑" w:hAnsi="微软雅黑" w:cs="微软雅黑" w:eastAsia="微软雅黑" w:hint="default"/>
        </w:rPr>
        <w:t>、开发支出</w:t>
      </w:r>
    </w:p>
    <w:p>
      <w:pPr>
        <w:spacing w:line="240" w:lineRule="auto" w:before="16"/>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257"/>
        <w:gridCol w:w="943"/>
        <w:gridCol w:w="1250"/>
        <w:gridCol w:w="1162"/>
        <w:gridCol w:w="942"/>
        <w:gridCol w:w="1162"/>
        <w:gridCol w:w="945"/>
        <w:gridCol w:w="943"/>
        <w:gridCol w:w="1252"/>
      </w:tblGrid>
      <w:tr>
        <w:trPr>
          <w:trHeight w:val="407" w:hRule="exact"/>
        </w:trPr>
        <w:tc>
          <w:tcPr>
            <w:tcW w:w="1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3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3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1"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left="103" w:right="282" w:firstLine="90"/>
              <w:jc w:val="left"/>
              <w:rPr>
                <w:rFonts w:ascii="Times New Roman" w:hAnsi="Times New Roman" w:cs="Times New Roman" w:eastAsia="Times New Roman" w:hint="default"/>
                <w:sz w:val="18"/>
                <w:szCs w:val="18"/>
              </w:rPr>
            </w:pPr>
            <w:r>
              <w:rPr>
                <w:rFonts w:ascii="Times New Roman"/>
                <w:sz w:val="18"/>
              </w:rPr>
              <w:t>Kanzi</w:t>
            </w:r>
            <w:r>
              <w:rPr>
                <w:rFonts w:ascii="Times New Roman"/>
                <w:spacing w:val="-1"/>
                <w:sz w:val="18"/>
              </w:rPr>
              <w:t> </w:t>
            </w:r>
            <w:r>
              <w:rPr>
                <w:rFonts w:ascii="Times New Roman"/>
                <w:sz w:val="18"/>
              </w:rPr>
              <w:t>4.0</w:t>
            </w:r>
            <w:r>
              <w:rPr>
                <w:rFonts w:ascii="Times New Roman"/>
                <w:w w:val="99"/>
                <w:sz w:val="18"/>
              </w:rPr>
              <w:t> </w:t>
            </w:r>
            <w:r>
              <w:rPr>
                <w:rFonts w:ascii="Times New Roman"/>
                <w:sz w:val="18"/>
              </w:rPr>
              <w:t>Automotive</w:t>
            </w:r>
            <w:r>
              <w:rPr>
                <w:rFonts w:ascii="Times New Roman"/>
                <w:w w:val="99"/>
                <w:sz w:val="18"/>
              </w:rPr>
              <w:t> </w:t>
            </w:r>
            <w:r>
              <w:rPr>
                <w:rFonts w:ascii="Times New Roman"/>
                <w:sz w:val="18"/>
              </w:rPr>
              <w:t>Suite</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15,394,095.96</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15,394,095.96</w:t>
            </w:r>
          </w:p>
        </w:tc>
      </w:tr>
      <w:tr>
        <w:trPr>
          <w:trHeight w:val="709"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安全办公配</w:t>
            </w: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套移动终端 系统</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3,733,018.73</w:t>
            </w: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3,733,018.73</w:t>
            </w:r>
          </w:p>
        </w:tc>
      </w:tr>
      <w:tr>
        <w:trPr>
          <w:trHeight w:val="710"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w:t>
            </w:r>
          </w:p>
          <w:p>
            <w:pPr>
              <w:pStyle w:val="TableParagraph"/>
              <w:spacing w:line="234" w:lineRule="exact" w:before="15"/>
              <w:ind w:left="103" w:right="243"/>
              <w:jc w:val="left"/>
              <w:rPr>
                <w:rFonts w:ascii="宋体" w:hAnsi="宋体" w:cs="宋体" w:eastAsia="宋体" w:hint="default"/>
                <w:sz w:val="18"/>
                <w:szCs w:val="18"/>
              </w:rPr>
            </w:pPr>
            <w:r>
              <w:rPr>
                <w:rFonts w:ascii="宋体" w:hAnsi="宋体" w:cs="宋体" w:eastAsia="宋体" w:hint="default"/>
                <w:sz w:val="18"/>
                <w:szCs w:val="18"/>
              </w:rPr>
              <w:t>的车载信息 娱乐系统</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5,027,809.20</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5,027,809.20</w:t>
            </w:r>
          </w:p>
        </w:tc>
      </w:tr>
      <w:tr>
        <w:trPr>
          <w:trHeight w:val="839"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3" w:lineRule="exact"/>
              <w:ind w:left="103" w:right="0"/>
              <w:jc w:val="left"/>
              <w:rPr>
                <w:rFonts w:ascii="Times New Roman" w:hAnsi="Times New Roman" w:cs="Times New Roman" w:eastAsia="Times New Roman" w:hint="default"/>
                <w:sz w:val="18"/>
                <w:szCs w:val="18"/>
              </w:rPr>
            </w:pPr>
            <w:r>
              <w:rPr>
                <w:rFonts w:ascii="Times New Roman"/>
                <w:sz w:val="18"/>
              </w:rPr>
              <w:t>Night</w:t>
            </w:r>
          </w:p>
          <w:p>
            <w:pPr>
              <w:pStyle w:val="TableParagraph"/>
              <w:spacing w:line="240" w:lineRule="auto"/>
              <w:ind w:left="103" w:right="100"/>
              <w:jc w:val="left"/>
              <w:rPr>
                <w:rFonts w:ascii="Times New Roman" w:hAnsi="Times New Roman" w:cs="Times New Roman" w:eastAsia="Times New Roman" w:hint="default"/>
                <w:sz w:val="18"/>
                <w:szCs w:val="18"/>
              </w:rPr>
            </w:pPr>
            <w:r>
              <w:rPr>
                <w:rFonts w:ascii="Times New Roman"/>
                <w:sz w:val="18"/>
              </w:rPr>
              <w:t>eye-Sharpness</w:t>
            </w:r>
            <w:r>
              <w:rPr>
                <w:rFonts w:ascii="Times New Roman"/>
                <w:w w:val="99"/>
                <w:sz w:val="18"/>
              </w:rPr>
              <w:t> </w:t>
            </w:r>
            <w:r>
              <w:rPr>
                <w:rFonts w:ascii="Times New Roman"/>
                <w:sz w:val="18"/>
              </w:rPr>
              <w:t>Improvement</w:t>
            </w:r>
            <w:r>
              <w:rPr>
                <w:rFonts w:ascii="Times New Roman"/>
                <w:w w:val="99"/>
                <w:sz w:val="18"/>
              </w:rPr>
              <w:t> </w:t>
            </w:r>
            <w:r>
              <w:rPr>
                <w:rFonts w:ascii="Times New Roman"/>
                <w:sz w:val="18"/>
              </w:rPr>
              <w:t>Algorithm</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296.58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13,520.76</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13,817.33</w:t>
            </w:r>
          </w:p>
        </w:tc>
      </w:tr>
      <w:tr>
        <w:trPr>
          <w:trHeight w:val="838"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left="103" w:right="461"/>
              <w:jc w:val="left"/>
              <w:rPr>
                <w:rFonts w:ascii="Times New Roman" w:hAnsi="Times New Roman" w:cs="Times New Roman" w:eastAsia="Times New Roman" w:hint="default"/>
                <w:sz w:val="18"/>
                <w:szCs w:val="18"/>
              </w:rPr>
            </w:pPr>
            <w:r>
              <w:rPr>
                <w:rFonts w:ascii="Times New Roman"/>
                <w:sz w:val="18"/>
              </w:rPr>
              <w:t>Surround</w:t>
            </w:r>
            <w:r>
              <w:rPr>
                <w:rFonts w:ascii="Times New Roman"/>
                <w:w w:val="99"/>
                <w:sz w:val="18"/>
              </w:rPr>
              <w:t> </w:t>
            </w:r>
            <w:r>
              <w:rPr>
                <w:rFonts w:ascii="Times New Roman"/>
                <w:sz w:val="18"/>
              </w:rPr>
              <w:t>view-360</w:t>
            </w:r>
            <w:r>
              <w:rPr>
                <w:rFonts w:ascii="Times New Roman"/>
                <w:w w:val="99"/>
                <w:sz w:val="18"/>
              </w:rPr>
              <w:t> </w:t>
            </w:r>
            <w:r>
              <w:rPr>
                <w:rFonts w:ascii="Times New Roman"/>
                <w:sz w:val="18"/>
              </w:rPr>
              <w:t>Degree</w:t>
            </w:r>
            <w:r>
              <w:rPr>
                <w:rFonts w:ascii="Times New Roman"/>
                <w:w w:val="99"/>
                <w:sz w:val="18"/>
              </w:rPr>
              <w:t> </w:t>
            </w:r>
            <w:r>
              <w:rPr>
                <w:rFonts w:ascii="Times New Roman"/>
                <w:sz w:val="18"/>
              </w:rPr>
              <w:t>Camera</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610.68</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36,964.70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94,220.28</w:t>
            </w: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r>
      <w:tr>
        <w:trPr>
          <w:trHeight w:val="838"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left="103" w:right="132"/>
              <w:jc w:val="left"/>
              <w:rPr>
                <w:rFonts w:ascii="Times New Roman" w:hAnsi="Times New Roman" w:cs="Times New Roman" w:eastAsia="Times New Roman" w:hint="default"/>
                <w:sz w:val="18"/>
                <w:szCs w:val="18"/>
              </w:rPr>
            </w:pPr>
            <w:r>
              <w:rPr>
                <w:rFonts w:ascii="Times New Roman"/>
                <w:sz w:val="18"/>
              </w:rPr>
              <w:t>Hawk Eye</w:t>
            </w:r>
            <w:r>
              <w:rPr>
                <w:rFonts w:ascii="Times New Roman"/>
                <w:spacing w:val="-2"/>
                <w:sz w:val="18"/>
              </w:rPr>
              <w:t> </w:t>
            </w:r>
            <w:r>
              <w:rPr>
                <w:rFonts w:ascii="Times New Roman"/>
                <w:sz w:val="18"/>
              </w:rPr>
              <w:t>for</w:t>
            </w:r>
            <w:r>
              <w:rPr>
                <w:rFonts w:ascii="Times New Roman"/>
                <w:sz w:val="18"/>
              </w:rPr>
              <w:t> Automotive Image Processing</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301.94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18,278.65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990,590.80</w:t>
            </w: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Magic</w:t>
            </w:r>
            <w:r>
              <w:rPr>
                <w:rFonts w:ascii="Times New Roman"/>
                <w:spacing w:val="-1"/>
                <w:sz w:val="18"/>
              </w:rPr>
              <w:t> </w:t>
            </w:r>
            <w:r>
              <w:rPr>
                <w:rFonts w:ascii="Times New Roman"/>
                <w:sz w:val="18"/>
              </w:rPr>
              <w:t>HDR</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243,844.04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1,298.83</w:t>
            </w: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245,142.87</w:t>
            </w:r>
          </w:p>
        </w:tc>
      </w:tr>
      <w:tr>
        <w:trPr>
          <w:trHeight w:val="478"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自动化测试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1,051,017.52</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1,051,017.52</w:t>
            </w:r>
          </w:p>
        </w:tc>
      </w:tr>
      <w:tr>
        <w:trPr>
          <w:trHeight w:val="1177"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基于瑞萨</w:t>
            </w:r>
          </w:p>
          <w:p>
            <w:pPr>
              <w:pStyle w:val="TableParagraph"/>
              <w:spacing w:line="232" w:lineRule="auto" w:before="5"/>
              <w:ind w:left="103"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Rcar-H3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芯片 平台的智能 驾驶舱解决 方案</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2,622,834.23</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2,622,834.23</w:t>
            </w:r>
          </w:p>
        </w:tc>
      </w:tr>
      <w:tr>
        <w:trPr>
          <w:trHeight w:val="476"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物联网云服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务平台</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1,822,610.31</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1,822,610.31</w:t>
            </w:r>
          </w:p>
        </w:tc>
      </w:tr>
      <w:tr>
        <w:trPr>
          <w:trHeight w:val="710"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自然交互智</w:t>
            </w: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能驾驶操作 系统</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1,106,989.30</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1,106,989.30</w:t>
            </w:r>
          </w:p>
        </w:tc>
      </w:tr>
      <w:tr>
        <w:trPr>
          <w:trHeight w:val="711"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人脸识别软</w:t>
            </w: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件开发工具 包</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1,269,506.36</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979,282.86</w:t>
            </w: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290,223.50</w:t>
            </w:r>
          </w:p>
        </w:tc>
      </w:tr>
      <w:tr>
        <w:trPr>
          <w:trHeight w:val="476"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暗光增强</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算法</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62,127.22</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62,127.22</w:t>
            </w:r>
          </w:p>
        </w:tc>
      </w:tr>
      <w:tr>
        <w:trPr>
          <w:trHeight w:val="478"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高清数字内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容保护系统</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194,441.26</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194,441.26</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57"/>
        <w:gridCol w:w="943"/>
        <w:gridCol w:w="1250"/>
        <w:gridCol w:w="1162"/>
        <w:gridCol w:w="942"/>
        <w:gridCol w:w="1162"/>
        <w:gridCol w:w="945"/>
        <w:gridCol w:w="943"/>
        <w:gridCol w:w="1252"/>
      </w:tblGrid>
      <w:tr>
        <w:trPr>
          <w:trHeight w:val="407" w:hRule="exact"/>
        </w:trPr>
        <w:tc>
          <w:tcPr>
            <w:tcW w:w="1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3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3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78"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基于安卓操</w:t>
            </w:r>
          </w:p>
          <w:p>
            <w:pPr>
              <w:pStyle w:val="TableParagraph"/>
              <w:spacing w:line="237" w:lineRule="auto"/>
              <w:ind w:left="103" w:right="243"/>
              <w:jc w:val="both"/>
              <w:rPr>
                <w:rFonts w:ascii="宋体" w:hAnsi="宋体" w:cs="宋体" w:eastAsia="宋体" w:hint="default"/>
                <w:sz w:val="18"/>
                <w:szCs w:val="18"/>
              </w:rPr>
            </w:pPr>
            <w:r>
              <w:rPr>
                <w:rFonts w:ascii="宋体" w:hAnsi="宋体" w:cs="宋体" w:eastAsia="宋体" w:hint="default"/>
                <w:sz w:val="18"/>
                <w:szCs w:val="18"/>
              </w:rPr>
              <w:t>作系统的信 息娱乐系统 基础软件平 台</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2,818,578.20</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2,818,578.20</w:t>
            </w:r>
          </w:p>
        </w:tc>
      </w:tr>
      <w:tr>
        <w:trPr>
          <w:trHeight w:val="710"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3D</w:t>
            </w:r>
          </w:p>
          <w:p>
            <w:pPr>
              <w:pStyle w:val="TableParagraph"/>
              <w:spacing w:line="234" w:lineRule="exact" w:before="15"/>
              <w:ind w:left="103" w:right="243"/>
              <w:jc w:val="left"/>
              <w:rPr>
                <w:rFonts w:ascii="宋体" w:hAnsi="宋体" w:cs="宋体" w:eastAsia="宋体" w:hint="default"/>
                <w:sz w:val="18"/>
                <w:szCs w:val="18"/>
              </w:rPr>
            </w:pPr>
            <w:r>
              <w:rPr>
                <w:rFonts w:ascii="宋体" w:hAnsi="宋体" w:cs="宋体" w:eastAsia="宋体" w:hint="default"/>
                <w:sz w:val="18"/>
                <w:szCs w:val="18"/>
              </w:rPr>
              <w:t>智能互联驾 驶舱平台</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1,218,319.41</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1,218,319.41</w:t>
            </w:r>
          </w:p>
        </w:tc>
      </w:tr>
      <w:tr>
        <w:trPr>
          <w:trHeight w:val="710"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11"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基于高通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845</w:t>
            </w:r>
          </w:p>
          <w:p>
            <w:pPr>
              <w:pStyle w:val="TableParagraph"/>
              <w:spacing w:line="232" w:lineRule="exact" w:before="17"/>
              <w:ind w:left="103" w:right="143"/>
              <w:jc w:val="left"/>
              <w:rPr>
                <w:rFonts w:ascii="宋体" w:hAnsi="宋体" w:cs="宋体" w:eastAsia="宋体" w:hint="default"/>
                <w:sz w:val="18"/>
                <w:szCs w:val="18"/>
              </w:rPr>
            </w:pPr>
            <w:r>
              <w:rPr>
                <w:rFonts w:ascii="宋体" w:hAnsi="宋体" w:cs="宋体" w:eastAsia="宋体" w:hint="default"/>
                <w:sz w:val="18"/>
                <w:szCs w:val="18"/>
              </w:rPr>
              <w:t>芯片的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 发平台</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2,303,395.47</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2,303,395.47</w:t>
            </w:r>
          </w:p>
        </w:tc>
      </w:tr>
      <w:tr>
        <w:trPr>
          <w:trHeight w:val="710"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车载混合仪</w:t>
            </w:r>
          </w:p>
          <w:p>
            <w:pPr>
              <w:pStyle w:val="TableParagraph"/>
              <w:spacing w:line="232" w:lineRule="exact" w:before="24"/>
              <w:ind w:left="103" w:right="243"/>
              <w:jc w:val="left"/>
              <w:rPr>
                <w:rFonts w:ascii="宋体" w:hAnsi="宋体" w:cs="宋体" w:eastAsia="宋体" w:hint="default"/>
                <w:sz w:val="18"/>
                <w:szCs w:val="18"/>
              </w:rPr>
            </w:pPr>
            <w:r>
              <w:rPr>
                <w:rFonts w:ascii="宋体" w:hAnsi="宋体" w:cs="宋体" w:eastAsia="宋体" w:hint="default"/>
                <w:sz w:val="18"/>
                <w:szCs w:val="18"/>
              </w:rPr>
              <w:t>表一体化平 台</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2,155,040.71</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2,155,040.71</w:t>
            </w:r>
          </w:p>
        </w:tc>
      </w:tr>
      <w:tr>
        <w:trPr>
          <w:trHeight w:val="476"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智能通行系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统解决方案</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189,868.34</w:t>
            </w:r>
          </w:p>
        </w:tc>
        <w:tc>
          <w:tcPr>
            <w:tcW w:w="1162"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189,868.34</w:t>
            </w:r>
          </w:p>
        </w:tc>
      </w:tr>
      <w:tr>
        <w:trPr>
          <w:trHeight w:val="408" w:hRule="exact"/>
        </w:trPr>
        <w:tc>
          <w:tcPr>
            <w:tcW w:w="12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2,876,467.84</w:t>
            </w:r>
          </w:p>
        </w:tc>
        <w:tc>
          <w:tcPr>
            <w:tcW w:w="94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2,876,467.84</w:t>
            </w:r>
          </w:p>
        </w:tc>
      </w:tr>
      <w:tr>
        <w:trPr>
          <w:trHeight w:val="407" w:hRule="exact"/>
        </w:trPr>
        <w:tc>
          <w:tcPr>
            <w:tcW w:w="1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43"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38,509,132.62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 w:right="0"/>
              <w:jc w:val="center"/>
              <w:rPr>
                <w:rFonts w:ascii="Times New Roman" w:hAnsi="Times New Roman" w:cs="Times New Roman" w:eastAsia="Times New Roman" w:hint="default"/>
                <w:sz w:val="18"/>
                <w:szCs w:val="18"/>
              </w:rPr>
            </w:pPr>
            <w:r>
              <w:rPr>
                <w:rFonts w:ascii="Times New Roman"/>
                <w:sz w:val="18"/>
              </w:rPr>
              <w:t>6,611,994.60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16" w:right="0"/>
              <w:jc w:val="left"/>
              <w:rPr>
                <w:rFonts w:ascii="Times New Roman" w:hAnsi="Times New Roman" w:cs="Times New Roman" w:eastAsia="Times New Roman" w:hint="default"/>
                <w:sz w:val="18"/>
                <w:szCs w:val="18"/>
              </w:rPr>
            </w:pPr>
            <w:r>
              <w:rPr>
                <w:rFonts w:ascii="Times New Roman"/>
                <w:sz w:val="18"/>
              </w:rPr>
              <w:t>68,764.11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4" w:right="0"/>
              <w:jc w:val="left"/>
              <w:rPr>
                <w:rFonts w:ascii="Times New Roman" w:hAnsi="Times New Roman" w:cs="Times New Roman" w:eastAsia="Times New Roman" w:hint="default"/>
                <w:sz w:val="18"/>
                <w:szCs w:val="18"/>
              </w:rPr>
            </w:pPr>
            <w:r>
              <w:rPr>
                <w:rFonts w:ascii="Times New Roman"/>
                <w:sz w:val="18"/>
              </w:rPr>
              <w:t>2,064,093.94</w:t>
            </w:r>
          </w:p>
        </w:tc>
        <w:tc>
          <w:tcPr>
            <w:tcW w:w="945"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43,125,797.40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8"/>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5442"/>
        <w:gridCol w:w="2036"/>
        <w:gridCol w:w="2378"/>
      </w:tblGrid>
      <w:tr>
        <w:trPr>
          <w:trHeight w:val="427" w:hRule="exact"/>
        </w:trPr>
        <w:tc>
          <w:tcPr>
            <w:tcW w:w="5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419" w:right="0"/>
              <w:jc w:val="left"/>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501" w:right="0"/>
              <w:jc w:val="left"/>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Kanzi 4.0 Automotive</w:t>
            </w:r>
            <w:r>
              <w:rPr>
                <w:rFonts w:ascii="Times New Roman"/>
                <w:spacing w:val="-8"/>
                <w:sz w:val="18"/>
              </w:rPr>
              <w:t> </w:t>
            </w:r>
            <w:r>
              <w:rPr>
                <w:rFonts w:ascii="Times New Roman"/>
                <w:sz w:val="18"/>
              </w:rPr>
              <w:t>Suite</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8"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安全办公配套移动终端系统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A5</w:t>
            </w:r>
            <w:r>
              <w:rPr>
                <w:rFonts w:ascii="宋体" w:hAnsi="宋体" w:cs="宋体" w:eastAsia="宋体" w:hint="default"/>
                <w:sz w:val="18"/>
                <w:szCs w:val="18"/>
              </w:rPr>
              <w:t>平台的车载信息娱乐系统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Night eye-Sharpness Improvement</w:t>
            </w:r>
            <w:r>
              <w:rPr>
                <w:rFonts w:ascii="Times New Roman"/>
                <w:spacing w:val="-6"/>
                <w:sz w:val="18"/>
              </w:rPr>
              <w:t> </w:t>
            </w:r>
            <w:r>
              <w:rPr>
                <w:rFonts w:ascii="Times New Roman"/>
                <w:sz w:val="18"/>
              </w:rPr>
              <w:t>Algorithm</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Surround view-360 Degree</w:t>
            </w:r>
            <w:r>
              <w:rPr>
                <w:rFonts w:ascii="Times New Roman"/>
                <w:spacing w:val="-7"/>
                <w:sz w:val="18"/>
              </w:rPr>
              <w:t> </w:t>
            </w:r>
            <w:r>
              <w:rPr>
                <w:rFonts w:ascii="Times New Roman"/>
                <w:sz w:val="18"/>
              </w:rPr>
              <w:t>Camera</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6" w:right="0"/>
              <w:jc w:val="left"/>
              <w:rPr>
                <w:rFonts w:ascii="Times New Roman" w:hAnsi="Times New Roman" w:cs="Times New Roman" w:eastAsia="Times New Roman" w:hint="default"/>
                <w:sz w:val="18"/>
                <w:szCs w:val="18"/>
              </w:rPr>
            </w:pPr>
            <w:r>
              <w:rPr>
                <w:rFonts w:ascii="Times New Roman"/>
                <w:sz w:val="18"/>
              </w:rPr>
              <w:t>Hawk Eye for Automotive Image</w:t>
            </w:r>
            <w:r>
              <w:rPr>
                <w:rFonts w:ascii="Times New Roman"/>
                <w:spacing w:val="-7"/>
                <w:sz w:val="18"/>
              </w:rPr>
              <w:t> </w:t>
            </w:r>
            <w:r>
              <w:rPr>
                <w:rFonts w:ascii="Times New Roman"/>
                <w:sz w:val="18"/>
              </w:rPr>
              <w:t>Processing</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6"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76" w:right="0"/>
              <w:jc w:val="left"/>
              <w:rPr>
                <w:rFonts w:ascii="Times New Roman" w:hAnsi="Times New Roman" w:cs="Times New Roman" w:eastAsia="Times New Roman" w:hint="default"/>
                <w:sz w:val="18"/>
                <w:szCs w:val="18"/>
              </w:rPr>
            </w:pPr>
            <w:r>
              <w:rPr>
                <w:rFonts w:ascii="Times New Roman"/>
                <w:sz w:val="18"/>
              </w:rPr>
              <w:t>Magic</w:t>
            </w:r>
            <w:r>
              <w:rPr>
                <w:rFonts w:ascii="Times New Roman"/>
                <w:spacing w:val="-3"/>
                <w:sz w:val="18"/>
              </w:rPr>
              <w:t> </w:t>
            </w:r>
            <w:r>
              <w:rPr>
                <w:rFonts w:ascii="Times New Roman"/>
                <w:sz w:val="18"/>
              </w:rPr>
              <w:t>HDR</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自动化测试平台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基于瑞萨</w:t>
            </w:r>
            <w:r>
              <w:rPr>
                <w:rFonts w:ascii="Times New Roman" w:hAnsi="Times New Roman" w:cs="Times New Roman" w:eastAsia="Times New Roman" w:hint="default"/>
                <w:sz w:val="18"/>
                <w:szCs w:val="18"/>
              </w:rPr>
              <w:t>Rcar-H3</w:t>
            </w:r>
            <w:r>
              <w:rPr>
                <w:rFonts w:ascii="宋体" w:hAnsi="宋体" w:cs="宋体" w:eastAsia="宋体" w:hint="default"/>
                <w:sz w:val="18"/>
                <w:szCs w:val="18"/>
              </w:rPr>
              <w:t>芯片平台的智能驾驶舱解决方案</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物联网云服务平台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自然交互智能驾驶操作系统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人脸识别软件开发工具包</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6"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AI</w:t>
            </w:r>
            <w:r>
              <w:rPr>
                <w:rFonts w:ascii="宋体" w:hAnsi="宋体" w:cs="宋体" w:eastAsia="宋体" w:hint="default"/>
                <w:sz w:val="18"/>
                <w:szCs w:val="18"/>
              </w:rPr>
              <w:t>暗光增强算法</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高清数字内容保护系统</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基于安卓操作系统的信息娱乐系统基础软件平台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8"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下一代全</w:t>
            </w:r>
            <w:r>
              <w:rPr>
                <w:rFonts w:ascii="Times New Roman" w:hAnsi="Times New Roman" w:cs="Times New Roman" w:eastAsia="Times New Roman" w:hint="default"/>
                <w:sz w:val="18"/>
                <w:szCs w:val="18"/>
              </w:rPr>
              <w:t>3D</w:t>
            </w:r>
            <w:r>
              <w:rPr>
                <w:rFonts w:ascii="宋体" w:hAnsi="宋体" w:cs="宋体" w:eastAsia="宋体" w:hint="default"/>
                <w:sz w:val="18"/>
                <w:szCs w:val="18"/>
              </w:rPr>
              <w:t>智能互联驾驶舱平台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基于高通</w:t>
            </w:r>
            <w:r>
              <w:rPr>
                <w:rFonts w:ascii="Times New Roman" w:hAnsi="Times New Roman" w:cs="Times New Roman" w:eastAsia="Times New Roman" w:hint="default"/>
                <w:sz w:val="18"/>
                <w:szCs w:val="18"/>
              </w:rPr>
              <w:t>845</w:t>
            </w:r>
            <w:r>
              <w:rPr>
                <w:rFonts w:ascii="宋体" w:hAnsi="宋体" w:cs="宋体" w:eastAsia="宋体" w:hint="default"/>
                <w:sz w:val="18"/>
                <w:szCs w:val="18"/>
              </w:rPr>
              <w:t>芯片的</w:t>
            </w:r>
            <w:r>
              <w:rPr>
                <w:rFonts w:ascii="Times New Roman" w:hAnsi="Times New Roman" w:cs="Times New Roman" w:eastAsia="Times New Roman" w:hint="default"/>
                <w:sz w:val="18"/>
                <w:szCs w:val="18"/>
              </w:rPr>
              <w:t>AI</w:t>
            </w:r>
            <w:r>
              <w:rPr>
                <w:rFonts w:ascii="宋体" w:hAnsi="宋体" w:cs="宋体" w:eastAsia="宋体" w:hint="default"/>
                <w:sz w:val="18"/>
                <w:szCs w:val="18"/>
              </w:rPr>
              <w:t>开发平台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车载混合仪表一体化平台</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bl>
    <w:p>
      <w:pPr>
        <w:spacing w:after="0" w:line="240" w:lineRule="auto"/>
        <w:jc w:val="right"/>
        <w:rPr>
          <w:rFonts w:ascii="宋体" w:hAnsi="宋体" w:cs="宋体" w:eastAsia="宋体"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5442"/>
        <w:gridCol w:w="2036"/>
        <w:gridCol w:w="2378"/>
      </w:tblGrid>
      <w:tr>
        <w:trPr>
          <w:trHeight w:val="427" w:hRule="exact"/>
        </w:trPr>
        <w:tc>
          <w:tcPr>
            <w:tcW w:w="5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419" w:right="0"/>
              <w:jc w:val="left"/>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01" w:right="0"/>
              <w:jc w:val="left"/>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6" w:right="0"/>
              <w:jc w:val="left"/>
              <w:rPr>
                <w:rFonts w:ascii="宋体" w:hAnsi="宋体" w:cs="宋体" w:eastAsia="宋体" w:hint="default"/>
                <w:sz w:val="18"/>
                <w:szCs w:val="18"/>
              </w:rPr>
            </w:pPr>
            <w:r>
              <w:rPr>
                <w:rFonts w:ascii="宋体" w:hAnsi="宋体" w:cs="宋体" w:eastAsia="宋体" w:hint="default"/>
                <w:sz w:val="18"/>
                <w:szCs w:val="18"/>
              </w:rPr>
              <w:t>智能通行系统解决方案</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hAnsi="宋体" w:cs="宋体" w:eastAsia="宋体" w:hint="default"/>
                <w:sz w:val="18"/>
                <w:szCs w:val="18"/>
              </w:rPr>
              <w:t>项目立项</w:t>
            </w:r>
          </w:p>
        </w:tc>
      </w:tr>
      <w:tr>
        <w:trPr>
          <w:trHeight w:val="427" w:hRule="exact"/>
        </w:trPr>
        <w:tc>
          <w:tcPr>
            <w:tcW w:w="5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6"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宋体" w:hAnsi="宋体" w:cs="宋体" w:eastAsia="宋体" w:hint="default"/>
                <w:sz w:val="18"/>
                <w:szCs w:val="18"/>
              </w:rPr>
            </w:pPr>
            <w:r>
              <w:rPr>
                <w:rFonts w:ascii="宋体" w:hAnsi="宋体" w:cs="宋体" w:eastAsia="宋体" w:hint="default"/>
                <w:sz w:val="18"/>
                <w:szCs w:val="18"/>
              </w:rPr>
              <w:t>合同</w:t>
            </w:r>
          </w:p>
        </w:tc>
      </w:tr>
    </w:tbl>
    <w:p>
      <w:pPr>
        <w:spacing w:line="240" w:lineRule="auto" w:before="12"/>
        <w:rPr>
          <w:rFonts w:ascii="宋体" w:hAnsi="宋体" w:cs="宋体" w:eastAsia="宋体" w:hint="default"/>
          <w:sz w:val="8"/>
          <w:szCs w:val="8"/>
        </w:rPr>
      </w:pPr>
    </w:p>
    <w:p>
      <w:pPr>
        <w:pStyle w:val="BodyText"/>
        <w:spacing w:line="324" w:lineRule="exact"/>
        <w:ind w:right="1016"/>
        <w:jc w:val="left"/>
        <w:rPr>
          <w:rFonts w:ascii="微软雅黑" w:hAnsi="微软雅黑" w:cs="微软雅黑" w:eastAsia="微软雅黑" w:hint="default"/>
        </w:rPr>
      </w:pPr>
      <w:bookmarkStart w:name="22、商誉" w:id="268"/>
      <w:bookmarkEnd w:id="268"/>
      <w:r>
        <w:rPr/>
      </w:r>
      <w:r>
        <w:rPr>
          <w:rFonts w:ascii="Times New Roman" w:hAnsi="Times New Roman" w:cs="Times New Roman" w:eastAsia="Times New Roman" w:hint="default"/>
        </w:rPr>
        <w:t>22</w:t>
      </w:r>
      <w:r>
        <w:rPr>
          <w:rFonts w:ascii="微软雅黑" w:hAnsi="微软雅黑" w:cs="微软雅黑" w:eastAsia="微软雅黑" w:hint="default"/>
        </w:rPr>
        <w:t>、商誉</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商誉账面原值" w:id="269"/>
      <w:bookmarkEnd w:id="269"/>
      <w:r>
        <w:rPr/>
      </w:r>
      <w:r>
        <w:rPr/>
        <w:t>（</w:t>
      </w:r>
      <w:r>
        <w:rPr>
          <w:rFonts w:ascii="Times New Roman" w:hAnsi="Times New Roman" w:cs="Times New Roman" w:eastAsia="Times New Roman" w:hint="default"/>
        </w:rPr>
        <w:t>1</w:t>
      </w:r>
      <w:r>
        <w:rPr/>
        <w:t>）商誉账面原值</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407"/>
        <w:gridCol w:w="1407"/>
        <w:gridCol w:w="1408"/>
        <w:gridCol w:w="1409"/>
        <w:gridCol w:w="1408"/>
        <w:gridCol w:w="1408"/>
        <w:gridCol w:w="1409"/>
      </w:tblGrid>
      <w:tr>
        <w:trPr>
          <w:trHeight w:val="710"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被投资单位名</w:t>
            </w:r>
          </w:p>
          <w:p>
            <w:pPr>
              <w:pStyle w:val="TableParagraph"/>
              <w:spacing w:line="240" w:lineRule="auto"/>
              <w:ind w:left="428" w:right="157" w:hanging="270"/>
              <w:jc w:val="left"/>
              <w:rPr>
                <w:rFonts w:ascii="宋体" w:hAnsi="宋体" w:cs="宋体" w:eastAsia="宋体" w:hint="default"/>
                <w:sz w:val="18"/>
                <w:szCs w:val="18"/>
              </w:rPr>
            </w:pPr>
            <w:r>
              <w:rPr>
                <w:rFonts w:ascii="宋体" w:hAnsi="宋体" w:cs="宋体" w:eastAsia="宋体" w:hint="default"/>
                <w:sz w:val="18"/>
                <w:szCs w:val="18"/>
              </w:rPr>
              <w:t>称或形成商誉 的事项</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77" w:hRule="exact"/>
        </w:trPr>
        <w:tc>
          <w:tcPr>
            <w:tcW w:w="140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5" w:lineRule="exact"/>
              <w:ind w:left="193" w:right="0"/>
              <w:jc w:val="both"/>
              <w:rPr>
                <w:rFonts w:ascii="宋体" w:hAnsi="宋体" w:cs="宋体" w:eastAsia="宋体" w:hint="default"/>
                <w:sz w:val="18"/>
                <w:szCs w:val="18"/>
              </w:rPr>
            </w:pPr>
            <w:r>
              <w:rPr>
                <w:rFonts w:ascii="宋体" w:hAnsi="宋体" w:cs="宋体" w:eastAsia="宋体" w:hint="default"/>
                <w:sz w:val="18"/>
                <w:szCs w:val="18"/>
              </w:rPr>
              <w:t>北京爱普新思</w:t>
            </w:r>
          </w:p>
          <w:p>
            <w:pPr>
              <w:pStyle w:val="TableParagraph"/>
              <w:spacing w:line="237" w:lineRule="auto"/>
              <w:ind w:left="103" w:right="212"/>
              <w:jc w:val="both"/>
              <w:rPr>
                <w:rFonts w:ascii="宋体" w:hAnsi="宋体" w:cs="宋体" w:eastAsia="宋体" w:hint="default"/>
                <w:sz w:val="18"/>
                <w:szCs w:val="18"/>
              </w:rPr>
            </w:pPr>
            <w:r>
              <w:rPr>
                <w:rFonts w:ascii="宋体" w:hAnsi="宋体" w:cs="宋体" w:eastAsia="宋体" w:hint="default"/>
                <w:sz w:val="18"/>
                <w:szCs w:val="18"/>
              </w:rPr>
              <w:t>电子技术有限 公司及北京慧 驰科技有限公 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29,784,127.69</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29,784,127.69</w:t>
            </w:r>
          </w:p>
        </w:tc>
      </w:tr>
      <w:tr>
        <w:trPr>
          <w:trHeight w:val="451" w:hRule="exact"/>
        </w:trPr>
        <w:tc>
          <w:tcPr>
            <w:tcW w:w="140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190" w:lineRule="exact"/>
              <w:ind w:left="193" w:right="0"/>
              <w:jc w:val="left"/>
              <w:rPr>
                <w:rFonts w:ascii="Times New Roman" w:hAnsi="Times New Roman" w:cs="Times New Roman" w:eastAsia="Times New Roman" w:hint="default"/>
                <w:sz w:val="18"/>
                <w:szCs w:val="18"/>
              </w:rPr>
            </w:pPr>
            <w:r>
              <w:rPr>
                <w:rFonts w:ascii="Times New Roman"/>
                <w:sz w:val="18"/>
              </w:rPr>
              <w:t>Rightware</w:t>
            </w:r>
            <w:r>
              <w:rPr>
                <w:rFonts w:ascii="Times New Roman"/>
                <w:spacing w:val="-1"/>
                <w:sz w:val="18"/>
              </w:rPr>
              <w:t> </w:t>
            </w:r>
            <w:r>
              <w:rPr>
                <w:rFonts w:ascii="Times New Roman"/>
                <w:sz w:val="18"/>
              </w:rPr>
              <w:t>OY</w:t>
            </w:r>
          </w:p>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209,638,217.67</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spacing w:val="-1"/>
                <w:sz w:val="18"/>
              </w:rPr>
              <w:t>-1,209,094.73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210,847,312.40</w:t>
            </w:r>
          </w:p>
        </w:tc>
      </w:tr>
      <w:tr>
        <w:trPr>
          <w:trHeight w:val="424" w:hRule="exact"/>
        </w:trPr>
        <w:tc>
          <w:tcPr>
            <w:tcW w:w="140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left="103" w:right="157" w:firstLine="90"/>
              <w:jc w:val="left"/>
              <w:rPr>
                <w:rFonts w:ascii="Times New Roman" w:hAnsi="Times New Roman" w:cs="Times New Roman" w:eastAsia="Times New Roman" w:hint="default"/>
                <w:sz w:val="18"/>
                <w:szCs w:val="18"/>
              </w:rPr>
            </w:pPr>
            <w:r>
              <w:rPr>
                <w:rFonts w:ascii="Times New Roman"/>
                <w:sz w:val="18"/>
              </w:rPr>
              <w:t>MM</w:t>
            </w:r>
            <w:r>
              <w:rPr>
                <w:rFonts w:ascii="Times New Roman"/>
                <w:spacing w:val="-2"/>
                <w:sz w:val="18"/>
              </w:rPr>
              <w:t> </w:t>
            </w:r>
            <w:r>
              <w:rPr>
                <w:rFonts w:ascii="Times New Roman"/>
                <w:sz w:val="18"/>
              </w:rPr>
              <w:t>Solutions</w:t>
            </w:r>
            <w:r>
              <w:rPr>
                <w:rFonts w:ascii="Times New Roman"/>
                <w:w w:val="99"/>
                <w:sz w:val="18"/>
              </w:rPr>
              <w:t> </w:t>
            </w:r>
            <w:r>
              <w:rPr>
                <w:rFonts w:ascii="Times New Roman"/>
                <w:sz w:val="18"/>
              </w:rPr>
              <w:t>EAD</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67" w:right="0"/>
              <w:jc w:val="center"/>
              <w:rPr>
                <w:rFonts w:ascii="Times New Roman" w:hAnsi="Times New Roman" w:cs="Times New Roman" w:eastAsia="Times New Roman" w:hint="default"/>
                <w:sz w:val="18"/>
                <w:szCs w:val="18"/>
              </w:rPr>
            </w:pPr>
            <w:r>
              <w:rPr>
                <w:rFonts w:ascii="Times New Roman"/>
                <w:sz w:val="18"/>
              </w:rPr>
              <w:t>178,080,310.12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1,286,859.36</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179,367,169.48</w:t>
            </w:r>
          </w:p>
        </w:tc>
      </w:tr>
      <w:tr>
        <w:trPr>
          <w:trHeight w:val="407"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239,422,345.36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7" w:right="0"/>
              <w:jc w:val="center"/>
              <w:rPr>
                <w:rFonts w:ascii="Times New Roman" w:hAnsi="Times New Roman" w:cs="Times New Roman" w:eastAsia="Times New Roman" w:hint="default"/>
                <w:sz w:val="18"/>
                <w:szCs w:val="18"/>
              </w:rPr>
            </w:pPr>
            <w:r>
              <w:rPr>
                <w:rFonts w:ascii="Times New Roman"/>
                <w:sz w:val="18"/>
              </w:rPr>
              <w:t>178,080,310.12</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1,286,859.36</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-1,209,094.73</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419,998,609.57</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2）商誉减值准备" w:id="270"/>
      <w:bookmarkEnd w:id="270"/>
      <w:r>
        <w:rPr/>
      </w:r>
      <w:r>
        <w:rPr/>
        <w:t>（</w:t>
      </w:r>
      <w:r>
        <w:rPr>
          <w:rFonts w:ascii="Times New Roman" w:hAnsi="Times New Roman" w:cs="Times New Roman" w:eastAsia="Times New Roman" w:hint="default"/>
        </w:rPr>
        <w:t>2</w:t>
      </w:r>
      <w:r>
        <w:rPr/>
        <w:t>）商誉减值准备</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30"/>
          <w:szCs w:val="30"/>
        </w:rPr>
      </w:pPr>
    </w:p>
    <w:p>
      <w:pPr>
        <w:pStyle w:val="BodyText"/>
        <w:spacing w:line="285" w:lineRule="auto"/>
        <w:ind w:left="214" w:right="1024" w:firstLine="420"/>
        <w:jc w:val="left"/>
      </w:pPr>
      <w:r>
        <w:rPr>
          <w:spacing w:val="3"/>
        </w:rPr>
        <w:t>本公司于期末聘请专业评估机构中水致远资产评估有限公司对北京爱普新思电子技术有限公司及北</w:t>
      </w:r>
      <w:r>
        <w:rPr/>
        <w:t> 京慧驰科技有限公司、</w:t>
      </w:r>
      <w:r>
        <w:rPr>
          <w:rFonts w:ascii="Times New Roman" w:hAnsi="Times New Roman" w:cs="Times New Roman" w:eastAsia="Times New Roman" w:hint="default"/>
        </w:rPr>
        <w:t>Rightware Oy </w:t>
      </w:r>
      <w:r>
        <w:rPr/>
        <w:t>和 </w:t>
      </w:r>
      <w:r>
        <w:rPr>
          <w:rFonts w:ascii="Times New Roman" w:hAnsi="Times New Roman" w:cs="Times New Roman" w:eastAsia="Times New Roman" w:hint="default"/>
        </w:rPr>
        <w:t>MM Solutions EAD</w:t>
      </w:r>
      <w:r>
        <w:rPr>
          <w:rFonts w:ascii="Times New Roman" w:hAnsi="Times New Roman" w:cs="Times New Roman" w:eastAsia="Times New Roman" w:hint="default"/>
          <w:spacing w:val="27"/>
        </w:rPr>
        <w:t> </w:t>
      </w:r>
      <w:r>
        <w:rPr/>
        <w:t>商誉进行减值测试，并分别出具了中水致远评 报字</w:t>
      </w:r>
      <w:r>
        <w:rPr>
          <w:rFonts w:ascii="Times New Roman" w:hAnsi="Times New Roman" w:cs="Times New Roman" w:eastAsia="Times New Roman" w:hint="default"/>
        </w:rPr>
        <w:t>[2019]</w:t>
      </w:r>
      <w:r>
        <w:rPr/>
        <w:t>第</w:t>
      </w:r>
      <w:r>
        <w:rPr>
          <w:spacing w:val="-50"/>
        </w:rPr>
        <w:t> </w:t>
      </w:r>
      <w:r>
        <w:rPr>
          <w:rFonts w:ascii="Times New Roman" w:hAnsi="Times New Roman" w:cs="Times New Roman" w:eastAsia="Times New Roman" w:hint="default"/>
        </w:rPr>
        <w:t>010016</w:t>
      </w:r>
      <w:r>
        <w:rPr>
          <w:rFonts w:ascii="Times New Roman" w:hAnsi="Times New Roman" w:cs="Times New Roman" w:eastAsia="Times New Roman" w:hint="default"/>
          <w:spacing w:val="-8"/>
        </w:rPr>
        <w:t> </w:t>
      </w:r>
      <w:r>
        <w:rPr>
          <w:spacing w:val="-7"/>
        </w:rPr>
        <w:t>号、中水致远评报字</w:t>
      </w:r>
      <w:r>
        <w:rPr>
          <w:rFonts w:ascii="Times New Roman" w:hAnsi="Times New Roman" w:cs="Times New Roman" w:eastAsia="Times New Roman" w:hint="default"/>
          <w:spacing w:val="-7"/>
        </w:rPr>
        <w:t>[2019]</w:t>
      </w:r>
      <w:r>
        <w:rPr>
          <w:spacing w:val="-7"/>
        </w:rPr>
        <w:t>第</w:t>
      </w:r>
      <w:r>
        <w:rPr>
          <w:spacing w:val="-50"/>
        </w:rPr>
        <w:t> </w:t>
      </w:r>
      <w:r>
        <w:rPr>
          <w:rFonts w:ascii="Times New Roman" w:hAnsi="Times New Roman" w:cs="Times New Roman" w:eastAsia="Times New Roman" w:hint="default"/>
        </w:rPr>
        <w:t>010053</w:t>
      </w:r>
      <w:r>
        <w:rPr>
          <w:rFonts w:ascii="Times New Roman" w:hAnsi="Times New Roman" w:cs="Times New Roman" w:eastAsia="Times New Roman" w:hint="default"/>
          <w:spacing w:val="-8"/>
        </w:rPr>
        <w:t> </w:t>
      </w:r>
      <w:r>
        <w:rPr>
          <w:spacing w:val="-7"/>
        </w:rPr>
        <w:t>号、中水致远评报字</w:t>
      </w:r>
      <w:r>
        <w:rPr>
          <w:rFonts w:ascii="Times New Roman" w:hAnsi="Times New Roman" w:cs="Times New Roman" w:eastAsia="Times New Roman" w:hint="default"/>
          <w:spacing w:val="-7"/>
        </w:rPr>
        <w:t>[2019]</w:t>
      </w:r>
      <w:r>
        <w:rPr>
          <w:spacing w:val="-7"/>
        </w:rPr>
        <w:t>第</w:t>
      </w:r>
      <w:r>
        <w:rPr>
          <w:spacing w:val="-50"/>
        </w:rPr>
        <w:t> </w:t>
      </w:r>
      <w:r>
        <w:rPr>
          <w:rFonts w:ascii="Times New Roman" w:hAnsi="Times New Roman" w:cs="Times New Roman" w:eastAsia="Times New Roman" w:hint="default"/>
        </w:rPr>
        <w:t>010055</w:t>
      </w:r>
      <w:r>
        <w:rPr>
          <w:rFonts w:ascii="Times New Roman" w:hAnsi="Times New Roman" w:cs="Times New Roman" w:eastAsia="Times New Roman" w:hint="default"/>
          <w:spacing w:val="-8"/>
        </w:rPr>
        <w:t> </w:t>
      </w:r>
      <w:r>
        <w:rPr>
          <w:spacing w:val="-1"/>
        </w:rPr>
        <w:t>号评估报告，</w:t>
      </w:r>
      <w:r>
        <w:rPr/>
        <w:t> 商誉期末未发生减值。</w:t>
      </w:r>
    </w:p>
    <w:p>
      <w:pPr>
        <w:spacing w:line="240" w:lineRule="auto" w:before="2"/>
        <w:rPr>
          <w:rFonts w:ascii="宋体" w:hAnsi="宋体" w:cs="宋体" w:eastAsia="宋体" w:hint="default"/>
          <w:sz w:val="14"/>
          <w:szCs w:val="14"/>
        </w:rPr>
      </w:pPr>
    </w:p>
    <w:p>
      <w:pPr>
        <w:pStyle w:val="BodyText"/>
        <w:spacing w:line="240" w:lineRule="auto"/>
        <w:ind w:right="1016"/>
        <w:jc w:val="left"/>
        <w:rPr>
          <w:rFonts w:ascii="微软雅黑" w:hAnsi="微软雅黑" w:cs="微软雅黑" w:eastAsia="微软雅黑" w:hint="default"/>
        </w:rPr>
      </w:pPr>
      <w:bookmarkStart w:name="23、长期待摊费用" w:id="271"/>
      <w:bookmarkEnd w:id="271"/>
      <w:r>
        <w:rPr/>
      </w:r>
      <w:r>
        <w:rPr>
          <w:rFonts w:ascii="Times New Roman" w:hAnsi="Times New Roman" w:cs="Times New Roman" w:eastAsia="Times New Roman" w:hint="default"/>
        </w:rPr>
        <w:t>23</w:t>
      </w:r>
      <w:r>
        <w:rPr>
          <w:rFonts w:ascii="微软雅黑" w:hAnsi="微软雅黑" w:cs="微软雅黑" w:eastAsia="微软雅黑" w:hint="default"/>
        </w:rPr>
        <w:t>、长期待摊费用</w:t>
      </w:r>
    </w:p>
    <w:p>
      <w:pPr>
        <w:spacing w:line="240" w:lineRule="auto" w:before="17"/>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642"/>
        <w:gridCol w:w="1644"/>
        <w:gridCol w:w="1643"/>
        <w:gridCol w:w="1642"/>
        <w:gridCol w:w="1642"/>
        <w:gridCol w:w="1643"/>
      </w:tblGrid>
      <w:tr>
        <w:trPr>
          <w:trHeight w:val="406"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5"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6"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8,489,086.53</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21,986,892.34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5,360,210.50</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25,115,768.37</w:t>
            </w:r>
          </w:p>
        </w:tc>
      </w:tr>
      <w:tr>
        <w:trPr>
          <w:trHeight w:val="407"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软件许可费</w:t>
            </w:r>
          </w:p>
        </w:tc>
        <w:tc>
          <w:tcPr>
            <w:tcW w:w="1644"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820,164.78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341,735.35</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478,429.43</w:t>
            </w:r>
          </w:p>
        </w:tc>
      </w:tr>
      <w:tr>
        <w:trPr>
          <w:trHeight w:val="407"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8,489,086.53</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22,807,057.12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5,701,945.85</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25,594,197.80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12"/>
        <w:rPr>
          <w:rFonts w:ascii="宋体" w:hAnsi="宋体" w:cs="宋体" w:eastAsia="宋体" w:hint="default"/>
          <w:sz w:val="17"/>
          <w:szCs w:val="17"/>
        </w:rPr>
      </w:pPr>
    </w:p>
    <w:p>
      <w:pPr>
        <w:pStyle w:val="BodyText"/>
        <w:spacing w:line="240" w:lineRule="auto"/>
        <w:ind w:right="1016"/>
        <w:jc w:val="left"/>
      </w:pPr>
      <w:r>
        <w:rPr/>
        <w:t>本期增加中因外币报表折算汇率影响</w:t>
      </w:r>
      <w:r>
        <w:rPr>
          <w:spacing w:val="-53"/>
        </w:rPr>
        <w:t> </w:t>
      </w:r>
      <w:r>
        <w:rPr>
          <w:rFonts w:ascii="Times New Roman" w:hAnsi="Times New Roman" w:cs="Times New Roman" w:eastAsia="Times New Roman" w:hint="default"/>
        </w:rPr>
        <w:t>33,276.99</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24、递延所得税资产/递延所得税负债" w:id="272"/>
      <w:bookmarkEnd w:id="272"/>
      <w:r>
        <w:rPr/>
      </w:r>
      <w:r>
        <w:rPr>
          <w:rFonts w:ascii="Times New Roman" w:hAnsi="Times New Roman" w:cs="Times New Roman" w:eastAsia="Times New Roman" w:hint="default"/>
        </w:rPr>
        <w:t>24</w:t>
      </w:r>
      <w:r>
        <w:rPr>
          <w:rFonts w:ascii="微软雅黑" w:hAnsi="微软雅黑" w:cs="微软雅黑" w:eastAsia="微软雅黑" w:hint="default"/>
        </w:rPr>
        <w:t>、递延所得税资产</w:t>
      </w:r>
      <w:r>
        <w:rPr>
          <w:rFonts w:ascii="Times New Roman" w:hAnsi="Times New Roman" w:cs="Times New Roman" w:eastAsia="Times New Roman" w:hint="default"/>
        </w:rPr>
        <w:t>/</w:t>
      </w:r>
      <w:r>
        <w:rPr>
          <w:rFonts w:ascii="微软雅黑" w:hAnsi="微软雅黑" w:cs="微软雅黑" w:eastAsia="微软雅黑" w:hint="default"/>
        </w:rPr>
        <w:t>递延所得税负债</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未经抵销的递延所得税资产" w:id="273"/>
      <w:bookmarkEnd w:id="273"/>
      <w:r>
        <w:rPr/>
      </w:r>
      <w:r>
        <w:rPr/>
        <w:t>（</w:t>
      </w:r>
      <w:r>
        <w:rPr>
          <w:rFonts w:ascii="Times New Roman" w:hAnsi="Times New Roman" w:cs="Times New Roman" w:eastAsia="Times New Roman" w:hint="default"/>
        </w:rPr>
        <w:t>1</w:t>
      </w:r>
      <w:r>
        <w:rPr/>
        <w:t>）未经抵销的递延所得税资产</w:t>
      </w:r>
    </w:p>
    <w:p>
      <w:pPr>
        <w:spacing w:after="0" w:line="240" w:lineRule="auto"/>
        <w:jc w:val="left"/>
        <w:sectPr>
          <w:pgSz w:w="11910" w:h="16840"/>
          <w:pgMar w:header="801" w:footer="1007" w:top="1080" w:bottom="1200" w:left="920" w:right="0"/>
        </w:sectPr>
      </w:pPr>
    </w:p>
    <w:p>
      <w:pPr>
        <w:spacing w:line="240" w:lineRule="auto" w:before="5"/>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7" w:hRule="exact"/>
        </w:trPr>
        <w:tc>
          <w:tcPr>
            <w:tcW w:w="1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968" w:type="dxa"/>
            <w:vMerge/>
            <w:tcBorders>
              <w:left w:val="single" w:sz="4" w:space="0" w:color="000000"/>
              <w:bottom w:val="single" w:sz="4" w:space="0" w:color="000000"/>
              <w:right w:val="single" w:sz="4" w:space="0" w:color="000000"/>
            </w:tcBorders>
            <w:shd w:val="clear" w:color="auto" w:fill="D2D2D2"/>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14,390,480.02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1,577,859.24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9,962,752.20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1,151,005.84</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1,918,115.30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191,811.53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199,706.50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19,970.65</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38,909,894.12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5,059,650.79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22,329,240.04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2,757,310.01</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26,122,399.52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3,327,133.85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29,803,427.54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3,671,075.07</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计提未发放工资</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33,068,669.05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3,306,866.94</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67,388.22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6,738.79</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13,928,616.26</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1,392,861.63</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114,476,946.23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13,470,061.14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76,223,742.54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8,992,223.20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2）未经抵销的递延所得税负债" w:id="274"/>
      <w:bookmarkEnd w:id="274"/>
      <w:r>
        <w:rPr/>
      </w:r>
      <w:r>
        <w:rPr/>
        <w:t>（</w:t>
      </w:r>
      <w:r>
        <w:rPr>
          <w:rFonts w:ascii="Times New Roman" w:hAnsi="Times New Roman" w:cs="Times New Roman" w:eastAsia="Times New Roman" w:hint="default"/>
        </w:rPr>
        <w:t>2</w:t>
      </w:r>
      <w:r>
        <w:rPr/>
        <w:t>）未经抵销的递延所得税负债</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7" w:hRule="exact"/>
        </w:trPr>
        <w:tc>
          <w:tcPr>
            <w:tcW w:w="1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968" w:type="dxa"/>
            <w:vMerge/>
            <w:tcBorders>
              <w:left w:val="single" w:sz="4" w:space="0" w:color="000000"/>
              <w:bottom w:val="single" w:sz="4" w:space="0" w:color="000000"/>
              <w:right w:val="single" w:sz="4" w:space="0" w:color="000000"/>
            </w:tcBorders>
            <w:shd w:val="clear" w:color="auto" w:fill="D2D2D2"/>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76"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非同一控制企业合并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236,974,159.72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46,822,963.87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211,270,825.62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41,491,674.39</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236,974,159.72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46,822,963.87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211,270,825.62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41,491,674.39</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3）以抵销后净额列示的递延所得税资产或负债" w:id="275"/>
      <w:bookmarkEnd w:id="275"/>
      <w:r>
        <w:rPr/>
      </w:r>
      <w:r>
        <w:rPr/>
        <w:t>（</w:t>
      </w:r>
      <w:r>
        <w:rPr>
          <w:rFonts w:ascii="Times New Roman" w:hAnsi="Times New Roman" w:cs="Times New Roman" w:eastAsia="Times New Roman" w:hint="default"/>
        </w:rPr>
        <w:t>3</w:t>
      </w:r>
      <w:r>
        <w:rPr/>
        <w:t>）以抵销后净额列示的递延所得税资产或负债</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7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递延所得税资产和负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债期末互抵金额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60" w:right="0" w:hanging="90"/>
              <w:jc w:val="left"/>
              <w:rPr>
                <w:rFonts w:ascii="宋体" w:hAnsi="宋体" w:cs="宋体" w:eastAsia="宋体" w:hint="default"/>
                <w:sz w:val="18"/>
                <w:szCs w:val="18"/>
              </w:rPr>
            </w:pPr>
            <w:r>
              <w:rPr>
                <w:rFonts w:ascii="宋体" w:hAnsi="宋体" w:cs="宋体" w:eastAsia="宋体" w:hint="default"/>
                <w:sz w:val="18"/>
                <w:szCs w:val="18"/>
              </w:rPr>
              <w:t>抵销后递延所得税资</w:t>
            </w:r>
          </w:p>
          <w:p>
            <w:pPr>
              <w:pStyle w:val="TableParagraph"/>
              <w:spacing w:line="234" w:lineRule="exact"/>
              <w:ind w:left="260" w:right="0"/>
              <w:jc w:val="left"/>
              <w:rPr>
                <w:rFonts w:ascii="宋体" w:hAnsi="宋体" w:cs="宋体" w:eastAsia="宋体" w:hint="default"/>
                <w:sz w:val="18"/>
                <w:szCs w:val="18"/>
              </w:rPr>
            </w:pPr>
            <w:r>
              <w:rPr>
                <w:rFonts w:ascii="宋体" w:hAnsi="宋体" w:cs="宋体" w:eastAsia="宋体" w:hint="default"/>
                <w:sz w:val="18"/>
                <w:szCs w:val="18"/>
              </w:rPr>
              <w:t>产或负债期末余额</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递延所得税资产和负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债期初互抵金额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260" w:right="0" w:hanging="90"/>
              <w:jc w:val="left"/>
              <w:rPr>
                <w:rFonts w:ascii="宋体" w:hAnsi="宋体" w:cs="宋体" w:eastAsia="宋体" w:hint="default"/>
                <w:sz w:val="18"/>
                <w:szCs w:val="18"/>
              </w:rPr>
            </w:pPr>
            <w:r>
              <w:rPr>
                <w:rFonts w:ascii="宋体" w:hAnsi="宋体" w:cs="宋体" w:eastAsia="宋体" w:hint="default"/>
                <w:sz w:val="18"/>
                <w:szCs w:val="18"/>
              </w:rPr>
              <w:t>抵销后递延所得税资</w:t>
            </w:r>
          </w:p>
          <w:p>
            <w:pPr>
              <w:pStyle w:val="TableParagraph"/>
              <w:spacing w:line="234" w:lineRule="exact"/>
              <w:ind w:left="260" w:right="0"/>
              <w:jc w:val="left"/>
              <w:rPr>
                <w:rFonts w:ascii="宋体" w:hAnsi="宋体" w:cs="宋体" w:eastAsia="宋体" w:hint="default"/>
                <w:sz w:val="18"/>
                <w:szCs w:val="18"/>
              </w:rPr>
            </w:pPr>
            <w:r>
              <w:rPr>
                <w:rFonts w:ascii="宋体" w:hAnsi="宋体" w:cs="宋体" w:eastAsia="宋体" w:hint="default"/>
                <w:sz w:val="18"/>
                <w:szCs w:val="18"/>
              </w:rPr>
              <w:t>产或负债期初余额</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13,470,061.12</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8,992,223.20</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46,822,963.87</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41,491,674.39</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4）未确认递延所得税资产明细" w:id="276"/>
      <w:bookmarkEnd w:id="276"/>
      <w:r>
        <w:rPr/>
      </w:r>
      <w:r>
        <w:rPr/>
        <w:t>（</w:t>
      </w:r>
      <w:r>
        <w:rPr>
          <w:rFonts w:ascii="Times New Roman" w:hAnsi="Times New Roman" w:cs="Times New Roman" w:eastAsia="Times New Roman" w:hint="default"/>
        </w:rPr>
        <w:t>4</w:t>
      </w:r>
      <w:r>
        <w:rPr/>
        <w:t>）未确认递延所得税资产明细</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88,355,512.62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96,566,515.85</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3,123,689.83</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13,319,557.11</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984,894.25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1,438,563.91</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92,464,096.70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111,324,636.87</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5）未确认递延所得税资产的可抵扣亏损将于以下年度到期" w:id="277"/>
      <w:bookmarkEnd w:id="277"/>
      <w:r>
        <w:rPr/>
      </w:r>
      <w:r>
        <w:rPr/>
        <w:t>（</w:t>
      </w:r>
      <w:r>
        <w:rPr>
          <w:rFonts w:ascii="Times New Roman" w:hAnsi="Times New Roman" w:cs="Times New Roman" w:eastAsia="Times New Roman" w:hint="default"/>
        </w:rPr>
        <w:t>5</w:t>
      </w:r>
      <w:r>
        <w:rPr/>
        <w:t>）未确认递延所得税资产的可抵扣亏损将于以下年度到期</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59"/>
        <w:gridCol w:w="2468"/>
        <w:gridCol w:w="2464"/>
        <w:gridCol w:w="2465"/>
      </w:tblGrid>
      <w:tr>
        <w:trPr>
          <w:trHeight w:val="407"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459"/>
        <w:gridCol w:w="2468"/>
        <w:gridCol w:w="2464"/>
        <w:gridCol w:w="2465"/>
      </w:tblGrid>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8" w:type="dxa"/>
            <w:tcBorders>
              <w:top w:val="single" w:sz="4" w:space="0" w:color="000000"/>
              <w:left w:val="single" w:sz="4" w:space="0" w:color="000000"/>
              <w:bottom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7,162.81</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7,162.81</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5,142,139.69</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4,796,653.83</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20,255,698.43</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12,677,367.74</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21,188,158.18</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16,082,546.75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49,973,356.74</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年及以后年度</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54,791,781.49</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88,355,512.62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96,566,515.85</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8"/>
          <w:szCs w:val="8"/>
        </w:rPr>
      </w:pPr>
    </w:p>
    <w:p>
      <w:pPr>
        <w:pStyle w:val="BodyText"/>
        <w:spacing w:line="324" w:lineRule="exact"/>
        <w:ind w:right="1016"/>
        <w:jc w:val="left"/>
        <w:rPr>
          <w:rFonts w:ascii="微软雅黑" w:hAnsi="微软雅黑" w:cs="微软雅黑" w:eastAsia="微软雅黑" w:hint="default"/>
        </w:rPr>
      </w:pPr>
      <w:bookmarkStart w:name="25、其他非流动资产" w:id="278"/>
      <w:bookmarkEnd w:id="278"/>
      <w:r>
        <w:rPr/>
      </w:r>
      <w:r>
        <w:rPr>
          <w:rFonts w:ascii="Times New Roman" w:hAnsi="Times New Roman" w:cs="Times New Roman" w:eastAsia="Times New Roman" w:hint="default"/>
        </w:rPr>
        <w:t>25</w:t>
      </w:r>
      <w:r>
        <w:rPr>
          <w:rFonts w:ascii="微软雅黑" w:hAnsi="微软雅黑" w:cs="微软雅黑" w:eastAsia="微软雅黑" w:hint="default"/>
        </w:rPr>
        <w:t>、其他非流动资产</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6"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无形资产预付款</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1,913,531.37</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预缴个人所得税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12,989,966.20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13,800,000.00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预付股权收购款</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5,851,725.00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12,989,966.20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21,565,256.37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26、短期借款" w:id="279"/>
      <w:bookmarkEnd w:id="279"/>
      <w:r>
        <w:rPr/>
      </w:r>
      <w:r>
        <w:rPr>
          <w:rFonts w:ascii="Times New Roman" w:hAnsi="Times New Roman" w:cs="Times New Roman" w:eastAsia="Times New Roman" w:hint="default"/>
        </w:rPr>
        <w:t>26</w:t>
      </w:r>
      <w:r>
        <w:rPr>
          <w:rFonts w:ascii="微软雅黑" w:hAnsi="微软雅黑" w:cs="微软雅黑" w:eastAsia="微软雅黑" w:hint="default"/>
        </w:rPr>
        <w:t>、短期借款</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短期借款分类" w:id="280"/>
      <w:bookmarkEnd w:id="280"/>
      <w:r>
        <w:rPr/>
      </w:r>
      <w:r>
        <w:rPr>
          <w:rFonts w:ascii="Times New Roman" w:hAnsi="Times New Roman" w:cs="Times New Roman" w:eastAsia="Times New Roman" w:hint="default"/>
        </w:rPr>
        <w:t>1</w:t>
      </w:r>
      <w:r>
        <w:rPr/>
        <w:t>）短期借款分类</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295,296,780.00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353,753,560.00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351,246,360.00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373,753,560.00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666,543,140.00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短期借款分类的说明：</w:t>
      </w:r>
    </w:p>
    <w:p>
      <w:pPr>
        <w:spacing w:line="240" w:lineRule="auto" w:before="12"/>
        <w:rPr>
          <w:rFonts w:ascii="宋体" w:hAnsi="宋体" w:cs="宋体" w:eastAsia="宋体" w:hint="default"/>
          <w:sz w:val="17"/>
          <w:szCs w:val="17"/>
        </w:rPr>
      </w:pPr>
    </w:p>
    <w:p>
      <w:pPr>
        <w:pStyle w:val="BodyText"/>
        <w:spacing w:line="280" w:lineRule="auto"/>
        <w:ind w:left="214" w:right="1119" w:firstLine="420"/>
        <w:jc w:val="left"/>
      </w:pPr>
      <w:r>
        <w:rPr/>
        <w:t>（</w:t>
      </w:r>
      <w:r>
        <w:rPr>
          <w:rFonts w:ascii="Times New Roman" w:hAnsi="Times New Roman" w:cs="Times New Roman" w:eastAsia="Times New Roman" w:hint="default"/>
        </w:rPr>
        <w:t>1</w:t>
      </w:r>
      <w:r>
        <w:rPr/>
        <w:t>）</w:t>
      </w:r>
      <w:r>
        <w:rPr>
          <w:spacing w:val="-29"/>
        </w:rPr>
        <w:t> </w:t>
      </w:r>
      <w:r>
        <w:rPr>
          <w:spacing w:val="-4"/>
        </w:rPr>
        <w:t>抵押借款中，</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11"/>
        </w:rPr>
        <w:t> </w:t>
      </w:r>
      <w:r>
        <w:rPr/>
        <w:t>万元系本公司下属子公司南京中科创达软件科技有限公司以南京市雨花台区 软件大道</w:t>
      </w:r>
      <w:r>
        <w:rPr>
          <w:spacing w:val="-23"/>
        </w:rPr>
        <w:t> </w:t>
      </w:r>
      <w:r>
        <w:rPr>
          <w:rFonts w:ascii="Times New Roman" w:hAnsi="Times New Roman" w:cs="Times New Roman" w:eastAsia="Times New Roman" w:hint="default"/>
        </w:rPr>
        <w:t>109</w:t>
      </w:r>
      <w:r>
        <w:rPr>
          <w:rFonts w:ascii="Times New Roman" w:hAnsi="Times New Roman" w:cs="Times New Roman" w:eastAsia="Times New Roman" w:hint="default"/>
          <w:spacing w:val="8"/>
        </w:rPr>
        <w:t> </w:t>
      </w:r>
      <w:r>
        <w:rPr/>
        <w:t>号</w:t>
      </w:r>
      <w:r>
        <w:rPr>
          <w:spacing w:val="-24"/>
        </w:rPr>
        <w:t> </w:t>
      </w:r>
      <w:r>
        <w:rPr>
          <w:rFonts w:ascii="Times New Roman" w:hAnsi="Times New Roman" w:cs="Times New Roman" w:eastAsia="Times New Roman" w:hint="default"/>
        </w:rPr>
        <w:t>601-610</w:t>
      </w:r>
      <w:r>
        <w:rPr>
          <w:rFonts w:ascii="Times New Roman" w:hAnsi="Times New Roman" w:cs="Times New Roman" w:eastAsia="Times New Roman" w:hint="default"/>
          <w:spacing w:val="7"/>
        </w:rPr>
        <w:t> </w:t>
      </w:r>
      <w:r>
        <w:rPr/>
        <w:t>室房产做抵押与招商银行股份有限公司南京分行签订金额为</w:t>
      </w:r>
      <w:r>
        <w:rPr>
          <w:spacing w:val="-2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万元的借款合</w:t>
      </w:r>
    </w:p>
    <w:p>
      <w:pPr>
        <w:pStyle w:val="BodyText"/>
        <w:spacing w:line="240" w:lineRule="auto" w:before="10"/>
        <w:ind w:left="214" w:right="1016"/>
        <w:jc w:val="left"/>
        <w:rPr>
          <w:rFonts w:ascii="Times New Roman" w:hAnsi="Times New Roman" w:cs="Times New Roman" w:eastAsia="Times New Roman" w:hint="default"/>
        </w:rPr>
      </w:pPr>
      <w:r>
        <w:rPr/>
        <w:t>同，借款利率为年利率</w:t>
      </w:r>
      <w:r>
        <w:rPr>
          <w:spacing w:val="-40"/>
        </w:rPr>
        <w:t> </w:t>
      </w:r>
      <w:r>
        <w:rPr>
          <w:rFonts w:ascii="Times New Roman" w:hAnsi="Times New Roman" w:cs="Times New Roman" w:eastAsia="Times New Roman" w:hint="default"/>
        </w:rPr>
        <w:t>4.35%</w:t>
      </w:r>
      <w:r>
        <w:rPr/>
        <w:t>，借款期限为</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日至</w:t>
      </w:r>
      <w:r>
        <w:rPr>
          <w:spacing w:val="-4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27</w:t>
      </w:r>
      <w:r>
        <w:rPr>
          <w:rFonts w:ascii="Times New Roman" w:hAnsi="Times New Roman" w:cs="Times New Roman" w:eastAsia="Times New Roman" w:hint="default"/>
          <w:spacing w:val="-9"/>
        </w:rPr>
        <w:t> </w:t>
      </w:r>
      <w:r>
        <w:rPr/>
        <w:t>日止。截止</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0"/>
        </w:rPr>
        <w:t> </w:t>
      </w:r>
      <w:r>
        <w:rPr>
          <w:rFonts w:ascii="Times New Roman" w:hAnsi="Times New Roman" w:cs="Times New Roman" w:eastAsia="Times New Roman" w:hint="default"/>
        </w:rPr>
        <w:t>12</w:t>
      </w:r>
    </w:p>
    <w:p>
      <w:pPr>
        <w:pStyle w:val="BodyText"/>
        <w:spacing w:line="240" w:lineRule="auto" w:before="50"/>
        <w:ind w:left="214" w:right="1016"/>
        <w:jc w:val="left"/>
      </w:pP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日，抵押物净值为</w:t>
      </w:r>
      <w:r>
        <w:rPr>
          <w:spacing w:val="-54"/>
        </w:rPr>
        <w:t> </w:t>
      </w:r>
      <w:r>
        <w:rPr>
          <w:rFonts w:ascii="Times New Roman" w:hAnsi="Times New Roman" w:cs="Times New Roman" w:eastAsia="Times New Roman" w:hint="default"/>
        </w:rPr>
        <w:t>29,232,262.55</w:t>
      </w:r>
      <w:r>
        <w:rPr>
          <w:rFonts w:ascii="Times New Roman" w:hAnsi="Times New Roman" w:cs="Times New Roman" w:eastAsia="Times New Roman" w:hint="default"/>
          <w:spacing w:val="-12"/>
        </w:rPr>
        <w:t> </w:t>
      </w:r>
      <w:r>
        <w:rPr/>
        <w:t>元。</w:t>
      </w:r>
    </w:p>
    <w:p>
      <w:pPr>
        <w:spacing w:line="240" w:lineRule="auto" w:before="8"/>
        <w:rPr>
          <w:rFonts w:ascii="宋体" w:hAnsi="宋体" w:cs="宋体" w:eastAsia="宋体" w:hint="default"/>
          <w:sz w:val="16"/>
          <w:szCs w:val="16"/>
        </w:rPr>
      </w:pPr>
    </w:p>
    <w:p>
      <w:pPr>
        <w:pStyle w:val="BodyText"/>
        <w:spacing w:line="240" w:lineRule="auto"/>
        <w:ind w:right="1016"/>
        <w:jc w:val="left"/>
      </w:pPr>
      <w:r>
        <w:rPr/>
        <w:t>（</w:t>
      </w:r>
      <w:r>
        <w:rPr>
          <w:rFonts w:ascii="Times New Roman" w:hAnsi="Times New Roman" w:cs="Times New Roman" w:eastAsia="Times New Roman" w:hint="default"/>
        </w:rPr>
        <w:t>2</w:t>
      </w:r>
      <w:r>
        <w:rPr/>
        <w:t>）信用借款中，本公司使用宁波银行综合授信额度申请开立融资性保函，金额为 </w:t>
      </w:r>
      <w:r>
        <w:rPr>
          <w:rFonts w:ascii="Times New Roman" w:hAnsi="Times New Roman" w:cs="Times New Roman" w:eastAsia="Times New Roman" w:hint="default"/>
        </w:rPr>
        <w:t>680</w:t>
      </w:r>
      <w:r>
        <w:rPr>
          <w:rFonts w:ascii="Times New Roman" w:hAnsi="Times New Roman" w:cs="Times New Roman" w:eastAsia="Times New Roman" w:hint="default"/>
          <w:spacing w:val="27"/>
        </w:rPr>
        <w:t> </w:t>
      </w:r>
      <w:r>
        <w:rPr/>
        <w:t>万美元整为</w:t>
      </w:r>
    </w:p>
    <w:p>
      <w:pPr>
        <w:pStyle w:val="BodyText"/>
        <w:spacing w:line="240" w:lineRule="auto" w:before="50"/>
        <w:ind w:left="214" w:right="1016"/>
        <w:jc w:val="left"/>
      </w:pPr>
      <w:r>
        <w:rPr/>
        <w:t>本公司在华侨银行提供融资担保</w:t>
      </w:r>
      <w:r>
        <w:rPr>
          <w:rFonts w:ascii="Times New Roman" w:hAnsi="Times New Roman" w:cs="Times New Roman" w:eastAsia="Times New Roman" w:hint="default"/>
        </w:rPr>
        <w:t>,</w:t>
      </w:r>
      <w:r>
        <w:rPr/>
        <w:t>本公司自华侨银行取得借款</w:t>
      </w:r>
      <w:r>
        <w:rPr>
          <w:spacing w:val="-54"/>
        </w:rPr>
        <w:t> </w:t>
      </w:r>
      <w:r>
        <w:rPr>
          <w:rFonts w:ascii="Times New Roman" w:hAnsi="Times New Roman" w:cs="Times New Roman" w:eastAsia="Times New Roman" w:hint="default"/>
        </w:rPr>
        <w:t>680</w:t>
      </w:r>
      <w:r>
        <w:rPr>
          <w:rFonts w:ascii="Times New Roman" w:hAnsi="Times New Roman" w:cs="Times New Roman" w:eastAsia="Times New Roman" w:hint="default"/>
          <w:spacing w:val="-11"/>
        </w:rPr>
        <w:t> </w:t>
      </w:r>
      <w:r>
        <w:rPr/>
        <w:t>万美元。</w:t>
      </w:r>
    </w:p>
    <w:p>
      <w:pPr>
        <w:spacing w:line="240" w:lineRule="auto" w:before="9"/>
        <w:rPr>
          <w:rFonts w:ascii="宋体" w:hAnsi="宋体" w:cs="宋体" w:eastAsia="宋体" w:hint="default"/>
          <w:sz w:val="16"/>
          <w:szCs w:val="16"/>
        </w:rPr>
      </w:pPr>
    </w:p>
    <w:p>
      <w:pPr>
        <w:pStyle w:val="BodyText"/>
        <w:spacing w:line="240" w:lineRule="auto"/>
        <w:ind w:right="0"/>
        <w:jc w:val="left"/>
      </w:pPr>
      <w:r>
        <w:rPr>
          <w:spacing w:val="-4"/>
        </w:rPr>
        <w:t>（</w:t>
      </w:r>
      <w:r>
        <w:rPr>
          <w:rFonts w:ascii="Times New Roman" w:hAnsi="Times New Roman" w:cs="Times New Roman" w:eastAsia="Times New Roman" w:hint="default"/>
          <w:spacing w:val="-4"/>
        </w:rPr>
        <w:t>3</w:t>
      </w:r>
      <w:r>
        <w:rPr>
          <w:spacing w:val="-4"/>
        </w:rPr>
        <w:t>）信用借款中，本公司使用杭州银行综合授信额度自杭州银行北京朝阳支行取得借款 </w:t>
      </w:r>
      <w:r>
        <w:rPr>
          <w:rFonts w:ascii="Times New Roman" w:hAnsi="Times New Roman" w:cs="Times New Roman" w:eastAsia="Times New Roman" w:hint="default"/>
        </w:rPr>
        <w:t>6000</w:t>
      </w:r>
      <w:r>
        <w:rPr>
          <w:rFonts w:ascii="Times New Roman" w:hAnsi="Times New Roman" w:cs="Times New Roman" w:eastAsia="Times New Roman" w:hint="default"/>
          <w:spacing w:val="-22"/>
        </w:rPr>
        <w:t> </w:t>
      </w:r>
      <w:r>
        <w:rPr/>
        <w:t>万元整。</w:t>
      </w:r>
    </w:p>
    <w:p>
      <w:pPr>
        <w:spacing w:after="0" w:line="240" w:lineRule="auto"/>
        <w:jc w:val="left"/>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80" w:lineRule="auto" w:before="35"/>
        <w:ind w:left="214" w:right="1016" w:firstLine="420"/>
        <w:jc w:val="left"/>
      </w:pPr>
      <w:r>
        <w:rPr/>
        <w:t>（</w:t>
      </w:r>
      <w:r>
        <w:rPr>
          <w:rFonts w:ascii="Times New Roman" w:hAnsi="Times New Roman" w:cs="Times New Roman" w:eastAsia="Times New Roman" w:hint="default"/>
        </w:rPr>
        <w:t>4</w:t>
      </w:r>
      <w:r>
        <w:rPr/>
        <w:t>）信用借款中，本公司使用中国工商银行综合授信额度自中国工商银行北京南十里居支行取得借 款人民币</w:t>
      </w:r>
      <w:r>
        <w:rPr>
          <w:spacing w:val="-5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万元整。</w:t>
      </w:r>
    </w:p>
    <w:p>
      <w:pPr>
        <w:pStyle w:val="BodyText"/>
        <w:spacing w:line="280" w:lineRule="auto" w:before="177"/>
        <w:ind w:left="214" w:right="1016" w:firstLine="420"/>
        <w:jc w:val="left"/>
      </w:pPr>
      <w:r>
        <w:rPr/>
        <w:t>（</w:t>
      </w:r>
      <w:r>
        <w:rPr>
          <w:rFonts w:ascii="Times New Roman" w:hAnsi="Times New Roman" w:cs="Times New Roman" w:eastAsia="Times New Roman" w:hint="default"/>
        </w:rPr>
        <w:t>5</w:t>
      </w:r>
      <w:r>
        <w:rPr/>
        <w:t>）信用借款中，本公司使用江苏银行综合授信额度自江苏银行股份有限公司北京德胜支行取得借 款人民币</w:t>
      </w:r>
      <w:r>
        <w:rPr>
          <w:spacing w:val="-52"/>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1"/>
        </w:rPr>
        <w:t> </w:t>
      </w:r>
      <w:r>
        <w:rPr/>
        <w:t>万元整。</w:t>
      </w:r>
    </w:p>
    <w:p>
      <w:pPr>
        <w:pStyle w:val="BodyText"/>
        <w:spacing w:line="240" w:lineRule="auto" w:before="178"/>
        <w:ind w:right="1016"/>
        <w:jc w:val="left"/>
      </w:pPr>
      <w:r>
        <w:rPr/>
        <w:t>（</w:t>
      </w:r>
      <w:r>
        <w:rPr>
          <w:rFonts w:ascii="Times New Roman" w:hAnsi="Times New Roman" w:cs="Times New Roman" w:eastAsia="Times New Roman" w:hint="default"/>
        </w:rPr>
        <w:t>6</w:t>
      </w:r>
      <w:r>
        <w:rPr/>
        <w:t>）信用借款中，本公司使用宁波银行综合授信额度申请开立融资性保函，金额为</w:t>
      </w:r>
      <w:r>
        <w:rPr>
          <w:spacing w:val="-61"/>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8"/>
        </w:rPr>
        <w:t> </w:t>
      </w:r>
      <w:r>
        <w:rPr/>
        <w:t>万元整为本</w:t>
      </w:r>
    </w:p>
    <w:p>
      <w:pPr>
        <w:pStyle w:val="BodyText"/>
        <w:spacing w:line="240" w:lineRule="auto" w:before="49"/>
        <w:ind w:left="214" w:right="1016"/>
        <w:jc w:val="left"/>
      </w:pPr>
      <w:r>
        <w:rPr/>
        <w:t>公司在华侨银行提供融资担保，本公司自华侨银行取得借款</w:t>
      </w:r>
      <w:r>
        <w:rPr>
          <w:spacing w:val="-54"/>
        </w:rPr>
        <w:t> </w:t>
      </w:r>
      <w:r>
        <w:rPr>
          <w:rFonts w:ascii="Times New Roman" w:hAnsi="Times New Roman" w:cs="Times New Roman" w:eastAsia="Times New Roman" w:hint="default"/>
        </w:rPr>
        <w:t>600</w:t>
      </w:r>
      <w:r>
        <w:rPr>
          <w:rFonts w:ascii="Times New Roman" w:hAnsi="Times New Roman" w:cs="Times New Roman" w:eastAsia="Times New Roman" w:hint="default"/>
          <w:spacing w:val="-11"/>
        </w:rPr>
        <w:t> </w:t>
      </w:r>
      <w:r>
        <w:rPr/>
        <w:t>万欧元。</w:t>
      </w:r>
    </w:p>
    <w:p>
      <w:pPr>
        <w:spacing w:line="240" w:lineRule="auto" w:before="9"/>
        <w:rPr>
          <w:rFonts w:ascii="宋体" w:hAnsi="宋体" w:cs="宋体" w:eastAsia="宋体" w:hint="default"/>
          <w:sz w:val="16"/>
          <w:szCs w:val="16"/>
        </w:rPr>
      </w:pPr>
    </w:p>
    <w:p>
      <w:pPr>
        <w:pStyle w:val="BodyText"/>
        <w:spacing w:line="280" w:lineRule="auto"/>
        <w:ind w:left="214" w:right="1016" w:firstLine="420"/>
        <w:jc w:val="left"/>
      </w:pPr>
      <w:r>
        <w:rPr/>
        <w:t>（</w:t>
      </w:r>
      <w:r>
        <w:rPr>
          <w:rFonts w:ascii="Times New Roman" w:hAnsi="Times New Roman" w:cs="Times New Roman" w:eastAsia="Times New Roman" w:hint="default"/>
        </w:rPr>
        <w:t>7</w:t>
      </w:r>
      <w:r>
        <w:rPr/>
        <w:t>）信用借款中，本公司使用招商银行综合授信额度自招商银行股份有限公司北京大运村支行取得 借款人民币</w:t>
      </w:r>
      <w:r>
        <w:rPr>
          <w:spacing w:val="-52"/>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万元整。</w:t>
      </w:r>
    </w:p>
    <w:p>
      <w:pPr>
        <w:pStyle w:val="BodyText"/>
        <w:spacing w:line="280" w:lineRule="auto" w:before="178"/>
        <w:ind w:left="214" w:right="1016" w:firstLine="420"/>
        <w:jc w:val="left"/>
      </w:pPr>
      <w:r>
        <w:rPr/>
        <w:t>（</w:t>
      </w:r>
      <w:r>
        <w:rPr>
          <w:rFonts w:ascii="Times New Roman" w:hAnsi="Times New Roman" w:cs="Times New Roman" w:eastAsia="Times New Roman" w:hint="default"/>
        </w:rPr>
        <w:t>8</w:t>
      </w:r>
      <w:r>
        <w:rPr/>
        <w:t>）信用借款中，本公司使用招商银行综合授信额度自招商银行股份有限公司北京大运村支行取得 借款人民币</w:t>
      </w:r>
      <w:r>
        <w:rPr>
          <w:spacing w:val="-52"/>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0"/>
        </w:rPr>
        <w:t> </w:t>
      </w:r>
      <w:r>
        <w:rPr/>
        <w:t>万元整。</w:t>
      </w:r>
    </w:p>
    <w:p>
      <w:pPr>
        <w:pStyle w:val="BodyText"/>
        <w:spacing w:line="240" w:lineRule="auto" w:before="178"/>
        <w:ind w:right="1016"/>
        <w:jc w:val="left"/>
      </w:pPr>
      <w:r>
        <w:rPr/>
        <w:t>（</w:t>
      </w:r>
      <w:r>
        <w:rPr>
          <w:rFonts w:ascii="Times New Roman" w:hAnsi="Times New Roman" w:cs="Times New Roman" w:eastAsia="Times New Roman" w:hint="default"/>
        </w:rPr>
        <w:t>9</w:t>
      </w:r>
      <w:r>
        <w:rPr/>
        <w:t>）信用借款中，本公司使用北京银行综合授信额度自北京银行红星支行取得借款</w:t>
      </w:r>
      <w:r>
        <w:rPr>
          <w:spacing w:val="-55"/>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2"/>
        </w:rPr>
        <w:t> </w:t>
      </w:r>
      <w:r>
        <w:rPr/>
        <w:t>万元整。</w:t>
      </w:r>
    </w:p>
    <w:p>
      <w:pPr>
        <w:spacing w:line="240" w:lineRule="auto" w:before="9"/>
        <w:rPr>
          <w:rFonts w:ascii="宋体" w:hAnsi="宋体" w:cs="宋体" w:eastAsia="宋体" w:hint="default"/>
          <w:sz w:val="16"/>
          <w:szCs w:val="16"/>
        </w:rPr>
      </w:pPr>
    </w:p>
    <w:p>
      <w:pPr>
        <w:pStyle w:val="BodyText"/>
        <w:spacing w:line="420" w:lineRule="auto"/>
        <w:ind w:right="7287"/>
        <w:jc w:val="left"/>
      </w:pPr>
      <w:bookmarkStart w:name="2）已逾期未偿还的短期借款情况" w:id="281"/>
      <w:bookmarkEnd w:id="281"/>
      <w:r>
        <w:rPr/>
      </w:r>
      <w:r>
        <w:rPr>
          <w:rFonts w:ascii="Times New Roman" w:hAnsi="Times New Roman" w:cs="Times New Roman" w:eastAsia="Times New Roman" w:hint="default"/>
        </w:rPr>
        <w:t>2</w:t>
      </w:r>
      <w:r>
        <w:rPr/>
        <w:t>）已逾期未偿还的短期借款情况 无</w:t>
      </w:r>
    </w:p>
    <w:p>
      <w:pPr>
        <w:pStyle w:val="BodyText"/>
        <w:spacing w:line="240" w:lineRule="auto" w:before="69"/>
        <w:ind w:right="1016"/>
        <w:jc w:val="left"/>
        <w:rPr>
          <w:rFonts w:ascii="微软雅黑" w:hAnsi="微软雅黑" w:cs="微软雅黑" w:eastAsia="微软雅黑" w:hint="default"/>
        </w:rPr>
      </w:pPr>
      <w:bookmarkStart w:name="27、以公允价值计量且其变动计入当期损益的金融负债" w:id="282"/>
      <w:bookmarkEnd w:id="282"/>
      <w:r>
        <w:rPr/>
      </w:r>
      <w:r>
        <w:rPr>
          <w:rFonts w:ascii="Times New Roman" w:hAnsi="Times New Roman" w:cs="Times New Roman" w:eastAsia="Times New Roman" w:hint="default"/>
        </w:rPr>
        <w:t>27</w:t>
      </w:r>
      <w:r>
        <w:rPr>
          <w:rFonts w:ascii="微软雅黑" w:hAnsi="微软雅黑" w:cs="微软雅黑" w:eastAsia="微软雅黑" w:hint="default"/>
        </w:rPr>
        <w:t>、以公允价值计量且其变动计入当期损益的金融负债</w:t>
      </w:r>
    </w:p>
    <w:p>
      <w:pPr>
        <w:spacing w:line="240" w:lineRule="auto" w:before="16"/>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外汇远期合约</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13,928,616.26</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股权收购形成的或有对价</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19,413,700.00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27,517,255.20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19,413,700.00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41,445,871.46</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10"/>
        <w:rPr>
          <w:rFonts w:ascii="宋体" w:hAnsi="宋体" w:cs="宋体" w:eastAsia="宋体" w:hint="default"/>
          <w:sz w:val="17"/>
          <w:szCs w:val="17"/>
        </w:rPr>
      </w:pPr>
    </w:p>
    <w:p>
      <w:pPr>
        <w:pStyle w:val="BodyText"/>
        <w:spacing w:line="240" w:lineRule="auto"/>
        <w:ind w:right="1016"/>
        <w:jc w:val="left"/>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1</w:t>
      </w:r>
      <w:r>
        <w:rPr>
          <w:spacing w:val="-3"/>
        </w:rPr>
        <w:t>）或有对价系由收购爱普新思及慧驰科技</w:t>
      </w:r>
      <w:r>
        <w:rPr>
          <w:spacing w:val="-70"/>
        </w:rPr>
        <w:t> </w:t>
      </w:r>
      <w:r>
        <w:rPr>
          <w:rFonts w:ascii="Times New Roman" w:hAnsi="Times New Roman" w:cs="Times New Roman" w:eastAsia="Times New Roman" w:hint="default"/>
        </w:rPr>
        <w:t>100%</w:t>
      </w:r>
      <w:r>
        <w:rPr/>
        <w:t>股权分批支付股权转让款形成，于评估基准日</w:t>
      </w:r>
      <w:r>
        <w:rPr>
          <w:spacing w:val="-70"/>
        </w:rPr>
        <w:t> </w:t>
      </w:r>
      <w:r>
        <w:rPr>
          <w:rFonts w:ascii="Times New Roman" w:hAnsi="Times New Roman" w:cs="Times New Roman" w:eastAsia="Times New Roman" w:hint="default"/>
        </w:rPr>
        <w:t>2018</w:t>
      </w:r>
    </w:p>
    <w:p>
      <w:pPr>
        <w:pStyle w:val="BodyText"/>
        <w:spacing w:line="240" w:lineRule="auto" w:before="50"/>
        <w:ind w:left="214" w:right="1016"/>
        <w:jc w:val="left"/>
      </w:pP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63"/>
        </w:rPr>
        <w:t> </w:t>
      </w:r>
      <w:r>
        <w:rPr>
          <w:rFonts w:ascii="Times New Roman" w:hAnsi="Times New Roman" w:cs="Times New Roman" w:eastAsia="Times New Roman" w:hint="default"/>
        </w:rPr>
        <w:t>31</w:t>
      </w:r>
      <w:r>
        <w:rPr>
          <w:rFonts w:ascii="Times New Roman" w:hAnsi="Times New Roman" w:cs="Times New Roman" w:eastAsia="Times New Roman" w:hint="default"/>
          <w:spacing w:val="-19"/>
        </w:rPr>
        <w:t> </w:t>
      </w:r>
      <w:r>
        <w:rPr/>
        <w:t>日该或有对价公允价值为</w:t>
      </w:r>
      <w:r>
        <w:rPr>
          <w:spacing w:val="-62"/>
        </w:rPr>
        <w:t> </w:t>
      </w:r>
      <w:r>
        <w:rPr>
          <w:rFonts w:ascii="Times New Roman" w:hAnsi="Times New Roman" w:cs="Times New Roman" w:eastAsia="Times New Roman" w:hint="default"/>
        </w:rPr>
        <w:t>19,413,700.00</w:t>
      </w:r>
      <w:r>
        <w:rPr>
          <w:rFonts w:ascii="Times New Roman" w:hAnsi="Times New Roman" w:cs="Times New Roman" w:eastAsia="Times New Roman" w:hint="default"/>
          <w:spacing w:val="-17"/>
        </w:rPr>
        <w:t> </w:t>
      </w:r>
      <w:r>
        <w:rPr/>
        <w:t>元，业经中水致远资产评估有限公司进行评估，并出具</w:t>
      </w:r>
    </w:p>
    <w:p>
      <w:pPr>
        <w:pStyle w:val="BodyText"/>
        <w:spacing w:line="240" w:lineRule="auto" w:before="50"/>
        <w:ind w:left="214" w:right="1016"/>
        <w:jc w:val="left"/>
      </w:pPr>
      <w:r>
        <w:rPr>
          <w:spacing w:val="14"/>
        </w:rPr>
        <w:t>了中水致远评报字【</w:t>
      </w:r>
      <w:r>
        <w:rPr>
          <w:spacing w:val="-87"/>
        </w:rPr>
        <w:t> </w:t>
      </w:r>
      <w:r>
        <w:rPr>
          <w:rFonts w:ascii="Times New Roman" w:hAnsi="Times New Roman" w:cs="Times New Roman" w:eastAsia="Times New Roman" w:hint="default"/>
          <w:spacing w:val="5"/>
        </w:rPr>
        <w:t>2019</w:t>
      </w:r>
      <w:r>
        <w:rPr>
          <w:spacing w:val="5"/>
        </w:rPr>
        <w:t>】第</w:t>
      </w:r>
      <w:r>
        <w:rPr>
          <w:spacing w:val="19"/>
        </w:rPr>
        <w:t> </w:t>
      </w:r>
      <w:r>
        <w:rPr>
          <w:rFonts w:ascii="Times New Roman" w:hAnsi="Times New Roman" w:cs="Times New Roman" w:eastAsia="Times New Roman" w:hint="default"/>
        </w:rPr>
        <w:t>010015</w:t>
      </w:r>
      <w:r>
        <w:rPr>
          <w:rFonts w:ascii="Times New Roman" w:hAnsi="Times New Roman" w:cs="Times New Roman" w:eastAsia="Times New Roman" w:hint="default"/>
          <w:spacing w:val="51"/>
        </w:rPr>
        <w:t> </w:t>
      </w:r>
      <w:r>
        <w:rPr>
          <w:spacing w:val="15"/>
        </w:rPr>
        <w:t>号或有对价公允价值评估报告。期初该或有对价公允价值为</w:t>
      </w:r>
    </w:p>
    <w:p>
      <w:pPr>
        <w:pStyle w:val="BodyText"/>
        <w:spacing w:line="240" w:lineRule="auto" w:before="50"/>
        <w:ind w:left="214" w:right="1016"/>
        <w:jc w:val="left"/>
      </w:pPr>
      <w:r>
        <w:rPr>
          <w:rFonts w:ascii="Times New Roman" w:hAnsi="Times New Roman" w:cs="Times New Roman" w:eastAsia="Times New Roman" w:hint="default"/>
        </w:rPr>
        <w:t>21,373,100.00</w:t>
      </w:r>
      <w:r>
        <w:rPr>
          <w:rFonts w:ascii="Times New Roman" w:hAnsi="Times New Roman" w:cs="Times New Roman" w:eastAsia="Times New Roman" w:hint="default"/>
          <w:spacing w:val="-11"/>
        </w:rPr>
        <w:t> </w:t>
      </w:r>
      <w:r>
        <w:rPr/>
        <w:t>元，扣除应支付的或有对价</w:t>
      </w:r>
      <w:r>
        <w:rPr>
          <w:spacing w:val="-53"/>
        </w:rPr>
        <w:t> </w:t>
      </w:r>
      <w:r>
        <w:rPr>
          <w:rFonts w:ascii="Times New Roman" w:hAnsi="Times New Roman" w:cs="Times New Roman" w:eastAsia="Times New Roman" w:hint="default"/>
        </w:rPr>
        <w:t>3,991,900.00</w:t>
      </w:r>
      <w:r>
        <w:rPr>
          <w:rFonts w:ascii="Times New Roman" w:hAnsi="Times New Roman" w:cs="Times New Roman" w:eastAsia="Times New Roman" w:hint="default"/>
          <w:spacing w:val="-12"/>
        </w:rPr>
        <w:t> </w:t>
      </w:r>
      <w:r>
        <w:rPr/>
        <w:t>元，差额计入公允价值变动收益。</w:t>
      </w:r>
    </w:p>
    <w:p>
      <w:pPr>
        <w:spacing w:line="240" w:lineRule="auto" w:before="0"/>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28、衍生金融负债" w:id="283"/>
      <w:bookmarkEnd w:id="283"/>
      <w:r>
        <w:rPr/>
      </w:r>
      <w:r>
        <w:rPr>
          <w:rFonts w:ascii="Times New Roman" w:hAnsi="Times New Roman" w:cs="Times New Roman" w:eastAsia="Times New Roman" w:hint="default"/>
        </w:rPr>
        <w:t>28</w:t>
      </w:r>
      <w:r>
        <w:rPr>
          <w:rFonts w:ascii="微软雅黑" w:hAnsi="微软雅黑" w:cs="微软雅黑" w:eastAsia="微软雅黑" w:hint="default"/>
        </w:rPr>
        <w:t>、衍生金融负债</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29、应付票据及应付账款" w:id="284"/>
      <w:bookmarkEnd w:id="284"/>
      <w:r>
        <w:rPr/>
      </w:r>
      <w:r>
        <w:rPr>
          <w:rFonts w:ascii="Times New Roman" w:hAnsi="Times New Roman" w:cs="Times New Roman" w:eastAsia="Times New Roman" w:hint="default"/>
        </w:rPr>
        <w:t>29</w:t>
      </w:r>
      <w:r>
        <w:rPr>
          <w:rFonts w:ascii="微软雅黑" w:hAnsi="微软雅黑" w:cs="微软雅黑" w:eastAsia="微软雅黑" w:hint="default"/>
        </w:rPr>
        <w:t>、应付票据及应付账款</w:t>
      </w:r>
    </w:p>
    <w:p>
      <w:pPr>
        <w:spacing w:line="240" w:lineRule="auto" w:before="16"/>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76,635,795.41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92,929,165.27</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76,635,795.41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92,929,165.27</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5"/>
        <w:ind w:right="1016"/>
        <w:jc w:val="left"/>
      </w:pPr>
      <w:bookmarkStart w:name="（1）应付账款列示" w:id="285"/>
      <w:bookmarkEnd w:id="285"/>
      <w:r>
        <w:rPr/>
      </w:r>
      <w:r>
        <w:rPr/>
        <w:t>（</w:t>
      </w:r>
      <w:r>
        <w:rPr>
          <w:rFonts w:ascii="Times New Roman" w:hAnsi="Times New Roman" w:cs="Times New Roman" w:eastAsia="Times New Roman" w:hint="default"/>
        </w:rPr>
        <w:t>1</w:t>
      </w:r>
      <w:r>
        <w:rPr/>
        <w:t>）应付账款列示</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应付服务费及货款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76,635,795.41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92,929,165.27</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76,635,795.41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92,929,165.27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30、预收款项" w:id="286"/>
      <w:bookmarkEnd w:id="286"/>
      <w:r>
        <w:rPr/>
      </w:r>
      <w:r>
        <w:rPr>
          <w:rFonts w:ascii="Times New Roman" w:hAnsi="Times New Roman" w:cs="Times New Roman" w:eastAsia="Times New Roman" w:hint="default"/>
        </w:rPr>
        <w:t>30</w:t>
      </w:r>
      <w:r>
        <w:rPr>
          <w:rFonts w:ascii="微软雅黑" w:hAnsi="微软雅黑" w:cs="微软雅黑" w:eastAsia="微软雅黑" w:hint="default"/>
        </w:rPr>
        <w:t>、预收款项</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预收款项列示" w:id="287"/>
      <w:bookmarkEnd w:id="287"/>
      <w:r>
        <w:rPr/>
      </w:r>
      <w:r>
        <w:rPr/>
        <w:t>（</w:t>
      </w:r>
      <w:r>
        <w:rPr>
          <w:rFonts w:ascii="Times New Roman" w:hAnsi="Times New Roman" w:cs="Times New Roman" w:eastAsia="Times New Roman" w:hint="default"/>
        </w:rPr>
        <w:t>1</w:t>
      </w:r>
      <w:r>
        <w:rPr/>
        <w:t>）预收款项列示</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预收服务费及货款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24,958,954.84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18,750,149.47</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24,958,954.84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18,750,149.47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31、应付职工薪酬" w:id="288"/>
      <w:bookmarkEnd w:id="288"/>
      <w:r>
        <w:rPr/>
      </w:r>
      <w:r>
        <w:rPr>
          <w:rFonts w:ascii="Times New Roman" w:hAnsi="Times New Roman" w:cs="Times New Roman" w:eastAsia="Times New Roman" w:hint="default"/>
        </w:rPr>
        <w:t>31</w:t>
      </w:r>
      <w:r>
        <w:rPr>
          <w:rFonts w:ascii="微软雅黑" w:hAnsi="微软雅黑" w:cs="微软雅黑" w:eastAsia="微软雅黑" w:hint="default"/>
        </w:rPr>
        <w:t>、应付职工薪酬</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bookmarkStart w:name="（1）应付职工薪酬列示" w:id="289"/>
      <w:bookmarkEnd w:id="289"/>
      <w:r>
        <w:rPr/>
      </w:r>
      <w:r>
        <w:rPr/>
        <w:t>（</w:t>
      </w:r>
      <w:r>
        <w:rPr>
          <w:rFonts w:ascii="Times New Roman" w:hAnsi="Times New Roman" w:cs="Times New Roman" w:eastAsia="Times New Roman" w:hint="default"/>
        </w:rPr>
        <w:t>1</w:t>
      </w:r>
      <w:r>
        <w:rPr/>
        <w:t>）应付职工薪酬列示</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44,751,092.17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713,983,940.74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626,280,711.37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132,454,321.54</w:t>
            </w:r>
          </w:p>
        </w:tc>
      </w:tr>
      <w:tr>
        <w:trPr>
          <w:trHeight w:val="476"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提存计划</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1,908,895.31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36,163,362.52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34,516,991.58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3,555,266.25</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31,300.00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649,635.13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557,435.13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123,500.00</w:t>
            </w:r>
          </w:p>
        </w:tc>
      </w:tr>
      <w:tr>
        <w:trPr>
          <w:trHeight w:val="47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四、一年内到期的其他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福利</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46,691,287.48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750,796,938.39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661,355,138.08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136,133,087.79</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2）短期薪酬列示" w:id="290"/>
      <w:bookmarkEnd w:id="290"/>
      <w:r>
        <w:rPr/>
      </w:r>
      <w:r>
        <w:rPr/>
        <w:t>（</w:t>
      </w:r>
      <w:r>
        <w:rPr>
          <w:rFonts w:ascii="Times New Roman" w:hAnsi="Times New Roman" w:cs="Times New Roman" w:eastAsia="Times New Roman" w:hint="default"/>
        </w:rPr>
        <w:t>2</w:t>
      </w:r>
      <w:r>
        <w:rPr/>
        <w:t>）短期薪酬列示</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6"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和补贴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33,621,797.71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640,513,361.22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548,794,441.72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125,340,717.21</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12,983,795.64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12,616,497.75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367,297.89</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1,021,879.46</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24,849,387.15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23,684,593.59</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2,186,673.02</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pacing w:val="-7"/>
                <w:sz w:val="18"/>
                <w:szCs w:val="18"/>
              </w:rPr>
              <w:t>其中：医疗保险费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942,914.34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22,898,783.33</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21,770,057.93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2,071,639.74</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76"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32,048.61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683,893.68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675,677.92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40,264.37</w:t>
            </w:r>
          </w:p>
        </w:tc>
      </w:tr>
      <w:tr>
        <w:trPr>
          <w:trHeight w:val="47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46,916.51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1,266,710.14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1,238,857.74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74,768.91</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961,694.00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34,545,916.58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34,242,984.78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1,264,625.80</w:t>
            </w:r>
          </w:p>
        </w:tc>
      </w:tr>
      <w:tr>
        <w:trPr>
          <w:trHeight w:val="47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育经费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2,887,852.10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3,500,043.07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3,707,962.53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2,679,932.64</w:t>
            </w:r>
          </w:p>
        </w:tc>
      </w:tr>
      <w:tr>
        <w:trPr>
          <w:trHeight w:val="478"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、以现金结算的股份</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支付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6,257,868.90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-2,408,562.92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3,234,231.00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615,074.98</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44,751,092.17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713,983,940.74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626,280,711.37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132,454,321.54</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3）设定提存计划列示" w:id="291"/>
      <w:bookmarkEnd w:id="291"/>
      <w:r>
        <w:rPr/>
      </w:r>
      <w:r>
        <w:rPr/>
        <w:t>（</w:t>
      </w:r>
      <w:r>
        <w:rPr>
          <w:rFonts w:ascii="Times New Roman" w:hAnsi="Times New Roman" w:cs="Times New Roman" w:eastAsia="Times New Roman" w:hint="default"/>
        </w:rPr>
        <w:t>3</w:t>
      </w:r>
      <w:r>
        <w:rPr/>
        <w:t>）设定提存计划列示</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1,783,291.46</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32,501,858.78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31,858,558.91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2,426,591.33</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125,603.85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2,672,740.80</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2,658,432.67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139,911.98</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988,762.94</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988,762.94</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1,908,895.31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36,163,362.52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34,516,991.58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3,555,266.25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32、应交税费" w:id="292"/>
      <w:bookmarkEnd w:id="292"/>
      <w:r>
        <w:rPr/>
      </w:r>
      <w:r>
        <w:rPr>
          <w:rFonts w:ascii="Times New Roman" w:hAnsi="Times New Roman" w:cs="Times New Roman" w:eastAsia="Times New Roman" w:hint="default"/>
        </w:rPr>
        <w:t>32</w:t>
      </w:r>
      <w:r>
        <w:rPr>
          <w:rFonts w:ascii="微软雅黑" w:hAnsi="微软雅黑" w:cs="微软雅黑" w:eastAsia="微软雅黑" w:hint="default"/>
        </w:rPr>
        <w:t>、应交税费</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5,049,105.41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4,398,847.75</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10,760,542.30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5,561,640.73</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6,233,544.69</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9,735,372.26</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184,396.29</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184,903.64</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123,854.46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132,074.03</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消费税（日本）</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2,811,267.10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1,243,835.11</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198,858.30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136,604.31</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代扣代缴税金</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1,772,727.36</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27,134,295.91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21,393,277.83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33、其他应付款" w:id="293"/>
      <w:bookmarkEnd w:id="293"/>
      <w:r>
        <w:rPr/>
      </w:r>
      <w:r>
        <w:rPr>
          <w:rFonts w:ascii="Times New Roman" w:hAnsi="Times New Roman" w:cs="Times New Roman" w:eastAsia="Times New Roman" w:hint="default"/>
        </w:rPr>
        <w:t>33</w:t>
      </w:r>
      <w:r>
        <w:rPr>
          <w:rFonts w:ascii="微软雅黑" w:hAnsi="微软雅黑" w:cs="微软雅黑" w:eastAsia="微软雅黑" w:hint="default"/>
        </w:rPr>
        <w:t>、其他应付款</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374,746.17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391,748.90</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1,008,576.46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1,237,338.30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112,056,852.87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209,779,923.24</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113,440,175.50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211,409,010.44</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1）应付利息" w:id="294"/>
      <w:bookmarkEnd w:id="294"/>
      <w:r>
        <w:rPr/>
      </w:r>
      <w:r>
        <w:rPr/>
        <w:t>（</w:t>
      </w:r>
      <w:r>
        <w:rPr>
          <w:rFonts w:ascii="Times New Roman" w:hAnsi="Times New Roman" w:cs="Times New Roman" w:eastAsia="Times New Roman" w:hint="default"/>
        </w:rPr>
        <w:t>1</w:t>
      </w:r>
      <w:r>
        <w:rPr/>
        <w:t>）应付利息</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346,758.62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391,748.90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27,987.55</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374,746.17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391,748.90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5"/>
        <w:ind w:right="1016"/>
        <w:jc w:val="left"/>
      </w:pPr>
      <w:bookmarkStart w:name="（2）应付股利" w:id="295"/>
      <w:bookmarkEnd w:id="295"/>
      <w:r>
        <w:rPr/>
      </w:r>
      <w:r>
        <w:rPr/>
        <w:t>（</w:t>
      </w:r>
      <w:r>
        <w:rPr>
          <w:rFonts w:ascii="Times New Roman" w:hAnsi="Times New Roman" w:cs="Times New Roman" w:eastAsia="Times New Roman" w:hint="default"/>
        </w:rPr>
        <w:t>2</w:t>
      </w:r>
      <w:r>
        <w:rPr/>
        <w:t>）应付股利</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股权激励限制性股票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1,008,576.46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1,237,338.30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1,008,576.46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1,237,338.30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420" w:lineRule="auto" w:before="35"/>
        <w:ind w:right="7812"/>
        <w:jc w:val="left"/>
      </w:pPr>
      <w:bookmarkStart w:name="（3）其他应付款" w:id="296"/>
      <w:bookmarkEnd w:id="296"/>
      <w:r>
        <w:rPr/>
      </w:r>
      <w:r>
        <w:rPr/>
        <w:t>（</w:t>
      </w:r>
      <w:r>
        <w:rPr>
          <w:rFonts w:ascii="Times New Roman" w:hAnsi="Times New Roman" w:cs="Times New Roman" w:eastAsia="Times New Roman" w:hint="default"/>
        </w:rPr>
        <w:t>3</w:t>
      </w:r>
      <w:r>
        <w:rPr/>
        <w:t>）其他应付款 按款项性质列示其他应付款</w:t>
      </w:r>
    </w:p>
    <w:p>
      <w:pPr>
        <w:spacing w:before="8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67,463.00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2,467,463.00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职工款项</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4,634,658.81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3,417,569.32</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其他待付款项</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12,771,197.62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18,482,408.28</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拆借款项</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3,024,464.97</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附回购条件的限制性股票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94,583,533.44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182,388,017.67</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112,056,852.87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209,779,923.24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34、持有待售负债" w:id="297"/>
      <w:bookmarkEnd w:id="297"/>
      <w:r>
        <w:rPr/>
      </w:r>
      <w:r>
        <w:rPr>
          <w:rFonts w:ascii="Times New Roman" w:hAnsi="Times New Roman" w:cs="Times New Roman" w:eastAsia="Times New Roman" w:hint="default"/>
        </w:rPr>
        <w:t>34</w:t>
      </w:r>
      <w:r>
        <w:rPr>
          <w:rFonts w:ascii="微软雅黑" w:hAnsi="微软雅黑" w:cs="微软雅黑" w:eastAsia="微软雅黑" w:hint="default"/>
        </w:rPr>
        <w:t>、持有待售负债</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r>
        <w:rPr/>
        <w:t>不适用</w:t>
      </w:r>
    </w:p>
    <w:p>
      <w:pPr>
        <w:spacing w:after="0" w:line="240" w:lineRule="auto"/>
        <w:jc w:val="left"/>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35、一年内到期的非流动负债" w:id="298"/>
      <w:bookmarkEnd w:id="298"/>
      <w:r>
        <w:rPr/>
      </w:r>
      <w:r>
        <w:rPr>
          <w:rFonts w:ascii="Times New Roman" w:hAnsi="Times New Roman" w:cs="Times New Roman" w:eastAsia="Times New Roman" w:hint="default"/>
        </w:rPr>
        <w:t>35</w:t>
      </w:r>
      <w:r>
        <w:rPr>
          <w:rFonts w:ascii="微软雅黑" w:hAnsi="微软雅黑" w:cs="微软雅黑" w:eastAsia="微软雅黑" w:hint="default"/>
        </w:rPr>
        <w:t>、一年内到期的非流动负债</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3,192,281.64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3,173,975.64</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33,477.52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186,402.64</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3,225,759.16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3,360,378.28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36、其他流动负债" w:id="299"/>
      <w:bookmarkEnd w:id="299"/>
      <w:r>
        <w:rPr/>
      </w:r>
      <w:r>
        <w:rPr>
          <w:rFonts w:ascii="Times New Roman" w:hAnsi="Times New Roman" w:cs="Times New Roman" w:eastAsia="Times New Roman" w:hint="default"/>
        </w:rPr>
        <w:t>36</w:t>
      </w:r>
      <w:r>
        <w:rPr>
          <w:rFonts w:ascii="微软雅黑" w:hAnsi="微软雅黑" w:cs="微软雅黑" w:eastAsia="微软雅黑" w:hint="default"/>
        </w:rPr>
        <w:t>、其他流动负债</w:t>
      </w:r>
    </w:p>
    <w:p>
      <w:pPr>
        <w:spacing w:line="240" w:lineRule="auto" w:before="7"/>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866,546.94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280,292.59</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已开票尚未实现的收入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13,115,212.58</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10,702,353.82</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5,768,825.51</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184,172.12</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19,934,757.15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10,982,646.41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37、长期借款" w:id="300"/>
      <w:bookmarkEnd w:id="300"/>
      <w:r>
        <w:rPr/>
      </w:r>
      <w:r>
        <w:rPr>
          <w:rFonts w:ascii="Times New Roman" w:hAnsi="Times New Roman" w:cs="Times New Roman" w:eastAsia="Times New Roman" w:hint="default"/>
        </w:rPr>
        <w:t>37</w:t>
      </w:r>
      <w:r>
        <w:rPr>
          <w:rFonts w:ascii="微软雅黑" w:hAnsi="微软雅黑" w:cs="微软雅黑" w:eastAsia="微软雅黑" w:hint="default"/>
        </w:rPr>
        <w:t>、长期借款</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长期借款分类" w:id="301"/>
      <w:bookmarkEnd w:id="301"/>
      <w:r>
        <w:rPr/>
      </w:r>
      <w:r>
        <w:rPr/>
        <w:t>（</w:t>
      </w:r>
      <w:r>
        <w:rPr>
          <w:rFonts w:ascii="Times New Roman" w:hAnsi="Times New Roman" w:cs="Times New Roman" w:eastAsia="Times New Roman" w:hint="default"/>
        </w:rPr>
        <w:t>1</w:t>
      </w:r>
      <w:r>
        <w:rPr/>
        <w:t>）长期借款分类</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156,946,000.00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156,046,000.00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10,017,863.18</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13,134,391.82</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-3,192,281.64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-3,173,975.64</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163,771,581.54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166,006,416.18</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长期借款分类的说明：</w:t>
      </w:r>
    </w:p>
    <w:p>
      <w:pPr>
        <w:spacing w:line="240" w:lineRule="auto" w:before="10"/>
        <w:rPr>
          <w:rFonts w:ascii="宋体" w:hAnsi="宋体" w:cs="宋体" w:eastAsia="宋体" w:hint="default"/>
          <w:sz w:val="17"/>
          <w:szCs w:val="17"/>
        </w:rPr>
      </w:pPr>
    </w:p>
    <w:p>
      <w:pPr>
        <w:pStyle w:val="BodyText"/>
        <w:spacing w:line="290" w:lineRule="auto"/>
        <w:ind w:left="214" w:right="1130" w:firstLine="420"/>
        <w:jc w:val="both"/>
      </w:pPr>
      <w:r>
        <w:rPr>
          <w:spacing w:val="-9"/>
        </w:rPr>
        <w:t>（</w:t>
      </w:r>
      <w:r>
        <w:rPr>
          <w:rFonts w:ascii="Times New Roman" w:hAnsi="Times New Roman" w:cs="Times New Roman" w:eastAsia="Times New Roman" w:hint="default"/>
          <w:spacing w:val="-9"/>
        </w:rPr>
        <w:t>1</w:t>
      </w:r>
      <w:r>
        <w:rPr>
          <w:spacing w:val="-9"/>
        </w:rPr>
        <w:t>）质押借款中</w:t>
      </w:r>
      <w:r>
        <w:rPr>
          <w:spacing w:val="-51"/>
        </w:rPr>
        <w:t> </w:t>
      </w:r>
      <w:r>
        <w:rPr>
          <w:rFonts w:ascii="Times New Roman" w:hAnsi="Times New Roman" w:cs="Times New Roman" w:eastAsia="Times New Roman" w:hint="default"/>
        </w:rPr>
        <w:t>156,946,000.00</w:t>
      </w:r>
      <w:r>
        <w:rPr>
          <w:rFonts w:ascii="Times New Roman" w:hAnsi="Times New Roman" w:cs="Times New Roman" w:eastAsia="Times New Roman" w:hint="default"/>
          <w:spacing w:val="-10"/>
        </w:rPr>
        <w:t> </w:t>
      </w:r>
      <w:r>
        <w:rPr/>
        <w:t>元整为本公司使用招商银行专项授信额度及定期存单质押申请开立备 </w:t>
      </w:r>
      <w:r>
        <w:rPr>
          <w:spacing w:val="-1"/>
        </w:rPr>
        <w:t>用信用证，为本公司之全资子公司香港天集有限公司提供融资担保，香港天集有限公司自招商银行卢森堡</w:t>
      </w:r>
      <w:r>
        <w:rPr>
          <w:spacing w:val="-80"/>
        </w:rPr>
        <w:t> </w:t>
      </w:r>
      <w:r>
        <w:rPr>
          <w:spacing w:val="-80"/>
        </w:rPr>
      </w:r>
      <w:r>
        <w:rPr/>
        <w:t>分行取得借款</w:t>
      </w:r>
      <w:r>
        <w:rPr>
          <w:spacing w:val="-54"/>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万欧元。</w:t>
      </w:r>
    </w:p>
    <w:p>
      <w:pPr>
        <w:pStyle w:val="BodyText"/>
        <w:spacing w:line="280" w:lineRule="auto" w:before="168"/>
        <w:ind w:left="214" w:right="1129" w:firstLine="420"/>
        <w:jc w:val="both"/>
      </w:pPr>
      <w:r>
        <w:rPr>
          <w:spacing w:val="-4"/>
        </w:rPr>
        <w:t>（</w:t>
      </w:r>
      <w:r>
        <w:rPr>
          <w:rFonts w:ascii="Times New Roman" w:hAnsi="Times New Roman" w:cs="Times New Roman" w:eastAsia="Times New Roman" w:hint="default"/>
          <w:spacing w:val="-4"/>
        </w:rPr>
        <w:t>2</w:t>
      </w:r>
      <w:r>
        <w:rPr>
          <w:spacing w:val="-4"/>
        </w:rPr>
        <w:t>）信用借款中</w:t>
      </w:r>
      <w:r>
        <w:rPr>
          <w:spacing w:val="-52"/>
        </w:rPr>
        <w:t> </w:t>
      </w:r>
      <w:r>
        <w:rPr>
          <w:rFonts w:ascii="Times New Roman" w:hAnsi="Times New Roman" w:cs="Times New Roman" w:eastAsia="Times New Roman" w:hint="default"/>
        </w:rPr>
        <w:t>10,017,863.18</w:t>
      </w:r>
      <w:r>
        <w:rPr>
          <w:rFonts w:ascii="Times New Roman" w:hAnsi="Times New Roman" w:cs="Times New Roman" w:eastAsia="Times New Roman" w:hint="default"/>
          <w:spacing w:val="-9"/>
        </w:rPr>
        <w:t> </w:t>
      </w:r>
      <w:r>
        <w:rPr/>
        <w:t>元为</w:t>
      </w:r>
      <w:r>
        <w:rPr>
          <w:spacing w:val="-52"/>
        </w:rPr>
        <w:t> </w:t>
      </w:r>
      <w:r>
        <w:rPr>
          <w:rFonts w:ascii="Times New Roman" w:hAnsi="Times New Roman" w:cs="Times New Roman" w:eastAsia="Times New Roman" w:hint="default"/>
        </w:rPr>
        <w:t>Rightware</w:t>
      </w:r>
      <w:r>
        <w:rPr>
          <w:rFonts w:ascii="Times New Roman" w:hAnsi="Times New Roman" w:cs="Times New Roman" w:eastAsia="Times New Roman" w:hint="default"/>
          <w:spacing w:val="-10"/>
        </w:rPr>
        <w:t> </w:t>
      </w:r>
      <w:r>
        <w:rPr>
          <w:rFonts w:ascii="Times New Roman" w:hAnsi="Times New Roman" w:cs="Times New Roman" w:eastAsia="Times New Roman" w:hint="default"/>
        </w:rPr>
        <w:t>Oy</w:t>
      </w:r>
      <w:r>
        <w:rPr>
          <w:rFonts w:ascii="Times New Roman" w:hAnsi="Times New Roman" w:cs="Times New Roman" w:eastAsia="Times New Roman" w:hint="default"/>
          <w:spacing w:val="-12"/>
        </w:rPr>
        <w:t> </w:t>
      </w:r>
      <w:r>
        <w:rPr/>
        <w:t>向芬兰国家技术创新局</w:t>
      </w:r>
      <w:r>
        <w:rPr>
          <w:spacing w:val="-51"/>
        </w:rPr>
        <w:t> </w:t>
      </w:r>
      <w:r>
        <w:rPr>
          <w:rFonts w:ascii="Times New Roman" w:hAnsi="Times New Roman" w:cs="Times New Roman" w:eastAsia="Times New Roman" w:hint="default"/>
        </w:rPr>
        <w:t>Tekes</w:t>
      </w:r>
      <w:r>
        <w:rPr>
          <w:rFonts w:ascii="Times New Roman" w:hAnsi="Times New Roman" w:cs="Times New Roman" w:eastAsia="Times New Roman" w:hint="default"/>
          <w:spacing w:val="-10"/>
        </w:rPr>
        <w:t> </w:t>
      </w:r>
      <w:r>
        <w:rPr>
          <w:spacing w:val="-4"/>
        </w:rPr>
        <w:t>的借款，</w:t>
      </w:r>
      <w:r>
        <w:rPr>
          <w:rFonts w:ascii="Times New Roman" w:hAnsi="Times New Roman" w:cs="Times New Roman" w:eastAsia="Times New Roman" w:hint="default"/>
          <w:spacing w:val="-4"/>
        </w:rPr>
        <w:t>Tekes</w:t>
      </w:r>
      <w:r>
        <w:rPr>
          <w:rFonts w:ascii="Times New Roman" w:hAnsi="Times New Roman" w:cs="Times New Roman" w:eastAsia="Times New Roman" w:hint="default"/>
          <w:spacing w:val="-9"/>
        </w:rPr>
        <w:t> </w:t>
      </w:r>
      <w:r>
        <w:rPr/>
        <w:t>研发贷 款的利率依据基准利率下浮</w:t>
      </w:r>
      <w:r>
        <w:rPr>
          <w:spacing w:val="-54"/>
        </w:rPr>
        <w:t> </w:t>
      </w:r>
      <w:r>
        <w:rPr>
          <w:rFonts w:ascii="Times New Roman" w:hAnsi="Times New Roman" w:cs="Times New Roman" w:eastAsia="Times New Roman" w:hint="default"/>
        </w:rPr>
        <w:t>3%</w:t>
      </w:r>
      <w:r>
        <w:rPr/>
        <w:t>后确定，但不低于</w:t>
      </w:r>
      <w:r>
        <w:rPr>
          <w:spacing w:val="-54"/>
        </w:rPr>
        <w:t> </w:t>
      </w:r>
      <w:r>
        <w:rPr>
          <w:rFonts w:ascii="Times New Roman" w:hAnsi="Times New Roman" w:cs="Times New Roman" w:eastAsia="Times New Roman" w:hint="default"/>
        </w:rPr>
        <w:t>1%</w:t>
      </w:r>
      <w:r>
        <w:rPr/>
        <w:t>，该借款的利率为</w:t>
      </w:r>
      <w:r>
        <w:rPr>
          <w:spacing w:val="-55"/>
        </w:rPr>
        <w:t> </w:t>
      </w:r>
      <w:r>
        <w:rPr>
          <w:rFonts w:ascii="Times New Roman" w:hAnsi="Times New Roman" w:cs="Times New Roman" w:eastAsia="Times New Roman" w:hint="default"/>
        </w:rPr>
        <w:t>1%</w:t>
      </w:r>
      <w:r>
        <w:rPr/>
        <w:t>。</w:t>
      </w:r>
    </w:p>
    <w:p>
      <w:pPr>
        <w:pStyle w:val="BodyText"/>
        <w:spacing w:line="240" w:lineRule="auto" w:before="178"/>
        <w:ind w:right="1016"/>
        <w:jc w:val="left"/>
      </w:pPr>
      <w:r>
        <w:rPr/>
        <w:t>其他说明，包括利率区间：</w:t>
      </w:r>
    </w:p>
    <w:p>
      <w:pPr>
        <w:spacing w:after="0" w:line="240" w:lineRule="auto"/>
        <w:jc w:val="left"/>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38、应付债券" w:id="302"/>
      <w:bookmarkEnd w:id="302"/>
      <w:r>
        <w:rPr/>
      </w:r>
      <w:r>
        <w:rPr>
          <w:rFonts w:ascii="Times New Roman" w:hAnsi="Times New Roman" w:cs="Times New Roman" w:eastAsia="Times New Roman" w:hint="default"/>
        </w:rPr>
        <w:t>38</w:t>
      </w:r>
      <w:r>
        <w:rPr>
          <w:rFonts w:ascii="微软雅黑" w:hAnsi="微软雅黑" w:cs="微软雅黑" w:eastAsia="微软雅黑" w:hint="default"/>
        </w:rPr>
        <w:t>、应付债券</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t>不适用</w:t>
      </w:r>
    </w:p>
    <w:p>
      <w:pPr>
        <w:spacing w:line="240" w:lineRule="auto" w:before="5"/>
        <w:rPr>
          <w:rFonts w:ascii="宋体" w:hAnsi="宋体" w:cs="宋体" w:eastAsia="宋体" w:hint="default"/>
          <w:sz w:val="17"/>
          <w:szCs w:val="17"/>
        </w:rPr>
      </w:pPr>
    </w:p>
    <w:p>
      <w:pPr>
        <w:pStyle w:val="BodyText"/>
        <w:spacing w:line="240" w:lineRule="auto"/>
        <w:ind w:right="1016"/>
        <w:jc w:val="left"/>
        <w:rPr>
          <w:rFonts w:ascii="微软雅黑" w:hAnsi="微软雅黑" w:cs="微软雅黑" w:eastAsia="微软雅黑" w:hint="default"/>
        </w:rPr>
      </w:pPr>
      <w:bookmarkStart w:name="39、长期应付款" w:id="303"/>
      <w:bookmarkEnd w:id="303"/>
      <w:r>
        <w:rPr/>
      </w:r>
      <w:r>
        <w:rPr>
          <w:rFonts w:ascii="Times New Roman" w:hAnsi="Times New Roman" w:cs="Times New Roman" w:eastAsia="Times New Roman" w:hint="default"/>
        </w:rPr>
        <w:t>39</w:t>
      </w:r>
      <w:r>
        <w:rPr>
          <w:rFonts w:ascii="微软雅黑" w:hAnsi="微软雅黑" w:cs="微软雅黑" w:eastAsia="微软雅黑" w:hint="default"/>
        </w:rPr>
        <w:t>、长期应付款</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7,047,581.17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6,840,738.68</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500,000.00</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7,547,581.17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7,340,738.68</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1）按款项性质列示长期应付款" w:id="304"/>
      <w:bookmarkEnd w:id="304"/>
      <w:r>
        <w:rPr/>
      </w:r>
      <w:r>
        <w:rPr/>
        <w:t>（</w:t>
      </w:r>
      <w:r>
        <w:rPr>
          <w:rFonts w:ascii="Times New Roman" w:hAnsi="Times New Roman" w:cs="Times New Roman" w:eastAsia="Times New Roman" w:hint="default"/>
        </w:rPr>
        <w:t>1</w:t>
      </w:r>
      <w:r>
        <w:rPr/>
        <w:t>）按款项性质列示长期应付款</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可转换公司贷款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7,047,581.17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6,807,453.13</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33,477.52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219,688.19</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33,477.52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186,402.64</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7,047,581.17</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6,840,738.68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35"/>
        <w:ind w:right="1016"/>
        <w:jc w:val="left"/>
      </w:pPr>
      <w:bookmarkStart w:name="（2）专项应付款" w:id="305"/>
      <w:bookmarkEnd w:id="305"/>
      <w:r>
        <w:rPr/>
      </w:r>
      <w:r>
        <w:rPr/>
        <w:t>（</w:t>
      </w:r>
      <w:r>
        <w:rPr>
          <w:rFonts w:ascii="Times New Roman" w:hAnsi="Times New Roman" w:cs="Times New Roman" w:eastAsia="Times New Roman" w:hint="default"/>
        </w:rPr>
        <w:t>2</w:t>
      </w:r>
      <w:r>
        <w:rPr/>
        <w:t>）专项应付款</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642"/>
        <w:gridCol w:w="1644"/>
        <w:gridCol w:w="1643"/>
        <w:gridCol w:w="1642"/>
        <w:gridCol w:w="1642"/>
        <w:gridCol w:w="1643"/>
      </w:tblGrid>
      <w:tr>
        <w:trPr>
          <w:trHeight w:val="407"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0"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基于移动智能终</w:t>
            </w:r>
          </w:p>
          <w:p>
            <w:pPr>
              <w:pStyle w:val="TableParagraph"/>
              <w:spacing w:line="232" w:lineRule="exact" w:before="24"/>
              <w:ind w:left="103" w:right="267"/>
              <w:jc w:val="left"/>
              <w:rPr>
                <w:rFonts w:ascii="宋体" w:hAnsi="宋体" w:cs="宋体" w:eastAsia="宋体" w:hint="default"/>
                <w:sz w:val="18"/>
                <w:szCs w:val="18"/>
              </w:rPr>
            </w:pPr>
            <w:r>
              <w:rPr>
                <w:rFonts w:ascii="宋体" w:hAnsi="宋体" w:cs="宋体" w:eastAsia="宋体" w:hint="default"/>
                <w:sz w:val="18"/>
                <w:szCs w:val="18"/>
              </w:rPr>
              <w:t>端的操作系统一 体化解决方案</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科技局拨付资金</w:t>
            </w:r>
          </w:p>
        </w:tc>
      </w:tr>
      <w:tr>
        <w:trPr>
          <w:trHeight w:val="408"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500,000.00</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500,000.00</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10"/>
        <w:rPr>
          <w:rFonts w:ascii="宋体" w:hAnsi="宋体" w:cs="宋体" w:eastAsia="宋体" w:hint="default"/>
          <w:sz w:val="17"/>
          <w:szCs w:val="17"/>
        </w:rPr>
      </w:pPr>
    </w:p>
    <w:p>
      <w:pPr>
        <w:pStyle w:val="BodyText"/>
        <w:spacing w:line="292" w:lineRule="auto"/>
        <w:ind w:left="214" w:right="1130" w:firstLine="420"/>
        <w:jc w:val="both"/>
      </w:pPr>
      <w:r>
        <w:rPr/>
        <w:t>该项专项应付款为成都高新区科技局按照《成都高新区科技局关于 </w:t>
      </w:r>
      <w:r>
        <w:rPr>
          <w:rFonts w:ascii="Times New Roman" w:hAnsi="Times New Roman" w:cs="Times New Roman" w:eastAsia="Times New Roman" w:hint="default"/>
        </w:rPr>
        <w:t>2016</w:t>
      </w:r>
      <w:r>
        <w:rPr>
          <w:rFonts w:ascii="Times New Roman" w:hAnsi="Times New Roman" w:cs="Times New Roman" w:eastAsia="Times New Roman" w:hint="default"/>
          <w:spacing w:val="30"/>
        </w:rPr>
        <w:t> </w:t>
      </w:r>
      <w:r>
        <w:rPr/>
        <w:t>年重点科技创新计划项目拟 </w:t>
      </w:r>
      <w:r>
        <w:rPr>
          <w:spacing w:val="-1"/>
        </w:rPr>
        <w:t>立项公示的通知》拨付的成都高新区科技创新计划项目研究开发及中试阶段的必要补助款；依据《成都高</w:t>
      </w:r>
      <w:r>
        <w:rPr>
          <w:spacing w:val="-83"/>
        </w:rPr>
        <w:t> </w:t>
      </w:r>
      <w:r>
        <w:rPr>
          <w:spacing w:val="-83"/>
        </w:rPr>
      </w:r>
      <w:r>
        <w:rPr>
          <w:spacing w:val="-1"/>
        </w:rPr>
        <w:t>新区重点科技创新计划项目合同书》要求，本公司收到的拨付资金作为专项应付款处理，其中消耗部分予</w:t>
      </w:r>
      <w:r>
        <w:rPr>
          <w:spacing w:val="-83"/>
        </w:rPr>
        <w:t> </w:t>
      </w:r>
      <w:r>
        <w:rPr>
          <w:spacing w:val="-83"/>
        </w:rPr>
      </w:r>
      <w:r>
        <w:rPr/>
        <w:t>以核销，形成资产部分转入资本公积。</w:t>
      </w:r>
    </w:p>
    <w:p>
      <w:pPr>
        <w:spacing w:line="240" w:lineRule="auto" w:before="10"/>
        <w:rPr>
          <w:rFonts w:ascii="宋体" w:hAnsi="宋体" w:cs="宋体" w:eastAsia="宋体" w:hint="default"/>
          <w:sz w:val="13"/>
          <w:szCs w:val="13"/>
        </w:rPr>
      </w:pPr>
    </w:p>
    <w:p>
      <w:pPr>
        <w:pStyle w:val="BodyText"/>
        <w:spacing w:line="240" w:lineRule="auto"/>
        <w:ind w:right="1016"/>
        <w:jc w:val="left"/>
        <w:rPr>
          <w:rFonts w:ascii="微软雅黑" w:hAnsi="微软雅黑" w:cs="微软雅黑" w:eastAsia="微软雅黑" w:hint="default"/>
        </w:rPr>
      </w:pPr>
      <w:bookmarkStart w:name="40、长期应付职工薪酬" w:id="306"/>
      <w:bookmarkEnd w:id="306"/>
      <w:r>
        <w:rPr/>
      </w:r>
      <w:r>
        <w:rPr>
          <w:rFonts w:ascii="Times New Roman" w:hAnsi="Times New Roman" w:cs="Times New Roman" w:eastAsia="Times New Roman" w:hint="default"/>
        </w:rPr>
        <w:t>40</w:t>
      </w:r>
      <w:r>
        <w:rPr>
          <w:rFonts w:ascii="微软雅黑" w:hAnsi="微软雅黑" w:cs="微软雅黑" w:eastAsia="微软雅黑" w:hint="default"/>
        </w:rPr>
        <w:t>、长期应付职工薪酬</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r>
        <w:rPr/>
        <w:t>不适用</w:t>
      </w:r>
    </w:p>
    <w:p>
      <w:pPr>
        <w:spacing w:after="0" w:line="240" w:lineRule="auto"/>
        <w:jc w:val="left"/>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left="794" w:right="1023"/>
        <w:jc w:val="left"/>
        <w:rPr>
          <w:rFonts w:ascii="微软雅黑" w:hAnsi="微软雅黑" w:cs="微软雅黑" w:eastAsia="微软雅黑" w:hint="default"/>
        </w:rPr>
      </w:pPr>
      <w:bookmarkStart w:name="41、预计负债" w:id="307"/>
      <w:bookmarkEnd w:id="307"/>
      <w:r>
        <w:rPr/>
      </w:r>
      <w:r>
        <w:rPr>
          <w:rFonts w:ascii="Times New Roman" w:hAnsi="Times New Roman" w:cs="Times New Roman" w:eastAsia="Times New Roman" w:hint="default"/>
        </w:rPr>
        <w:t>41</w:t>
      </w:r>
      <w:r>
        <w:rPr>
          <w:rFonts w:ascii="微软雅黑" w:hAnsi="微软雅黑" w:cs="微软雅黑" w:eastAsia="微软雅黑" w:hint="default"/>
        </w:rPr>
        <w:t>、预计负债</w:t>
      </w:r>
    </w:p>
    <w:p>
      <w:pPr>
        <w:spacing w:line="240" w:lineRule="auto" w:before="7"/>
        <w:rPr>
          <w:rFonts w:ascii="微软雅黑" w:hAnsi="微软雅黑" w:cs="微软雅黑" w:eastAsia="微软雅黑" w:hint="default"/>
          <w:sz w:val="20"/>
          <w:szCs w:val="20"/>
        </w:rPr>
      </w:pPr>
    </w:p>
    <w:p>
      <w:pPr>
        <w:pStyle w:val="BodyText"/>
        <w:spacing w:line="240" w:lineRule="auto"/>
        <w:ind w:left="784" w:right="1023"/>
        <w:jc w:val="left"/>
      </w:pPr>
      <w:r>
        <w:rPr/>
        <w:t>不适用</w:t>
      </w:r>
    </w:p>
    <w:p>
      <w:pPr>
        <w:spacing w:line="240" w:lineRule="auto" w:before="5"/>
        <w:rPr>
          <w:rFonts w:ascii="宋体" w:hAnsi="宋体" w:cs="宋体" w:eastAsia="宋体" w:hint="default"/>
          <w:sz w:val="17"/>
          <w:szCs w:val="17"/>
        </w:rPr>
      </w:pPr>
    </w:p>
    <w:p>
      <w:pPr>
        <w:pStyle w:val="BodyText"/>
        <w:spacing w:line="240" w:lineRule="auto"/>
        <w:ind w:left="794" w:right="1023"/>
        <w:jc w:val="left"/>
        <w:rPr>
          <w:rFonts w:ascii="微软雅黑" w:hAnsi="微软雅黑" w:cs="微软雅黑" w:eastAsia="微软雅黑" w:hint="default"/>
        </w:rPr>
      </w:pPr>
      <w:bookmarkStart w:name="42、递延收益" w:id="308"/>
      <w:bookmarkEnd w:id="308"/>
      <w:r>
        <w:rPr/>
      </w:r>
      <w:r>
        <w:rPr>
          <w:rFonts w:ascii="Times New Roman" w:hAnsi="Times New Roman" w:cs="Times New Roman" w:eastAsia="Times New Roman" w:hint="default"/>
        </w:rPr>
        <w:t>42</w:t>
      </w:r>
      <w:r>
        <w:rPr>
          <w:rFonts w:ascii="微软雅黑" w:hAnsi="微软雅黑" w:cs="微软雅黑" w:eastAsia="微软雅黑" w:hint="default"/>
        </w:rPr>
        <w:t>、递延收益</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261" w:type="dxa"/>
        <w:tblLayout w:type="fixed"/>
        <w:tblCellMar>
          <w:top w:w="0" w:type="dxa"/>
          <w:left w:w="0" w:type="dxa"/>
          <w:bottom w:w="0" w:type="dxa"/>
          <w:right w:w="0" w:type="dxa"/>
        </w:tblCellMar>
        <w:tblLook w:val="01E0"/>
      </w:tblPr>
      <w:tblGrid>
        <w:gridCol w:w="1642"/>
        <w:gridCol w:w="1644"/>
        <w:gridCol w:w="1643"/>
        <w:gridCol w:w="1642"/>
        <w:gridCol w:w="1642"/>
        <w:gridCol w:w="1643"/>
      </w:tblGrid>
      <w:tr>
        <w:trPr>
          <w:trHeight w:val="407"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7"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96" w:right="0"/>
              <w:jc w:val="left"/>
              <w:rPr>
                <w:rFonts w:ascii="Times New Roman" w:hAnsi="Times New Roman" w:cs="Times New Roman" w:eastAsia="Times New Roman" w:hint="default"/>
                <w:sz w:val="18"/>
                <w:szCs w:val="18"/>
              </w:rPr>
            </w:pPr>
            <w:r>
              <w:rPr>
                <w:rFonts w:ascii="Times New Roman"/>
                <w:sz w:val="18"/>
              </w:rPr>
              <w:t>22,574,240.04</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94" w:right="0"/>
              <w:jc w:val="left"/>
              <w:rPr>
                <w:rFonts w:ascii="Times New Roman" w:hAnsi="Times New Roman" w:cs="Times New Roman" w:eastAsia="Times New Roman" w:hint="default"/>
                <w:sz w:val="18"/>
                <w:szCs w:val="18"/>
              </w:rPr>
            </w:pPr>
            <w:r>
              <w:rPr>
                <w:rFonts w:ascii="Times New Roman"/>
                <w:sz w:val="18"/>
              </w:rPr>
              <w:t>44,306,888.76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94" w:right="0"/>
              <w:jc w:val="left"/>
              <w:rPr>
                <w:rFonts w:ascii="Times New Roman" w:hAnsi="Times New Roman" w:cs="Times New Roman" w:eastAsia="Times New Roman" w:hint="default"/>
                <w:sz w:val="18"/>
                <w:szCs w:val="18"/>
              </w:rPr>
            </w:pPr>
            <w:r>
              <w:rPr>
                <w:rFonts w:ascii="Times New Roman"/>
                <w:sz w:val="18"/>
              </w:rPr>
              <w:t>27,742,175.92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94" w:right="0"/>
              <w:jc w:val="left"/>
              <w:rPr>
                <w:rFonts w:ascii="Times New Roman" w:hAnsi="Times New Roman" w:cs="Times New Roman" w:eastAsia="Times New Roman" w:hint="default"/>
                <w:sz w:val="18"/>
                <w:szCs w:val="18"/>
              </w:rPr>
            </w:pPr>
            <w:r>
              <w:rPr>
                <w:rFonts w:ascii="Times New Roman"/>
                <w:sz w:val="18"/>
              </w:rPr>
              <w:t>39,138,952.88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 w:right="0"/>
              <w:jc w:val="center"/>
              <w:rPr>
                <w:rFonts w:ascii="宋体" w:hAnsi="宋体" w:cs="宋体" w:eastAsia="宋体" w:hint="default"/>
                <w:sz w:val="18"/>
                <w:szCs w:val="18"/>
              </w:rPr>
            </w:pPr>
            <w:r>
              <w:rPr>
                <w:rFonts w:ascii="宋体" w:hAnsi="宋体" w:cs="宋体" w:eastAsia="宋体" w:hint="default"/>
                <w:sz w:val="18"/>
                <w:szCs w:val="18"/>
              </w:rPr>
              <w:t>与资产</w:t>
            </w:r>
            <w:r>
              <w:rPr>
                <w:rFonts w:ascii="Times New Roman" w:hAnsi="Times New Roman" w:cs="Times New Roman" w:eastAsia="Times New Roman" w:hint="default"/>
                <w:sz w:val="18"/>
                <w:szCs w:val="18"/>
              </w:rPr>
              <w:t>/</w:t>
            </w:r>
            <w:r>
              <w:rPr>
                <w:rFonts w:ascii="宋体" w:hAnsi="宋体" w:cs="宋体" w:eastAsia="宋体" w:hint="default"/>
                <w:sz w:val="18"/>
                <w:szCs w:val="18"/>
              </w:rPr>
              <w:t>收益相关</w:t>
            </w:r>
          </w:p>
        </w:tc>
      </w:tr>
      <w:tr>
        <w:trPr>
          <w:trHeight w:val="408" w:hRule="exact"/>
        </w:trPr>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6" w:right="0"/>
              <w:jc w:val="left"/>
              <w:rPr>
                <w:rFonts w:ascii="Times New Roman" w:hAnsi="Times New Roman" w:cs="Times New Roman" w:eastAsia="Times New Roman" w:hint="default"/>
                <w:sz w:val="18"/>
                <w:szCs w:val="18"/>
              </w:rPr>
            </w:pPr>
            <w:r>
              <w:rPr>
                <w:rFonts w:ascii="Times New Roman"/>
                <w:sz w:val="18"/>
              </w:rPr>
              <w:t>22,574,240.04</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44,306,888.76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27,742,175.92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39,138,952.88</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7"/>
          <w:szCs w:val="7"/>
        </w:rPr>
      </w:pPr>
    </w:p>
    <w:p>
      <w:pPr>
        <w:pStyle w:val="BodyText"/>
        <w:spacing w:line="240" w:lineRule="auto" w:before="35"/>
        <w:ind w:left="794" w:right="1023"/>
        <w:jc w:val="left"/>
      </w:pPr>
      <w:r>
        <w:rPr/>
        <w:t>涉及政府补助的项目：</w:t>
      </w:r>
    </w:p>
    <w:p>
      <w:pPr>
        <w:spacing w:line="240" w:lineRule="auto" w:before="10"/>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146"/>
        <w:gridCol w:w="1250"/>
        <w:gridCol w:w="1253"/>
        <w:gridCol w:w="929"/>
        <w:gridCol w:w="1252"/>
        <w:gridCol w:w="931"/>
        <w:gridCol w:w="1026"/>
        <w:gridCol w:w="1252"/>
        <w:gridCol w:w="1122"/>
      </w:tblGrid>
      <w:tr>
        <w:trPr>
          <w:trHeight w:val="943" w:hRule="exact"/>
        </w:trPr>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350" w:right="17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88" w:right="0"/>
              <w:jc w:val="both"/>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37" w:lineRule="auto" w:before="1"/>
              <w:ind w:left="188" w:right="189"/>
              <w:jc w:val="both"/>
              <w:rPr>
                <w:rFonts w:ascii="宋体" w:hAnsi="宋体" w:cs="宋体" w:eastAsia="宋体" w:hint="default"/>
                <w:sz w:val="18"/>
                <w:szCs w:val="18"/>
              </w:rPr>
            </w:pPr>
            <w:r>
              <w:rPr>
                <w:rFonts w:ascii="宋体" w:hAnsi="宋体" w:cs="宋体" w:eastAsia="宋体" w:hint="default"/>
                <w:sz w:val="18"/>
                <w:szCs w:val="18"/>
              </w:rPr>
              <w:t>入营业 外收入 金额</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70" w:right="169"/>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本期冲</w:t>
            </w:r>
          </w:p>
          <w:p>
            <w:pPr>
              <w:pStyle w:val="TableParagraph"/>
              <w:spacing w:line="237" w:lineRule="auto" w:before="1"/>
              <w:ind w:left="190" w:right="188"/>
              <w:jc w:val="center"/>
              <w:rPr>
                <w:rFonts w:ascii="宋体" w:hAnsi="宋体" w:cs="宋体" w:eastAsia="宋体" w:hint="default"/>
                <w:sz w:val="18"/>
                <w:szCs w:val="18"/>
              </w:rPr>
            </w:pPr>
            <w:r>
              <w:rPr>
                <w:rFonts w:ascii="宋体" w:hAnsi="宋体" w:cs="宋体" w:eastAsia="宋体" w:hint="default"/>
                <w:sz w:val="18"/>
                <w:szCs w:val="18"/>
              </w:rPr>
              <w:t>减成本 费用金 额</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before="86"/>
              <w:ind w:left="105"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232" w:lineRule="exact" w:before="24"/>
              <w:ind w:left="465" w:right="169"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478"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用于补贴企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业研发投入</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19,000,000.00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15,333,333.36</w:t>
            </w: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3,666,666.64</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77"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年成都</w:t>
            </w:r>
          </w:p>
          <w:p>
            <w:pPr>
              <w:pStyle w:val="TableParagraph"/>
              <w:spacing w:line="237" w:lineRule="auto"/>
              <w:ind w:left="103" w:right="131"/>
              <w:jc w:val="both"/>
              <w:rPr>
                <w:rFonts w:ascii="宋体" w:hAnsi="宋体" w:cs="宋体" w:eastAsia="宋体" w:hint="default"/>
                <w:sz w:val="18"/>
                <w:szCs w:val="18"/>
              </w:rPr>
            </w:pPr>
            <w:r>
              <w:rPr>
                <w:rFonts w:ascii="宋体" w:hAnsi="宋体" w:cs="宋体" w:eastAsia="宋体" w:hint="default"/>
                <w:sz w:val="18"/>
                <w:szCs w:val="18"/>
              </w:rPr>
              <w:t>市第四批科 技项目（科 技与专利保 险补贴）</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120,000.00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78"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四川省科技</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厅政府补助</w:t>
            </w:r>
          </w:p>
          <w:p>
            <w:pPr>
              <w:pStyle w:val="TableParagraph"/>
              <w:spacing w:line="230" w:lineRule="auto" w:before="7"/>
              <w:ind w:left="103"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智能终端</w:t>
            </w:r>
            <w:r>
              <w:rPr>
                <w:rFonts w:ascii="宋体" w:hAnsi="宋体" w:cs="宋体" w:eastAsia="宋体" w:hint="default"/>
                <w:w w:val="99"/>
                <w:sz w:val="18"/>
                <w:szCs w:val="18"/>
              </w:rPr>
              <w:t> </w:t>
            </w:r>
            <w:r>
              <w:rPr>
                <w:rFonts w:ascii="宋体" w:hAnsi="宋体" w:cs="宋体" w:eastAsia="宋体" w:hint="default"/>
                <w:sz w:val="18"/>
                <w:szCs w:val="18"/>
              </w:rPr>
              <w:t>系统一体化</w:t>
            </w:r>
            <w:r>
              <w:rPr>
                <w:rFonts w:ascii="宋体" w:hAnsi="宋体" w:cs="宋体" w:eastAsia="宋体" w:hint="default"/>
                <w:w w:val="99"/>
                <w:sz w:val="18"/>
                <w:szCs w:val="18"/>
              </w:rPr>
              <w:t> </w:t>
            </w:r>
            <w:r>
              <w:rPr>
                <w:rFonts w:ascii="宋体" w:hAnsi="宋体" w:cs="宋体" w:eastAsia="宋体" w:hint="default"/>
                <w:sz w:val="18"/>
                <w:szCs w:val="18"/>
              </w:rPr>
              <w:t>服务平台</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77"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年度陕</w:t>
            </w:r>
          </w:p>
          <w:p>
            <w:pPr>
              <w:pStyle w:val="TableParagraph"/>
              <w:spacing w:line="237" w:lineRule="auto"/>
              <w:ind w:left="103" w:right="131"/>
              <w:jc w:val="both"/>
              <w:rPr>
                <w:rFonts w:ascii="宋体" w:hAnsi="宋体" w:cs="宋体" w:eastAsia="宋体" w:hint="default"/>
                <w:sz w:val="18"/>
                <w:szCs w:val="18"/>
              </w:rPr>
            </w:pPr>
            <w:r>
              <w:rPr>
                <w:rFonts w:ascii="宋体" w:hAnsi="宋体" w:cs="宋体" w:eastAsia="宋体" w:hint="default"/>
                <w:sz w:val="18"/>
                <w:szCs w:val="18"/>
              </w:rPr>
              <w:t>西省中小企 业发展专项 资金科技创 新项目</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125,000.00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44"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01"/>
              <w:jc w:val="left"/>
              <w:rPr>
                <w:rFonts w:ascii="Times New Roman" w:hAnsi="Times New Roman" w:cs="Times New Roman" w:eastAsia="Times New Roman" w:hint="default"/>
                <w:sz w:val="18"/>
                <w:szCs w:val="18"/>
              </w:rPr>
            </w:pPr>
            <w:r>
              <w:rPr>
                <w:rFonts w:ascii="Times New Roman"/>
                <w:sz w:val="18"/>
              </w:rPr>
              <w:t>R&amp;D for</w:t>
            </w:r>
            <w:r>
              <w:rPr>
                <w:rFonts w:ascii="Times New Roman"/>
                <w:w w:val="99"/>
                <w:sz w:val="18"/>
              </w:rPr>
              <w:t> </w:t>
            </w:r>
            <w:r>
              <w:rPr>
                <w:rFonts w:ascii="Times New Roman"/>
                <w:sz w:val="18"/>
              </w:rPr>
              <w:t>development</w:t>
            </w:r>
            <w:r>
              <w:rPr>
                <w:rFonts w:ascii="Times New Roman"/>
                <w:w w:val="99"/>
                <w:sz w:val="18"/>
              </w:rPr>
              <w:t> </w:t>
            </w:r>
            <w:r>
              <w:rPr>
                <w:rFonts w:ascii="Times New Roman"/>
                <w:sz w:val="18"/>
              </w:rPr>
              <w:t>of IP</w:t>
            </w:r>
            <w:r>
              <w:rPr>
                <w:rFonts w:ascii="Times New Roman"/>
                <w:spacing w:val="-8"/>
                <w:sz w:val="18"/>
              </w:rPr>
              <w:t> </w:t>
            </w:r>
            <w:r>
              <w:rPr>
                <w:rFonts w:ascii="Times New Roman"/>
                <w:sz w:val="18"/>
              </w:rPr>
              <w:t>(video</w:t>
            </w:r>
            <w:r>
              <w:rPr>
                <w:rFonts w:ascii="Times New Roman"/>
                <w:sz w:val="18"/>
              </w:rPr>
              <w:t> stabilization software)</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204,058.76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204,058.76</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企业技术中</w:t>
            </w:r>
          </w:p>
          <w:p>
            <w:pPr>
              <w:pStyle w:val="TableParagraph"/>
              <w:spacing w:line="240" w:lineRule="auto"/>
              <w:ind w:left="103" w:right="131"/>
              <w:jc w:val="left"/>
              <w:rPr>
                <w:rFonts w:ascii="宋体" w:hAnsi="宋体" w:cs="宋体" w:eastAsia="宋体" w:hint="default"/>
                <w:sz w:val="18"/>
                <w:szCs w:val="18"/>
              </w:rPr>
            </w:pPr>
            <w:r>
              <w:rPr>
                <w:rFonts w:ascii="宋体" w:hAnsi="宋体" w:cs="宋体" w:eastAsia="宋体" w:hint="default"/>
                <w:sz w:val="18"/>
                <w:szCs w:val="18"/>
              </w:rPr>
              <w:t>心创新能力 提升奖励</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战略性新兴</w:t>
            </w:r>
          </w:p>
          <w:p>
            <w:pPr>
              <w:pStyle w:val="TableParagraph"/>
              <w:spacing w:line="240" w:lineRule="auto"/>
              <w:ind w:left="103" w:right="131"/>
              <w:jc w:val="left"/>
              <w:rPr>
                <w:rFonts w:ascii="宋体" w:hAnsi="宋体" w:cs="宋体" w:eastAsia="宋体" w:hint="default"/>
                <w:sz w:val="18"/>
                <w:szCs w:val="18"/>
              </w:rPr>
            </w:pPr>
            <w:r>
              <w:rPr>
                <w:rFonts w:ascii="宋体" w:hAnsi="宋体" w:cs="宋体" w:eastAsia="宋体" w:hint="default"/>
                <w:sz w:val="18"/>
                <w:szCs w:val="18"/>
              </w:rPr>
              <w:t>产品研发补 贴</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用于补贴企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业研发投入</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3,329,240.04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13,032,830.00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7,188,842.56</w:t>
            </w: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9,173,227.48</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7"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江苏软件园</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1,200,000.00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177"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年工业</w:t>
            </w:r>
          </w:p>
          <w:p>
            <w:pPr>
              <w:pStyle w:val="TableParagraph"/>
              <w:spacing w:line="232" w:lineRule="auto"/>
              <w:ind w:left="103" w:right="131"/>
              <w:jc w:val="left"/>
              <w:rPr>
                <w:rFonts w:ascii="宋体" w:hAnsi="宋体" w:cs="宋体" w:eastAsia="宋体" w:hint="default"/>
                <w:sz w:val="18"/>
                <w:szCs w:val="18"/>
              </w:rPr>
            </w:pPr>
            <w:r>
              <w:rPr>
                <w:rFonts w:ascii="宋体" w:hAnsi="宋体" w:cs="宋体" w:eastAsia="宋体" w:hint="default"/>
                <w:sz w:val="18"/>
                <w:szCs w:val="18"/>
              </w:rPr>
              <w:t>转型升级智 能制造和 </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行动支撑保</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801" w:footer="1007" w:top="1080" w:bottom="1200" w:left="760" w:right="0"/>
        </w:sectPr>
      </w:pPr>
    </w:p>
    <w:p>
      <w:pPr>
        <w:spacing w:line="240" w:lineRule="auto" w:before="1"/>
        <w:rPr>
          <w:rFonts w:ascii="宋体" w:hAnsi="宋体" w:cs="宋体" w:eastAsia="宋体"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1146"/>
        <w:gridCol w:w="1250"/>
        <w:gridCol w:w="1253"/>
        <w:gridCol w:w="929"/>
        <w:gridCol w:w="1252"/>
        <w:gridCol w:w="931"/>
        <w:gridCol w:w="1026"/>
        <w:gridCol w:w="1252"/>
        <w:gridCol w:w="1122"/>
      </w:tblGrid>
      <w:tr>
        <w:trPr>
          <w:trHeight w:val="943" w:hRule="exact"/>
        </w:trPr>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350" w:right="17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88" w:right="0"/>
              <w:jc w:val="both"/>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37" w:lineRule="auto" w:before="1"/>
              <w:ind w:left="188" w:right="189"/>
              <w:jc w:val="both"/>
              <w:rPr>
                <w:rFonts w:ascii="宋体" w:hAnsi="宋体" w:cs="宋体" w:eastAsia="宋体" w:hint="default"/>
                <w:sz w:val="18"/>
                <w:szCs w:val="18"/>
              </w:rPr>
            </w:pPr>
            <w:r>
              <w:rPr>
                <w:rFonts w:ascii="宋体" w:hAnsi="宋体" w:cs="宋体" w:eastAsia="宋体" w:hint="default"/>
                <w:sz w:val="18"/>
                <w:szCs w:val="18"/>
              </w:rPr>
              <w:t>入营业 外收入 金额</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32" w:lineRule="exact"/>
              <w:ind w:left="170" w:right="169"/>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本期冲</w:t>
            </w:r>
          </w:p>
          <w:p>
            <w:pPr>
              <w:pStyle w:val="TableParagraph"/>
              <w:spacing w:line="237" w:lineRule="auto" w:before="1"/>
              <w:ind w:left="190" w:right="188"/>
              <w:jc w:val="center"/>
              <w:rPr>
                <w:rFonts w:ascii="宋体" w:hAnsi="宋体" w:cs="宋体" w:eastAsia="宋体" w:hint="default"/>
                <w:sz w:val="18"/>
                <w:szCs w:val="18"/>
              </w:rPr>
            </w:pPr>
            <w:r>
              <w:rPr>
                <w:rFonts w:ascii="宋体" w:hAnsi="宋体" w:cs="宋体" w:eastAsia="宋体" w:hint="default"/>
                <w:sz w:val="18"/>
                <w:szCs w:val="18"/>
              </w:rPr>
              <w:t>减成本 费用金 额</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其他变动</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before="87"/>
              <w:ind w:left="105"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234" w:lineRule="exact" w:before="21"/>
              <w:ind w:left="465" w:right="169" w:hanging="296"/>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r>
      <w:tr>
        <w:trPr>
          <w:trHeight w:val="1178"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障 能力工</w:t>
            </w:r>
          </w:p>
          <w:p>
            <w:pPr>
              <w:pStyle w:val="TableParagraph"/>
              <w:spacing w:line="232" w:lineRule="auto" w:before="5"/>
              <w:ind w:left="103" w:right="131"/>
              <w:jc w:val="left"/>
              <w:rPr>
                <w:rFonts w:ascii="宋体" w:hAnsi="宋体" w:cs="宋体" w:eastAsia="宋体" w:hint="default"/>
                <w:sz w:val="18"/>
                <w:szCs w:val="18"/>
              </w:rPr>
            </w:pPr>
            <w:r>
              <w:rPr>
                <w:rFonts w:ascii="宋体" w:hAnsi="宋体" w:cs="宋体" w:eastAsia="宋体" w:hint="default"/>
                <w:sz w:val="18"/>
                <w:szCs w:val="18"/>
              </w:rPr>
              <w:t>程</w:t>
            </w:r>
            <w:r>
              <w:rPr>
                <w:rFonts w:ascii="Times New Roman" w:hAnsi="Times New Roman" w:cs="Times New Roman" w:eastAsia="Times New Roman" w:hint="default"/>
                <w:sz w:val="18"/>
                <w:szCs w:val="18"/>
              </w:rPr>
              <w:t>--</w:t>
            </w:r>
            <w:r>
              <w:rPr>
                <w:rFonts w:ascii="宋体" w:hAnsi="宋体" w:cs="宋体" w:eastAsia="宋体" w:hint="default"/>
                <w:sz w:val="18"/>
                <w:szCs w:val="18"/>
              </w:rPr>
              <w:t>安全芯 片能力提升 机应用方向 专项资金</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海淀园</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p>
          <w:p>
            <w:pPr>
              <w:pStyle w:val="TableParagraph"/>
              <w:spacing w:line="235" w:lineRule="auto"/>
              <w:ind w:left="103" w:right="131"/>
              <w:jc w:val="left"/>
              <w:rPr>
                <w:rFonts w:ascii="宋体" w:hAnsi="宋体" w:cs="宋体" w:eastAsia="宋体" w:hint="default"/>
                <w:sz w:val="18"/>
                <w:szCs w:val="18"/>
              </w:rPr>
            </w:pPr>
            <w:r>
              <w:rPr>
                <w:rFonts w:ascii="宋体" w:hAnsi="宋体" w:cs="宋体" w:eastAsia="宋体" w:hint="default"/>
                <w:sz w:val="18"/>
                <w:szCs w:val="18"/>
              </w:rPr>
              <w:t>年产业发展 专项资金</w:t>
            </w:r>
            <w:r>
              <w:rPr>
                <w:rFonts w:ascii="Times New Roman" w:hAnsi="Times New Roman" w:cs="Times New Roman" w:eastAsia="Times New Roman" w:hint="default"/>
                <w:sz w:val="18"/>
                <w:szCs w:val="18"/>
              </w:rPr>
              <w:t>- </w:t>
            </w:r>
            <w:r>
              <w:rPr>
                <w:rFonts w:ascii="宋体" w:hAnsi="宋体" w:cs="宋体" w:eastAsia="宋体" w:hint="default"/>
                <w:sz w:val="18"/>
                <w:szCs w:val="18"/>
              </w:rPr>
              <w:t>重大科技成 果产业化专 项 资金</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253"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7"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北京市经济</w:t>
            </w:r>
          </w:p>
          <w:p>
            <w:pPr>
              <w:pStyle w:val="TableParagraph"/>
              <w:spacing w:line="237" w:lineRule="auto" w:before="1"/>
              <w:ind w:left="103" w:right="131"/>
              <w:jc w:val="both"/>
              <w:rPr>
                <w:rFonts w:ascii="宋体" w:hAnsi="宋体" w:cs="宋体" w:eastAsia="宋体" w:hint="default"/>
                <w:sz w:val="18"/>
                <w:szCs w:val="18"/>
              </w:rPr>
            </w:pPr>
            <w:r>
              <w:rPr>
                <w:rFonts w:ascii="宋体" w:hAnsi="宋体" w:cs="宋体" w:eastAsia="宋体" w:hint="default"/>
                <w:sz w:val="18"/>
                <w:szCs w:val="18"/>
              </w:rPr>
              <w:t>和信息化委 员会高精尖 产业发展资 金补贴</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9,870,000.00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9,870,000.00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177"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北京市经济</w:t>
            </w:r>
          </w:p>
          <w:p>
            <w:pPr>
              <w:pStyle w:val="TableParagraph"/>
              <w:spacing w:line="237" w:lineRule="auto" w:before="1"/>
              <w:ind w:left="103" w:right="131"/>
              <w:jc w:val="both"/>
              <w:rPr>
                <w:rFonts w:ascii="宋体" w:hAnsi="宋体" w:cs="宋体" w:eastAsia="宋体" w:hint="default"/>
                <w:sz w:val="18"/>
                <w:szCs w:val="18"/>
              </w:rPr>
            </w:pPr>
            <w:r>
              <w:rPr>
                <w:rFonts w:ascii="宋体" w:hAnsi="宋体" w:cs="宋体" w:eastAsia="宋体" w:hint="default"/>
                <w:sz w:val="18"/>
                <w:szCs w:val="18"/>
              </w:rPr>
              <w:t>和信息化委 员会高精尖 产业发展资 金补贴</w:t>
            </w:r>
          </w:p>
        </w:tc>
        <w:tc>
          <w:tcPr>
            <w:tcW w:w="125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9,870,000.00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9,870,000.00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7" w:hRule="exact"/>
        </w:trPr>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22,574,240.04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44,102,830.00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27,742,175.92</w:t>
            </w:r>
          </w:p>
        </w:tc>
        <w:tc>
          <w:tcPr>
            <w:tcW w:w="931"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204,058.76</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39,138,952.88</w:t>
            </w:r>
          </w:p>
        </w:tc>
        <w:tc>
          <w:tcPr>
            <w:tcW w:w="11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324" w:lineRule="exact"/>
        <w:ind w:left="794" w:right="1023"/>
        <w:jc w:val="left"/>
        <w:rPr>
          <w:rFonts w:ascii="微软雅黑" w:hAnsi="微软雅黑" w:cs="微软雅黑" w:eastAsia="微软雅黑" w:hint="default"/>
        </w:rPr>
      </w:pPr>
      <w:bookmarkStart w:name="43、其他非流动负债" w:id="309"/>
      <w:bookmarkEnd w:id="309"/>
      <w:r>
        <w:rPr/>
      </w:r>
      <w:r>
        <w:rPr>
          <w:rFonts w:ascii="Times New Roman" w:hAnsi="Times New Roman" w:cs="Times New Roman" w:eastAsia="Times New Roman" w:hint="default"/>
        </w:rPr>
        <w:t>43</w:t>
      </w:r>
      <w:r>
        <w:rPr>
          <w:rFonts w:ascii="微软雅黑" w:hAnsi="微软雅黑" w:cs="微软雅黑" w:eastAsia="微软雅黑" w:hint="default"/>
        </w:rPr>
        <w:t>、其他非流动负债</w:t>
      </w:r>
    </w:p>
    <w:p>
      <w:pPr>
        <w:spacing w:line="240" w:lineRule="auto" w:before="7"/>
        <w:rPr>
          <w:rFonts w:ascii="微软雅黑" w:hAnsi="微软雅黑" w:cs="微软雅黑" w:eastAsia="微软雅黑" w:hint="default"/>
          <w:sz w:val="20"/>
          <w:szCs w:val="20"/>
        </w:rPr>
      </w:pPr>
    </w:p>
    <w:p>
      <w:pPr>
        <w:pStyle w:val="BodyText"/>
        <w:spacing w:line="240" w:lineRule="auto"/>
        <w:ind w:left="794" w:right="1023"/>
        <w:jc w:val="left"/>
      </w:pPr>
      <w:r>
        <w:rPr/>
        <w:t>不适用</w:t>
      </w:r>
    </w:p>
    <w:p>
      <w:pPr>
        <w:spacing w:line="240" w:lineRule="auto" w:before="4"/>
        <w:rPr>
          <w:rFonts w:ascii="宋体" w:hAnsi="宋体" w:cs="宋体" w:eastAsia="宋体" w:hint="default"/>
          <w:sz w:val="17"/>
          <w:szCs w:val="17"/>
        </w:rPr>
      </w:pPr>
    </w:p>
    <w:p>
      <w:pPr>
        <w:pStyle w:val="BodyText"/>
        <w:spacing w:line="240" w:lineRule="auto"/>
        <w:ind w:left="794" w:right="1023"/>
        <w:jc w:val="left"/>
        <w:rPr>
          <w:rFonts w:ascii="微软雅黑" w:hAnsi="微软雅黑" w:cs="微软雅黑" w:eastAsia="微软雅黑" w:hint="default"/>
        </w:rPr>
      </w:pPr>
      <w:bookmarkStart w:name="44、股本" w:id="310"/>
      <w:bookmarkEnd w:id="310"/>
      <w:r>
        <w:rPr/>
      </w:r>
      <w:r>
        <w:rPr>
          <w:rFonts w:ascii="Times New Roman" w:hAnsi="Times New Roman" w:cs="Times New Roman" w:eastAsia="Times New Roman" w:hint="default"/>
        </w:rPr>
        <w:t>44</w:t>
      </w:r>
      <w:r>
        <w:rPr>
          <w:rFonts w:ascii="微软雅黑" w:hAnsi="微软雅黑" w:cs="微软雅黑" w:eastAsia="微软雅黑" w:hint="default"/>
        </w:rPr>
        <w:t>、股本</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1"/>
        <w:rPr>
          <w:rFonts w:ascii="宋体" w:hAnsi="宋体" w:cs="宋体" w:eastAsia="宋体" w:hint="default"/>
          <w:sz w:val="5"/>
          <w:szCs w:val="5"/>
        </w:rPr>
      </w:pPr>
    </w:p>
    <w:tbl>
      <w:tblPr>
        <w:tblW w:w="0" w:type="auto"/>
        <w:jc w:val="left"/>
        <w:tblInd w:w="261" w:type="dxa"/>
        <w:tblLayout w:type="fixed"/>
        <w:tblCellMar>
          <w:top w:w="0" w:type="dxa"/>
          <w:left w:w="0" w:type="dxa"/>
          <w:bottom w:w="0" w:type="dxa"/>
          <w:right w:w="0" w:type="dxa"/>
        </w:tblCellMar>
        <w:tblLook w:val="01E0"/>
      </w:tblPr>
      <w:tblGrid>
        <w:gridCol w:w="1193"/>
        <w:gridCol w:w="1342"/>
        <w:gridCol w:w="1195"/>
        <w:gridCol w:w="1194"/>
        <w:gridCol w:w="1195"/>
        <w:gridCol w:w="1197"/>
        <w:gridCol w:w="1198"/>
        <w:gridCol w:w="1342"/>
      </w:tblGrid>
      <w:tr>
        <w:trPr>
          <w:trHeight w:val="366" w:hRule="exact"/>
        </w:trPr>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2" w:type="dxa"/>
            <w:tcBorders>
              <w:top w:val="single" w:sz="4" w:space="0" w:color="000000"/>
              <w:left w:val="single" w:sz="4" w:space="0" w:color="000000"/>
              <w:bottom w:val="nil" w:sz="6" w:space="0" w:color="auto"/>
              <w:right w:val="single" w:sz="4" w:space="0" w:color="000000"/>
            </w:tcBorders>
            <w:shd w:val="clear" w:color="auto" w:fill="D2D2D2"/>
          </w:tcPr>
          <w:p>
            <w:pPr/>
          </w:p>
        </w:tc>
        <w:tc>
          <w:tcPr>
            <w:tcW w:w="597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48" w:hRule="exact"/>
        </w:trPr>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30"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42"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403,878,622.00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-787,775.00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-787,775.00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403,090,847.00</w:t>
            </w:r>
          </w:p>
        </w:tc>
      </w:tr>
    </w:tbl>
    <w:p>
      <w:pPr>
        <w:spacing w:line="240" w:lineRule="auto" w:before="6"/>
        <w:rPr>
          <w:rFonts w:ascii="宋体" w:hAnsi="宋体" w:cs="宋体" w:eastAsia="宋体" w:hint="default"/>
          <w:sz w:val="7"/>
          <w:szCs w:val="7"/>
        </w:rPr>
      </w:pPr>
    </w:p>
    <w:p>
      <w:pPr>
        <w:pStyle w:val="BodyText"/>
        <w:spacing w:line="240" w:lineRule="auto" w:before="35"/>
        <w:ind w:left="374" w:right="1023"/>
        <w:jc w:val="left"/>
      </w:pPr>
      <w:r>
        <w:rPr/>
        <w:t>说明：</w:t>
      </w:r>
    </w:p>
    <w:p>
      <w:pPr>
        <w:spacing w:line="240" w:lineRule="auto" w:before="10"/>
        <w:rPr>
          <w:rFonts w:ascii="宋体" w:hAnsi="宋体" w:cs="宋体" w:eastAsia="宋体" w:hint="default"/>
          <w:sz w:val="17"/>
          <w:szCs w:val="17"/>
        </w:rPr>
      </w:pPr>
    </w:p>
    <w:p>
      <w:pPr>
        <w:pStyle w:val="BodyText"/>
        <w:spacing w:line="240" w:lineRule="auto"/>
        <w:ind w:left="794" w:right="1023"/>
        <w:jc w:val="left"/>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6"/>
        </w:rPr>
        <w:t>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日，本公司根据《中科创达软件股份有限公司关于向激励对象授予限制性股票的</w:t>
      </w:r>
    </w:p>
    <w:p>
      <w:pPr>
        <w:pStyle w:val="BodyText"/>
        <w:spacing w:line="240" w:lineRule="auto" w:before="50"/>
        <w:ind w:left="374" w:right="1023"/>
        <w:jc w:val="left"/>
      </w:pPr>
      <w:r>
        <w:rPr/>
        <w:t>议案》有关条款和股东大会授权，向符合条件的 </w:t>
      </w:r>
      <w:r>
        <w:rPr>
          <w:rFonts w:ascii="Times New Roman" w:hAnsi="Times New Roman" w:cs="Times New Roman" w:eastAsia="Times New Roman" w:hint="default"/>
        </w:rPr>
        <w:t>199 </w:t>
      </w:r>
      <w:r>
        <w:rPr/>
        <w:t>名激励对象授予 </w:t>
      </w:r>
      <w:r>
        <w:rPr>
          <w:rFonts w:ascii="Times New Roman" w:hAnsi="Times New Roman" w:cs="Times New Roman" w:eastAsia="Times New Roman" w:hint="default"/>
        </w:rPr>
        <w:t>2,685,000</w:t>
      </w:r>
      <w:r>
        <w:rPr>
          <w:rFonts w:ascii="Times New Roman" w:hAnsi="Times New Roman" w:cs="Times New Roman" w:eastAsia="Times New Roman" w:hint="default"/>
          <w:spacing w:val="-26"/>
        </w:rPr>
        <w:t> </w:t>
      </w:r>
      <w:r>
        <w:rPr/>
        <w:t>股限制性股票，认购价格</w:t>
      </w:r>
    </w:p>
    <w:p>
      <w:pPr>
        <w:pStyle w:val="BodyText"/>
        <w:spacing w:line="240" w:lineRule="auto" w:before="50"/>
        <w:ind w:left="374" w:right="1023"/>
        <w:jc w:val="left"/>
      </w:pPr>
      <w:r>
        <w:rPr/>
        <w:t>每股</w:t>
      </w:r>
      <w:r>
        <w:rPr>
          <w:spacing w:val="-55"/>
        </w:rPr>
        <w:t> </w:t>
      </w:r>
      <w:r>
        <w:rPr>
          <w:rFonts w:ascii="Times New Roman" w:hAnsi="Times New Roman" w:cs="Times New Roman" w:eastAsia="Times New Roman" w:hint="default"/>
        </w:rPr>
        <w:t>13.59</w:t>
      </w:r>
      <w:r>
        <w:rPr>
          <w:rFonts w:ascii="Times New Roman" w:hAnsi="Times New Roman" w:cs="Times New Roman" w:eastAsia="Times New Roman" w:hint="default"/>
          <w:spacing w:val="-12"/>
        </w:rPr>
        <w:t> </w:t>
      </w:r>
      <w:r>
        <w:rPr/>
        <w:t>元，认购金额合计</w:t>
      </w:r>
      <w:r>
        <w:rPr>
          <w:spacing w:val="-55"/>
        </w:rPr>
        <w:t> </w:t>
      </w:r>
      <w:r>
        <w:rPr>
          <w:rFonts w:ascii="Times New Roman" w:hAnsi="Times New Roman" w:cs="Times New Roman" w:eastAsia="Times New Roman" w:hint="default"/>
        </w:rPr>
        <w:t>36,489,150.00</w:t>
      </w:r>
      <w:r>
        <w:rPr>
          <w:rFonts w:ascii="Times New Roman" w:hAnsi="Times New Roman" w:cs="Times New Roman" w:eastAsia="Times New Roman" w:hint="default"/>
          <w:spacing w:val="-11"/>
        </w:rPr>
        <w:t> </w:t>
      </w:r>
      <w:r>
        <w:rPr/>
        <w:t>元，业经致同会计师事务所（特殊普通合伙）出具的致同验字</w:t>
      </w:r>
    </w:p>
    <w:p>
      <w:pPr>
        <w:pStyle w:val="BodyText"/>
        <w:spacing w:line="240" w:lineRule="auto" w:before="49"/>
        <w:ind w:left="374" w:right="1023"/>
        <w:jc w:val="left"/>
      </w:pPr>
      <w:r>
        <w:rPr>
          <w:spacing w:val="-3"/>
        </w:rPr>
        <w:t>（</w:t>
      </w:r>
      <w:r>
        <w:rPr>
          <w:rFonts w:ascii="Times New Roman" w:hAnsi="Times New Roman" w:cs="Times New Roman" w:eastAsia="Times New Roman" w:hint="default"/>
          <w:spacing w:val="-3"/>
        </w:rPr>
        <w:t>2017</w:t>
      </w:r>
      <w:r>
        <w:rPr>
          <w:spacing w:val="-3"/>
        </w:rPr>
        <w:t>）第</w:t>
      </w:r>
      <w:r>
        <w:rPr>
          <w:spacing w:val="-58"/>
        </w:rPr>
        <w:t> </w:t>
      </w:r>
      <w:r>
        <w:rPr>
          <w:rFonts w:ascii="Times New Roman" w:hAnsi="Times New Roman" w:cs="Times New Roman" w:eastAsia="Times New Roman" w:hint="default"/>
        </w:rPr>
        <w:t>110ZC0346</w:t>
      </w:r>
      <w:r>
        <w:rPr>
          <w:rFonts w:ascii="Times New Roman" w:hAnsi="Times New Roman" w:cs="Times New Roman" w:eastAsia="Times New Roman" w:hint="default"/>
          <w:spacing w:val="-13"/>
        </w:rPr>
        <w:t> </w:t>
      </w:r>
      <w:r>
        <w:rPr/>
        <w:t>号验资报告予以验证，并于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日在中国证券登记结算有限责任公司深</w:t>
      </w:r>
    </w:p>
    <w:p>
      <w:pPr>
        <w:pStyle w:val="BodyText"/>
        <w:spacing w:line="240" w:lineRule="auto" w:before="50"/>
        <w:ind w:left="374" w:right="1023"/>
        <w:jc w:val="left"/>
      </w:pPr>
      <w:r>
        <w:rPr/>
        <w:t>圳分公司完成登记。公司相应增加股本</w:t>
      </w:r>
      <w:r>
        <w:rPr>
          <w:spacing w:val="-60"/>
        </w:rPr>
        <w:t> </w:t>
      </w:r>
      <w:r>
        <w:rPr>
          <w:rFonts w:ascii="Times New Roman" w:hAnsi="Times New Roman" w:cs="Times New Roman" w:eastAsia="Times New Roman" w:hint="default"/>
        </w:rPr>
        <w:t>2,685,000</w:t>
      </w:r>
      <w:r>
        <w:rPr>
          <w:rFonts w:ascii="Times New Roman" w:hAnsi="Times New Roman" w:cs="Times New Roman" w:eastAsia="Times New Roman" w:hint="default"/>
          <w:spacing w:val="-17"/>
        </w:rPr>
        <w:t> </w:t>
      </w:r>
      <w:r>
        <w:rPr/>
        <w:t>元，增加库存股</w:t>
      </w:r>
      <w:r>
        <w:rPr>
          <w:spacing w:val="-61"/>
        </w:rPr>
        <w:t> </w:t>
      </w:r>
      <w:r>
        <w:rPr>
          <w:rFonts w:ascii="Times New Roman" w:hAnsi="Times New Roman" w:cs="Times New Roman" w:eastAsia="Times New Roman" w:hint="default"/>
        </w:rPr>
        <w:t>36,489,150.00</w:t>
      </w:r>
      <w:r>
        <w:rPr>
          <w:rFonts w:ascii="Times New Roman" w:hAnsi="Times New Roman" w:cs="Times New Roman" w:eastAsia="Times New Roman" w:hint="default"/>
          <w:spacing w:val="-16"/>
        </w:rPr>
        <w:t> </w:t>
      </w:r>
      <w:r>
        <w:rPr/>
        <w:t>元，增加资本公积</w:t>
      </w:r>
      <w:r>
        <w:rPr>
          <w:rFonts w:ascii="Times New Roman" w:hAnsi="Times New Roman" w:cs="Times New Roman" w:eastAsia="Times New Roman" w:hint="default"/>
        </w:rPr>
        <w:t>-</w:t>
      </w:r>
      <w:r>
        <w:rPr/>
        <w:t>股本溢</w:t>
      </w:r>
    </w:p>
    <w:p>
      <w:pPr>
        <w:pStyle w:val="BodyText"/>
        <w:spacing w:line="240" w:lineRule="auto" w:before="50"/>
        <w:ind w:left="374" w:right="1023"/>
        <w:jc w:val="left"/>
      </w:pPr>
      <w:r>
        <w:rPr/>
        <w:t>价</w:t>
      </w:r>
      <w:r>
        <w:rPr>
          <w:spacing w:val="-54"/>
        </w:rPr>
        <w:t> </w:t>
      </w:r>
      <w:r>
        <w:rPr>
          <w:rFonts w:ascii="Times New Roman" w:hAnsi="Times New Roman" w:cs="Times New Roman" w:eastAsia="Times New Roman" w:hint="default"/>
        </w:rPr>
        <w:t>33,804,150.00</w:t>
      </w:r>
      <w:r>
        <w:rPr>
          <w:rFonts w:ascii="Times New Roman" w:hAnsi="Times New Roman" w:cs="Times New Roman" w:eastAsia="Times New Roman" w:hint="default"/>
          <w:spacing w:val="-10"/>
        </w:rPr>
        <w:t> </w:t>
      </w:r>
      <w:r>
        <w:rPr/>
        <w:t>元。</w:t>
      </w:r>
    </w:p>
    <w:p>
      <w:pPr>
        <w:spacing w:line="240" w:lineRule="auto" w:before="8"/>
        <w:rPr>
          <w:rFonts w:ascii="宋体" w:hAnsi="宋体" w:cs="宋体" w:eastAsia="宋体" w:hint="default"/>
          <w:sz w:val="16"/>
          <w:szCs w:val="16"/>
        </w:rPr>
      </w:pPr>
    </w:p>
    <w:p>
      <w:pPr>
        <w:pStyle w:val="BodyText"/>
        <w:spacing w:line="280" w:lineRule="auto"/>
        <w:ind w:left="374" w:right="1123"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7"/>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日，因股权激励计划中被激励对象</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7"/>
        </w:rPr>
        <w:t> </w:t>
      </w:r>
      <w:r>
        <w:rPr/>
        <w:t>人离职，经本公司第二届董事会第十三次会 </w:t>
      </w:r>
      <w:r>
        <w:rPr>
          <w:spacing w:val="-1"/>
        </w:rPr>
        <w:t>议决议和修改后的公司章程规定，回购并注销其已获授权但尚未解锁的全部限制性股票。由于股权激励授</w:t>
      </w:r>
    </w:p>
    <w:p>
      <w:pPr>
        <w:spacing w:after="0" w:line="280" w:lineRule="auto"/>
        <w:jc w:val="left"/>
        <w:sectPr>
          <w:pgSz w:w="11910" w:h="16840"/>
          <w:pgMar w:header="801" w:footer="1007" w:top="1080" w:bottom="1200" w:left="760" w:right="0"/>
        </w:sectPr>
      </w:pPr>
    </w:p>
    <w:p>
      <w:pPr>
        <w:spacing w:line="240" w:lineRule="auto" w:before="9"/>
        <w:rPr>
          <w:rFonts w:ascii="宋体" w:hAnsi="宋体" w:cs="宋体" w:eastAsia="宋体" w:hint="default"/>
          <w:sz w:val="21"/>
          <w:szCs w:val="21"/>
        </w:rPr>
      </w:pPr>
    </w:p>
    <w:p>
      <w:pPr>
        <w:pStyle w:val="BodyText"/>
        <w:spacing w:line="240" w:lineRule="auto" w:before="35"/>
        <w:ind w:left="154" w:right="0"/>
        <w:jc w:val="both"/>
      </w:pPr>
      <w:r>
        <w:rPr/>
        <w:t>予后公司实施权益分派，资本公积转增股本，以上</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名离职员工持股合计由</w:t>
      </w:r>
      <w:r>
        <w:rPr>
          <w:spacing w:val="-49"/>
        </w:rPr>
        <w:t> </w:t>
      </w:r>
      <w:r>
        <w:rPr>
          <w:rFonts w:ascii="Times New Roman" w:hAnsi="Times New Roman" w:cs="Times New Roman" w:eastAsia="Times New Roman" w:hint="default"/>
        </w:rPr>
        <w:t>31,000</w:t>
      </w:r>
      <w:r>
        <w:rPr>
          <w:rFonts w:ascii="Times New Roman" w:hAnsi="Times New Roman" w:cs="Times New Roman" w:eastAsia="Times New Roman" w:hint="default"/>
          <w:spacing w:val="-12"/>
        </w:rPr>
        <w:t> </w:t>
      </w:r>
      <w:r>
        <w:rPr/>
        <w:t>股增加至</w:t>
      </w:r>
      <w:r>
        <w:rPr>
          <w:spacing w:val="-51"/>
        </w:rPr>
        <w:t> </w:t>
      </w:r>
      <w:r>
        <w:rPr>
          <w:rFonts w:ascii="Times New Roman" w:hAnsi="Times New Roman" w:cs="Times New Roman" w:eastAsia="Times New Roman" w:hint="default"/>
        </w:rPr>
        <w:t>121,171</w:t>
      </w:r>
      <w:r>
        <w:rPr>
          <w:rFonts w:ascii="Times New Roman" w:hAnsi="Times New Roman" w:cs="Times New Roman" w:eastAsia="Times New Roman" w:hint="default"/>
          <w:spacing w:val="-13"/>
        </w:rPr>
        <w:t> </w:t>
      </w:r>
      <w:r>
        <w:rPr/>
        <w:t>股，</w:t>
      </w:r>
    </w:p>
    <w:p>
      <w:pPr>
        <w:pStyle w:val="BodyText"/>
        <w:spacing w:line="280" w:lineRule="auto" w:before="50"/>
        <w:ind w:left="154" w:right="1129"/>
        <w:jc w:val="both"/>
      </w:pPr>
      <w:r>
        <w:rPr/>
        <w:t>每股回购价格按照激励计划进行调整，回购款总额与合计授予价格一致，回购金额合计 </w:t>
      </w:r>
      <w:r>
        <w:rPr>
          <w:rFonts w:ascii="Times New Roman" w:hAnsi="Times New Roman" w:cs="Times New Roman" w:eastAsia="Times New Roman" w:hint="default"/>
        </w:rPr>
        <w:t>2,649,880.00</w:t>
      </w:r>
      <w:r>
        <w:rPr>
          <w:rFonts w:ascii="Times New Roman" w:hAnsi="Times New Roman" w:cs="Times New Roman" w:eastAsia="Times New Roman" w:hint="default"/>
          <w:spacing w:val="-21"/>
        </w:rPr>
        <w:t> </w:t>
      </w:r>
      <w:r>
        <w:rPr/>
        <w:t>元， </w:t>
      </w:r>
      <w:r>
        <w:rPr>
          <w:spacing w:val="-2"/>
        </w:rPr>
        <w:t>业经致同会计师事务所（特殊普通合伙）出具的致同验字（</w:t>
      </w:r>
      <w:r>
        <w:rPr>
          <w:rFonts w:ascii="Times New Roman" w:hAnsi="Times New Roman" w:cs="Times New Roman" w:eastAsia="Times New Roman" w:hint="default"/>
          <w:spacing w:val="-2"/>
        </w:rPr>
        <w:t>2017</w:t>
      </w:r>
      <w:r>
        <w:rPr>
          <w:spacing w:val="-2"/>
        </w:rPr>
        <w:t>）第</w:t>
      </w:r>
      <w:r>
        <w:rPr>
          <w:spacing w:val="-44"/>
        </w:rPr>
        <w:t> </w:t>
      </w:r>
      <w:r>
        <w:rPr>
          <w:rFonts w:ascii="Times New Roman" w:hAnsi="Times New Roman" w:cs="Times New Roman" w:eastAsia="Times New Roman" w:hint="default"/>
          <w:spacing w:val="-1"/>
        </w:rPr>
        <w:t>110ZC0050</w:t>
      </w:r>
      <w:r>
        <w:rPr>
          <w:rFonts w:ascii="Times New Roman" w:hAnsi="Times New Roman" w:cs="Times New Roman" w:eastAsia="Times New Roman" w:hint="default"/>
          <w:spacing w:val="-2"/>
        </w:rPr>
        <w:t> </w:t>
      </w:r>
      <w:r>
        <w:rPr>
          <w:spacing w:val="-2"/>
        </w:rPr>
        <w:t>号验资报告予以验证。公</w:t>
      </w:r>
      <w:r>
        <w:rPr>
          <w:spacing w:val="-103"/>
        </w:rPr>
        <w:t> </w:t>
      </w:r>
      <w:r>
        <w:rPr>
          <w:spacing w:val="-103"/>
        </w:rPr>
      </w:r>
      <w:r>
        <w:rPr/>
        <w:t>司相应减少股本</w:t>
      </w:r>
      <w:r>
        <w:rPr>
          <w:spacing w:val="-54"/>
        </w:rPr>
        <w:t> </w:t>
      </w:r>
      <w:r>
        <w:rPr>
          <w:rFonts w:ascii="Times New Roman" w:hAnsi="Times New Roman" w:cs="Times New Roman" w:eastAsia="Times New Roman" w:hint="default"/>
        </w:rPr>
        <w:t>121,171.00</w:t>
      </w:r>
      <w:r>
        <w:rPr>
          <w:rFonts w:ascii="Times New Roman" w:hAnsi="Times New Roman" w:cs="Times New Roman" w:eastAsia="Times New Roman" w:hint="default"/>
          <w:spacing w:val="-11"/>
        </w:rPr>
        <w:t> </w:t>
      </w:r>
      <w:r>
        <w:rPr/>
        <w:t>元，减少库存股</w:t>
      </w:r>
      <w:r>
        <w:rPr>
          <w:spacing w:val="-54"/>
        </w:rPr>
        <w:t> </w:t>
      </w:r>
      <w:r>
        <w:rPr>
          <w:rFonts w:ascii="Times New Roman" w:hAnsi="Times New Roman" w:cs="Times New Roman" w:eastAsia="Times New Roman" w:hint="default"/>
        </w:rPr>
        <w:t>2,649,880.00</w:t>
      </w:r>
      <w:r>
        <w:rPr>
          <w:rFonts w:ascii="Times New Roman" w:hAnsi="Times New Roman" w:cs="Times New Roman" w:eastAsia="Times New Roman" w:hint="default"/>
          <w:spacing w:val="-12"/>
        </w:rPr>
        <w:t> </w:t>
      </w:r>
      <w:r>
        <w:rPr/>
        <w:t>元，减少资本公积</w:t>
      </w:r>
      <w:r>
        <w:rPr>
          <w:rFonts w:ascii="Times New Roman" w:hAnsi="Times New Roman" w:cs="Times New Roman" w:eastAsia="Times New Roman" w:hint="default"/>
        </w:rPr>
        <w:t>-</w:t>
      </w:r>
      <w:r>
        <w:rPr/>
        <w:t>股本溢价</w:t>
      </w:r>
      <w:r>
        <w:rPr>
          <w:spacing w:val="-54"/>
        </w:rPr>
        <w:t> </w:t>
      </w:r>
      <w:r>
        <w:rPr>
          <w:rFonts w:ascii="Times New Roman" w:hAnsi="Times New Roman" w:cs="Times New Roman" w:eastAsia="Times New Roman" w:hint="default"/>
        </w:rPr>
        <w:t>2,528,709.00</w:t>
      </w:r>
      <w:r>
        <w:rPr>
          <w:rFonts w:ascii="Times New Roman" w:hAnsi="Times New Roman" w:cs="Times New Roman" w:eastAsia="Times New Roman" w:hint="default"/>
          <w:spacing w:val="-12"/>
        </w:rPr>
        <w:t> </w:t>
      </w:r>
      <w:r>
        <w:rPr/>
        <w:t>元。</w:t>
      </w:r>
    </w:p>
    <w:p>
      <w:pPr>
        <w:pStyle w:val="BodyText"/>
        <w:spacing w:line="288" w:lineRule="auto" w:before="179"/>
        <w:ind w:left="154" w:right="1130" w:firstLine="42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5"/>
        </w:rPr>
        <w:t> </w:t>
      </w:r>
      <w:r>
        <w:rPr/>
        <w:t>日，因股权激励计划中被激励对象</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17"/>
        </w:rPr>
        <w:t> </w:t>
      </w:r>
      <w:r>
        <w:rPr/>
        <w:t>人离职，经本公司第二届董事会第十八次会 </w:t>
      </w:r>
      <w:r>
        <w:rPr>
          <w:spacing w:val="-1"/>
        </w:rPr>
        <w:t>议决议和修改后的公司章程规定，回购并注销其已获授权但尚未解锁的全部限制性股票。由于股权激励授</w:t>
      </w:r>
      <w:r>
        <w:rPr>
          <w:spacing w:val="-81"/>
        </w:rPr>
        <w:t> </w:t>
      </w:r>
      <w:r>
        <w:rPr>
          <w:spacing w:val="-81"/>
        </w:rPr>
      </w:r>
      <w:r>
        <w:rPr>
          <w:spacing w:val="-3"/>
        </w:rPr>
        <w:t>予后公司实施权益分派，资本公积转增股本，以上</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名离职员工持股合计由</w:t>
      </w:r>
      <w:r>
        <w:rPr>
          <w:spacing w:val="-54"/>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12"/>
        </w:rPr>
        <w:t> </w:t>
      </w:r>
      <w:r>
        <w:rPr/>
        <w:t>股增加至</w:t>
      </w:r>
      <w:r>
        <w:rPr>
          <w:spacing w:val="-54"/>
        </w:rPr>
        <w:t> </w:t>
      </w:r>
      <w:r>
        <w:rPr>
          <w:rFonts w:ascii="Times New Roman" w:hAnsi="Times New Roman" w:cs="Times New Roman" w:eastAsia="Times New Roman" w:hint="default"/>
        </w:rPr>
        <w:t>50,815</w:t>
      </w:r>
      <w:r>
        <w:rPr>
          <w:rFonts w:ascii="Times New Roman" w:hAnsi="Times New Roman" w:cs="Times New Roman" w:eastAsia="Times New Roman" w:hint="default"/>
          <w:spacing w:val="-11"/>
        </w:rPr>
        <w:t> </w:t>
      </w:r>
      <w:r>
        <w:rPr>
          <w:spacing w:val="-11"/>
        </w:rPr>
        <w:t>股，每</w:t>
      </w:r>
    </w:p>
    <w:p>
      <w:pPr>
        <w:pStyle w:val="BodyText"/>
        <w:spacing w:line="280" w:lineRule="auto" w:before="3"/>
        <w:ind w:left="154" w:right="1130"/>
        <w:jc w:val="both"/>
      </w:pPr>
      <w:r>
        <w:rPr/>
        <w:t>股回购价格按照激励计划进行调整，回购款总额与合计授予价格一致，回购金额合计 </w:t>
      </w:r>
      <w:r>
        <w:rPr>
          <w:rFonts w:ascii="Times New Roman" w:hAnsi="Times New Roman" w:cs="Times New Roman" w:eastAsia="Times New Roman" w:hint="default"/>
        </w:rPr>
        <w:t>1,111,240.00</w:t>
      </w:r>
      <w:r>
        <w:rPr>
          <w:rFonts w:ascii="Times New Roman" w:hAnsi="Times New Roman" w:cs="Times New Roman" w:eastAsia="Times New Roman" w:hint="default"/>
          <w:spacing w:val="-23"/>
        </w:rPr>
        <w:t> </w:t>
      </w:r>
      <w:r>
        <w:rPr/>
        <w:t>元，业 </w:t>
      </w:r>
      <w:r>
        <w:rPr>
          <w:spacing w:val="-2"/>
        </w:rPr>
        <w:t>经致同会计师事务所（特殊普通合伙）出具的致同验字（</w:t>
      </w:r>
      <w:r>
        <w:rPr>
          <w:rFonts w:ascii="Times New Roman" w:hAnsi="Times New Roman" w:cs="Times New Roman" w:eastAsia="Times New Roman" w:hint="default"/>
          <w:spacing w:val="-2"/>
        </w:rPr>
        <w:t>2017</w:t>
      </w:r>
      <w:r>
        <w:rPr>
          <w:spacing w:val="-2"/>
        </w:rPr>
        <w:t>）第</w:t>
      </w:r>
      <w:r>
        <w:rPr>
          <w:spacing w:val="-48"/>
        </w:rPr>
        <w:t> </w:t>
      </w:r>
      <w:r>
        <w:rPr>
          <w:rFonts w:ascii="Times New Roman" w:hAnsi="Times New Roman" w:cs="Times New Roman" w:eastAsia="Times New Roman" w:hint="default"/>
        </w:rPr>
        <w:t>110ZC0143</w:t>
      </w:r>
      <w:r>
        <w:rPr>
          <w:rFonts w:ascii="Times New Roman" w:hAnsi="Times New Roman" w:cs="Times New Roman" w:eastAsia="Times New Roman" w:hint="default"/>
          <w:spacing w:val="-6"/>
        </w:rPr>
        <w:t> </w:t>
      </w:r>
      <w:r>
        <w:rPr>
          <w:spacing w:val="-2"/>
        </w:rPr>
        <w:t>号验资报告予以验证。公司</w:t>
      </w:r>
      <w:r>
        <w:rPr/>
        <w:t> 相应减少股本</w:t>
      </w:r>
      <w:r>
        <w:rPr>
          <w:spacing w:val="-55"/>
        </w:rPr>
        <w:t> </w:t>
      </w:r>
      <w:r>
        <w:rPr>
          <w:rFonts w:ascii="Times New Roman" w:hAnsi="Times New Roman" w:cs="Times New Roman" w:eastAsia="Times New Roman" w:hint="default"/>
        </w:rPr>
        <w:t>50,815.00</w:t>
      </w:r>
      <w:r>
        <w:rPr>
          <w:rFonts w:ascii="Times New Roman" w:hAnsi="Times New Roman" w:cs="Times New Roman" w:eastAsia="Times New Roman" w:hint="default"/>
          <w:spacing w:val="-13"/>
        </w:rPr>
        <w:t> </w:t>
      </w:r>
      <w:r>
        <w:rPr/>
        <w:t>元，减少库存股</w:t>
      </w:r>
      <w:r>
        <w:rPr>
          <w:spacing w:val="-56"/>
        </w:rPr>
        <w:t> </w:t>
      </w:r>
      <w:r>
        <w:rPr>
          <w:rFonts w:ascii="Times New Roman" w:hAnsi="Times New Roman" w:cs="Times New Roman" w:eastAsia="Times New Roman" w:hint="default"/>
        </w:rPr>
        <w:t>1,111,240.00</w:t>
      </w:r>
      <w:r>
        <w:rPr>
          <w:rFonts w:ascii="Times New Roman" w:hAnsi="Times New Roman" w:cs="Times New Roman" w:eastAsia="Times New Roman" w:hint="default"/>
          <w:spacing w:val="-12"/>
        </w:rPr>
        <w:t> </w:t>
      </w:r>
      <w:r>
        <w:rPr/>
        <w:t>元，减少资本公积</w:t>
      </w:r>
      <w:r>
        <w:rPr>
          <w:rFonts w:ascii="Times New Roman" w:hAnsi="Times New Roman" w:cs="Times New Roman" w:eastAsia="Times New Roman" w:hint="default"/>
        </w:rPr>
        <w:t>-</w:t>
      </w:r>
      <w:r>
        <w:rPr/>
        <w:t>股本溢价</w:t>
      </w:r>
      <w:r>
        <w:rPr>
          <w:spacing w:val="-55"/>
        </w:rPr>
        <w:t> </w:t>
      </w:r>
      <w:r>
        <w:rPr>
          <w:rFonts w:ascii="Times New Roman" w:hAnsi="Times New Roman" w:cs="Times New Roman" w:eastAsia="Times New Roman" w:hint="default"/>
        </w:rPr>
        <w:t>1,060,425.00</w:t>
      </w:r>
      <w:r>
        <w:rPr>
          <w:rFonts w:ascii="Times New Roman" w:hAnsi="Times New Roman" w:cs="Times New Roman" w:eastAsia="Times New Roman" w:hint="default"/>
          <w:spacing w:val="-12"/>
        </w:rPr>
        <w:t> </w:t>
      </w:r>
      <w:r>
        <w:rPr/>
        <w:t>元。</w:t>
      </w:r>
    </w:p>
    <w:p>
      <w:pPr>
        <w:pStyle w:val="BodyText"/>
        <w:spacing w:line="285" w:lineRule="auto" w:before="178"/>
        <w:ind w:left="154" w:right="1023" w:firstLine="420"/>
        <w:jc w:val="left"/>
      </w:pP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5"/>
        </w:rPr>
        <w:t> </w:t>
      </w:r>
      <w:r>
        <w:rPr/>
        <w:t>年</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58"/>
        </w:rPr>
        <w:t> </w:t>
      </w:r>
      <w:r>
        <w:rPr>
          <w:rFonts w:ascii="Times New Roman" w:hAnsi="Times New Roman" w:cs="Times New Roman" w:eastAsia="Times New Roman" w:hint="default"/>
        </w:rPr>
        <w:t>26</w:t>
      </w:r>
      <w:r>
        <w:rPr>
          <w:rFonts w:ascii="Times New Roman" w:hAnsi="Times New Roman" w:cs="Times New Roman" w:eastAsia="Times New Roman" w:hint="default"/>
          <w:spacing w:val="-14"/>
        </w:rPr>
        <w:t> </w:t>
      </w:r>
      <w:r>
        <w:rPr/>
        <w:t>日，经本公司第二届董事会第十九次会议决议通过了《关于公司限制性股票激励 </w:t>
      </w:r>
      <w:r>
        <w:rPr>
          <w:spacing w:val="-3"/>
        </w:rPr>
        <w:t>计划第一个解锁期解锁条件成就的议案》、《关于回购注销限制性股票激励计划部分限制性股票的议案》，</w:t>
      </w:r>
      <w:r>
        <w:rPr>
          <w:spacing w:val="-93"/>
        </w:rPr>
        <w:t> </w:t>
      </w:r>
      <w:r>
        <w:rPr>
          <w:spacing w:val="-93"/>
        </w:rPr>
      </w:r>
      <w:r>
        <w:rPr/>
        <w:t>取消离职人员胡际晓等共计</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人的激励对象资格并回购注销其已获授权但尚未解锁的全部限制性股票；根 据《限制性股票激励计划》之规定，</w:t>
      </w:r>
      <w:r>
        <w:rPr>
          <w:rFonts w:ascii="Times New Roman" w:hAnsi="Times New Roman" w:cs="Times New Roman" w:eastAsia="Times New Roman" w:hint="default"/>
        </w:rPr>
        <w:t>“</w:t>
      </w:r>
      <w:r>
        <w:rPr/>
        <w:t>考核结果为</w:t>
      </w:r>
      <w:r>
        <w:rPr>
          <w:spacing w:val="-44"/>
        </w:rPr>
        <w:t> </w:t>
      </w:r>
      <w:r>
        <w:rPr>
          <w:rFonts w:ascii="Times New Roman" w:hAnsi="Times New Roman" w:cs="Times New Roman" w:eastAsia="Times New Roman" w:hint="default"/>
        </w:rPr>
        <w:t>C</w:t>
      </w:r>
      <w:r>
        <w:rPr>
          <w:rFonts w:ascii="Times New Roman" w:hAnsi="Times New Roman" w:cs="Times New Roman" w:eastAsia="Times New Roman" w:hint="default"/>
          <w:spacing w:val="-12"/>
        </w:rPr>
        <w:t> </w:t>
      </w:r>
      <w:r>
        <w:rPr/>
        <w:t>级的股权激励对象，解锁系数为</w:t>
      </w:r>
      <w:r>
        <w:rPr>
          <w:spacing w:val="-44"/>
        </w:rPr>
        <w:t> </w:t>
      </w:r>
      <w:r>
        <w:rPr>
          <w:rFonts w:ascii="Times New Roman" w:hAnsi="Times New Roman" w:cs="Times New Roman" w:eastAsia="Times New Roman" w:hint="default"/>
        </w:rPr>
        <w:t>0.8”</w:t>
      </w:r>
      <w:r>
        <w:rPr/>
        <w:t>，回购注销</w:t>
      </w:r>
      <w:r>
        <w:rPr>
          <w:spacing w:val="-44"/>
        </w:rPr>
        <w:t> </w:t>
      </w:r>
      <w:r>
        <w:rPr>
          <w:rFonts w:ascii="Times New Roman" w:hAnsi="Times New Roman" w:cs="Times New Roman" w:eastAsia="Times New Roman" w:hint="default"/>
        </w:rPr>
        <w:t>2016 </w:t>
      </w:r>
      <w:r>
        <w:rPr/>
        <w:t>年度考核结果为</w:t>
      </w:r>
      <w:r>
        <w:rPr>
          <w:spacing w:val="-59"/>
        </w:rPr>
        <w:t> </w:t>
      </w:r>
      <w:r>
        <w:rPr>
          <w:rFonts w:ascii="Times New Roman" w:hAnsi="Times New Roman" w:cs="Times New Roman" w:eastAsia="Times New Roman" w:hint="default"/>
        </w:rPr>
        <w:t>C</w:t>
      </w:r>
      <w:r>
        <w:rPr>
          <w:rFonts w:ascii="Times New Roman" w:hAnsi="Times New Roman" w:cs="Times New Roman" w:eastAsia="Times New Roman" w:hint="default"/>
          <w:spacing w:val="-16"/>
        </w:rPr>
        <w:t> </w:t>
      </w:r>
      <w:r>
        <w:rPr/>
        <w:t>级的</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名股权激励对象本期未能解锁的限制性股票。由于股权激励授予后公司实施权益 分派，资本公积转增股本，因而回购每股单价按照激励计划进行调整，本次回购注销上述限制性股票合计 </w:t>
      </w:r>
      <w:r>
        <w:rPr>
          <w:rFonts w:ascii="Times New Roman" w:hAnsi="Times New Roman" w:cs="Times New Roman" w:eastAsia="Times New Roman" w:hint="default"/>
        </w:rPr>
        <w:t>42,254</w:t>
      </w:r>
      <w:r>
        <w:rPr>
          <w:rFonts w:ascii="Times New Roman" w:hAnsi="Times New Roman" w:cs="Times New Roman" w:eastAsia="Times New Roman" w:hint="default"/>
          <w:spacing w:val="-8"/>
        </w:rPr>
        <w:t> </w:t>
      </w:r>
      <w:r>
        <w:rPr>
          <w:spacing w:val="-4"/>
        </w:rPr>
        <w:t>股，回购款合计</w:t>
      </w:r>
      <w:r>
        <w:rPr>
          <w:spacing w:val="-50"/>
        </w:rPr>
        <w:t> </w:t>
      </w:r>
      <w:r>
        <w:rPr>
          <w:rFonts w:ascii="Times New Roman" w:hAnsi="Times New Roman" w:cs="Times New Roman" w:eastAsia="Times New Roman" w:hint="default"/>
        </w:rPr>
        <w:t>924,038.80</w:t>
      </w:r>
      <w:r>
        <w:rPr>
          <w:rFonts w:ascii="Times New Roman" w:hAnsi="Times New Roman" w:cs="Times New Roman" w:eastAsia="Times New Roman" w:hint="default"/>
          <w:spacing w:val="-8"/>
        </w:rPr>
        <w:t> </w:t>
      </w:r>
      <w:r>
        <w:rPr>
          <w:spacing w:val="-3"/>
        </w:rPr>
        <w:t>元。公司相应减少股本</w:t>
      </w:r>
      <w:r>
        <w:rPr>
          <w:spacing w:val="-49"/>
        </w:rPr>
        <w:t> </w:t>
      </w:r>
      <w:r>
        <w:rPr>
          <w:rFonts w:ascii="Times New Roman" w:hAnsi="Times New Roman" w:cs="Times New Roman" w:eastAsia="Times New Roman" w:hint="default"/>
        </w:rPr>
        <w:t>42,254.00</w:t>
      </w:r>
      <w:r>
        <w:rPr>
          <w:rFonts w:ascii="Times New Roman" w:hAnsi="Times New Roman" w:cs="Times New Roman" w:eastAsia="Times New Roman" w:hint="default"/>
          <w:spacing w:val="-9"/>
        </w:rPr>
        <w:t> </w:t>
      </w:r>
      <w:r>
        <w:rPr>
          <w:spacing w:val="-4"/>
        </w:rPr>
        <w:t>元，减少库存股</w:t>
      </w:r>
      <w:r>
        <w:rPr>
          <w:spacing w:val="-49"/>
        </w:rPr>
        <w:t> </w:t>
      </w:r>
      <w:r>
        <w:rPr>
          <w:rFonts w:ascii="Times New Roman" w:hAnsi="Times New Roman" w:cs="Times New Roman" w:eastAsia="Times New Roman" w:hint="default"/>
        </w:rPr>
        <w:t>924,038.80</w:t>
      </w:r>
      <w:r>
        <w:rPr>
          <w:rFonts w:ascii="Times New Roman" w:hAnsi="Times New Roman" w:cs="Times New Roman" w:eastAsia="Times New Roman" w:hint="default"/>
          <w:spacing w:val="-8"/>
        </w:rPr>
        <w:t> </w:t>
      </w:r>
      <w:r>
        <w:rPr>
          <w:spacing w:val="-5"/>
        </w:rPr>
        <w:t>元，减少资</w:t>
      </w:r>
    </w:p>
    <w:p>
      <w:pPr>
        <w:pStyle w:val="BodyText"/>
        <w:spacing w:line="240" w:lineRule="auto" w:before="6"/>
        <w:ind w:left="154" w:right="0"/>
        <w:jc w:val="both"/>
      </w:pPr>
      <w:r>
        <w:rPr/>
        <w:t>本公积</w:t>
      </w:r>
      <w:r>
        <w:rPr>
          <w:rFonts w:ascii="Times New Roman" w:hAnsi="Times New Roman" w:cs="Times New Roman" w:eastAsia="Times New Roman" w:hint="default"/>
        </w:rPr>
        <w:t>-</w:t>
      </w:r>
      <w:r>
        <w:rPr/>
        <w:t>股本溢价</w:t>
      </w:r>
      <w:r>
        <w:rPr>
          <w:spacing w:val="-54"/>
        </w:rPr>
        <w:t> </w:t>
      </w:r>
      <w:r>
        <w:rPr>
          <w:rFonts w:ascii="Times New Roman" w:hAnsi="Times New Roman" w:cs="Times New Roman" w:eastAsia="Times New Roman" w:hint="default"/>
        </w:rPr>
        <w:t>881,784.80</w:t>
      </w:r>
      <w:r>
        <w:rPr>
          <w:rFonts w:ascii="Times New Roman" w:hAnsi="Times New Roman" w:cs="Times New Roman" w:eastAsia="Times New Roman" w:hint="default"/>
          <w:spacing w:val="-11"/>
        </w:rPr>
        <w:t> </w:t>
      </w:r>
      <w:r>
        <w:rPr/>
        <w:t>元。</w:t>
      </w:r>
    </w:p>
    <w:p>
      <w:pPr>
        <w:spacing w:line="240" w:lineRule="auto" w:before="8"/>
        <w:rPr>
          <w:rFonts w:ascii="宋体" w:hAnsi="宋体" w:cs="宋体" w:eastAsia="宋体" w:hint="default"/>
          <w:sz w:val="16"/>
          <w:szCs w:val="16"/>
        </w:rPr>
      </w:pPr>
    </w:p>
    <w:p>
      <w:pPr>
        <w:pStyle w:val="BodyText"/>
        <w:spacing w:line="240" w:lineRule="auto"/>
        <w:ind w:left="574" w:right="0"/>
        <w:jc w:val="left"/>
      </w:pPr>
      <w:r>
        <w:rPr>
          <w:spacing w:val="-3"/>
        </w:rPr>
        <w:t>（</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6"/>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5"/>
        </w:rPr>
        <w:t> </w:t>
      </w:r>
      <w:r>
        <w:rPr/>
        <w:t>日，经本公司第二届董事会第二十次会议决议规定，取消离职人员刘世标等共计</w:t>
      </w:r>
    </w:p>
    <w:p>
      <w:pPr>
        <w:pStyle w:val="BodyText"/>
        <w:spacing w:line="290" w:lineRule="auto" w:before="50"/>
        <w:ind w:left="154" w:right="1026"/>
        <w:jc w:val="both"/>
      </w:pPr>
      <w:r>
        <w:rPr>
          <w:rFonts w:ascii="Times New Roman" w:hAnsi="Times New Roman" w:cs="Times New Roman" w:eastAsia="Times New Roman" w:hint="default"/>
        </w:rPr>
        <w:t>25</w:t>
      </w:r>
      <w:r>
        <w:rPr>
          <w:rFonts w:ascii="Times New Roman" w:hAnsi="Times New Roman" w:cs="Times New Roman" w:eastAsia="Times New Roman" w:hint="default"/>
          <w:spacing w:val="-28"/>
        </w:rPr>
        <w:t> </w:t>
      </w:r>
      <w:r>
        <w:rPr/>
        <w:t>人的激励对象资格并回购注销其已获授权但尚未解锁的全部限制性股票。由于股权激励授予后公司实施 权益分派，资本公积转增股本，因而回购每股单价按照激励计划进行调整，本次回购注销限制性股票合计 </w:t>
      </w:r>
      <w:r>
        <w:rPr>
          <w:rFonts w:ascii="Times New Roman" w:hAnsi="Times New Roman" w:cs="Times New Roman" w:eastAsia="Times New Roman" w:hint="default"/>
        </w:rPr>
        <w:t>506,176</w:t>
      </w:r>
      <w:r>
        <w:rPr>
          <w:rFonts w:ascii="Times New Roman" w:hAnsi="Times New Roman" w:cs="Times New Roman" w:eastAsia="Times New Roman" w:hint="default"/>
          <w:spacing w:val="-9"/>
        </w:rPr>
        <w:t> </w:t>
      </w:r>
      <w:r>
        <w:rPr>
          <w:spacing w:val="-5"/>
        </w:rPr>
        <w:t>股，回购款合计</w:t>
      </w:r>
      <w:r>
        <w:rPr>
          <w:spacing w:val="-52"/>
        </w:rPr>
        <w:t> </w:t>
      </w:r>
      <w:r>
        <w:rPr>
          <w:rFonts w:ascii="Times New Roman" w:hAnsi="Times New Roman" w:cs="Times New Roman" w:eastAsia="Times New Roman" w:hint="default"/>
        </w:rPr>
        <w:t>11,069,660.00</w:t>
      </w:r>
      <w:r>
        <w:rPr>
          <w:rFonts w:ascii="Times New Roman" w:hAnsi="Times New Roman" w:cs="Times New Roman" w:eastAsia="Times New Roman" w:hint="default"/>
          <w:spacing w:val="-10"/>
        </w:rPr>
        <w:t> </w:t>
      </w:r>
      <w:r>
        <w:rPr>
          <w:spacing w:val="-3"/>
        </w:rPr>
        <w:t>元。公司相应减少股本</w:t>
      </w:r>
      <w:r>
        <w:rPr>
          <w:spacing w:val="-51"/>
        </w:rPr>
        <w:t> </w:t>
      </w:r>
      <w:r>
        <w:rPr>
          <w:rFonts w:ascii="Times New Roman" w:hAnsi="Times New Roman" w:cs="Times New Roman" w:eastAsia="Times New Roman" w:hint="default"/>
        </w:rPr>
        <w:t>506,176.00</w:t>
      </w:r>
      <w:r>
        <w:rPr>
          <w:rFonts w:ascii="Times New Roman" w:hAnsi="Times New Roman" w:cs="Times New Roman" w:eastAsia="Times New Roman" w:hint="default"/>
          <w:spacing w:val="-9"/>
        </w:rPr>
        <w:t> </w:t>
      </w:r>
      <w:r>
        <w:rPr>
          <w:spacing w:val="-5"/>
        </w:rPr>
        <w:t>元，减少库存股</w:t>
      </w:r>
      <w:r>
        <w:rPr>
          <w:spacing w:val="-51"/>
        </w:rPr>
        <w:t> </w:t>
      </w:r>
      <w:r>
        <w:rPr>
          <w:rFonts w:ascii="Times New Roman" w:hAnsi="Times New Roman" w:cs="Times New Roman" w:eastAsia="Times New Roman" w:hint="default"/>
        </w:rPr>
        <w:t>11,069,660.00</w:t>
      </w:r>
      <w:r>
        <w:rPr>
          <w:rFonts w:ascii="Times New Roman" w:hAnsi="Times New Roman" w:cs="Times New Roman" w:eastAsia="Times New Roman" w:hint="default"/>
          <w:spacing w:val="-9"/>
        </w:rPr>
        <w:t> </w:t>
      </w:r>
      <w:r>
        <w:rPr/>
        <w:t>元，</w:t>
      </w:r>
    </w:p>
    <w:p>
      <w:pPr>
        <w:pStyle w:val="BodyText"/>
        <w:spacing w:line="280" w:lineRule="auto"/>
        <w:ind w:left="154" w:right="1129"/>
        <w:jc w:val="both"/>
      </w:pPr>
      <w:r>
        <w:rPr>
          <w:spacing w:val="3"/>
        </w:rPr>
        <w:t>减少资本公积</w:t>
      </w:r>
      <w:r>
        <w:rPr>
          <w:rFonts w:ascii="Times New Roman" w:hAnsi="Times New Roman" w:cs="Times New Roman" w:eastAsia="Times New Roman" w:hint="default"/>
          <w:spacing w:val="3"/>
        </w:rPr>
        <w:t>-</w:t>
      </w:r>
      <w:r>
        <w:rPr>
          <w:spacing w:val="3"/>
        </w:rPr>
        <w:t>股本溢价 </w:t>
      </w:r>
      <w:r>
        <w:rPr>
          <w:rFonts w:ascii="Times New Roman" w:hAnsi="Times New Roman" w:cs="Times New Roman" w:eastAsia="Times New Roman" w:hint="default"/>
        </w:rPr>
        <w:t>10,563,484.00 </w:t>
      </w:r>
      <w:r>
        <w:rPr>
          <w:spacing w:val="3"/>
        </w:rPr>
        <w:t>元。上述两次回购注销限制性股票合计 </w:t>
      </w:r>
      <w:r>
        <w:rPr>
          <w:rFonts w:ascii="Times New Roman" w:hAnsi="Times New Roman" w:cs="Times New Roman" w:eastAsia="Times New Roman" w:hint="default"/>
        </w:rPr>
        <w:t>548,430</w:t>
      </w:r>
      <w:r>
        <w:rPr>
          <w:rFonts w:ascii="Times New Roman" w:hAnsi="Times New Roman" w:cs="Times New Roman" w:eastAsia="Times New Roman" w:hint="default"/>
          <w:spacing w:val="36"/>
        </w:rPr>
        <w:t> </w:t>
      </w:r>
      <w:r>
        <w:rPr>
          <w:spacing w:val="3"/>
        </w:rPr>
        <w:t>股，回购款合计</w:t>
      </w:r>
      <w:r>
        <w:rPr/>
        <w:t> </w:t>
      </w:r>
      <w:r>
        <w:rPr>
          <w:rFonts w:ascii="Times New Roman" w:hAnsi="Times New Roman" w:cs="Times New Roman" w:eastAsia="Times New Roman" w:hint="default"/>
        </w:rPr>
        <w:t>11,993,698.80</w:t>
      </w:r>
      <w:r>
        <w:rPr>
          <w:rFonts w:ascii="Times New Roman" w:hAnsi="Times New Roman" w:cs="Times New Roman" w:eastAsia="Times New Roman" w:hint="default"/>
          <w:spacing w:val="-28"/>
        </w:rPr>
        <w:t> </w:t>
      </w:r>
      <w:r>
        <w:rPr/>
        <w:t>元，业经致同会计师事务所（特殊普通合伙）出具的致同验字（</w:t>
      </w:r>
      <w:r>
        <w:rPr>
          <w:rFonts w:ascii="Times New Roman" w:hAnsi="Times New Roman" w:cs="Times New Roman" w:eastAsia="Times New Roman" w:hint="default"/>
        </w:rPr>
        <w:t>2017</w:t>
      </w:r>
      <w:r>
        <w:rPr/>
        <w:t>）第</w:t>
      </w:r>
      <w:r>
        <w:rPr>
          <w:spacing w:val="-75"/>
        </w:rPr>
        <w:t> </w:t>
      </w:r>
      <w:r>
        <w:rPr>
          <w:rFonts w:ascii="Times New Roman" w:hAnsi="Times New Roman" w:cs="Times New Roman" w:eastAsia="Times New Roman" w:hint="default"/>
        </w:rPr>
        <w:t>110ZC0206</w:t>
      </w:r>
      <w:r>
        <w:rPr>
          <w:rFonts w:ascii="Times New Roman" w:hAnsi="Times New Roman" w:cs="Times New Roman" w:eastAsia="Times New Roman" w:hint="default"/>
          <w:spacing w:val="-28"/>
        </w:rPr>
        <w:t> </w:t>
      </w:r>
      <w:r>
        <w:rPr/>
        <w:t>号验资 报告予以验证。</w:t>
      </w:r>
    </w:p>
    <w:p>
      <w:pPr>
        <w:spacing w:line="240" w:lineRule="auto" w:before="1"/>
        <w:rPr>
          <w:rFonts w:ascii="宋体" w:hAnsi="宋体" w:cs="宋体" w:eastAsia="宋体" w:hint="default"/>
          <w:sz w:val="15"/>
          <w:szCs w:val="15"/>
        </w:rPr>
      </w:pPr>
    </w:p>
    <w:p>
      <w:pPr>
        <w:pStyle w:val="BodyText"/>
        <w:spacing w:line="292" w:lineRule="auto"/>
        <w:ind w:left="154" w:right="1130" w:firstLine="42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14</w:t>
      </w:r>
      <w:r>
        <w:rPr>
          <w:rFonts w:ascii="Times New Roman" w:hAnsi="Times New Roman" w:cs="Times New Roman" w:eastAsia="Times New Roman" w:hint="default"/>
          <w:spacing w:val="-16"/>
        </w:rPr>
        <w:t> </w:t>
      </w:r>
      <w:r>
        <w:rPr/>
        <w:t>日，经本公司第二届董事会第二十六次会议决议，取消武楠等共计</w:t>
      </w:r>
      <w:r>
        <w:rPr>
          <w:spacing w:val="-58"/>
        </w:rPr>
        <w:t> </w:t>
      </w:r>
      <w:r>
        <w:rPr>
          <w:rFonts w:ascii="Times New Roman" w:hAnsi="Times New Roman" w:cs="Times New Roman" w:eastAsia="Times New Roman" w:hint="default"/>
        </w:rPr>
        <w:t>67</w:t>
      </w:r>
      <w:r>
        <w:rPr>
          <w:rFonts w:ascii="Times New Roman" w:hAnsi="Times New Roman" w:cs="Times New Roman" w:eastAsia="Times New Roman" w:hint="default"/>
          <w:spacing w:val="-16"/>
        </w:rPr>
        <w:t> </w:t>
      </w:r>
      <w:r>
        <w:rPr/>
        <w:t>名已离职 </w:t>
      </w:r>
      <w:r>
        <w:rPr>
          <w:spacing w:val="-1"/>
        </w:rPr>
        <w:t>人员的激励对象资格并回购注销其已获授权但尚未解锁的全部限制性股票。由于股权激励授予后公司实施</w:t>
      </w:r>
      <w:r>
        <w:rPr>
          <w:spacing w:val="-81"/>
        </w:rPr>
        <w:t> </w:t>
      </w:r>
      <w:r>
        <w:rPr>
          <w:spacing w:val="-81"/>
        </w:rPr>
      </w:r>
      <w:r>
        <w:rPr>
          <w:spacing w:val="-1"/>
        </w:rPr>
        <w:t>权益分派，资本公积转增股本，因而回购每股单价按照激励计划进行调整，但回购款总额与合计授予价格</w:t>
      </w:r>
      <w:r>
        <w:rPr>
          <w:spacing w:val="-83"/>
        </w:rPr>
        <w:t> </w:t>
      </w:r>
      <w:r>
        <w:rPr>
          <w:spacing w:val="-83"/>
        </w:rPr>
      </w:r>
      <w:r>
        <w:rPr/>
        <w:t>一致，本次回购注销限制性股票合计</w:t>
      </w:r>
      <w:r>
        <w:rPr>
          <w:spacing w:val="-36"/>
        </w:rPr>
        <w:t> </w:t>
      </w:r>
      <w:r>
        <w:rPr>
          <w:rFonts w:ascii="Times New Roman" w:hAnsi="Times New Roman" w:cs="Times New Roman" w:eastAsia="Times New Roman" w:hint="default"/>
        </w:rPr>
        <w:t>1,145,606</w:t>
      </w:r>
      <w:r>
        <w:rPr>
          <w:rFonts w:ascii="Times New Roman" w:hAnsi="Times New Roman" w:cs="Times New Roman" w:eastAsia="Times New Roman" w:hint="default"/>
          <w:spacing w:val="-4"/>
        </w:rPr>
        <w:t> </w:t>
      </w:r>
      <w:r>
        <w:rPr/>
        <w:t>股，回购款合计</w:t>
      </w:r>
      <w:r>
        <w:rPr>
          <w:spacing w:val="-37"/>
        </w:rPr>
        <w:t> </w:t>
      </w:r>
      <w:r>
        <w:rPr>
          <w:rFonts w:ascii="Times New Roman" w:hAnsi="Times New Roman" w:cs="Times New Roman" w:eastAsia="Times New Roman" w:hint="default"/>
        </w:rPr>
        <w:t>25,053,333.20</w:t>
      </w:r>
      <w:r>
        <w:rPr>
          <w:rFonts w:ascii="Times New Roman" w:hAnsi="Times New Roman" w:cs="Times New Roman" w:eastAsia="Times New Roman" w:hint="default"/>
          <w:spacing w:val="-3"/>
        </w:rPr>
        <w:t> </w:t>
      </w:r>
      <w:r>
        <w:rPr/>
        <w:t>元。业经致同会计师事务所</w:t>
      </w:r>
    </w:p>
    <w:p>
      <w:pPr>
        <w:pStyle w:val="BodyText"/>
        <w:spacing w:line="290" w:lineRule="exact"/>
        <w:ind w:left="154" w:right="0"/>
        <w:jc w:val="both"/>
      </w:pPr>
      <w:r>
        <w:rPr>
          <w:spacing w:val="9"/>
        </w:rPr>
        <w:t>（特殊普通合伙）出具的致同验字（</w:t>
      </w:r>
      <w:r>
        <w:rPr>
          <w:rFonts w:ascii="Times New Roman" w:hAnsi="Times New Roman" w:cs="Times New Roman" w:eastAsia="Times New Roman" w:hint="default"/>
          <w:spacing w:val="9"/>
        </w:rPr>
        <w:t>2017</w:t>
      </w:r>
      <w:r>
        <w:rPr>
          <w:spacing w:val="9"/>
        </w:rPr>
        <w:t>）第 </w:t>
      </w:r>
      <w:r>
        <w:rPr>
          <w:rFonts w:ascii="Times New Roman" w:hAnsi="Times New Roman" w:cs="Times New Roman" w:eastAsia="Times New Roman" w:hint="default"/>
        </w:rPr>
        <w:t>110ZC0455 </w:t>
      </w:r>
      <w:r>
        <w:rPr>
          <w:rFonts w:ascii="Times New Roman" w:hAnsi="Times New Roman" w:cs="Times New Roman" w:eastAsia="Times New Roman" w:hint="default"/>
          <w:spacing w:val="16"/>
        </w:rPr>
        <w:t> </w:t>
      </w:r>
      <w:r>
        <w:rPr>
          <w:spacing w:val="11"/>
        </w:rPr>
        <w:t>号验资报告予以验证。公司相应减少股本</w:t>
      </w:r>
    </w:p>
    <w:p>
      <w:pPr>
        <w:pStyle w:val="BodyText"/>
        <w:spacing w:line="240" w:lineRule="auto" w:before="50"/>
        <w:ind w:left="154" w:right="0"/>
        <w:jc w:val="both"/>
      </w:pPr>
      <w:r>
        <w:rPr>
          <w:rFonts w:ascii="Times New Roman" w:hAnsi="Times New Roman" w:cs="Times New Roman" w:eastAsia="Times New Roman" w:hint="default"/>
        </w:rPr>
        <w:t>1,145,606.00</w:t>
      </w:r>
      <w:r>
        <w:rPr>
          <w:rFonts w:ascii="Times New Roman" w:hAnsi="Times New Roman" w:cs="Times New Roman" w:eastAsia="Times New Roman" w:hint="default"/>
          <w:spacing w:val="-12"/>
        </w:rPr>
        <w:t> </w:t>
      </w:r>
      <w:r>
        <w:rPr/>
        <w:t>元，减少库存股</w:t>
      </w:r>
      <w:r>
        <w:rPr>
          <w:spacing w:val="-56"/>
        </w:rPr>
        <w:t> </w:t>
      </w:r>
      <w:r>
        <w:rPr>
          <w:rFonts w:ascii="Times New Roman" w:hAnsi="Times New Roman" w:cs="Times New Roman" w:eastAsia="Times New Roman" w:hint="default"/>
        </w:rPr>
        <w:t>25,053,333.20</w:t>
      </w:r>
      <w:r>
        <w:rPr>
          <w:rFonts w:ascii="Times New Roman" w:hAnsi="Times New Roman" w:cs="Times New Roman" w:eastAsia="Times New Roman" w:hint="default"/>
          <w:spacing w:val="-11"/>
        </w:rPr>
        <w:t> </w:t>
      </w:r>
      <w:r>
        <w:rPr/>
        <w:t>元，减少资本公积</w:t>
      </w:r>
      <w:r>
        <w:rPr>
          <w:rFonts w:ascii="Times New Roman" w:hAnsi="Times New Roman" w:cs="Times New Roman" w:eastAsia="Times New Roman" w:hint="default"/>
        </w:rPr>
        <w:t>-</w:t>
      </w:r>
      <w:r>
        <w:rPr/>
        <w:t>股本溢价</w:t>
      </w:r>
      <w:r>
        <w:rPr>
          <w:spacing w:val="-56"/>
        </w:rPr>
        <w:t> </w:t>
      </w:r>
      <w:r>
        <w:rPr>
          <w:rFonts w:ascii="Times New Roman" w:hAnsi="Times New Roman" w:cs="Times New Roman" w:eastAsia="Times New Roman" w:hint="default"/>
        </w:rPr>
        <w:t>23,907,727.20</w:t>
      </w:r>
      <w:r>
        <w:rPr>
          <w:rFonts w:ascii="Times New Roman" w:hAnsi="Times New Roman" w:cs="Times New Roman" w:eastAsia="Times New Roman" w:hint="default"/>
          <w:spacing w:val="-11"/>
        </w:rPr>
        <w:t> </w:t>
      </w:r>
      <w:r>
        <w:rPr/>
        <w:t>元。</w:t>
      </w:r>
    </w:p>
    <w:p>
      <w:pPr>
        <w:spacing w:line="240" w:lineRule="auto" w:before="8"/>
        <w:rPr>
          <w:rFonts w:ascii="宋体" w:hAnsi="宋体" w:cs="宋体" w:eastAsia="宋体" w:hint="default"/>
          <w:sz w:val="16"/>
          <w:szCs w:val="16"/>
        </w:rPr>
      </w:pPr>
    </w:p>
    <w:p>
      <w:pPr>
        <w:pStyle w:val="BodyText"/>
        <w:spacing w:line="240" w:lineRule="auto"/>
        <w:ind w:left="574" w:right="0"/>
        <w:jc w:val="left"/>
      </w:pPr>
      <w:r>
        <w:rPr>
          <w:spacing w:val="-3"/>
        </w:rPr>
        <w:t>（</w:t>
      </w: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6"/>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日，经本公司第二届董事会第三十次会议决议通过了《关于回购注销离职股权激</w:t>
      </w:r>
    </w:p>
    <w:p>
      <w:pPr>
        <w:pStyle w:val="BodyText"/>
        <w:spacing w:line="285" w:lineRule="auto" w:before="50"/>
        <w:ind w:left="154" w:right="1026"/>
        <w:jc w:val="both"/>
      </w:pPr>
      <w:r>
        <w:rPr/>
        <w:t>励对象所持已获授但尚未解锁的限制性股票的议案》，取消离职人员叶立伟等共计 </w:t>
      </w:r>
      <w:r>
        <w:rPr>
          <w:rFonts w:ascii="Times New Roman" w:hAnsi="Times New Roman" w:cs="Times New Roman" w:eastAsia="Times New Roman" w:hint="default"/>
        </w:rPr>
        <w:t>27</w:t>
      </w:r>
      <w:r>
        <w:rPr>
          <w:rFonts w:ascii="Times New Roman" w:hAnsi="Times New Roman" w:cs="Times New Roman" w:eastAsia="Times New Roman" w:hint="default"/>
          <w:spacing w:val="30"/>
        </w:rPr>
        <w:t> </w:t>
      </w:r>
      <w:r>
        <w:rPr/>
        <w:t>人的激励对象资格 并回购注销其已获授权但尚未解锁的全部限制性股票</w:t>
      </w:r>
      <w:r>
        <w:rPr>
          <w:rFonts w:ascii="Times New Roman" w:hAnsi="Times New Roman" w:cs="Times New Roman" w:eastAsia="Times New Roman" w:hint="default"/>
        </w:rPr>
        <w:t>;</w:t>
      </w:r>
      <w:r>
        <w:rPr/>
        <w:t>根据《限制性股票激励计划》之规定，</w:t>
      </w:r>
      <w:r>
        <w:rPr>
          <w:rFonts w:ascii="Times New Roman" w:hAnsi="Times New Roman" w:cs="Times New Roman" w:eastAsia="Times New Roman" w:hint="default"/>
        </w:rPr>
        <w:t>“</w:t>
      </w:r>
      <w:r>
        <w:rPr/>
        <w:t>考核结果为</w:t>
      </w:r>
      <w:r>
        <w:rPr>
          <w:spacing w:val="-71"/>
        </w:rPr>
        <w:t> </w:t>
      </w:r>
      <w:r>
        <w:rPr>
          <w:rFonts w:ascii="Times New Roman" w:hAnsi="Times New Roman" w:cs="Times New Roman" w:eastAsia="Times New Roman" w:hint="default"/>
        </w:rPr>
        <w:t>C</w:t>
      </w:r>
      <w:r>
        <w:rPr>
          <w:rFonts w:ascii="Times New Roman" w:hAnsi="Times New Roman" w:cs="Times New Roman" w:eastAsia="Times New Roman" w:hint="default"/>
          <w:spacing w:val="-12"/>
        </w:rPr>
        <w:t> </w:t>
      </w:r>
      <w:r>
        <w:rPr/>
        <w:t>级的股权激励对象，</w:t>
      </w:r>
      <w:r>
        <w:rPr>
          <w:spacing w:val="-47"/>
        </w:rPr>
        <w:t> </w:t>
      </w:r>
      <w:r>
        <w:rPr/>
        <w:t>解锁系数为</w:t>
      </w:r>
      <w:r>
        <w:rPr>
          <w:spacing w:val="-54"/>
        </w:rPr>
        <w:t> </w:t>
      </w:r>
      <w:r>
        <w:rPr>
          <w:rFonts w:ascii="Times New Roman" w:hAnsi="Times New Roman" w:cs="Times New Roman" w:eastAsia="Times New Roman" w:hint="default"/>
        </w:rPr>
        <w:t>0.8”</w:t>
      </w:r>
      <w:r>
        <w:rPr>
          <w:rFonts w:ascii="Times New Roman" w:hAnsi="Times New Roman" w:cs="Times New Roman" w:eastAsia="Times New Roman" w:hint="default"/>
          <w:spacing w:val="31"/>
        </w:rPr>
        <w:t> </w:t>
      </w:r>
      <w:r>
        <w:rPr>
          <w:spacing w:val="-6"/>
        </w:rPr>
        <w:t>，回购注销</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年度考核结果为</w:t>
      </w:r>
      <w:r>
        <w:rPr>
          <w:spacing w:val="-54"/>
        </w:rPr>
        <w:t> </w:t>
      </w:r>
      <w:r>
        <w:rPr>
          <w:rFonts w:ascii="Times New Roman" w:hAnsi="Times New Roman" w:cs="Times New Roman" w:eastAsia="Times New Roman" w:hint="default"/>
        </w:rPr>
        <w:t>C</w:t>
      </w:r>
      <w:r>
        <w:rPr>
          <w:rFonts w:ascii="Times New Roman" w:hAnsi="Times New Roman" w:cs="Times New Roman" w:eastAsia="Times New Roman" w:hint="default"/>
          <w:spacing w:val="-12"/>
        </w:rPr>
        <w:t> </w:t>
      </w:r>
      <w:r>
        <w:rPr/>
        <w:t>级的</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名股权激励对象陈利锋 本期未能解锁的限制性股票。由于股权激励授予后公司实施权益分派，资本公积转增股本，因而回购每股 单价按照激励计划进行调整，本次回购注销上述限制性股票合计</w:t>
      </w:r>
      <w:r>
        <w:rPr>
          <w:spacing w:val="-54"/>
        </w:rPr>
        <w:t> </w:t>
      </w:r>
      <w:r>
        <w:rPr>
          <w:rFonts w:ascii="Times New Roman" w:hAnsi="Times New Roman" w:cs="Times New Roman" w:eastAsia="Times New Roman" w:hint="default"/>
        </w:rPr>
        <w:t>257,384</w:t>
      </w:r>
      <w:r>
        <w:rPr>
          <w:rFonts w:ascii="Times New Roman" w:hAnsi="Times New Roman" w:cs="Times New Roman" w:eastAsia="Times New Roman" w:hint="default"/>
          <w:spacing w:val="-12"/>
        </w:rPr>
        <w:t> </w:t>
      </w:r>
      <w:r>
        <w:rPr/>
        <w:t>股，回购款合计</w:t>
      </w:r>
      <w:r>
        <w:rPr>
          <w:spacing w:val="-54"/>
        </w:rPr>
        <w:t> </w:t>
      </w:r>
      <w:r>
        <w:rPr>
          <w:rFonts w:ascii="Times New Roman" w:hAnsi="Times New Roman" w:cs="Times New Roman" w:eastAsia="Times New Roman" w:hint="default"/>
        </w:rPr>
        <w:t>5,268,630.60</w:t>
      </w:r>
      <w:r>
        <w:rPr>
          <w:rFonts w:ascii="Times New Roman" w:hAnsi="Times New Roman" w:cs="Times New Roman" w:eastAsia="Times New Roman" w:hint="default"/>
          <w:spacing w:val="-13"/>
        </w:rPr>
        <w:t> </w:t>
      </w:r>
      <w:r>
        <w:rPr/>
        <w:t>元。</w:t>
      </w:r>
    </w:p>
    <w:p>
      <w:pPr>
        <w:pStyle w:val="BodyText"/>
        <w:spacing w:line="240" w:lineRule="auto" w:before="6"/>
        <w:ind w:left="154" w:right="0"/>
        <w:jc w:val="both"/>
      </w:pPr>
      <w:r>
        <w:rPr/>
        <w:t>公司相应减少股本</w:t>
      </w:r>
      <w:r>
        <w:rPr>
          <w:spacing w:val="-33"/>
        </w:rPr>
        <w:t> </w:t>
      </w:r>
      <w:r>
        <w:rPr>
          <w:rFonts w:ascii="Times New Roman" w:hAnsi="Times New Roman" w:cs="Times New Roman" w:eastAsia="Times New Roman" w:hint="default"/>
        </w:rPr>
        <w:t>257,384</w:t>
      </w:r>
      <w:r>
        <w:rPr>
          <w:rFonts w:ascii="Times New Roman" w:hAnsi="Times New Roman" w:cs="Times New Roman" w:eastAsia="Times New Roman" w:hint="default"/>
          <w:spacing w:val="-1"/>
        </w:rPr>
        <w:t> </w:t>
      </w:r>
      <w:r>
        <w:rPr/>
        <w:t>元，减少库存股</w:t>
      </w:r>
      <w:r>
        <w:rPr>
          <w:spacing w:val="-33"/>
        </w:rPr>
        <w:t> </w:t>
      </w:r>
      <w:r>
        <w:rPr>
          <w:rFonts w:ascii="Times New Roman" w:hAnsi="Times New Roman" w:cs="Times New Roman" w:eastAsia="Times New Roman" w:hint="default"/>
        </w:rPr>
        <w:t>5,268,630.60</w:t>
      </w:r>
      <w:r>
        <w:rPr>
          <w:rFonts w:ascii="Times New Roman" w:hAnsi="Times New Roman" w:cs="Times New Roman" w:eastAsia="Times New Roman" w:hint="default"/>
          <w:spacing w:val="-1"/>
        </w:rPr>
        <w:t> </w:t>
      </w:r>
      <w:r>
        <w:rPr/>
        <w:t>元，减少资本公积</w:t>
      </w:r>
      <w:r>
        <w:rPr>
          <w:rFonts w:ascii="Times New Roman" w:hAnsi="Times New Roman" w:cs="Times New Roman" w:eastAsia="Times New Roman" w:hint="default"/>
        </w:rPr>
        <w:t>-</w:t>
      </w:r>
      <w:r>
        <w:rPr/>
        <w:t>股本溢价</w:t>
      </w:r>
      <w:r>
        <w:rPr>
          <w:spacing w:val="-33"/>
        </w:rPr>
        <w:t> </w:t>
      </w:r>
      <w:r>
        <w:rPr>
          <w:rFonts w:ascii="Times New Roman" w:hAnsi="Times New Roman" w:cs="Times New Roman" w:eastAsia="Times New Roman" w:hint="default"/>
        </w:rPr>
        <w:t>5,211,246.60</w:t>
      </w:r>
      <w:r>
        <w:rPr>
          <w:rFonts w:ascii="Times New Roman" w:hAnsi="Times New Roman" w:cs="Times New Roman" w:eastAsia="Times New Roman" w:hint="default"/>
          <w:spacing w:val="-2"/>
        </w:rPr>
        <w:t> </w:t>
      </w:r>
      <w:r>
        <w:rPr/>
        <w:t>元。业</w:t>
      </w:r>
    </w:p>
    <w:p>
      <w:pPr>
        <w:spacing w:after="0" w:line="240" w:lineRule="auto"/>
        <w:jc w:val="both"/>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40" w:lineRule="auto" w:before="35"/>
        <w:ind w:left="214" w:right="0"/>
        <w:jc w:val="both"/>
      </w:pPr>
      <w:r>
        <w:rPr/>
        <w:t>经致同会计师事务所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出具的致同验字</w:t>
      </w:r>
      <w:r>
        <w:rPr>
          <w:rFonts w:ascii="Times New Roman" w:hAnsi="Times New Roman" w:cs="Times New Roman" w:eastAsia="Times New Roman" w:hint="default"/>
        </w:rPr>
        <w:t>(2018)</w:t>
      </w:r>
      <w:r>
        <w:rPr/>
        <w:t>第</w:t>
      </w:r>
      <w:r>
        <w:rPr>
          <w:spacing w:val="-56"/>
        </w:rPr>
        <w:t> </w:t>
      </w:r>
      <w:r>
        <w:rPr>
          <w:rFonts w:ascii="Times New Roman" w:hAnsi="Times New Roman" w:cs="Times New Roman" w:eastAsia="Times New Roman" w:hint="default"/>
        </w:rPr>
        <w:t>110ZC0141</w:t>
      </w:r>
      <w:r>
        <w:rPr>
          <w:rFonts w:ascii="Times New Roman" w:hAnsi="Times New Roman" w:cs="Times New Roman" w:eastAsia="Times New Roman" w:hint="default"/>
          <w:spacing w:val="-13"/>
        </w:rPr>
        <w:t> </w:t>
      </w:r>
      <w:r>
        <w:rPr/>
        <w:t>号验资报告予以验证。</w:t>
      </w:r>
    </w:p>
    <w:p>
      <w:pPr>
        <w:spacing w:line="240" w:lineRule="auto" w:before="9"/>
        <w:rPr>
          <w:rFonts w:ascii="宋体" w:hAnsi="宋体" w:cs="宋体" w:eastAsia="宋体" w:hint="default"/>
          <w:sz w:val="16"/>
          <w:szCs w:val="16"/>
        </w:rPr>
      </w:pPr>
    </w:p>
    <w:p>
      <w:pPr>
        <w:pStyle w:val="BodyText"/>
        <w:spacing w:line="240" w:lineRule="auto"/>
        <w:ind w:right="1016"/>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3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36"/>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日，经本公司第三届董事会第三次会议决议通过了《关于回购注销离职股权激</w:t>
      </w:r>
    </w:p>
    <w:p>
      <w:pPr>
        <w:pStyle w:val="BodyText"/>
        <w:spacing w:line="292" w:lineRule="auto" w:before="49"/>
        <w:ind w:left="214" w:right="1130"/>
        <w:jc w:val="both"/>
      </w:pPr>
      <w:r>
        <w:rPr/>
        <w:t>励对象所持已获授权但尚未解锁的限制性股票的议案》，取消冯春等共计 </w:t>
      </w:r>
      <w:r>
        <w:rPr>
          <w:rFonts w:ascii="Times New Roman" w:hAnsi="Times New Roman" w:cs="Times New Roman" w:eastAsia="Times New Roman" w:hint="default"/>
        </w:rPr>
        <w:t>57</w:t>
      </w:r>
      <w:r>
        <w:rPr>
          <w:rFonts w:ascii="Times New Roman" w:hAnsi="Times New Roman" w:cs="Times New Roman" w:eastAsia="Times New Roman" w:hint="default"/>
          <w:spacing w:val="30"/>
        </w:rPr>
        <w:t> </w:t>
      </w:r>
      <w:r>
        <w:rPr/>
        <w:t>名已离职人员的激励对象资 </w:t>
      </w:r>
      <w:r>
        <w:rPr>
          <w:spacing w:val="-1"/>
        </w:rPr>
        <w:t>格并回购注销其已获授权但尚未解锁的全部限制性股票。由于股权激励授予后公司实施权益分派，资本公</w:t>
      </w:r>
      <w:r>
        <w:rPr>
          <w:spacing w:val="-81"/>
        </w:rPr>
        <w:t> </w:t>
      </w:r>
      <w:r>
        <w:rPr>
          <w:spacing w:val="-81"/>
        </w:rPr>
      </w:r>
      <w:r>
        <w:rPr>
          <w:spacing w:val="-1"/>
        </w:rPr>
        <w:t>积转增股本，因而回购每股单价按照激励计划进行调整，但回购款总额与合计授予价格一致，本次回购注</w:t>
      </w:r>
      <w:r>
        <w:rPr>
          <w:spacing w:val="-83"/>
        </w:rPr>
        <w:t> </w:t>
      </w:r>
      <w:r>
        <w:rPr>
          <w:spacing w:val="-83"/>
        </w:rPr>
      </w:r>
      <w:r>
        <w:rPr/>
        <w:t>销限制性股票合计</w:t>
      </w:r>
      <w:r>
        <w:rPr>
          <w:spacing w:val="-48"/>
        </w:rPr>
        <w:t> </w:t>
      </w:r>
      <w:r>
        <w:rPr>
          <w:rFonts w:ascii="Times New Roman" w:hAnsi="Times New Roman" w:cs="Times New Roman" w:eastAsia="Times New Roman" w:hint="default"/>
        </w:rPr>
        <w:t>530,391</w:t>
      </w:r>
      <w:r>
        <w:rPr>
          <w:rFonts w:ascii="Times New Roman" w:hAnsi="Times New Roman" w:cs="Times New Roman" w:eastAsia="Times New Roman" w:hint="default"/>
          <w:spacing w:val="-11"/>
        </w:rPr>
        <w:t> </w:t>
      </w:r>
      <w:r>
        <w:rPr/>
        <w:t>股，回购款合计</w:t>
      </w:r>
      <w:r>
        <w:rPr>
          <w:spacing w:val="-48"/>
        </w:rPr>
        <w:t> </w:t>
      </w:r>
      <w:r>
        <w:rPr>
          <w:rFonts w:ascii="Times New Roman" w:hAnsi="Times New Roman" w:cs="Times New Roman" w:eastAsia="Times New Roman" w:hint="default"/>
        </w:rPr>
        <w:t>11,023,896.30</w:t>
      </w:r>
      <w:r>
        <w:rPr>
          <w:rFonts w:ascii="Times New Roman" w:hAnsi="Times New Roman" w:cs="Times New Roman" w:eastAsia="Times New Roman" w:hint="default"/>
          <w:spacing w:val="-11"/>
        </w:rPr>
        <w:t> </w:t>
      </w:r>
      <w:r>
        <w:rPr/>
        <w:t>元。公司相应减少股本</w:t>
      </w:r>
      <w:r>
        <w:rPr>
          <w:spacing w:val="-48"/>
        </w:rPr>
        <w:t> </w:t>
      </w:r>
      <w:r>
        <w:rPr>
          <w:rFonts w:ascii="Times New Roman" w:hAnsi="Times New Roman" w:cs="Times New Roman" w:eastAsia="Times New Roman" w:hint="default"/>
        </w:rPr>
        <w:t>530,391.00</w:t>
      </w:r>
      <w:r>
        <w:rPr>
          <w:rFonts w:ascii="Times New Roman" w:hAnsi="Times New Roman" w:cs="Times New Roman" w:eastAsia="Times New Roman" w:hint="default"/>
          <w:spacing w:val="-13"/>
        </w:rPr>
        <w:t> </w:t>
      </w:r>
      <w:r>
        <w:rPr>
          <w:spacing w:val="-2"/>
        </w:rPr>
        <w:t>元，减少库存</w:t>
      </w:r>
      <w:r>
        <w:rPr/>
      </w:r>
    </w:p>
    <w:p>
      <w:pPr>
        <w:pStyle w:val="BodyText"/>
        <w:spacing w:line="290" w:lineRule="exact"/>
        <w:ind w:left="214" w:right="0"/>
        <w:jc w:val="both"/>
      </w:pPr>
      <w:r>
        <w:rPr/>
        <w:t>股</w:t>
      </w:r>
      <w:r>
        <w:rPr>
          <w:spacing w:val="-55"/>
        </w:rPr>
        <w:t> </w:t>
      </w:r>
      <w:r>
        <w:rPr>
          <w:rFonts w:ascii="Times New Roman" w:hAnsi="Times New Roman" w:cs="Times New Roman" w:eastAsia="Times New Roman" w:hint="default"/>
        </w:rPr>
        <w:t>11,023,896.30</w:t>
      </w:r>
      <w:r>
        <w:rPr>
          <w:rFonts w:ascii="Times New Roman" w:hAnsi="Times New Roman" w:cs="Times New Roman" w:eastAsia="Times New Roman" w:hint="default"/>
          <w:spacing w:val="-11"/>
        </w:rPr>
        <w:t> </w:t>
      </w:r>
      <w:r>
        <w:rPr/>
        <w:t>元，减少资本公积</w:t>
      </w:r>
      <w:r>
        <w:rPr>
          <w:rFonts w:ascii="Times New Roman" w:hAnsi="Times New Roman" w:cs="Times New Roman" w:eastAsia="Times New Roman" w:hint="default"/>
        </w:rPr>
        <w:t>-</w:t>
      </w:r>
      <w:r>
        <w:rPr/>
        <w:t>股本溢价</w:t>
      </w:r>
      <w:r>
        <w:rPr>
          <w:spacing w:val="-54"/>
        </w:rPr>
        <w:t> </w:t>
      </w:r>
      <w:r>
        <w:rPr>
          <w:rFonts w:ascii="Times New Roman" w:hAnsi="Times New Roman" w:cs="Times New Roman" w:eastAsia="Times New Roman" w:hint="default"/>
        </w:rPr>
        <w:t>10,493,505.30</w:t>
      </w:r>
      <w:r>
        <w:rPr>
          <w:rFonts w:ascii="Times New Roman" w:hAnsi="Times New Roman" w:cs="Times New Roman" w:eastAsia="Times New Roman" w:hint="default"/>
          <w:spacing w:val="-12"/>
        </w:rPr>
        <w:t> </w:t>
      </w:r>
      <w:r>
        <w:rPr/>
        <w:t>元。</w:t>
      </w:r>
    </w:p>
    <w:p>
      <w:pPr>
        <w:spacing w:line="240" w:lineRule="auto" w:before="1"/>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45、其他权益工具" w:id="311"/>
      <w:bookmarkEnd w:id="311"/>
      <w:r>
        <w:rPr/>
      </w:r>
      <w:r>
        <w:rPr>
          <w:rFonts w:ascii="Times New Roman" w:hAnsi="Times New Roman" w:cs="Times New Roman" w:eastAsia="Times New Roman" w:hint="default"/>
        </w:rPr>
        <w:t>45</w:t>
      </w:r>
      <w:r>
        <w:rPr>
          <w:rFonts w:ascii="微软雅黑" w:hAnsi="微软雅黑" w:cs="微软雅黑" w:eastAsia="微软雅黑" w:hint="default"/>
        </w:rPr>
        <w:t>、其他权益工具</w:t>
      </w:r>
    </w:p>
    <w:p>
      <w:pPr>
        <w:pStyle w:val="BodyText"/>
        <w:spacing w:line="510" w:lineRule="atLeast" w:before="133"/>
        <w:ind w:right="1123"/>
        <w:jc w:val="left"/>
      </w:pPr>
      <w:bookmarkStart w:name="（1）期末发行在外的优先股、永续债等其他金融工具基本情况" w:id="312"/>
      <w:bookmarkEnd w:id="312"/>
      <w:r>
        <w:rPr/>
      </w:r>
      <w:r>
        <w:rPr/>
        <w:t>（</w:t>
      </w:r>
      <w:r>
        <w:rPr>
          <w:rFonts w:ascii="Times New Roman" w:hAnsi="Times New Roman" w:cs="Times New Roman" w:eastAsia="Times New Roman" w:hint="default"/>
        </w:rPr>
        <w:t>1</w:t>
      </w:r>
      <w:r>
        <w:rPr/>
        <w:t>）期末发行在外的优先股、永续债等其他金融工具基本情况 </w:t>
      </w:r>
      <w:r>
        <w:rPr>
          <w:spacing w:val="-3"/>
        </w:rPr>
        <w:t>本公司之子公司重庆创通与高通（中国）投资有限公司（简称</w:t>
      </w:r>
      <w:r>
        <w:rPr>
          <w:rFonts w:ascii="Times New Roman" w:hAnsi="Times New Roman" w:cs="Times New Roman" w:eastAsia="Times New Roman" w:hint="default"/>
          <w:spacing w:val="-3"/>
        </w:rPr>
        <w:t>“</w:t>
      </w:r>
      <w:r>
        <w:rPr>
          <w:spacing w:val="-3"/>
        </w:rPr>
        <w:t>高通中国</w:t>
      </w:r>
      <w:r>
        <w:rPr>
          <w:rFonts w:ascii="Times New Roman" w:hAnsi="Times New Roman" w:cs="Times New Roman" w:eastAsia="Times New Roman" w:hint="default"/>
          <w:spacing w:val="-3"/>
        </w:rPr>
        <w:t>”</w:t>
      </w:r>
      <w:r>
        <w:rPr>
          <w:spacing w:val="-3"/>
        </w:rPr>
        <w:t>公司）于</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月签订的</w:t>
      </w:r>
    </w:p>
    <w:p>
      <w:pPr>
        <w:pStyle w:val="BodyText"/>
        <w:spacing w:line="290" w:lineRule="auto" w:before="49"/>
        <w:ind w:left="214" w:right="1130"/>
        <w:jc w:val="both"/>
      </w:pPr>
      <w:r>
        <w:rPr>
          <w:spacing w:val="-6"/>
        </w:rPr>
        <w:t>贷款协议，高通中国作为重庆创通的股东，持有重庆创通</w:t>
      </w:r>
      <w:r>
        <w:rPr>
          <w:spacing w:val="-40"/>
        </w:rPr>
        <w:t> </w:t>
      </w:r>
      <w:r>
        <w:rPr>
          <w:rFonts w:ascii="Times New Roman" w:hAnsi="Times New Roman" w:cs="Times New Roman" w:eastAsia="Times New Roman" w:hint="default"/>
          <w:spacing w:val="-4"/>
        </w:rPr>
        <w:t>18.03%</w:t>
      </w:r>
      <w:r>
        <w:rPr>
          <w:spacing w:val="-4"/>
        </w:rPr>
        <w:t>的股权，向重庆创通提供一笔</w:t>
      </w:r>
      <w:r>
        <w:rPr>
          <w:spacing w:val="-40"/>
        </w:rPr>
        <w:t> </w:t>
      </w:r>
      <w:r>
        <w:rPr>
          <w:rFonts w:ascii="Times New Roman" w:hAnsi="Times New Roman" w:cs="Times New Roman" w:eastAsia="Times New Roman" w:hint="default"/>
        </w:rPr>
        <w:t>6,860,800.00</w:t>
      </w:r>
      <w:r>
        <w:rPr>
          <w:rFonts w:ascii="Times New Roman" w:hAnsi="Times New Roman" w:cs="Times New Roman" w:eastAsia="Times New Roman" w:hint="default"/>
          <w:spacing w:val="-51"/>
        </w:rPr>
        <w:t> </w:t>
      </w:r>
      <w:r>
        <w:rPr/>
        <w:t>元的可转换贷款，并约定贷款指定用于促进并扩展电信产业的合作，借款期限</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spacing w:val="-5"/>
        </w:rPr>
        <w:t>年，年利率</w:t>
      </w:r>
      <w:r>
        <w:rPr>
          <w:spacing w:val="-65"/>
        </w:rPr>
        <w:t> </w:t>
      </w:r>
      <w:r>
        <w:rPr>
          <w:rFonts w:ascii="Times New Roman" w:hAnsi="Times New Roman" w:cs="Times New Roman" w:eastAsia="Times New Roman" w:hint="default"/>
          <w:spacing w:val="-3"/>
        </w:rPr>
        <w:t>3.5%</w:t>
      </w:r>
      <w:r>
        <w:rPr>
          <w:spacing w:val="-3"/>
        </w:rPr>
        <w:t>，到期一</w:t>
      </w:r>
      <w:r>
        <w:rPr/>
        <w:t> </w:t>
      </w:r>
      <w:r>
        <w:rPr>
          <w:spacing w:val="-1"/>
        </w:rPr>
        <w:t>次还本付息，除高通中国书面同意外，重庆创通不应因任何原因以任何方式提前偿还贷款。高通中国有权</w:t>
      </w:r>
      <w:r>
        <w:rPr>
          <w:spacing w:val="-83"/>
        </w:rPr>
        <w:t> </w:t>
      </w:r>
      <w:r>
        <w:rPr>
          <w:spacing w:val="-83"/>
        </w:rPr>
      </w:r>
      <w:r>
        <w:rPr>
          <w:spacing w:val="-1"/>
        </w:rPr>
        <w:t>在重庆创通达到协议约定情形时，选择将贷款以初始投资当天同样的股价，将所有未偿还贷款转为对重庆</w:t>
      </w:r>
      <w:r>
        <w:rPr>
          <w:spacing w:val="-81"/>
        </w:rPr>
        <w:t> </w:t>
      </w:r>
      <w:r>
        <w:rPr>
          <w:spacing w:val="-81"/>
        </w:rPr>
      </w:r>
      <w:r>
        <w:rPr/>
        <w:t>创通的股份，同时免除贷款利息。</w:t>
      </w:r>
    </w:p>
    <w:p>
      <w:pPr>
        <w:spacing w:line="240" w:lineRule="auto" w:before="7"/>
        <w:rPr>
          <w:rFonts w:ascii="宋体" w:hAnsi="宋体" w:cs="宋体" w:eastAsia="宋体" w:hint="default"/>
          <w:sz w:val="14"/>
          <w:szCs w:val="14"/>
        </w:rPr>
      </w:pPr>
    </w:p>
    <w:p>
      <w:pPr>
        <w:pStyle w:val="BodyText"/>
        <w:spacing w:line="288" w:lineRule="auto"/>
        <w:ind w:left="214" w:right="1130" w:firstLine="420"/>
        <w:jc w:val="both"/>
      </w:pPr>
      <w:r>
        <w:rPr>
          <w:spacing w:val="-1"/>
        </w:rPr>
        <w:t>本集团根据所发行金融工具的上述合同条款及其所反映的经济实质，符合权益工具的定义，在初始确</w:t>
      </w:r>
      <w:r>
        <w:rPr/>
        <w:t> 认时将该金融工具分类为权益工具。根据央行公布的金融机构</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年期人民币贷款基准年利率</w:t>
      </w:r>
      <w:r>
        <w:rPr>
          <w:spacing w:val="-43"/>
        </w:rPr>
        <w:t> </w:t>
      </w:r>
      <w:r>
        <w:rPr>
          <w:rFonts w:ascii="Times New Roman" w:hAnsi="Times New Roman" w:cs="Times New Roman" w:eastAsia="Times New Roman" w:hint="default"/>
        </w:rPr>
        <w:t>4.75%</w:t>
      </w:r>
      <w:r>
        <w:rPr/>
        <w:t>，计算 上述到期一次还本付息可转换贷款 </w:t>
      </w:r>
      <w:r>
        <w:rPr>
          <w:rFonts w:ascii="Times New Roman" w:hAnsi="Times New Roman" w:cs="Times New Roman" w:eastAsia="Times New Roman" w:hint="default"/>
        </w:rPr>
        <w:t>6,860,800.00 </w:t>
      </w:r>
      <w:r>
        <w:rPr/>
        <w:t>元中负债部分公允价值为 </w:t>
      </w:r>
      <w:r>
        <w:rPr>
          <w:rFonts w:ascii="Times New Roman" w:hAnsi="Times New Roman" w:cs="Times New Roman" w:eastAsia="Times New Roman" w:hint="default"/>
        </w:rPr>
        <w:t>6,391,915.78</w:t>
      </w:r>
      <w:r>
        <w:rPr>
          <w:rFonts w:ascii="Times New Roman" w:hAnsi="Times New Roman" w:cs="Times New Roman" w:eastAsia="Times New Roman" w:hint="default"/>
          <w:spacing w:val="-25"/>
        </w:rPr>
        <w:t> </w:t>
      </w:r>
      <w:r>
        <w:rPr/>
        <w:t>元，权益部分公允</w:t>
      </w:r>
    </w:p>
    <w:p>
      <w:pPr>
        <w:pStyle w:val="BodyText"/>
        <w:spacing w:line="240" w:lineRule="auto" w:before="3"/>
        <w:ind w:left="214" w:right="0"/>
        <w:jc w:val="both"/>
      </w:pPr>
      <w:r>
        <w:rPr/>
        <w:t>价值为</w:t>
      </w:r>
      <w:r>
        <w:rPr>
          <w:spacing w:val="-53"/>
        </w:rPr>
        <w:t> </w:t>
      </w:r>
      <w:r>
        <w:rPr>
          <w:rFonts w:ascii="Times New Roman" w:hAnsi="Times New Roman" w:cs="Times New Roman" w:eastAsia="Times New Roman" w:hint="default"/>
        </w:rPr>
        <w:t>468,884.22</w:t>
      </w:r>
      <w:r>
        <w:rPr>
          <w:rFonts w:ascii="Times New Roman" w:hAnsi="Times New Roman" w:cs="Times New Roman" w:eastAsia="Times New Roman" w:hint="default"/>
          <w:spacing w:val="-11"/>
        </w:rPr>
        <w:t> </w:t>
      </w:r>
      <w:r>
        <w:rPr/>
        <w:t>元，扣除少数股东影响，相应增加本集团其他权益工具</w:t>
      </w:r>
      <w:r>
        <w:rPr>
          <w:spacing w:val="-53"/>
        </w:rPr>
        <w:t> </w:t>
      </w:r>
      <w:r>
        <w:rPr>
          <w:rFonts w:ascii="Times New Roman" w:hAnsi="Times New Roman" w:cs="Times New Roman" w:eastAsia="Times New Roman" w:hint="default"/>
        </w:rPr>
        <w:t>384,344.40</w:t>
      </w:r>
      <w:r>
        <w:rPr>
          <w:rFonts w:ascii="Times New Roman" w:hAnsi="Times New Roman" w:cs="Times New Roman" w:eastAsia="Times New Roman" w:hint="default"/>
          <w:spacing w:val="-11"/>
        </w:rPr>
        <w:t> </w:t>
      </w:r>
      <w:r>
        <w:rPr/>
        <w:t>元，本期无变化。</w:t>
      </w:r>
    </w:p>
    <w:p>
      <w:pPr>
        <w:spacing w:line="240" w:lineRule="auto" w:before="9"/>
        <w:rPr>
          <w:rFonts w:ascii="宋体" w:hAnsi="宋体" w:cs="宋体" w:eastAsia="宋体" w:hint="default"/>
          <w:sz w:val="16"/>
          <w:szCs w:val="16"/>
        </w:rPr>
      </w:pPr>
    </w:p>
    <w:p>
      <w:pPr>
        <w:pStyle w:val="BodyText"/>
        <w:spacing w:line="240" w:lineRule="auto"/>
        <w:ind w:right="1016"/>
        <w:jc w:val="left"/>
      </w:pPr>
      <w:bookmarkStart w:name="（2）期末发行在外的优先股、永续债等金融工具变动情况表" w:id="313"/>
      <w:bookmarkEnd w:id="313"/>
      <w:r>
        <w:rPr/>
      </w:r>
      <w:r>
        <w:rPr/>
        <w:t>（</w:t>
      </w:r>
      <w:r>
        <w:rPr>
          <w:rFonts w:ascii="Times New Roman" w:hAnsi="Times New Roman" w:cs="Times New Roman" w:eastAsia="Times New Roman" w:hint="default"/>
        </w:rPr>
        <w:t>2</w:t>
      </w:r>
      <w:r>
        <w:rPr/>
        <w:t>）期末发行在外的优先股、永续债等金融工具变动情况表</w:t>
      </w:r>
    </w:p>
    <w:p>
      <w:pPr>
        <w:spacing w:line="240" w:lineRule="auto" w:before="13"/>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188"/>
        <w:gridCol w:w="1006"/>
        <w:gridCol w:w="1094"/>
        <w:gridCol w:w="1096"/>
        <w:gridCol w:w="1094"/>
        <w:gridCol w:w="1094"/>
        <w:gridCol w:w="1094"/>
        <w:gridCol w:w="1094"/>
        <w:gridCol w:w="1094"/>
      </w:tblGrid>
      <w:tr>
        <w:trPr>
          <w:trHeight w:val="407" w:hRule="exact"/>
        </w:trPr>
        <w:tc>
          <w:tcPr>
            <w:tcW w:w="11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32" w:lineRule="exact"/>
              <w:ind w:left="229" w:right="13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7" w:hRule="exact"/>
        </w:trPr>
        <w:tc>
          <w:tcPr>
            <w:tcW w:w="1188" w:type="dxa"/>
            <w:vMerge/>
            <w:tcBorders>
              <w:left w:val="single" w:sz="4" w:space="0" w:color="000000"/>
              <w:bottom w:val="single" w:sz="4" w:space="0" w:color="000000"/>
              <w:right w:val="single" w:sz="4" w:space="0" w:color="000000"/>
            </w:tcBorders>
            <w:shd w:val="clear" w:color="auto" w:fill="D2D2D2"/>
          </w:tcPr>
          <w:p>
            <w:pP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转股权</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384,344.40</w:t>
            </w:r>
          </w:p>
        </w:tc>
        <w:tc>
          <w:tcPr>
            <w:tcW w:w="109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384,344.40</w:t>
            </w:r>
          </w:p>
        </w:tc>
      </w:tr>
      <w:tr>
        <w:trPr>
          <w:trHeight w:val="408" w:hRule="exact"/>
        </w:trPr>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384,344.40</w:t>
            </w:r>
          </w:p>
        </w:tc>
        <w:tc>
          <w:tcPr>
            <w:tcW w:w="109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384,344.40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其他权益工具本期增减变动情况、变动原因说明，以及相关会计处理的依据：</w:t>
      </w:r>
    </w:p>
    <w:p>
      <w:pPr>
        <w:spacing w:line="240" w:lineRule="auto" w:before="4"/>
        <w:rPr>
          <w:rFonts w:ascii="宋体" w:hAnsi="宋体" w:cs="宋体" w:eastAsia="宋体" w:hint="default"/>
          <w:sz w:val="17"/>
          <w:szCs w:val="17"/>
        </w:rPr>
      </w:pPr>
    </w:p>
    <w:p>
      <w:pPr>
        <w:pStyle w:val="BodyText"/>
        <w:spacing w:line="240" w:lineRule="auto"/>
        <w:ind w:right="1016"/>
        <w:jc w:val="left"/>
        <w:rPr>
          <w:rFonts w:ascii="微软雅黑" w:hAnsi="微软雅黑" w:cs="微软雅黑" w:eastAsia="微软雅黑" w:hint="default"/>
        </w:rPr>
      </w:pPr>
      <w:bookmarkStart w:name="46、资本公积" w:id="314"/>
      <w:bookmarkEnd w:id="314"/>
      <w:r>
        <w:rPr/>
      </w:r>
      <w:r>
        <w:rPr>
          <w:rFonts w:ascii="Times New Roman" w:hAnsi="Times New Roman" w:cs="Times New Roman" w:eastAsia="Times New Roman" w:hint="default"/>
        </w:rPr>
        <w:t>46</w:t>
      </w:r>
      <w:r>
        <w:rPr>
          <w:rFonts w:ascii="微软雅黑" w:hAnsi="微软雅黑" w:cs="微软雅黑" w:eastAsia="微软雅黑" w:hint="default"/>
        </w:rPr>
        <w:t>、资本公积</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583,888,136.78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40,117,906.68</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15,504,751.90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608,501,291.56</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46,895,319.14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35,622,940.99</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40,117,906.68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42,400,353.45</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630,783,455.92</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75,740,847.67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55,622,658.58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650,901,645.01</w:t>
            </w:r>
          </w:p>
        </w:tc>
      </w:tr>
    </w:tbl>
    <w:p>
      <w:pPr>
        <w:spacing w:line="240" w:lineRule="auto" w:before="6"/>
        <w:rPr>
          <w:rFonts w:ascii="宋体" w:hAnsi="宋体" w:cs="宋体" w:eastAsia="宋体" w:hint="default"/>
          <w:sz w:val="7"/>
          <w:szCs w:val="7"/>
        </w:rPr>
      </w:pPr>
    </w:p>
    <w:p>
      <w:pPr>
        <w:pStyle w:val="BodyText"/>
        <w:spacing w:line="240" w:lineRule="auto" w:before="35"/>
        <w:ind w:left="214" w:right="1016"/>
        <w:jc w:val="left"/>
      </w:pPr>
      <w:r>
        <w:rPr/>
        <w:t>说明：</w:t>
      </w:r>
    </w:p>
    <w:p>
      <w:pPr>
        <w:spacing w:after="0" w:line="240" w:lineRule="auto"/>
        <w:jc w:val="left"/>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40" w:lineRule="auto" w:before="35"/>
        <w:ind w:right="1016"/>
        <w:jc w:val="left"/>
      </w:pPr>
      <w:r>
        <w:rPr/>
        <w:t>（</w:t>
      </w:r>
      <w:r>
        <w:rPr>
          <w:rFonts w:ascii="Times New Roman" w:hAnsi="Times New Roman" w:cs="Times New Roman" w:eastAsia="Times New Roman" w:hint="default"/>
        </w:rPr>
        <w:t>1</w:t>
      </w:r>
      <w:r>
        <w:rPr/>
        <w:t>）股本溢价增减变动：</w:t>
      </w:r>
    </w:p>
    <w:p>
      <w:pPr>
        <w:spacing w:line="240" w:lineRule="auto" w:before="9"/>
        <w:rPr>
          <w:rFonts w:ascii="宋体" w:hAnsi="宋体" w:cs="宋体" w:eastAsia="宋体" w:hint="default"/>
          <w:sz w:val="16"/>
          <w:szCs w:val="16"/>
        </w:rPr>
      </w:pPr>
    </w:p>
    <w:p>
      <w:pPr>
        <w:pStyle w:val="BodyText"/>
        <w:spacing w:line="240" w:lineRule="auto"/>
        <w:ind w:right="1016"/>
        <w:jc w:val="left"/>
      </w:pPr>
      <w:r>
        <w:rPr/>
        <w:t>①</w:t>
      </w:r>
      <w:r>
        <w:rPr>
          <w:spacing w:val="-7"/>
        </w:rPr>
        <w:t> </w:t>
      </w:r>
      <w:r>
        <w:rPr/>
        <w:t>本公司本期股权激励限制性股票解锁增加资本公积</w:t>
      </w:r>
      <w:r>
        <w:rPr>
          <w:rFonts w:ascii="Times New Roman" w:hAnsi="Times New Roman" w:cs="Times New Roman" w:eastAsia="Times New Roman" w:hint="default"/>
        </w:rPr>
        <w:t>-</w:t>
      </w:r>
      <w:r>
        <w:rPr/>
        <w:t>股本溢价</w:t>
      </w:r>
      <w:r>
        <w:rPr>
          <w:spacing w:val="-57"/>
        </w:rPr>
        <w:t> </w:t>
      </w:r>
      <w:r>
        <w:rPr>
          <w:rFonts w:ascii="Times New Roman" w:hAnsi="Times New Roman" w:cs="Times New Roman" w:eastAsia="Times New Roman" w:hint="default"/>
        </w:rPr>
        <w:t>40,117,906.68</w:t>
      </w:r>
      <w:r>
        <w:rPr>
          <w:rFonts w:ascii="Times New Roman" w:hAnsi="Times New Roman" w:cs="Times New Roman" w:eastAsia="Times New Roman" w:hint="default"/>
          <w:spacing w:val="-4"/>
        </w:rPr>
        <w:t> </w:t>
      </w:r>
      <w:r>
        <w:rPr/>
        <w:t>元，详见本节五、</w:t>
      </w:r>
      <w:r>
        <w:rPr>
          <w:rFonts w:ascii="Times New Roman" w:hAnsi="Times New Roman" w:cs="Times New Roman" w:eastAsia="Times New Roman" w:hint="default"/>
        </w:rPr>
        <w:t>47</w:t>
      </w:r>
      <w:r>
        <w:rPr/>
        <w:t>。</w:t>
      </w:r>
    </w:p>
    <w:p>
      <w:pPr>
        <w:spacing w:line="240" w:lineRule="auto" w:before="8"/>
        <w:rPr>
          <w:rFonts w:ascii="宋体" w:hAnsi="宋体" w:cs="宋体" w:eastAsia="宋体" w:hint="default"/>
          <w:sz w:val="16"/>
          <w:szCs w:val="16"/>
        </w:rPr>
      </w:pPr>
    </w:p>
    <w:p>
      <w:pPr>
        <w:pStyle w:val="BodyText"/>
        <w:spacing w:line="280" w:lineRule="auto"/>
        <w:ind w:left="214" w:right="1120" w:firstLine="420"/>
        <w:jc w:val="left"/>
      </w:pPr>
      <w:r>
        <w:rPr/>
        <w:t>②</w:t>
      </w:r>
      <w:r>
        <w:rPr>
          <w:spacing w:val="-10"/>
        </w:rPr>
        <w:t> </w:t>
      </w:r>
      <w:r>
        <w:rPr/>
        <w:t>本公司本期回购并注销股权激励限制性股票，相应减少资本公积</w:t>
      </w:r>
      <w:r>
        <w:rPr>
          <w:rFonts w:ascii="Times New Roman" w:hAnsi="Times New Roman" w:cs="Times New Roman" w:eastAsia="Times New Roman" w:hint="default"/>
        </w:rPr>
        <w:t>-</w:t>
      </w:r>
      <w:r>
        <w:rPr/>
        <w:t>股本溢</w:t>
      </w:r>
      <w:r>
        <w:rPr>
          <w:spacing w:val="-58"/>
        </w:rPr>
        <w:t> </w:t>
      </w:r>
      <w:r>
        <w:rPr>
          <w:rFonts w:ascii="Times New Roman" w:hAnsi="Times New Roman" w:cs="Times New Roman" w:eastAsia="Times New Roman" w:hint="default"/>
        </w:rPr>
        <w:t>15,504,751.90</w:t>
      </w:r>
      <w:r>
        <w:rPr>
          <w:rFonts w:ascii="Times New Roman" w:hAnsi="Times New Roman" w:cs="Times New Roman" w:eastAsia="Times New Roman" w:hint="default"/>
          <w:spacing w:val="-5"/>
        </w:rPr>
        <w:t> </w:t>
      </w:r>
      <w:r>
        <w:rPr>
          <w:spacing w:val="-5"/>
        </w:rPr>
        <w:t>元，详见本</w:t>
      </w:r>
      <w:r>
        <w:rPr/>
        <w:t> 节五、</w:t>
      </w:r>
      <w:r>
        <w:rPr>
          <w:rFonts w:ascii="Times New Roman" w:hAnsi="Times New Roman" w:cs="Times New Roman" w:eastAsia="Times New Roman" w:hint="default"/>
        </w:rPr>
        <w:t>44</w:t>
      </w:r>
      <w:r>
        <w:rPr/>
        <w:t>。</w:t>
      </w:r>
    </w:p>
    <w:p>
      <w:pPr>
        <w:pStyle w:val="BodyText"/>
        <w:spacing w:line="240" w:lineRule="auto" w:before="178"/>
        <w:ind w:right="1016"/>
        <w:jc w:val="left"/>
      </w:pPr>
      <w:r>
        <w:rPr/>
        <w:t>（</w:t>
      </w:r>
      <w:r>
        <w:rPr>
          <w:rFonts w:ascii="Times New Roman" w:hAnsi="Times New Roman" w:cs="Times New Roman" w:eastAsia="Times New Roman" w:hint="default"/>
        </w:rPr>
        <w:t>2</w:t>
      </w:r>
      <w:r>
        <w:rPr/>
        <w:t>）其他资本公积增减变动：</w:t>
      </w:r>
    </w:p>
    <w:p>
      <w:pPr>
        <w:spacing w:line="240" w:lineRule="auto" w:before="8"/>
        <w:rPr>
          <w:rFonts w:ascii="宋体" w:hAnsi="宋体" w:cs="宋体" w:eastAsia="宋体" w:hint="default"/>
          <w:sz w:val="16"/>
          <w:szCs w:val="16"/>
        </w:rPr>
      </w:pPr>
    </w:p>
    <w:p>
      <w:pPr>
        <w:pStyle w:val="BodyText"/>
        <w:tabs>
          <w:tab w:pos="1054" w:val="left" w:leader="none"/>
        </w:tabs>
        <w:spacing w:line="297" w:lineRule="auto"/>
        <w:ind w:left="214" w:right="1131" w:firstLine="420"/>
        <w:jc w:val="left"/>
      </w:pPr>
      <w:r>
        <w:rPr/>
        <w:t>①</w:t>
        <w:tab/>
      </w:r>
      <w:r>
        <w:rPr>
          <w:spacing w:val="-1"/>
        </w:rPr>
        <w:t>本公司本期依据股权激励计划确认股权激励费用形成资本公积，扣除少数股东的影响，相应增加</w:t>
      </w:r>
      <w:r>
        <w:rPr/>
        <w:t> 其他资本公积</w:t>
      </w:r>
      <w:r>
        <w:rPr>
          <w:spacing w:val="-53"/>
        </w:rPr>
        <w:t> </w:t>
      </w:r>
      <w:r>
        <w:rPr>
          <w:rFonts w:ascii="Times New Roman" w:hAnsi="Times New Roman" w:cs="Times New Roman" w:eastAsia="Times New Roman" w:hint="default"/>
        </w:rPr>
        <w:t>35,378,212.89</w:t>
      </w:r>
      <w:r>
        <w:rPr>
          <w:rFonts w:ascii="Times New Roman" w:hAnsi="Times New Roman" w:cs="Times New Roman" w:eastAsia="Times New Roman" w:hint="default"/>
          <w:spacing w:val="-11"/>
        </w:rPr>
        <w:t> </w:t>
      </w:r>
      <w:r>
        <w:rPr/>
        <w:t>元。</w:t>
      </w:r>
    </w:p>
    <w:p>
      <w:pPr>
        <w:pStyle w:val="BodyText"/>
        <w:tabs>
          <w:tab w:pos="1054" w:val="left" w:leader="none"/>
        </w:tabs>
        <w:spacing w:line="240" w:lineRule="auto" w:before="162"/>
        <w:ind w:right="1016"/>
        <w:jc w:val="left"/>
      </w:pPr>
      <w:r>
        <w:rPr/>
        <w:t>②</w:t>
        <w:tab/>
        <w:t>本公司本期限制性股票解锁，相应减少本集团其他资本公积</w:t>
      </w:r>
      <w:r>
        <w:rPr>
          <w:spacing w:val="-54"/>
        </w:rPr>
        <w:t> </w:t>
      </w:r>
      <w:r>
        <w:rPr>
          <w:rFonts w:ascii="Times New Roman" w:hAnsi="Times New Roman" w:cs="Times New Roman" w:eastAsia="Times New Roman" w:hint="default"/>
        </w:rPr>
        <w:t>40,117,906.68</w:t>
      </w:r>
      <w:r>
        <w:rPr>
          <w:rFonts w:ascii="Times New Roman" w:hAnsi="Times New Roman" w:cs="Times New Roman" w:eastAsia="Times New Roman" w:hint="default"/>
          <w:spacing w:val="-11"/>
        </w:rPr>
        <w:t> </w:t>
      </w:r>
      <w:r>
        <w:rPr/>
        <w:t>元，详见本节五、</w:t>
      </w:r>
      <w:r>
        <w:rPr>
          <w:rFonts w:ascii="Times New Roman" w:hAnsi="Times New Roman" w:cs="Times New Roman" w:eastAsia="Times New Roman" w:hint="default"/>
        </w:rPr>
        <w:t>47</w:t>
      </w:r>
      <w:r>
        <w:rPr/>
        <w:t>。</w:t>
      </w:r>
    </w:p>
    <w:p>
      <w:pPr>
        <w:spacing w:line="240" w:lineRule="auto" w:before="9"/>
        <w:rPr>
          <w:rFonts w:ascii="宋体" w:hAnsi="宋体" w:cs="宋体" w:eastAsia="宋体" w:hint="default"/>
          <w:sz w:val="16"/>
          <w:szCs w:val="16"/>
        </w:rPr>
      </w:pPr>
    </w:p>
    <w:p>
      <w:pPr>
        <w:pStyle w:val="BodyText"/>
        <w:tabs>
          <w:tab w:pos="1054" w:val="left" w:leader="none"/>
        </w:tabs>
        <w:spacing w:line="280" w:lineRule="auto"/>
        <w:ind w:left="214" w:right="1130" w:firstLine="420"/>
        <w:jc w:val="left"/>
      </w:pPr>
      <w:r>
        <w:rPr/>
        <w:t>③</w:t>
        <w:tab/>
        <w:t>本公司之子公司北京创思远达科技有限公司本期收购其他股东出资</w:t>
      </w:r>
      <w:r>
        <w:rPr>
          <w:spacing w:val="-59"/>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6"/>
        </w:rPr>
        <w:t> </w:t>
      </w:r>
      <w:r>
        <w:rPr/>
        <w:t>元，本公司持股比 例由</w:t>
      </w:r>
      <w:r>
        <w:rPr>
          <w:spacing w:val="-55"/>
        </w:rPr>
        <w:t> </w:t>
      </w:r>
      <w:r>
        <w:rPr>
          <w:rFonts w:ascii="Times New Roman" w:hAnsi="Times New Roman" w:cs="Times New Roman" w:eastAsia="Times New Roman" w:hint="default"/>
        </w:rPr>
        <w:t>95%</w:t>
      </w:r>
      <w:r>
        <w:rPr/>
        <w:t>增加至</w:t>
      </w:r>
      <w:r>
        <w:rPr>
          <w:spacing w:val="-55"/>
        </w:rPr>
        <w:t> </w:t>
      </w:r>
      <w:r>
        <w:rPr>
          <w:rFonts w:ascii="Times New Roman" w:hAnsi="Times New Roman" w:cs="Times New Roman" w:eastAsia="Times New Roman" w:hint="default"/>
        </w:rPr>
        <w:t>100%</w:t>
      </w:r>
      <w:r>
        <w:rPr/>
        <w:t>，因权益性交易，增加本集团资本公积</w:t>
      </w:r>
      <w:r>
        <w:rPr>
          <w:spacing w:val="-54"/>
        </w:rPr>
        <w:t> </w:t>
      </w:r>
      <w:r>
        <w:rPr>
          <w:rFonts w:ascii="Times New Roman" w:hAnsi="Times New Roman" w:cs="Times New Roman" w:eastAsia="Times New Roman" w:hint="default"/>
        </w:rPr>
        <w:t>40,058.31</w:t>
      </w:r>
      <w:r>
        <w:rPr>
          <w:rFonts w:ascii="Times New Roman" w:hAnsi="Times New Roman" w:cs="Times New Roman" w:eastAsia="Times New Roman" w:hint="default"/>
          <w:spacing w:val="-13"/>
        </w:rPr>
        <w:t> </w:t>
      </w:r>
      <w:r>
        <w:rPr/>
        <w:t>元。</w:t>
      </w:r>
    </w:p>
    <w:p>
      <w:pPr>
        <w:pStyle w:val="BodyText"/>
        <w:tabs>
          <w:tab w:pos="1054" w:val="left" w:leader="none"/>
        </w:tabs>
        <w:spacing w:line="240" w:lineRule="auto" w:before="178"/>
        <w:ind w:right="0"/>
        <w:jc w:val="left"/>
      </w:pPr>
      <w:r>
        <w:rPr/>
        <w:t>④</w:t>
        <w:tab/>
        <w:t>本公司对合营企业中天智慧科技有限公司实施股份支付，增加本集团其他资本公积</w:t>
      </w:r>
      <w:r>
        <w:rPr>
          <w:spacing w:val="-60"/>
        </w:rPr>
        <w:t> </w:t>
      </w:r>
      <w:r>
        <w:rPr>
          <w:rFonts w:ascii="Times New Roman" w:hAnsi="Times New Roman" w:cs="Times New Roman" w:eastAsia="Times New Roman" w:hint="default"/>
        </w:rPr>
        <w:t>43,767.85</w:t>
      </w:r>
      <w:r>
        <w:rPr>
          <w:rFonts w:ascii="Times New Roman" w:hAnsi="Times New Roman" w:cs="Times New Roman" w:eastAsia="Times New Roman" w:hint="default"/>
          <w:spacing w:val="-17"/>
        </w:rPr>
        <w:t> </w:t>
      </w:r>
      <w:r>
        <w:rPr/>
        <w:t>元。</w:t>
      </w:r>
    </w:p>
    <w:p>
      <w:pPr>
        <w:spacing w:line="240" w:lineRule="auto" w:before="9"/>
        <w:rPr>
          <w:rFonts w:ascii="宋体" w:hAnsi="宋体" w:cs="宋体" w:eastAsia="宋体" w:hint="default"/>
          <w:sz w:val="16"/>
          <w:szCs w:val="16"/>
        </w:rPr>
      </w:pPr>
    </w:p>
    <w:p>
      <w:pPr>
        <w:pStyle w:val="BodyText"/>
        <w:tabs>
          <w:tab w:pos="1073" w:val="left" w:leader="none"/>
        </w:tabs>
        <w:spacing w:line="240" w:lineRule="auto"/>
        <w:ind w:right="1016"/>
        <w:jc w:val="left"/>
      </w:pPr>
      <w:r>
        <w:rPr/>
        <w:t>⑤</w:t>
        <w:tab/>
      </w:r>
      <w:r>
        <w:rPr>
          <w:spacing w:val="8"/>
        </w:rPr>
        <w:t>本公司对联营企业北京云创远景软件有限责任公司实施股份支付，增加本集团其他资本公积</w:t>
      </w:r>
    </w:p>
    <w:p>
      <w:pPr>
        <w:pStyle w:val="BodyText"/>
        <w:spacing w:line="240" w:lineRule="auto" w:before="64"/>
        <w:ind w:left="214" w:right="1016"/>
        <w:jc w:val="left"/>
      </w:pPr>
      <w:r>
        <w:rPr>
          <w:rFonts w:ascii="Times New Roman" w:hAnsi="Times New Roman" w:cs="Times New Roman" w:eastAsia="Times New Roman" w:hint="default"/>
        </w:rPr>
        <w:t>2,672.06</w:t>
      </w:r>
      <w:r>
        <w:rPr>
          <w:rFonts w:ascii="Times New Roman" w:hAnsi="Times New Roman" w:cs="Times New Roman" w:eastAsia="Times New Roman" w:hint="default"/>
          <w:spacing w:val="-11"/>
        </w:rPr>
        <w:t> </w:t>
      </w:r>
      <w:r>
        <w:rPr/>
        <w:t>元。</w:t>
      </w:r>
    </w:p>
    <w:p>
      <w:pPr>
        <w:spacing w:line="240" w:lineRule="auto" w:before="9"/>
        <w:rPr>
          <w:rFonts w:ascii="宋体" w:hAnsi="宋体" w:cs="宋体" w:eastAsia="宋体" w:hint="default"/>
          <w:sz w:val="16"/>
          <w:szCs w:val="16"/>
        </w:rPr>
      </w:pPr>
    </w:p>
    <w:p>
      <w:pPr>
        <w:pStyle w:val="BodyText"/>
        <w:tabs>
          <w:tab w:pos="1054" w:val="left" w:leader="none"/>
        </w:tabs>
        <w:spacing w:line="297" w:lineRule="auto"/>
        <w:ind w:left="214" w:right="1131" w:firstLine="420"/>
        <w:jc w:val="left"/>
      </w:pPr>
      <w:r>
        <w:rPr/>
        <w:t>⑥</w:t>
        <w:tab/>
      </w:r>
      <w:r>
        <w:rPr>
          <w:spacing w:val="-1"/>
        </w:rPr>
        <w:t>本公司本期因合营企业北京安创空间科技有限公司其他净资产变动，相应增加本集团其他资本公</w:t>
      </w:r>
      <w:r>
        <w:rPr/>
        <w:t> 积</w:t>
      </w:r>
      <w:r>
        <w:rPr>
          <w:spacing w:val="-53"/>
        </w:rPr>
        <w:t> </w:t>
      </w:r>
      <w:r>
        <w:rPr>
          <w:rFonts w:ascii="Times New Roman" w:hAnsi="Times New Roman" w:cs="Times New Roman" w:eastAsia="Times New Roman" w:hint="default"/>
        </w:rPr>
        <w:t>158,229.88</w:t>
      </w:r>
      <w:r>
        <w:rPr>
          <w:rFonts w:ascii="Times New Roman" w:hAnsi="Times New Roman" w:cs="Times New Roman" w:eastAsia="Times New Roman" w:hint="default"/>
          <w:spacing w:val="-10"/>
        </w:rPr>
        <w:t> </w:t>
      </w:r>
      <w:r>
        <w:rPr/>
        <w:t>元。</w:t>
      </w:r>
    </w:p>
    <w:p>
      <w:pPr>
        <w:pStyle w:val="BodyText"/>
        <w:spacing w:line="240" w:lineRule="auto" w:before="154"/>
        <w:ind w:right="1016"/>
        <w:jc w:val="left"/>
        <w:rPr>
          <w:rFonts w:ascii="微软雅黑" w:hAnsi="微软雅黑" w:cs="微软雅黑" w:eastAsia="微软雅黑" w:hint="default"/>
        </w:rPr>
      </w:pPr>
      <w:bookmarkStart w:name="47、库存股" w:id="315"/>
      <w:bookmarkEnd w:id="315"/>
      <w:r>
        <w:rPr/>
      </w:r>
      <w:r>
        <w:rPr>
          <w:rFonts w:ascii="Times New Roman" w:hAnsi="Times New Roman" w:cs="Times New Roman" w:eastAsia="Times New Roman" w:hint="default"/>
        </w:rPr>
        <w:t>47</w:t>
      </w:r>
      <w:r>
        <w:rPr>
          <w:rFonts w:ascii="微软雅黑" w:hAnsi="微软雅黑" w:cs="微软雅黑" w:eastAsia="微软雅黑" w:hint="default"/>
        </w:rPr>
        <w:t>、库存股</w:t>
      </w:r>
    </w:p>
    <w:p>
      <w:pPr>
        <w:spacing w:line="240" w:lineRule="auto" w:before="17"/>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182,388,017.67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173,403.06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87,772,359.23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94,789,061.50</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182,388,017.67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173,403.06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87,772,359.23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94,789,061.50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其他说明，包括本期增减变动情况、变动原因说明：</w:t>
      </w:r>
    </w:p>
    <w:p>
      <w:pPr>
        <w:spacing w:line="240" w:lineRule="auto" w:before="12"/>
        <w:rPr>
          <w:rFonts w:ascii="宋体" w:hAnsi="宋体" w:cs="宋体" w:eastAsia="宋体" w:hint="default"/>
          <w:sz w:val="17"/>
          <w:szCs w:val="17"/>
        </w:rPr>
      </w:pPr>
    </w:p>
    <w:p>
      <w:pPr>
        <w:pStyle w:val="BodyText"/>
        <w:spacing w:line="240" w:lineRule="auto"/>
        <w:ind w:right="1016"/>
        <w:jc w:val="left"/>
      </w:pPr>
      <w:r>
        <w:rPr/>
        <w:t>（</w:t>
      </w:r>
      <w:r>
        <w:rPr>
          <w:rFonts w:ascii="Times New Roman" w:hAnsi="Times New Roman" w:cs="Times New Roman" w:eastAsia="Times New Roman" w:hint="default"/>
        </w:rPr>
        <w:t>1</w:t>
      </w:r>
      <w:r>
        <w:rPr/>
        <w:t>）本期增加中</w:t>
      </w:r>
      <w:r>
        <w:rPr>
          <w:spacing w:val="-55"/>
        </w:rPr>
        <w:t> </w:t>
      </w:r>
      <w:r>
        <w:rPr>
          <w:rFonts w:ascii="Times New Roman" w:hAnsi="Times New Roman" w:cs="Times New Roman" w:eastAsia="Times New Roman" w:hint="default"/>
        </w:rPr>
        <w:t>167,839.51</w:t>
      </w:r>
      <w:r>
        <w:rPr>
          <w:rFonts w:ascii="Times New Roman" w:hAnsi="Times New Roman" w:cs="Times New Roman" w:eastAsia="Times New Roman" w:hint="default"/>
          <w:spacing w:val="-12"/>
        </w:rPr>
        <w:t> </w:t>
      </w:r>
      <w:r>
        <w:rPr/>
        <w:t>元系本公司回购</w:t>
      </w:r>
      <w:r>
        <w:rPr>
          <w:spacing w:val="-5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年授予限制性股票对应不予分配现金股利增加回购</w:t>
      </w:r>
    </w:p>
    <w:p>
      <w:pPr>
        <w:pStyle w:val="BodyText"/>
        <w:spacing w:line="280" w:lineRule="auto" w:before="49"/>
        <w:ind w:left="214" w:right="1117"/>
        <w:jc w:val="left"/>
      </w:pPr>
      <w:r>
        <w:rPr/>
        <w:t>义务及库存股形成；本期增加中 </w:t>
      </w:r>
      <w:r>
        <w:rPr>
          <w:rFonts w:ascii="Times New Roman" w:hAnsi="Times New Roman" w:cs="Times New Roman" w:eastAsia="Times New Roman" w:hint="default"/>
        </w:rPr>
        <w:t>5,563.55 </w:t>
      </w:r>
      <w:r>
        <w:rPr/>
        <w:t>元系本公司回购 </w:t>
      </w:r>
      <w:r>
        <w:rPr>
          <w:rFonts w:ascii="Times New Roman" w:hAnsi="Times New Roman" w:cs="Times New Roman" w:eastAsia="Times New Roman" w:hint="default"/>
        </w:rPr>
        <w:t>2017</w:t>
      </w:r>
      <w:r>
        <w:rPr>
          <w:rFonts w:ascii="Times New Roman" w:hAnsi="Times New Roman" w:cs="Times New Roman" w:eastAsia="Times New Roman" w:hint="default"/>
          <w:spacing w:val="-25"/>
        </w:rPr>
        <w:t> </w:t>
      </w:r>
      <w:r>
        <w:rPr/>
        <w:t>年授予限制性股票对应不予分配现金股利 增加回购义务及库存股形成。</w:t>
      </w:r>
    </w:p>
    <w:p>
      <w:pPr>
        <w:spacing w:line="240" w:lineRule="auto" w:before="2"/>
        <w:rPr>
          <w:rFonts w:ascii="宋体" w:hAnsi="宋体" w:cs="宋体" w:eastAsia="宋体" w:hint="default"/>
          <w:sz w:val="15"/>
          <w:szCs w:val="15"/>
        </w:rPr>
      </w:pPr>
    </w:p>
    <w:p>
      <w:pPr>
        <w:pStyle w:val="BodyText"/>
        <w:spacing w:line="240" w:lineRule="auto"/>
        <w:ind w:right="1016"/>
        <w:jc w:val="left"/>
      </w:pPr>
      <w:r>
        <w:rPr>
          <w:spacing w:val="-3"/>
        </w:rPr>
        <w:t>（</w:t>
      </w:r>
      <w:r>
        <w:rPr>
          <w:rFonts w:ascii="Times New Roman" w:hAnsi="Times New Roman" w:cs="Times New Roman" w:eastAsia="Times New Roman" w:hint="default"/>
          <w:spacing w:val="-3"/>
        </w:rPr>
        <w:t>2</w:t>
      </w:r>
      <w:r>
        <w:rPr>
          <w:spacing w:val="-3"/>
        </w:rPr>
        <w:t>）本期减少中</w:t>
      </w:r>
      <w:r>
        <w:rPr>
          <w:spacing w:val="-63"/>
        </w:rPr>
        <w:t> </w:t>
      </w:r>
      <w:r>
        <w:rPr>
          <w:rFonts w:ascii="Times New Roman" w:hAnsi="Times New Roman" w:cs="Times New Roman" w:eastAsia="Times New Roman" w:hint="default"/>
        </w:rPr>
        <w:t>60,545,956.53</w:t>
      </w:r>
      <w:r>
        <w:rPr>
          <w:rFonts w:ascii="Times New Roman" w:hAnsi="Times New Roman" w:cs="Times New Roman" w:eastAsia="Times New Roman" w:hint="default"/>
          <w:spacing w:val="-19"/>
        </w:rPr>
        <w:t> </w:t>
      </w:r>
      <w:r>
        <w:rPr/>
        <w:t>元系</w:t>
      </w:r>
      <w:r>
        <w:rPr>
          <w:spacing w:val="-6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9"/>
        </w:rPr>
        <w:t> </w:t>
      </w:r>
      <w:r>
        <w:rPr/>
        <w:t>年授予限制性股票解锁，解除回购义务，相应增加资本公积</w:t>
      </w:r>
    </w:p>
    <w:p>
      <w:pPr>
        <w:pStyle w:val="BodyText"/>
        <w:spacing w:line="240" w:lineRule="auto" w:before="49"/>
        <w:ind w:left="214" w:right="1016"/>
        <w:jc w:val="left"/>
      </w:pPr>
      <w:r>
        <w:rPr/>
        <w:t>股本溢价</w:t>
      </w:r>
      <w:r>
        <w:rPr>
          <w:spacing w:val="-39"/>
        </w:rPr>
        <w:t> </w:t>
      </w:r>
      <w:r>
        <w:rPr>
          <w:rFonts w:ascii="Times New Roman" w:hAnsi="Times New Roman" w:cs="Times New Roman" w:eastAsia="Times New Roman" w:hint="default"/>
        </w:rPr>
        <w:t>18,150,454.68</w:t>
      </w:r>
      <w:r>
        <w:rPr>
          <w:rFonts w:ascii="Times New Roman" w:hAnsi="Times New Roman" w:cs="Times New Roman" w:eastAsia="Times New Roman" w:hint="default"/>
          <w:spacing w:val="-6"/>
        </w:rPr>
        <w:t> </w:t>
      </w:r>
      <w:r>
        <w:rPr/>
        <w:t>元、减少资本公积其他资本公积</w:t>
      </w:r>
      <w:r>
        <w:rPr>
          <w:spacing w:val="-39"/>
        </w:rPr>
        <w:t> </w:t>
      </w:r>
      <w:r>
        <w:rPr>
          <w:rFonts w:ascii="Times New Roman" w:hAnsi="Times New Roman" w:cs="Times New Roman" w:eastAsia="Times New Roman" w:hint="default"/>
        </w:rPr>
        <w:t>18,150,454.68</w:t>
      </w:r>
      <w:r>
        <w:rPr>
          <w:rFonts w:ascii="Times New Roman" w:hAnsi="Times New Roman" w:cs="Times New Roman" w:eastAsia="Times New Roman" w:hint="default"/>
          <w:spacing w:val="-6"/>
        </w:rPr>
        <w:t> </w:t>
      </w:r>
      <w:r>
        <w:rPr/>
        <w:t>元；本期减少中</w:t>
      </w:r>
      <w:r>
        <w:rPr>
          <w:spacing w:val="-39"/>
        </w:rPr>
        <w:t> </w:t>
      </w:r>
      <w:r>
        <w:rPr>
          <w:rFonts w:ascii="Times New Roman" w:hAnsi="Times New Roman" w:cs="Times New Roman" w:eastAsia="Times New Roman" w:hint="default"/>
        </w:rPr>
        <w:t>10,486,044.00</w:t>
      </w:r>
      <w:r>
        <w:rPr>
          <w:rFonts w:ascii="Times New Roman" w:hAnsi="Times New Roman" w:cs="Times New Roman" w:eastAsia="Times New Roman" w:hint="default"/>
          <w:spacing w:val="-7"/>
        </w:rPr>
        <w:t> </w:t>
      </w:r>
      <w:r>
        <w:rPr/>
        <w:t>元系</w:t>
      </w:r>
    </w:p>
    <w:p>
      <w:pPr>
        <w:pStyle w:val="BodyText"/>
        <w:spacing w:line="240" w:lineRule="auto" w:before="50"/>
        <w:ind w:left="214" w:right="1016"/>
        <w:jc w:val="left"/>
      </w:pPr>
      <w:r>
        <w:rPr>
          <w:rFonts w:ascii="Times New Roman" w:hAnsi="Times New Roman" w:cs="Times New Roman" w:eastAsia="Times New Roman" w:hint="default"/>
        </w:rPr>
        <w:t>2017 </w:t>
      </w:r>
      <w:r>
        <w:rPr/>
        <w:t>年授予限制性股票解锁，解除回购义务，相应增加资本公积股本溢价 </w:t>
      </w:r>
      <w:r>
        <w:rPr>
          <w:rFonts w:ascii="Times New Roman" w:hAnsi="Times New Roman" w:cs="Times New Roman" w:eastAsia="Times New Roman" w:hint="default"/>
        </w:rPr>
        <w:t>21,967,452.00</w:t>
      </w:r>
      <w:r>
        <w:rPr>
          <w:rFonts w:ascii="Times New Roman" w:hAnsi="Times New Roman" w:cs="Times New Roman" w:eastAsia="Times New Roman" w:hint="default"/>
          <w:spacing w:val="26"/>
        </w:rPr>
        <w:t> </w:t>
      </w:r>
      <w:r>
        <w:rPr/>
        <w:t>元、减少资本公</w:t>
      </w:r>
    </w:p>
    <w:p>
      <w:pPr>
        <w:pStyle w:val="BodyText"/>
        <w:spacing w:line="240" w:lineRule="auto" w:before="50"/>
        <w:ind w:left="214" w:right="1016"/>
        <w:jc w:val="left"/>
      </w:pPr>
      <w:r>
        <w:rPr/>
        <w:t>积其他资本公积</w:t>
      </w:r>
      <w:r>
        <w:rPr>
          <w:spacing w:val="-51"/>
        </w:rPr>
        <w:t> </w:t>
      </w:r>
      <w:r>
        <w:rPr>
          <w:rFonts w:ascii="Times New Roman" w:hAnsi="Times New Roman" w:cs="Times New Roman" w:eastAsia="Times New Roman" w:hint="default"/>
        </w:rPr>
        <w:t>21,967,452.00</w:t>
      </w:r>
      <w:r>
        <w:rPr>
          <w:rFonts w:ascii="Times New Roman" w:hAnsi="Times New Roman" w:cs="Times New Roman" w:eastAsia="Times New Roman" w:hint="default"/>
          <w:spacing w:val="-14"/>
        </w:rPr>
        <w:t> </w:t>
      </w:r>
      <w:r>
        <w:rPr/>
        <w:t>元；本期减少中</w:t>
      </w:r>
      <w:r>
        <w:rPr>
          <w:spacing w:val="-51"/>
        </w:rPr>
        <w:t> </w:t>
      </w:r>
      <w:r>
        <w:rPr>
          <w:rFonts w:ascii="Times New Roman" w:hAnsi="Times New Roman" w:cs="Times New Roman" w:eastAsia="Times New Roman" w:hint="default"/>
        </w:rPr>
        <w:t>14,756,856.90</w:t>
      </w:r>
      <w:r>
        <w:rPr>
          <w:rFonts w:ascii="Times New Roman" w:hAnsi="Times New Roman" w:cs="Times New Roman" w:eastAsia="Times New Roman" w:hint="default"/>
          <w:spacing w:val="-14"/>
        </w:rPr>
        <w:t> </w:t>
      </w:r>
      <w:r>
        <w:rPr/>
        <w:t>元系回购注销</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年授予离职激励对象限制</w:t>
      </w:r>
    </w:p>
    <w:p>
      <w:pPr>
        <w:pStyle w:val="BodyText"/>
        <w:spacing w:line="240" w:lineRule="auto" w:before="50"/>
        <w:ind w:left="214" w:right="1016"/>
        <w:jc w:val="left"/>
      </w:pPr>
      <w:r>
        <w:rPr>
          <w:spacing w:val="-3"/>
        </w:rPr>
        <w:t>性股票形成；本期减少中</w:t>
      </w:r>
      <w:r>
        <w:rPr>
          <w:spacing w:val="-60"/>
        </w:rPr>
        <w:t> </w:t>
      </w:r>
      <w:r>
        <w:rPr>
          <w:rFonts w:ascii="Times New Roman" w:hAnsi="Times New Roman" w:cs="Times New Roman" w:eastAsia="Times New Roman" w:hint="default"/>
        </w:rPr>
        <w:t>1,535,670.00</w:t>
      </w:r>
      <w:r>
        <w:rPr>
          <w:rFonts w:ascii="Times New Roman" w:hAnsi="Times New Roman" w:cs="Times New Roman" w:eastAsia="Times New Roman" w:hint="default"/>
          <w:spacing w:val="-16"/>
        </w:rPr>
        <w:t> </w:t>
      </w:r>
      <w:r>
        <w:rPr/>
        <w:t>元系回购注销</w:t>
      </w:r>
      <w:r>
        <w:rPr>
          <w:spacing w:val="-6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年授予离职激励对象限制性股票形成；本期减少</w:t>
      </w:r>
    </w:p>
    <w:p>
      <w:pPr>
        <w:pStyle w:val="BodyText"/>
        <w:spacing w:line="240" w:lineRule="auto" w:before="49"/>
        <w:ind w:left="214" w:right="1016"/>
        <w:jc w:val="left"/>
      </w:pPr>
      <w:r>
        <w:rPr/>
        <w:t>中</w:t>
      </w:r>
      <w:r>
        <w:rPr>
          <w:spacing w:val="-47"/>
        </w:rPr>
        <w:t> </w:t>
      </w:r>
      <w:r>
        <w:rPr>
          <w:rFonts w:ascii="Times New Roman" w:hAnsi="Times New Roman" w:cs="Times New Roman" w:eastAsia="Times New Roman" w:hint="default"/>
        </w:rPr>
        <w:t>298,144.41</w:t>
      </w:r>
      <w:r>
        <w:rPr>
          <w:rFonts w:ascii="Times New Roman" w:hAnsi="Times New Roman" w:cs="Times New Roman" w:eastAsia="Times New Roman" w:hint="default"/>
          <w:spacing w:val="-12"/>
        </w:rPr>
        <w:t> </w:t>
      </w:r>
      <w:r>
        <w:rPr/>
        <w:t>元系本公司</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年授予限制性股票分配</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年现金红利形成；本期减少中</w:t>
      </w:r>
      <w:r>
        <w:rPr>
          <w:spacing w:val="-47"/>
        </w:rPr>
        <w:t> </w:t>
      </w:r>
      <w:r>
        <w:rPr>
          <w:rFonts w:ascii="Times New Roman" w:hAnsi="Times New Roman" w:cs="Times New Roman" w:eastAsia="Times New Roman" w:hint="default"/>
        </w:rPr>
        <w:t>149,687.39</w:t>
      </w:r>
      <w:r>
        <w:rPr>
          <w:rFonts w:ascii="Times New Roman" w:hAnsi="Times New Roman" w:cs="Times New Roman" w:eastAsia="Times New Roman" w:hint="default"/>
          <w:spacing w:val="-14"/>
        </w:rPr>
        <w:t> </w:t>
      </w:r>
      <w:r>
        <w:rPr/>
        <w:t>元系</w:t>
      </w:r>
    </w:p>
    <w:p>
      <w:pPr>
        <w:pStyle w:val="BodyText"/>
        <w:spacing w:line="240" w:lineRule="auto" w:before="50"/>
        <w:ind w:left="214" w:right="1016"/>
        <w:jc w:val="left"/>
      </w:pPr>
      <w:r>
        <w:rPr/>
        <w:t>本公司</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年授予限制性股票分配</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年现金红利形成。</w:t>
      </w:r>
    </w:p>
    <w:p>
      <w:pPr>
        <w:spacing w:after="0" w:line="240" w:lineRule="auto"/>
        <w:jc w:val="left"/>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left="674" w:right="4872"/>
        <w:jc w:val="left"/>
        <w:rPr>
          <w:rFonts w:ascii="微软雅黑" w:hAnsi="微软雅黑" w:cs="微软雅黑" w:eastAsia="微软雅黑" w:hint="default"/>
        </w:rPr>
      </w:pPr>
      <w:bookmarkStart w:name="48、其他综合收益" w:id="316"/>
      <w:bookmarkEnd w:id="316"/>
      <w:r>
        <w:rPr/>
      </w:r>
      <w:r>
        <w:rPr>
          <w:rFonts w:ascii="Times New Roman" w:hAnsi="Times New Roman" w:cs="Times New Roman" w:eastAsia="Times New Roman" w:hint="default"/>
        </w:rPr>
        <w:t>48</w:t>
      </w:r>
      <w:r>
        <w:rPr>
          <w:rFonts w:ascii="微软雅黑" w:hAnsi="微软雅黑" w:cs="微软雅黑" w:eastAsia="微软雅黑" w:hint="default"/>
        </w:rPr>
        <w:t>、其他综合收益</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1395"/>
        <w:gridCol w:w="1162"/>
        <w:gridCol w:w="1353"/>
        <w:gridCol w:w="1396"/>
        <w:gridCol w:w="907"/>
        <w:gridCol w:w="1302"/>
        <w:gridCol w:w="1256"/>
        <w:gridCol w:w="1160"/>
      </w:tblGrid>
      <w:tr>
        <w:trPr>
          <w:trHeight w:val="366" w:hRule="exact"/>
        </w:trPr>
        <w:tc>
          <w:tcPr>
            <w:tcW w:w="13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752"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00" w:right="130"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152" w:right="101" w:hanging="50"/>
              <w:jc w:val="both"/>
              <w:rPr>
                <w:rFonts w:ascii="宋体" w:hAnsi="宋体" w:cs="宋体" w:eastAsia="宋体" w:hint="default"/>
                <w:sz w:val="18"/>
                <w:szCs w:val="18"/>
              </w:rPr>
            </w:pPr>
            <w:r>
              <w:rPr>
                <w:rFonts w:ascii="宋体" w:hAnsi="宋体" w:cs="宋体" w:eastAsia="宋体" w:hint="default"/>
                <w:spacing w:val="-12"/>
                <w:sz w:val="18"/>
                <w:szCs w:val="18"/>
              </w:rPr>
              <w:t>减：前期计入其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他综合收益当 期转入损益</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177" w:right="101" w:hanging="76"/>
              <w:jc w:val="left"/>
              <w:rPr>
                <w:rFonts w:ascii="宋体" w:hAnsi="宋体" w:cs="宋体" w:eastAsia="宋体" w:hint="default"/>
                <w:sz w:val="18"/>
                <w:szCs w:val="18"/>
              </w:rPr>
            </w:pPr>
            <w:r>
              <w:rPr>
                <w:rFonts w:ascii="宋体" w:hAnsi="宋体" w:cs="宋体" w:eastAsia="宋体" w:hint="default"/>
                <w:spacing w:val="-7"/>
                <w:sz w:val="18"/>
                <w:szCs w:val="18"/>
              </w:rPr>
              <w:t>减：所得</w:t>
            </w:r>
            <w:r>
              <w:rPr>
                <w:rFonts w:ascii="宋体" w:hAnsi="宋体" w:cs="宋体" w:eastAsia="宋体" w:hint="default"/>
                <w:sz w:val="18"/>
                <w:szCs w:val="18"/>
              </w:rPr>
              <w:t> 税费用</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465" w:right="105"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262" w:right="173" w:hanging="90"/>
              <w:jc w:val="left"/>
              <w:rPr>
                <w:rFonts w:ascii="宋体" w:hAnsi="宋体" w:cs="宋体" w:eastAsia="宋体" w:hint="default"/>
                <w:sz w:val="18"/>
                <w:szCs w:val="18"/>
              </w:rPr>
            </w:pPr>
            <w:r>
              <w:rPr>
                <w:rFonts w:ascii="宋体" w:hAnsi="宋体" w:cs="宋体" w:eastAsia="宋体" w:hint="default"/>
                <w:sz w:val="18"/>
                <w:szCs w:val="18"/>
              </w:rPr>
              <w:t>税后归属于 少数股东</w:t>
            </w:r>
          </w:p>
        </w:tc>
        <w:tc>
          <w:tcPr>
            <w:tcW w:w="116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4"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710"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2"/>
                <w:sz w:val="18"/>
                <w:szCs w:val="18"/>
              </w:rPr>
              <w:t>、</w:t>
            </w:r>
            <w:r>
              <w:rPr>
                <w:rFonts w:ascii="宋体" w:hAnsi="宋体" w:cs="宋体" w:eastAsia="宋体" w:hint="default"/>
                <w:sz w:val="18"/>
                <w:szCs w:val="18"/>
              </w:rPr>
              <w:t>将重分类进</w:t>
            </w:r>
          </w:p>
          <w:p>
            <w:pPr>
              <w:pStyle w:val="TableParagraph"/>
              <w:spacing w:line="232" w:lineRule="exact" w:before="24"/>
              <w:ind w:left="103" w:right="201"/>
              <w:jc w:val="left"/>
              <w:rPr>
                <w:rFonts w:ascii="宋体" w:hAnsi="宋体" w:cs="宋体" w:eastAsia="宋体" w:hint="default"/>
                <w:sz w:val="18"/>
                <w:szCs w:val="18"/>
              </w:rPr>
            </w:pPr>
            <w:r>
              <w:rPr>
                <w:rFonts w:ascii="宋体" w:hAnsi="宋体" w:cs="宋体" w:eastAsia="宋体" w:hint="default"/>
                <w:sz w:val="18"/>
                <w:szCs w:val="18"/>
              </w:rPr>
              <w:t>损益的其他综 合收益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3,258,823.01</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2,028,933.61</w:t>
            </w:r>
          </w:p>
        </w:tc>
        <w:tc>
          <w:tcPr>
            <w:tcW w:w="139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1,927,488.82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101,444.79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5,186,311.83</w:t>
            </w:r>
          </w:p>
        </w:tc>
      </w:tr>
      <w:tr>
        <w:trPr>
          <w:trHeight w:val="710"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2"/>
                <w:sz w:val="18"/>
                <w:szCs w:val="18"/>
              </w:rPr>
              <w:t>：</w:t>
            </w:r>
            <w:r>
              <w:rPr>
                <w:rFonts w:ascii="宋体" w:hAnsi="宋体" w:cs="宋体" w:eastAsia="宋体" w:hint="default"/>
                <w:sz w:val="18"/>
                <w:szCs w:val="18"/>
              </w:rPr>
              <w:t>权益法下</w:t>
            </w:r>
          </w:p>
          <w:p>
            <w:pPr>
              <w:pStyle w:val="TableParagraph"/>
              <w:spacing w:line="232" w:lineRule="exact" w:before="24"/>
              <w:ind w:left="103" w:right="201"/>
              <w:jc w:val="left"/>
              <w:rPr>
                <w:rFonts w:ascii="宋体" w:hAnsi="宋体" w:cs="宋体" w:eastAsia="宋体" w:hint="default"/>
                <w:sz w:val="18"/>
                <w:szCs w:val="18"/>
              </w:rPr>
            </w:pPr>
            <w:r>
              <w:rPr>
                <w:rFonts w:ascii="宋体" w:hAnsi="宋体" w:cs="宋体" w:eastAsia="宋体" w:hint="default"/>
                <w:sz w:val="18"/>
                <w:szCs w:val="18"/>
              </w:rPr>
              <w:t>可转损益的其 他综合收益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-108,027.21</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471,432.80</w:t>
            </w:r>
          </w:p>
        </w:tc>
        <w:tc>
          <w:tcPr>
            <w:tcW w:w="139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471,432.80</w:t>
            </w:r>
          </w:p>
        </w:tc>
        <w:tc>
          <w:tcPr>
            <w:tcW w:w="125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363,405.59</w:t>
            </w:r>
          </w:p>
        </w:tc>
      </w:tr>
      <w:tr>
        <w:trPr>
          <w:trHeight w:val="710"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firstLine="540"/>
              <w:jc w:val="left"/>
              <w:rPr>
                <w:rFonts w:ascii="宋体" w:hAnsi="宋体" w:cs="宋体" w:eastAsia="宋体" w:hint="default"/>
                <w:sz w:val="18"/>
                <w:szCs w:val="18"/>
              </w:rPr>
            </w:pPr>
            <w:r>
              <w:rPr>
                <w:rFonts w:ascii="宋体" w:hAnsi="宋体" w:cs="宋体" w:eastAsia="宋体" w:hint="default"/>
                <w:sz w:val="18"/>
                <w:szCs w:val="18"/>
              </w:rPr>
              <w:t>外币财</w:t>
            </w:r>
          </w:p>
          <w:p>
            <w:pPr>
              <w:pStyle w:val="TableParagraph"/>
              <w:spacing w:line="232" w:lineRule="exact" w:before="24"/>
              <w:ind w:left="103" w:right="201"/>
              <w:jc w:val="left"/>
              <w:rPr>
                <w:rFonts w:ascii="宋体" w:hAnsi="宋体" w:cs="宋体" w:eastAsia="宋体" w:hint="default"/>
                <w:sz w:val="18"/>
                <w:szCs w:val="18"/>
              </w:rPr>
            </w:pPr>
            <w:r>
              <w:rPr>
                <w:rFonts w:ascii="宋体" w:hAnsi="宋体" w:cs="宋体" w:eastAsia="宋体" w:hint="default"/>
                <w:sz w:val="18"/>
                <w:szCs w:val="18"/>
              </w:rPr>
              <w:t>务报表折算差 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3,366,850.22</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1,557,500.81</w:t>
            </w:r>
          </w:p>
        </w:tc>
        <w:tc>
          <w:tcPr>
            <w:tcW w:w="139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1,456,056.02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101,444.79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4,822,906.24</w:t>
            </w:r>
          </w:p>
        </w:tc>
      </w:tr>
      <w:tr>
        <w:trPr>
          <w:trHeight w:val="47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其他综合收益</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3,258,823.01</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2,028,933.61</w:t>
            </w:r>
          </w:p>
        </w:tc>
        <w:tc>
          <w:tcPr>
            <w:tcW w:w="1396"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1,927,488.82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101,444.79</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5,186,311.83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left="674" w:right="4872"/>
        <w:jc w:val="left"/>
        <w:rPr>
          <w:rFonts w:ascii="微软雅黑" w:hAnsi="微软雅黑" w:cs="微软雅黑" w:eastAsia="微软雅黑" w:hint="default"/>
        </w:rPr>
      </w:pPr>
      <w:bookmarkStart w:name="49、专项储备" w:id="317"/>
      <w:bookmarkEnd w:id="317"/>
      <w:r>
        <w:rPr/>
      </w:r>
      <w:r>
        <w:rPr>
          <w:rFonts w:ascii="Times New Roman" w:hAnsi="Times New Roman" w:cs="Times New Roman" w:eastAsia="Times New Roman" w:hint="default"/>
        </w:rPr>
        <w:t>49</w:t>
      </w:r>
      <w:r>
        <w:rPr>
          <w:rFonts w:ascii="微软雅黑" w:hAnsi="微软雅黑" w:cs="微软雅黑" w:eastAsia="微软雅黑" w:hint="default"/>
        </w:rPr>
        <w:t>、专项储备</w:t>
      </w:r>
    </w:p>
    <w:p>
      <w:pPr>
        <w:spacing w:line="240" w:lineRule="auto" w:before="7"/>
        <w:rPr>
          <w:rFonts w:ascii="微软雅黑" w:hAnsi="微软雅黑" w:cs="微软雅黑" w:eastAsia="微软雅黑" w:hint="default"/>
          <w:sz w:val="20"/>
          <w:szCs w:val="20"/>
        </w:rPr>
      </w:pPr>
    </w:p>
    <w:p>
      <w:pPr>
        <w:pStyle w:val="BodyText"/>
        <w:spacing w:line="240" w:lineRule="auto"/>
        <w:ind w:left="674" w:right="4872"/>
        <w:jc w:val="left"/>
      </w:pPr>
      <w:r>
        <w:rPr/>
        <w:t>不适用</w:t>
      </w:r>
    </w:p>
    <w:p>
      <w:pPr>
        <w:spacing w:line="240" w:lineRule="auto" w:before="4"/>
        <w:rPr>
          <w:rFonts w:ascii="宋体" w:hAnsi="宋体" w:cs="宋体" w:eastAsia="宋体" w:hint="default"/>
          <w:sz w:val="17"/>
          <w:szCs w:val="17"/>
        </w:rPr>
      </w:pPr>
    </w:p>
    <w:p>
      <w:pPr>
        <w:pStyle w:val="BodyText"/>
        <w:spacing w:line="240" w:lineRule="auto"/>
        <w:ind w:left="674" w:right="4872"/>
        <w:jc w:val="left"/>
        <w:rPr>
          <w:rFonts w:ascii="微软雅黑" w:hAnsi="微软雅黑" w:cs="微软雅黑" w:eastAsia="微软雅黑" w:hint="default"/>
        </w:rPr>
      </w:pPr>
      <w:bookmarkStart w:name="50、盈余公积" w:id="318"/>
      <w:bookmarkEnd w:id="318"/>
      <w:r>
        <w:rPr/>
      </w:r>
      <w:r>
        <w:rPr>
          <w:rFonts w:ascii="Times New Roman" w:hAnsi="Times New Roman" w:cs="Times New Roman" w:eastAsia="Times New Roman" w:hint="default"/>
        </w:rPr>
        <w:t>50</w:t>
      </w:r>
      <w:r>
        <w:rPr>
          <w:rFonts w:ascii="微软雅黑" w:hAnsi="微软雅黑" w:cs="微软雅黑" w:eastAsia="微软雅黑" w:hint="default"/>
        </w:rPr>
        <w:t>、盈余公积</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54,432,581.15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2,731,076.57</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57,163,657.72</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54,432,581.15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2,731,076.57</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57,163,657.72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left="674" w:right="4872"/>
        <w:jc w:val="left"/>
        <w:rPr>
          <w:rFonts w:ascii="微软雅黑" w:hAnsi="微软雅黑" w:cs="微软雅黑" w:eastAsia="微软雅黑" w:hint="default"/>
        </w:rPr>
      </w:pPr>
      <w:bookmarkStart w:name="51、未分配利润" w:id="319"/>
      <w:bookmarkEnd w:id="319"/>
      <w:r>
        <w:rPr/>
      </w:r>
      <w:r>
        <w:rPr>
          <w:rFonts w:ascii="Times New Roman" w:hAnsi="Times New Roman" w:cs="Times New Roman" w:eastAsia="Times New Roman" w:hint="default"/>
        </w:rPr>
        <w:t>51</w:t>
      </w:r>
      <w:r>
        <w:rPr>
          <w:rFonts w:ascii="微软雅黑" w:hAnsi="微软雅黑" w:cs="微软雅黑" w:eastAsia="微软雅黑" w:hint="default"/>
        </w:rPr>
        <w:t>、未分配利润</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3837"/>
        <w:gridCol w:w="3012"/>
        <w:gridCol w:w="3006"/>
      </w:tblGrid>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3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342,328,045.64</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298,062,242.14</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342,328,045.64</w:t>
            </w:r>
          </w:p>
        </w:tc>
        <w:tc>
          <w:tcPr>
            <w:tcW w:w="30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164,304,280.80</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78,044,301.23</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2,731,076.57</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5,902,323.41</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32,136,290.46</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27,876,174.32</w:t>
            </w:r>
          </w:p>
        </w:tc>
      </w:tr>
      <w:tr>
        <w:trPr>
          <w:trHeight w:val="407" w:hRule="exact"/>
        </w:trPr>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471,764,959.41</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342,328,045.64</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880" w:right="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52、营业收入和营业成本" w:id="320"/>
      <w:bookmarkEnd w:id="320"/>
      <w:r>
        <w:rPr/>
      </w:r>
      <w:r>
        <w:rPr>
          <w:rFonts w:ascii="Times New Roman" w:hAnsi="Times New Roman" w:cs="Times New Roman" w:eastAsia="Times New Roman" w:hint="default"/>
        </w:rPr>
        <w:t>52</w:t>
      </w:r>
      <w:r>
        <w:rPr>
          <w:rFonts w:ascii="微软雅黑" w:hAnsi="微软雅黑" w:cs="微软雅黑" w:eastAsia="微软雅黑" w:hint="default"/>
        </w:rPr>
        <w:t>、营业收入和营业成本</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68"/>
        <w:gridCol w:w="1973"/>
        <w:gridCol w:w="1972"/>
        <w:gridCol w:w="1971"/>
        <w:gridCol w:w="1972"/>
      </w:tblGrid>
      <w:tr>
        <w:trPr>
          <w:trHeight w:val="407" w:hRule="exact"/>
        </w:trPr>
        <w:tc>
          <w:tcPr>
            <w:tcW w:w="19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1968" w:type="dxa"/>
            <w:vMerge/>
            <w:tcBorders>
              <w:left w:val="single" w:sz="4" w:space="0" w:color="000000"/>
              <w:bottom w:val="single" w:sz="4" w:space="0" w:color="000000"/>
              <w:right w:val="single" w:sz="4" w:space="0" w:color="000000"/>
            </w:tcBorders>
            <w:shd w:val="clear" w:color="auto" w:fill="D2D2D2"/>
          </w:tcPr>
          <w:p>
            <w:pP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1,464,198,346.36</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853,732,204.27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1,161,268,528.67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739,468,480.16</w:t>
            </w:r>
          </w:p>
        </w:tc>
      </w:tr>
      <w:tr>
        <w:trPr>
          <w:trHeight w:val="407"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385,399.10</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1,058,712.21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38,588.58</w:t>
            </w:r>
          </w:p>
        </w:tc>
      </w:tr>
      <w:tr>
        <w:trPr>
          <w:trHeight w:val="408" w:hRule="exact"/>
        </w:trPr>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1,464,583,745.46</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853,732,204.27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1,162,327,240.88</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739,507,068.74</w:t>
            </w:r>
          </w:p>
        </w:tc>
      </w:tr>
    </w:tbl>
    <w:p>
      <w:pPr>
        <w:spacing w:line="240" w:lineRule="auto" w:before="12"/>
        <w:rPr>
          <w:rFonts w:ascii="宋体" w:hAnsi="宋体" w:cs="宋体" w:eastAsia="宋体" w:hint="default"/>
          <w:sz w:val="8"/>
          <w:szCs w:val="8"/>
        </w:rPr>
      </w:pPr>
    </w:p>
    <w:p>
      <w:pPr>
        <w:pStyle w:val="BodyText"/>
        <w:spacing w:line="324" w:lineRule="exact"/>
        <w:ind w:right="1016"/>
        <w:jc w:val="left"/>
        <w:rPr>
          <w:rFonts w:ascii="微软雅黑" w:hAnsi="微软雅黑" w:cs="微软雅黑" w:eastAsia="微软雅黑" w:hint="default"/>
        </w:rPr>
      </w:pPr>
      <w:bookmarkStart w:name="53、税金及附加" w:id="321"/>
      <w:bookmarkEnd w:id="321"/>
      <w:r>
        <w:rPr/>
      </w:r>
      <w:r>
        <w:rPr>
          <w:rFonts w:ascii="Times New Roman" w:hAnsi="Times New Roman" w:cs="Times New Roman" w:eastAsia="Times New Roman" w:hint="default"/>
        </w:rPr>
        <w:t>53</w:t>
      </w:r>
      <w:r>
        <w:rPr>
          <w:rFonts w:ascii="微软雅黑" w:hAnsi="微软雅黑" w:cs="微软雅黑" w:eastAsia="微软雅黑" w:hint="default"/>
        </w:rPr>
        <w:t>、税金及附加</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1,761,065.70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2,055,202.80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1,183,233.06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1,461,628.75</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484,252.90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608,208.57</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625,674.60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516,614.26</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45,123.53</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78,943.96</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4,099,349.79</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4,720,598.34</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12"/>
        <w:rPr>
          <w:rFonts w:ascii="宋体" w:hAnsi="宋体" w:cs="宋体" w:eastAsia="宋体" w:hint="default"/>
          <w:sz w:val="17"/>
          <w:szCs w:val="17"/>
        </w:rPr>
      </w:pPr>
    </w:p>
    <w:p>
      <w:pPr>
        <w:pStyle w:val="BodyText"/>
        <w:spacing w:line="240" w:lineRule="auto"/>
        <w:ind w:right="1016"/>
        <w:jc w:val="left"/>
      </w:pPr>
      <w:r>
        <w:rPr/>
        <w:t>各项税金及附加的计缴标准详见本报告</w:t>
      </w:r>
      <w:r>
        <w:rPr>
          <w:rFonts w:ascii="Times New Roman" w:hAnsi="Times New Roman" w:cs="Times New Roman" w:eastAsia="Times New Roman" w:hint="default"/>
        </w:rPr>
        <w:t>“</w:t>
      </w:r>
      <w:r>
        <w:rPr/>
        <w:t>第十一节财务报告</w:t>
      </w:r>
      <w:r>
        <w:rPr>
          <w:spacing w:val="-1"/>
        </w:rPr>
        <w:t> </w:t>
      </w:r>
      <w:r>
        <w:rPr/>
        <w:t>六、税项。</w:t>
      </w:r>
    </w:p>
    <w:p>
      <w:pPr>
        <w:spacing w:line="240" w:lineRule="auto" w:before="1"/>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54、销售费用" w:id="322"/>
      <w:bookmarkEnd w:id="322"/>
      <w:r>
        <w:rPr/>
      </w:r>
      <w:r>
        <w:rPr>
          <w:rFonts w:ascii="Times New Roman" w:hAnsi="Times New Roman" w:cs="Times New Roman" w:eastAsia="Times New Roman" w:hint="default"/>
        </w:rPr>
        <w:t>54</w:t>
      </w:r>
      <w:r>
        <w:rPr>
          <w:rFonts w:ascii="微软雅黑" w:hAnsi="微软雅黑" w:cs="微软雅黑" w:eastAsia="微软雅黑" w:hint="default"/>
        </w:rPr>
        <w:t>、销售费用</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64,966,610.44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25,436,160.39</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6,701,070.91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5,118,163.19</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8,136,422.61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4,989,573.51</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6,110,584.32</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7,860,400.35</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折旧及日常办公费用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6,283,167.91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3,804,422.26</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3,307,542.59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-755,418.74</w:t>
            </w:r>
            <w:r>
              <w:rPr>
                <w:rFonts w:ascii="Times New Roman"/>
                <w:sz w:val="18"/>
              </w:rPr>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95,505,398.78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46,453,300.96</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55、管理费用" w:id="323"/>
      <w:bookmarkEnd w:id="323"/>
      <w:r>
        <w:rPr/>
      </w:r>
      <w:r>
        <w:rPr>
          <w:rFonts w:ascii="Times New Roman" w:hAnsi="Times New Roman" w:cs="Times New Roman" w:eastAsia="Times New Roman" w:hint="default"/>
        </w:rPr>
        <w:t>55</w:t>
      </w:r>
      <w:r>
        <w:rPr>
          <w:rFonts w:ascii="微软雅黑" w:hAnsi="微软雅黑" w:cs="微软雅黑" w:eastAsia="微软雅黑" w:hint="default"/>
        </w:rPr>
        <w:t>、管理费用</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69,803,214.65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53,937,352.52</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55,132,417.34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38,761,224.91</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2,043,335.18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2,336,861.97</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20,880,556.59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25,491,441.20</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房租及物业维护费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10,760,902.94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7,750,769.25</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日常办公费用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21,342,546.69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18,624,361.51</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7,293,729.13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499,600.17</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研发物料</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16,341.64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137,434.19</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187,273,044.16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147,539,045.72</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56、研发费用" w:id="324"/>
      <w:bookmarkEnd w:id="324"/>
      <w:r>
        <w:rPr/>
      </w:r>
      <w:r>
        <w:rPr>
          <w:rFonts w:ascii="Times New Roman" w:hAnsi="Times New Roman" w:cs="Times New Roman" w:eastAsia="Times New Roman" w:hint="default"/>
        </w:rPr>
        <w:t>56</w:t>
      </w:r>
      <w:r>
        <w:rPr>
          <w:rFonts w:ascii="微软雅黑" w:hAnsi="微软雅黑" w:cs="微软雅黑" w:eastAsia="微软雅黑" w:hint="default"/>
        </w:rPr>
        <w:t>、研发费用</w:t>
      </w:r>
    </w:p>
    <w:p>
      <w:pPr>
        <w:spacing w:line="240" w:lineRule="auto" w:before="7"/>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150,396,366.40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91,155,923.39</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3,235,128.34</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2,511,922.22</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4,385,082.19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4,358,810.56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咨询及服务费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43,838,228.95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2,041,404.76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房租及物业维护费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6,067,112.60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6,628,629.07</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日常办公费用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2,565,627.98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2,101,377.55</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20,889,008.99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19,662,086.42</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研发物料</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3,131,336.03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6,993,078.04</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234,507,891.48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135,453,232.01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57、财务费用" w:id="325"/>
      <w:bookmarkEnd w:id="325"/>
      <w:r>
        <w:rPr/>
      </w:r>
      <w:r>
        <w:rPr>
          <w:rFonts w:ascii="Times New Roman" w:hAnsi="Times New Roman" w:cs="Times New Roman" w:eastAsia="Times New Roman" w:hint="default"/>
        </w:rPr>
        <w:t>57</w:t>
      </w:r>
      <w:r>
        <w:rPr>
          <w:rFonts w:ascii="微软雅黑" w:hAnsi="微软雅黑" w:cs="微软雅黑" w:eastAsia="微软雅黑" w:hint="default"/>
        </w:rPr>
        <w:t>、财务费用</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18,247,534.88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15,515,987.76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-8,097,150.59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-9,449,209.50</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-18,537,396.25</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19,293,196.03</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4,923,474.30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6,586,142.65</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-3,463,537.66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31,946,116.94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58、资产减值损失" w:id="326"/>
      <w:bookmarkEnd w:id="326"/>
      <w:r>
        <w:rPr/>
      </w:r>
      <w:r>
        <w:rPr>
          <w:rFonts w:ascii="Times New Roman" w:hAnsi="Times New Roman" w:cs="Times New Roman" w:eastAsia="Times New Roman" w:hint="default"/>
        </w:rPr>
        <w:t>58</w:t>
      </w:r>
      <w:r>
        <w:rPr>
          <w:rFonts w:ascii="微软雅黑" w:hAnsi="微软雅黑" w:cs="微软雅黑" w:eastAsia="微软雅黑" w:hint="default"/>
        </w:rPr>
        <w:t>、资产减值损失</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3,794,927.45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10,305,940.40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67,031.11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250,941.75</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9,044,944.72</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445,580.90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974,934.22</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3,861,958.56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21,022,341.99</w:t>
            </w:r>
          </w:p>
        </w:tc>
      </w:tr>
    </w:tbl>
    <w:p>
      <w:pPr>
        <w:spacing w:line="240" w:lineRule="auto" w:before="6"/>
        <w:rPr>
          <w:rFonts w:ascii="宋体" w:hAnsi="宋体" w:cs="宋体" w:eastAsia="宋体" w:hint="default"/>
          <w:sz w:val="7"/>
          <w:szCs w:val="7"/>
        </w:rPr>
      </w:pPr>
    </w:p>
    <w:p>
      <w:pPr>
        <w:pStyle w:val="BodyText"/>
        <w:spacing w:line="429" w:lineRule="auto" w:before="35"/>
        <w:ind w:right="6786"/>
        <w:jc w:val="left"/>
        <w:rPr>
          <w:rFonts w:ascii="微软雅黑" w:hAnsi="微软雅黑" w:cs="微软雅黑" w:eastAsia="微软雅黑" w:hint="default"/>
        </w:rPr>
      </w:pPr>
      <w:r>
        <w:rPr/>
        <w:t>其他说明： 上年</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为持有待售资产减值损失。 </w:t>
      </w:r>
      <w:bookmarkStart w:name="59、其他收益" w:id="327"/>
      <w:bookmarkEnd w:id="327"/>
      <w:r>
        <w:rPr/>
      </w:r>
      <w:r>
        <w:rPr>
          <w:rFonts w:ascii="Times New Roman" w:hAnsi="Times New Roman" w:cs="Times New Roman" w:eastAsia="Times New Roman" w:hint="default"/>
        </w:rPr>
        <w:t>59</w:t>
      </w:r>
      <w:r>
        <w:rPr>
          <w:rFonts w:ascii="微软雅黑" w:hAnsi="微软雅黑" w:cs="微软雅黑" w:eastAsia="微软雅黑" w:hint="default"/>
        </w:rPr>
        <w:t>、其他收益</w:t>
      </w:r>
    </w:p>
    <w:p>
      <w:pPr>
        <w:spacing w:before="9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7"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3,522,175.92</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969,079.96</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75,819,170.96</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29,525,909.54</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575,674.54</w:t>
            </w:r>
          </w:p>
        </w:tc>
        <w:tc>
          <w:tcPr>
            <w:tcW w:w="328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79,917,021.42</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30,494,989.50</w:t>
            </w:r>
          </w:p>
        </w:tc>
      </w:tr>
    </w:tbl>
    <w:p>
      <w:pPr>
        <w:spacing w:line="240" w:lineRule="auto" w:before="12"/>
        <w:rPr>
          <w:rFonts w:ascii="宋体" w:hAnsi="宋体" w:cs="宋体" w:eastAsia="宋体" w:hint="default"/>
          <w:sz w:val="8"/>
          <w:szCs w:val="8"/>
        </w:rPr>
      </w:pPr>
    </w:p>
    <w:p>
      <w:pPr>
        <w:pStyle w:val="BodyText"/>
        <w:spacing w:line="324" w:lineRule="exact"/>
        <w:ind w:right="1016"/>
        <w:jc w:val="left"/>
        <w:rPr>
          <w:rFonts w:ascii="微软雅黑" w:hAnsi="微软雅黑" w:cs="微软雅黑" w:eastAsia="微软雅黑" w:hint="default"/>
        </w:rPr>
      </w:pPr>
      <w:bookmarkStart w:name="60、投资收益" w:id="328"/>
      <w:bookmarkEnd w:id="328"/>
      <w:r>
        <w:rPr/>
      </w:r>
      <w:r>
        <w:rPr>
          <w:rFonts w:ascii="Times New Roman" w:hAnsi="Times New Roman" w:cs="Times New Roman" w:eastAsia="Times New Roman" w:hint="default"/>
        </w:rPr>
        <w:t>60</w:t>
      </w:r>
      <w:r>
        <w:rPr>
          <w:rFonts w:ascii="微软雅黑" w:hAnsi="微软雅黑" w:cs="微软雅黑" w:eastAsia="微软雅黑" w:hint="default"/>
        </w:rPr>
        <w:t>、投资收益</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564"/>
        <w:gridCol w:w="3286"/>
        <w:gridCol w:w="3005"/>
      </w:tblGrid>
      <w:tr>
        <w:trPr>
          <w:trHeight w:val="407"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4,405,873.85</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7,839,750.46</w:t>
            </w:r>
          </w:p>
        </w:tc>
      </w:tr>
      <w:tr>
        <w:trPr>
          <w:trHeight w:val="407"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-675,349.55</w:t>
            </w:r>
            <w:r>
              <w:rPr>
                <w:rFonts w:ascii="Times New Roman"/>
                <w:sz w:val="18"/>
              </w:rPr>
            </w: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益的金融资产取得的投资收益</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-2,276,166.74</w:t>
            </w: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1,389,577.55</w:t>
            </w:r>
          </w:p>
        </w:tc>
        <w:tc>
          <w:tcPr>
            <w:tcW w:w="300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拆借款项利息收入</w:t>
            </w:r>
          </w:p>
        </w:tc>
        <w:tc>
          <w:tcPr>
            <w:tcW w:w="3286" w:type="dxa"/>
            <w:tcBorders>
              <w:top w:val="single" w:sz="4" w:space="0" w:color="000000"/>
              <w:left w:val="single" w:sz="4" w:space="0" w:color="000000"/>
              <w:bottom w:val="single" w:sz="4" w:space="0" w:color="000000"/>
              <w:right w:val="single" w:sz="4" w:space="0" w:color="000000"/>
            </w:tcBorders>
          </w:tcPr>
          <w:p>
            <w:pP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115,166.28</w:t>
            </w:r>
          </w:p>
        </w:tc>
      </w:tr>
      <w:tr>
        <w:trPr>
          <w:trHeight w:val="407" w:hRule="exact"/>
        </w:trPr>
        <w:tc>
          <w:tcPr>
            <w:tcW w:w="3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3"/>
              <w:jc w:val="right"/>
              <w:rPr>
                <w:rFonts w:ascii="Times New Roman" w:hAnsi="Times New Roman" w:cs="Times New Roman" w:eastAsia="Times New Roman" w:hint="default"/>
                <w:sz w:val="18"/>
                <w:szCs w:val="18"/>
              </w:rPr>
            </w:pPr>
            <w:r>
              <w:rPr>
                <w:rFonts w:ascii="Times New Roman"/>
                <w:spacing w:val="-1"/>
                <w:sz w:val="18"/>
              </w:rPr>
              <w:t>2,843,935.11</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7,954,916.74</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61、公允价值变动收益" w:id="329"/>
      <w:bookmarkEnd w:id="329"/>
      <w:r>
        <w:rPr/>
      </w:r>
      <w:r>
        <w:rPr>
          <w:rFonts w:ascii="Times New Roman" w:hAnsi="Times New Roman" w:cs="Times New Roman" w:eastAsia="Times New Roman" w:hint="default"/>
        </w:rPr>
        <w:t>61</w:t>
      </w:r>
      <w:r>
        <w:rPr>
          <w:rFonts w:ascii="微软雅黑" w:hAnsi="微软雅黑" w:cs="微软雅黑" w:eastAsia="微软雅黑" w:hint="default"/>
        </w:rPr>
        <w:t>、公允价值变动收益</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益的金融资产</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-13,928,616.26</w:t>
            </w:r>
          </w:p>
        </w:tc>
      </w:tr>
      <w:tr>
        <w:trPr>
          <w:trHeight w:val="47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值变动收益</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-13,928,616.26</w:t>
            </w:r>
          </w:p>
        </w:tc>
      </w:tr>
      <w:tr>
        <w:trPr>
          <w:trHeight w:val="476"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益的金融负债</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-512,232.42</w:t>
            </w:r>
            <w:r>
              <w:rPr>
                <w:rFonts w:ascii="Times New Roman"/>
                <w:sz w:val="18"/>
              </w:rPr>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17,918,900.00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股票增值权</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-1,836,450.00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797,432.31</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-2,348,682.42</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4,787,716.05</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62、资产处置收益" w:id="330"/>
      <w:bookmarkEnd w:id="330"/>
      <w:r>
        <w:rPr/>
      </w:r>
      <w:r>
        <w:rPr>
          <w:rFonts w:ascii="Times New Roman" w:hAnsi="Times New Roman" w:cs="Times New Roman" w:eastAsia="Times New Roman" w:hint="default"/>
        </w:rPr>
        <w:t>62</w:t>
      </w:r>
      <w:r>
        <w:rPr>
          <w:rFonts w:ascii="微软雅黑" w:hAnsi="微软雅黑" w:cs="微软雅黑" w:eastAsia="微软雅黑" w:hint="default"/>
        </w:rPr>
        <w:t>、资产处置收益</w:t>
      </w:r>
    </w:p>
    <w:p>
      <w:pPr>
        <w:spacing w:line="240" w:lineRule="auto" w:before="7"/>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7"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285" w:type="dxa"/>
            <w:tcBorders>
              <w:top w:val="single" w:sz="4" w:space="0" w:color="000000"/>
              <w:left w:val="single" w:sz="4" w:space="0" w:color="000000"/>
              <w:bottom w:val="single" w:sz="4" w:space="0" w:color="000000"/>
              <w:right w:val="single" w:sz="4" w:space="0" w:color="000000"/>
            </w:tcBorders>
          </w:tcPr>
          <w:p>
            <w:pP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-54,582.66</w:t>
            </w:r>
            <w:r>
              <w:rPr>
                <w:rFonts w:ascii="Times New Roman"/>
                <w:sz w:val="18"/>
              </w:rPr>
            </w:r>
          </w:p>
        </w:tc>
      </w:tr>
    </w:tbl>
    <w:p>
      <w:pPr>
        <w:spacing w:line="240" w:lineRule="auto" w:before="12"/>
        <w:rPr>
          <w:rFonts w:ascii="宋体" w:hAnsi="宋体" w:cs="宋体" w:eastAsia="宋体" w:hint="default"/>
          <w:sz w:val="8"/>
          <w:szCs w:val="8"/>
        </w:rPr>
      </w:pPr>
    </w:p>
    <w:p>
      <w:pPr>
        <w:pStyle w:val="BodyText"/>
        <w:spacing w:line="324" w:lineRule="exact"/>
        <w:ind w:right="1016"/>
        <w:jc w:val="left"/>
        <w:rPr>
          <w:rFonts w:ascii="微软雅黑" w:hAnsi="微软雅黑" w:cs="微软雅黑" w:eastAsia="微软雅黑" w:hint="default"/>
        </w:rPr>
      </w:pPr>
      <w:bookmarkStart w:name="63、营业外收入" w:id="331"/>
      <w:bookmarkEnd w:id="331"/>
      <w:r>
        <w:rPr/>
      </w:r>
      <w:r>
        <w:rPr>
          <w:rFonts w:ascii="Times New Roman" w:hAnsi="Times New Roman" w:cs="Times New Roman" w:eastAsia="Times New Roman" w:hint="default"/>
        </w:rPr>
        <w:t>63</w:t>
      </w:r>
      <w:r>
        <w:rPr>
          <w:rFonts w:ascii="微软雅黑" w:hAnsi="微软雅黑" w:cs="微软雅黑" w:eastAsia="微软雅黑" w:hint="default"/>
        </w:rPr>
        <w:t>、营业外收入</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59"/>
        <w:gridCol w:w="2468"/>
        <w:gridCol w:w="2022"/>
        <w:gridCol w:w="2907"/>
      </w:tblGrid>
      <w:tr>
        <w:trPr>
          <w:trHeight w:val="407"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68"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412,500.00</w:t>
            </w:r>
          </w:p>
        </w:tc>
        <w:tc>
          <w:tcPr>
            <w:tcW w:w="2907"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非流动资产毁损报废收益</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118,356.87</w:t>
            </w:r>
          </w:p>
        </w:tc>
        <w:tc>
          <w:tcPr>
            <w:tcW w:w="2022" w:type="dxa"/>
            <w:tcBorders>
              <w:top w:val="single" w:sz="4" w:space="0" w:color="000000"/>
              <w:left w:val="single" w:sz="4" w:space="0" w:color="000000"/>
              <w:bottom w:val="single" w:sz="4" w:space="0" w:color="000000"/>
              <w:right w:val="single" w:sz="4" w:space="0" w:color="000000"/>
            </w:tcBorders>
          </w:tcPr>
          <w:p>
            <w:pP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118,356.87</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202,307.81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540,953.60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202,307.81</w:t>
            </w:r>
          </w:p>
        </w:tc>
      </w:tr>
      <w:tr>
        <w:trPr>
          <w:trHeight w:val="408"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320,664.68</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953,453.60</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320,664.68</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计入当期损益的政府补助：</w:t>
      </w:r>
    </w:p>
    <w:p>
      <w:pPr>
        <w:spacing w:line="240" w:lineRule="auto" w:before="11"/>
        <w:rPr>
          <w:rFonts w:ascii="宋体" w:hAnsi="宋体" w:cs="宋体" w:eastAsia="宋体" w:hint="default"/>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096"/>
        <w:gridCol w:w="1094"/>
        <w:gridCol w:w="1094"/>
        <w:gridCol w:w="1095"/>
        <w:gridCol w:w="1096"/>
        <w:gridCol w:w="1094"/>
        <w:gridCol w:w="1096"/>
        <w:gridCol w:w="1094"/>
        <w:gridCol w:w="1096"/>
      </w:tblGrid>
      <w:tr>
        <w:trPr>
          <w:trHeight w:val="710" w:hRule="exact"/>
        </w:trPr>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82" w:right="0"/>
              <w:jc w:val="left"/>
              <w:rPr>
                <w:rFonts w:ascii="宋体" w:hAnsi="宋体" w:cs="宋体" w:eastAsia="宋体" w:hint="default"/>
                <w:sz w:val="18"/>
                <w:szCs w:val="18"/>
              </w:rPr>
            </w:pPr>
            <w:r>
              <w:rPr>
                <w:rFonts w:ascii="宋体" w:hAnsi="宋体" w:cs="宋体" w:eastAsia="宋体" w:hint="default"/>
                <w:sz w:val="18"/>
                <w:szCs w:val="18"/>
              </w:rPr>
              <w:t>补贴是否</w:t>
            </w:r>
          </w:p>
          <w:p>
            <w:pPr>
              <w:pStyle w:val="TableParagraph"/>
              <w:spacing w:line="232" w:lineRule="exact" w:before="24"/>
              <w:ind w:left="362" w:right="181" w:hanging="180"/>
              <w:jc w:val="left"/>
              <w:rPr>
                <w:rFonts w:ascii="宋体" w:hAnsi="宋体" w:cs="宋体" w:eastAsia="宋体" w:hint="default"/>
                <w:sz w:val="18"/>
                <w:szCs w:val="18"/>
              </w:rPr>
            </w:pPr>
            <w:r>
              <w:rPr>
                <w:rFonts w:ascii="宋体" w:hAnsi="宋体" w:cs="宋体" w:eastAsia="宋体" w:hint="default"/>
                <w:sz w:val="18"/>
                <w:szCs w:val="18"/>
              </w:rPr>
              <w:t>影响当年 盈亏</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362" w:right="180"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362" w:right="183"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12"/>
              <w:ind w:left="362" w:right="180"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57" w:right="0" w:firstLine="25"/>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2" w:lineRule="exact" w:before="24"/>
              <w:ind w:left="362" w:right="156" w:hanging="206"/>
              <w:jc w:val="left"/>
              <w:rPr>
                <w:rFonts w:ascii="宋体" w:hAnsi="宋体" w:cs="宋体" w:eastAsia="宋体" w:hint="default"/>
                <w:sz w:val="18"/>
                <w:szCs w:val="18"/>
              </w:rPr>
            </w:pPr>
            <w:r>
              <w:rPr>
                <w:rFonts w:ascii="宋体" w:hAnsi="宋体" w:cs="宋体" w:eastAsia="宋体" w:hint="default"/>
                <w:sz w:val="18"/>
                <w:szCs w:val="18"/>
              </w:rPr>
              <w:t>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177"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261"/>
              <w:jc w:val="both"/>
              <w:rPr>
                <w:rFonts w:ascii="宋体" w:hAnsi="宋体" w:cs="宋体" w:eastAsia="宋体" w:hint="default"/>
                <w:sz w:val="18"/>
                <w:szCs w:val="18"/>
              </w:rPr>
            </w:pPr>
            <w:r>
              <w:rPr>
                <w:rFonts w:ascii="宋体" w:hAnsi="宋体" w:cs="宋体" w:eastAsia="宋体" w:hint="default"/>
                <w:sz w:val="18"/>
                <w:szCs w:val="18"/>
              </w:rPr>
              <w:t>第五届中 国创新创 业大赛优 秀企业</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259"/>
              <w:jc w:val="left"/>
              <w:rPr>
                <w:rFonts w:ascii="宋体" w:hAnsi="宋体" w:cs="宋体" w:eastAsia="宋体" w:hint="default"/>
                <w:sz w:val="18"/>
                <w:szCs w:val="18"/>
              </w:rPr>
            </w:pPr>
            <w:r>
              <w:rPr>
                <w:rFonts w:ascii="宋体" w:hAnsi="宋体" w:cs="宋体" w:eastAsia="宋体" w:hint="default"/>
                <w:sz w:val="18"/>
                <w:szCs w:val="18"/>
              </w:rPr>
              <w:t>科技部火 炬中心</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因研究开</w:t>
            </w:r>
          </w:p>
          <w:p>
            <w:pPr>
              <w:pStyle w:val="TableParagraph"/>
              <w:spacing w:line="237" w:lineRule="auto" w:before="1"/>
              <w:ind w:left="103" w:right="101"/>
              <w:jc w:val="left"/>
              <w:rPr>
                <w:rFonts w:ascii="宋体" w:hAnsi="宋体" w:cs="宋体" w:eastAsia="宋体" w:hint="default"/>
                <w:sz w:val="18"/>
                <w:szCs w:val="18"/>
              </w:rPr>
            </w:pPr>
            <w:r>
              <w:rPr>
                <w:rFonts w:ascii="宋体" w:hAnsi="宋体" w:cs="宋体" w:eastAsia="宋体" w:hint="default"/>
                <w:spacing w:val="-5"/>
                <w:sz w:val="18"/>
                <w:szCs w:val="18"/>
              </w:rPr>
              <w:t>发、技术更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新及改造 等获得的 补助</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300,000.00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260"/>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478" w:hRule="exact"/>
        </w:trPr>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74" w:right="0"/>
              <w:jc w:val="center"/>
              <w:rPr>
                <w:rFonts w:ascii="Times New Roman" w:hAnsi="Times New Roman" w:cs="Times New Roman" w:eastAsia="Times New Roman" w:hint="default"/>
                <w:sz w:val="18"/>
                <w:szCs w:val="18"/>
              </w:rPr>
            </w:pPr>
            <w:r>
              <w:rPr>
                <w:rFonts w:ascii="Times New Roman"/>
                <w:sz w:val="18"/>
              </w:rPr>
              <w:t>112,500.00</w:t>
            </w:r>
          </w:p>
        </w:tc>
        <w:tc>
          <w:tcPr>
            <w:tcW w:w="109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关</w:t>
            </w:r>
          </w:p>
        </w:tc>
      </w:tr>
    </w:tbl>
    <w:p>
      <w:pPr>
        <w:spacing w:after="0" w:line="235" w:lineRule="exact"/>
        <w:jc w:val="left"/>
        <w:rPr>
          <w:rFonts w:ascii="宋体" w:hAnsi="宋体" w:cs="宋体" w:eastAsia="宋体" w:hint="default"/>
          <w:sz w:val="18"/>
          <w:szCs w:val="18"/>
        </w:rPr>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64、营业外支出" w:id="332"/>
      <w:bookmarkEnd w:id="332"/>
      <w:r>
        <w:rPr/>
      </w:r>
      <w:r>
        <w:rPr>
          <w:rFonts w:ascii="Times New Roman" w:hAnsi="Times New Roman" w:cs="Times New Roman" w:eastAsia="Times New Roman" w:hint="default"/>
        </w:rPr>
        <w:t>64</w:t>
      </w:r>
      <w:r>
        <w:rPr>
          <w:rFonts w:ascii="微软雅黑" w:hAnsi="微软雅黑" w:cs="微软雅黑" w:eastAsia="微软雅黑" w:hint="default"/>
        </w:rPr>
        <w:t>、营业外支出</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59"/>
        <w:gridCol w:w="2468"/>
        <w:gridCol w:w="2202"/>
        <w:gridCol w:w="2726"/>
      </w:tblGrid>
      <w:tr>
        <w:trPr>
          <w:trHeight w:val="407"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203,468.78</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7,000.00</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203,468.78</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38,748.39</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153,400.76</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38,748.39</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26,243.76</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33,847.73</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26,243.76</w:t>
            </w:r>
          </w:p>
        </w:tc>
      </w:tr>
      <w:tr>
        <w:trPr>
          <w:trHeight w:val="408" w:hRule="exact"/>
        </w:trPr>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264,547.18</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365,071.34</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264,547.18</w:t>
            </w:r>
          </w:p>
        </w:tc>
      </w:tr>
      <w:tr>
        <w:trPr>
          <w:trHeight w:val="407"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533,008.11</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559,319.83</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533,008.11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65、所得税费用" w:id="333"/>
      <w:bookmarkEnd w:id="333"/>
      <w:r>
        <w:rPr/>
      </w:r>
      <w:r>
        <w:rPr>
          <w:rFonts w:ascii="Times New Roman" w:hAnsi="Times New Roman" w:cs="Times New Roman" w:eastAsia="Times New Roman" w:hint="default"/>
        </w:rPr>
        <w:t>65</w:t>
      </w:r>
      <w:r>
        <w:rPr>
          <w:rFonts w:ascii="微软雅黑" w:hAnsi="微软雅黑" w:cs="微软雅黑" w:eastAsia="微软雅黑" w:hint="default"/>
        </w:rPr>
        <w:t>、所得税费用</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所得税费用表" w:id="334"/>
      <w:bookmarkEnd w:id="334"/>
      <w:r>
        <w:rPr/>
      </w:r>
      <w:r>
        <w:rPr/>
        <w:t>（</w:t>
      </w:r>
      <w:r>
        <w:rPr>
          <w:rFonts w:ascii="Times New Roman" w:hAnsi="Times New Roman" w:cs="Times New Roman" w:eastAsia="Times New Roman" w:hint="default"/>
        </w:rPr>
        <w:t>1</w:t>
      </w:r>
      <w:r>
        <w:rPr/>
        <w:t>）所得税费用表</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6"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15,885,401.80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10,661,586.75</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-13,478,642.34</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-7,537,518.57</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2,406,759.46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3,124,068.18</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2）会计利润与所得税费用调整过程" w:id="335"/>
      <w:bookmarkEnd w:id="335"/>
      <w:r>
        <w:rPr/>
      </w:r>
      <w:r>
        <w:rPr/>
        <w:t>（</w:t>
      </w:r>
      <w:r>
        <w:rPr>
          <w:rFonts w:ascii="Times New Roman" w:hAnsi="Times New Roman" w:cs="Times New Roman" w:eastAsia="Times New Roman" w:hint="default"/>
        </w:rPr>
        <w:t>2</w:t>
      </w:r>
      <w:r>
        <w:rPr/>
        <w:t>）会计利润与所得税费用调整过程</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923"/>
        <w:gridCol w:w="4932"/>
      </w:tblGrid>
      <w:tr>
        <w:trPr>
          <w:trHeight w:val="403"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12"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169,267,366.76</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16,949,311.51</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9,540,676.39</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-538,138.71</w:t>
            </w:r>
            <w:r>
              <w:rPr>
                <w:rFonts w:ascii="Times New Roman"/>
                <w:sz w:val="18"/>
              </w:rPr>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-4,366,629.94</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2,449,740.66</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-7,383,275.88</w:t>
            </w:r>
          </w:p>
        </w:tc>
      </w:tr>
      <w:tr>
        <w:trPr>
          <w:trHeight w:val="476"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损的影响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1,887,350.73</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-442,760.50</w:t>
            </w:r>
            <w:r>
              <w:rPr>
                <w:rFonts w:ascii="Times New Roman"/>
                <w:sz w:val="18"/>
              </w:rPr>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392,279.88</w:t>
            </w:r>
          </w:p>
        </w:tc>
      </w:tr>
      <w:tr>
        <w:trPr>
          <w:trHeight w:val="408"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-13,888,986.63</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国外税法和国内税法的不同导致的纳税影响</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-1,838,949.78</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-331,283.44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923"/>
        <w:gridCol w:w="4932"/>
      </w:tblGrid>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7" w:hRule="exact"/>
        </w:trPr>
        <w:tc>
          <w:tcPr>
            <w:tcW w:w="4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2,406,759.46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66、其他综合收益" w:id="336"/>
      <w:bookmarkEnd w:id="336"/>
      <w:r>
        <w:rPr/>
      </w:r>
      <w:r>
        <w:rPr>
          <w:rFonts w:ascii="Times New Roman" w:hAnsi="Times New Roman" w:cs="Times New Roman" w:eastAsia="Times New Roman" w:hint="default"/>
        </w:rPr>
        <w:t>66</w:t>
      </w:r>
      <w:r>
        <w:rPr>
          <w:rFonts w:ascii="微软雅黑" w:hAnsi="微软雅黑" w:cs="微软雅黑" w:eastAsia="微软雅黑" w:hint="default"/>
        </w:rPr>
        <w:t>、其他综合收益</w:t>
      </w:r>
    </w:p>
    <w:p>
      <w:pPr>
        <w:spacing w:line="240" w:lineRule="auto" w:before="7"/>
        <w:rPr>
          <w:rFonts w:ascii="微软雅黑" w:hAnsi="微软雅黑" w:cs="微软雅黑" w:eastAsia="微软雅黑" w:hint="default"/>
          <w:sz w:val="20"/>
          <w:szCs w:val="20"/>
        </w:rPr>
      </w:pPr>
    </w:p>
    <w:p>
      <w:pPr>
        <w:pStyle w:val="BodyText"/>
        <w:spacing w:line="415" w:lineRule="auto"/>
        <w:ind w:right="7550"/>
        <w:jc w:val="left"/>
        <w:rPr>
          <w:rFonts w:ascii="微软雅黑" w:hAnsi="微软雅黑" w:cs="微软雅黑" w:eastAsia="微软雅黑" w:hint="default"/>
        </w:rPr>
      </w:pPr>
      <w:r>
        <w:rPr/>
        <w:t>详见附注</w:t>
      </w:r>
      <w:r>
        <w:rPr>
          <w:spacing w:val="-53"/>
        </w:rPr>
        <w:t> </w:t>
      </w:r>
      <w:r>
        <w:rPr>
          <w:rFonts w:ascii="Times New Roman" w:hAnsi="Times New Roman" w:cs="Times New Roman" w:eastAsia="Times New Roman" w:hint="default"/>
        </w:rPr>
        <w:t>48</w:t>
      </w:r>
      <w:r>
        <w:rPr/>
        <w:t>、其他综合收益。 </w:t>
      </w:r>
      <w:bookmarkStart w:name="67、现金流量表项目" w:id="337"/>
      <w:bookmarkEnd w:id="337"/>
      <w:r>
        <w:rPr/>
      </w:r>
      <w:r>
        <w:rPr>
          <w:rFonts w:ascii="Times New Roman" w:hAnsi="Times New Roman" w:cs="Times New Roman" w:eastAsia="Times New Roman" w:hint="default"/>
        </w:rPr>
        <w:t>67</w:t>
      </w:r>
      <w:r>
        <w:rPr>
          <w:rFonts w:ascii="微软雅黑" w:hAnsi="微软雅黑" w:cs="微软雅黑" w:eastAsia="微软雅黑" w:hint="default"/>
        </w:rPr>
        <w:t>、现金流量表项目</w:t>
      </w:r>
    </w:p>
    <w:p>
      <w:pPr>
        <w:pStyle w:val="BodyText"/>
        <w:spacing w:line="240" w:lineRule="auto" w:before="150"/>
        <w:ind w:right="1016"/>
        <w:jc w:val="left"/>
      </w:pPr>
      <w:bookmarkStart w:name="（1）收到的其他与经营活动有关的现金" w:id="338"/>
      <w:bookmarkEnd w:id="338"/>
      <w:r>
        <w:rPr/>
      </w:r>
      <w:r>
        <w:rPr/>
        <w:t>（</w:t>
      </w:r>
      <w:r>
        <w:rPr>
          <w:rFonts w:ascii="Times New Roman" w:hAnsi="Times New Roman" w:cs="Times New Roman" w:eastAsia="Times New Roman" w:hint="default"/>
        </w:rPr>
        <w:t>1</w:t>
      </w:r>
      <w:r>
        <w:rPr/>
        <w:t>）收到的其他与经营活动有关的现金</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84,432,175.90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20,546,751.85</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1,756,292.40</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保证金及其他往来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16,023,561.39</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13,411,135.08</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员工归还购房借款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1,196,876.13</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3,870,364.86</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4,083,128.22</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3,800.00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72,346.69</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107,283,070.68</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38,113,361.84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5"/>
        <w:ind w:right="1016"/>
        <w:jc w:val="left"/>
      </w:pPr>
      <w:bookmarkStart w:name="（2）支付的其他与经营活动有关的现金" w:id="339"/>
      <w:bookmarkEnd w:id="339"/>
      <w:r>
        <w:rPr/>
      </w:r>
      <w:r>
        <w:rPr/>
        <w:t>（</w:t>
      </w:r>
      <w:r>
        <w:rPr>
          <w:rFonts w:ascii="Times New Roman" w:hAnsi="Times New Roman" w:cs="Times New Roman" w:eastAsia="Times New Roman" w:hint="default"/>
        </w:rPr>
        <w:t>2</w:t>
      </w:r>
      <w:r>
        <w:rPr/>
        <w:t>）支付的其他与经营活动有关的现金</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受到限制的存款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19,774.80</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102,054,388.30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84,621,331.03</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保证金及其他往来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90,241,961.15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2,540,791.63</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500,000.00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2,025,000.00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30,024.35</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52,101.87</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192,846,148.60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89,239,224.53</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5"/>
        <w:ind w:right="1016"/>
        <w:jc w:val="left"/>
      </w:pPr>
      <w:bookmarkStart w:name="（3）收到的其他与投资活动有关的现金" w:id="340"/>
      <w:bookmarkEnd w:id="340"/>
      <w:r>
        <w:rPr/>
      </w:r>
      <w:r>
        <w:rPr/>
        <w:t>（</w:t>
      </w:r>
      <w:r>
        <w:rPr>
          <w:rFonts w:ascii="Times New Roman" w:hAnsi="Times New Roman" w:cs="Times New Roman" w:eastAsia="Times New Roman" w:hint="default"/>
        </w:rPr>
        <w:t>3</w:t>
      </w:r>
      <w:r>
        <w:rPr/>
        <w:t>）收到的其他与投资活动有关的现金</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远期加盖损益</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5,168,156.00</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187,902.74</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3,099,554.44</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拆借款项</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2,156,402.74</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8,455,613.18</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2,156,402.74</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5"/>
        <w:ind w:right="1016"/>
        <w:jc w:val="left"/>
      </w:pPr>
      <w:bookmarkStart w:name="（4）支付的其他与投资活动有关的现金" w:id="341"/>
      <w:bookmarkEnd w:id="341"/>
      <w:r>
        <w:rPr/>
      </w:r>
      <w:r>
        <w:rPr/>
        <w:t>（</w:t>
      </w:r>
      <w:r>
        <w:rPr>
          <w:rFonts w:ascii="Times New Roman" w:hAnsi="Times New Roman" w:cs="Times New Roman" w:eastAsia="Times New Roman" w:hint="default"/>
        </w:rPr>
        <w:t>4</w:t>
      </w:r>
      <w:r>
        <w:rPr/>
        <w:t>）支付的其他与投资活动有关的现金</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远期合同加盖损益</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21,372,939.00</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543,662.50</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21,916,601.50</w:t>
            </w:r>
          </w:p>
        </w:tc>
        <w:tc>
          <w:tcPr>
            <w:tcW w:w="32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1016"/>
        <w:jc w:val="left"/>
      </w:pPr>
      <w:bookmarkStart w:name="（5）收到的其他与筹资活动有关的现金" w:id="342"/>
      <w:bookmarkEnd w:id="342"/>
      <w:r>
        <w:rPr/>
      </w:r>
      <w:r>
        <w:rPr/>
        <w:t>（</w:t>
      </w:r>
      <w:r>
        <w:rPr>
          <w:rFonts w:ascii="Times New Roman" w:hAnsi="Times New Roman" w:cs="Times New Roman" w:eastAsia="Times New Roman" w:hint="default"/>
        </w:rPr>
        <w:t>5</w:t>
      </w:r>
      <w:r>
        <w:rPr/>
        <w:t>）收到的其他与筹资活动有关的现金</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受到限制的存款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448,016,895.90</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250,174.70</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448,267,070.60</w:t>
            </w:r>
          </w:p>
        </w:tc>
        <w:tc>
          <w:tcPr>
            <w:tcW w:w="32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1016"/>
        <w:jc w:val="left"/>
      </w:pPr>
      <w:bookmarkStart w:name="（6）支付的其他与筹资活动有关的现金" w:id="343"/>
      <w:bookmarkEnd w:id="343"/>
      <w:r>
        <w:rPr/>
      </w:r>
      <w:r>
        <w:rPr/>
        <w:t>（</w:t>
      </w:r>
      <w:r>
        <w:rPr>
          <w:rFonts w:ascii="Times New Roman" w:hAnsi="Times New Roman" w:cs="Times New Roman" w:eastAsia="Times New Roman" w:hint="default"/>
        </w:rPr>
        <w:t>6</w:t>
      </w:r>
      <w:r>
        <w:rPr/>
        <w:t>）支付的其他与筹资活动有关的现金</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受到限制的存款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169,084,391.00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395,113,495.90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支付贷款手续费</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4,697,649.81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4,629,503.39</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16,292,526.90</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38,158,272.00</w:t>
            </w:r>
          </w:p>
        </w:tc>
      </w:tr>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贷款利息</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84,346.36</w:t>
            </w:r>
          </w:p>
        </w:tc>
        <w:tc>
          <w:tcPr>
            <w:tcW w:w="328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51,215.24</w:t>
            </w:r>
          </w:p>
        </w:tc>
        <w:tc>
          <w:tcPr>
            <w:tcW w:w="32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282"/>
        <w:gridCol w:w="3288"/>
        <w:gridCol w:w="3285"/>
      </w:tblGrid>
      <w:tr>
        <w:trPr>
          <w:trHeight w:val="407" w:hRule="exact"/>
        </w:trPr>
        <w:tc>
          <w:tcPr>
            <w:tcW w:w="3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归还拆借款项</w:t>
            </w:r>
          </w:p>
        </w:tc>
        <w:tc>
          <w:tcPr>
            <w:tcW w:w="3288" w:type="dxa"/>
            <w:tcBorders>
              <w:top w:val="single" w:sz="4" w:space="0" w:color="000000"/>
              <w:left w:val="single" w:sz="4" w:space="0" w:color="000000"/>
              <w:bottom w:val="single" w:sz="4" w:space="0" w:color="000000"/>
              <w:right w:val="single" w:sz="4" w:space="0" w:color="000000"/>
            </w:tcBorders>
          </w:tcPr>
          <w:p>
            <w:pP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2,063,000.00</w:t>
            </w:r>
          </w:p>
        </w:tc>
      </w:tr>
      <w:tr>
        <w:trPr>
          <w:trHeight w:val="408" w:hRule="exact"/>
        </w:trPr>
        <w:tc>
          <w:tcPr>
            <w:tcW w:w="3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1" w:right="0"/>
              <w:jc w:val="left"/>
              <w:rPr>
                <w:rFonts w:ascii="Times New Roman" w:hAnsi="Times New Roman" w:cs="Times New Roman" w:eastAsia="Times New Roman" w:hint="default"/>
                <w:sz w:val="18"/>
                <w:szCs w:val="18"/>
              </w:rPr>
            </w:pPr>
            <w:r>
              <w:rPr>
                <w:rFonts w:ascii="Times New Roman"/>
                <w:sz w:val="18"/>
              </w:rPr>
              <w:t>190,210,129.31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439,964,271.29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68、现金流量表补充资料" w:id="344"/>
      <w:bookmarkEnd w:id="344"/>
      <w:r>
        <w:rPr/>
      </w:r>
      <w:r>
        <w:rPr>
          <w:rFonts w:ascii="Times New Roman" w:hAnsi="Times New Roman" w:cs="Times New Roman" w:eastAsia="Times New Roman" w:hint="default"/>
        </w:rPr>
        <w:t>68</w:t>
      </w:r>
      <w:r>
        <w:rPr>
          <w:rFonts w:ascii="微软雅黑" w:hAnsi="微软雅黑" w:cs="微软雅黑" w:eastAsia="微软雅黑" w:hint="default"/>
        </w:rPr>
        <w:t>、现金流量表补充资料</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现金流量表补充资料" w:id="345"/>
      <w:bookmarkEnd w:id="345"/>
      <w:r>
        <w:rPr/>
      </w:r>
      <w:r>
        <w:rPr/>
        <w:t>（</w:t>
      </w:r>
      <w:r>
        <w:rPr>
          <w:rFonts w:ascii="Times New Roman" w:hAnsi="Times New Roman" w:cs="Times New Roman" w:eastAsia="Times New Roman" w:hint="default"/>
        </w:rPr>
        <w:t>1</w:t>
      </w:r>
      <w:r>
        <w:rPr/>
        <w:t>）现金流量表补充资料</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428"/>
        <w:gridCol w:w="3148"/>
        <w:gridCol w:w="3280"/>
      </w:tblGrid>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166,860,607.30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76,138,641.40</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3,861,958.56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21,022,341.99</w:t>
            </w:r>
          </w:p>
        </w:tc>
      </w:tr>
      <w:tr>
        <w:trPr>
          <w:trHeight w:val="47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12,769,914.97</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11,952,805.37</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56,302,551.22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37,790,399.08</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5,701,945.85</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5,731,361.02</w:t>
            </w:r>
          </w:p>
        </w:tc>
      </w:tr>
      <w:tr>
        <w:trPr>
          <w:trHeight w:val="47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4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54,582.66</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38,748.39</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146,403.71</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2,348,682.42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-4,787,716.05</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5,555,294.88</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30,770,823.51</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-2,843,935.11</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-7,954,916.74</w:t>
            </w:r>
          </w:p>
        </w:tc>
      </w:tr>
      <w:tr>
        <w:trPr>
          <w:trHeight w:val="47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-4,477,837.92</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-1,211,695.53</w:t>
            </w:r>
          </w:p>
        </w:tc>
      </w:tr>
      <w:tr>
        <w:trPr>
          <w:trHeight w:val="476"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5,331,289.48</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-6,439,114.20</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-6,703,350.77</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7,994,690.68</w:t>
            </w:r>
          </w:p>
        </w:tc>
      </w:tr>
      <w:tr>
        <w:trPr>
          <w:trHeight w:val="47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-62,577,002.46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-20,443,852.93</w:t>
            </w:r>
          </w:p>
        </w:tc>
      </w:tr>
      <w:tr>
        <w:trPr>
          <w:trHeight w:val="476"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71,158,386.03</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18,490,071.38</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4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19,406,267.85</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253,327,252.84</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188,661,093.20</w:t>
            </w:r>
          </w:p>
        </w:tc>
      </w:tr>
      <w:tr>
        <w:trPr>
          <w:trHeight w:val="47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713,976,245.59</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815,198,600.90</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815,198,600.90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1,062,419,515.50</w:t>
            </w:r>
          </w:p>
        </w:tc>
      </w:tr>
      <w:tr>
        <w:trPr>
          <w:trHeight w:val="40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-101,222,355.31</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-247,220,914.60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2）本期支付的取得子公司的现金净额" w:id="346"/>
      <w:bookmarkEnd w:id="346"/>
      <w:r>
        <w:rPr/>
      </w:r>
      <w:r>
        <w:rPr/>
        <w:t>（</w:t>
      </w:r>
      <w:r>
        <w:rPr>
          <w:rFonts w:ascii="Times New Roman" w:hAnsi="Times New Roman" w:cs="Times New Roman" w:eastAsia="Times New Roman" w:hint="default"/>
        </w:rPr>
        <w:t>2</w:t>
      </w:r>
      <w:r>
        <w:rPr/>
        <w:t>）本期支付的取得子公司的现金净额</w:t>
      </w:r>
    </w:p>
    <w:p>
      <w:pPr>
        <w:spacing w:after="0" w:line="240" w:lineRule="auto"/>
        <w:jc w:val="left"/>
        <w:sectPr>
          <w:pgSz w:w="11910" w:h="16840"/>
          <w:pgMar w:header="801" w:footer="1007" w:top="1080" w:bottom="1200" w:left="920" w:right="0"/>
        </w:sectPr>
      </w:pPr>
    </w:p>
    <w:p>
      <w:pPr>
        <w:spacing w:line="240" w:lineRule="auto" w:before="5"/>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38"/>
        <w:gridCol w:w="4718"/>
      </w:tblGrid>
      <w:tr>
        <w:trPr>
          <w:trHeight w:val="402"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6"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248,896,800.40</w:t>
            </w:r>
          </w:p>
        </w:tc>
      </w:tr>
      <w:tr>
        <w:trPr>
          <w:trHeight w:val="402"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5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MM Solutions</w:t>
            </w:r>
            <w:r>
              <w:rPr>
                <w:rFonts w:ascii="Times New Roman"/>
                <w:spacing w:val="-3"/>
                <w:sz w:val="18"/>
              </w:rPr>
              <w:t> </w:t>
            </w:r>
            <w:r>
              <w:rPr>
                <w:rFonts w:ascii="Times New Roman"/>
                <w:sz w:val="18"/>
              </w:rPr>
              <w:t>EAD</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248,896,800.40</w:t>
            </w:r>
          </w:p>
        </w:tc>
      </w:tr>
      <w:tr>
        <w:trPr>
          <w:trHeight w:val="413"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47,741,949.58</w:t>
            </w:r>
          </w:p>
        </w:tc>
      </w:tr>
      <w:tr>
        <w:trPr>
          <w:trHeight w:val="402"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5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MM Solutions</w:t>
            </w:r>
            <w:r>
              <w:rPr>
                <w:rFonts w:ascii="Times New Roman"/>
                <w:spacing w:val="-3"/>
                <w:sz w:val="18"/>
              </w:rPr>
              <w:t> </w:t>
            </w:r>
            <w:r>
              <w:rPr>
                <w:rFonts w:ascii="Times New Roman"/>
                <w:sz w:val="18"/>
              </w:rPr>
              <w:t>EAD</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47,741,949.58</w:t>
            </w:r>
          </w:p>
        </w:tc>
      </w:tr>
      <w:tr>
        <w:trPr>
          <w:trHeight w:val="412"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10,212,848.23</w:t>
            </w:r>
          </w:p>
        </w:tc>
      </w:tr>
      <w:tr>
        <w:trPr>
          <w:trHeight w:val="402"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5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北京爱普新思电子技术有限公司及北京慧驰科技有限公司</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5,640,135.20</w:t>
            </w:r>
          </w:p>
        </w:tc>
      </w:tr>
      <w:tr>
        <w:trPr>
          <w:trHeight w:val="407" w:hRule="exact"/>
        </w:trPr>
        <w:tc>
          <w:tcPr>
            <w:tcW w:w="5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Rightware</w:t>
            </w:r>
            <w:r>
              <w:rPr>
                <w:rFonts w:ascii="Times New Roman"/>
                <w:spacing w:val="-3"/>
                <w:sz w:val="18"/>
              </w:rPr>
              <w:t> </w:t>
            </w:r>
            <w:r>
              <w:rPr>
                <w:rFonts w:ascii="Times New Roman"/>
                <w:sz w:val="18"/>
              </w:rPr>
              <w:t>Oy</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4,572,713.03</w:t>
            </w:r>
          </w:p>
        </w:tc>
      </w:tr>
      <w:tr>
        <w:trPr>
          <w:trHeight w:val="408" w:hRule="exact"/>
        </w:trPr>
        <w:tc>
          <w:tcPr>
            <w:tcW w:w="5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211,367,699.05</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420" w:lineRule="auto" w:before="35"/>
        <w:ind w:right="6657"/>
        <w:jc w:val="left"/>
      </w:pPr>
      <w:bookmarkStart w:name="（3）本期收到的处置子公司的现金净额" w:id="347"/>
      <w:bookmarkEnd w:id="347"/>
      <w:r>
        <w:rPr/>
      </w:r>
      <w:r>
        <w:rPr/>
        <w:t>（</w:t>
      </w:r>
      <w:r>
        <w:rPr>
          <w:rFonts w:ascii="Times New Roman" w:hAnsi="Times New Roman" w:cs="Times New Roman" w:eastAsia="Times New Roman" w:hint="default"/>
        </w:rPr>
        <w:t>3</w:t>
      </w:r>
      <w:r>
        <w:rPr/>
        <w:t>）本期收到的处置子公司的现金净额 不适用</w:t>
      </w:r>
    </w:p>
    <w:p>
      <w:pPr>
        <w:pStyle w:val="BodyText"/>
        <w:spacing w:line="240" w:lineRule="auto" w:before="77"/>
        <w:ind w:right="1016"/>
        <w:jc w:val="left"/>
      </w:pPr>
      <w:bookmarkStart w:name="（4）现金和现金等价物的构成" w:id="348"/>
      <w:bookmarkEnd w:id="348"/>
      <w:r>
        <w:rPr/>
      </w:r>
      <w:r>
        <w:rPr/>
        <w:t>（</w:t>
      </w:r>
      <w:r>
        <w:rPr>
          <w:rFonts w:ascii="Times New Roman" w:hAnsi="Times New Roman" w:cs="Times New Roman" w:eastAsia="Times New Roman" w:hint="default"/>
        </w:rPr>
        <w:t>4</w:t>
      </w:r>
      <w:r>
        <w:rPr/>
        <w:t>）现金和现金等价物的构成</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428"/>
        <w:gridCol w:w="3148"/>
        <w:gridCol w:w="3280"/>
      </w:tblGrid>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713,976,245.59</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815,198,600.90</w:t>
            </w:r>
          </w:p>
        </w:tc>
      </w:tr>
      <w:tr>
        <w:trPr>
          <w:trHeight w:val="40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214,328.09</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217,876.94</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712,269,501.74</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814,162,594.36</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1,492,415.76</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818,129.60</w:t>
            </w:r>
          </w:p>
        </w:tc>
      </w:tr>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713,976,245.59</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815,198,600.90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69、所有者权益变动表项目注释" w:id="349"/>
      <w:bookmarkEnd w:id="349"/>
      <w:r>
        <w:rPr/>
      </w:r>
      <w:r>
        <w:rPr>
          <w:rFonts w:ascii="Times New Roman" w:hAnsi="Times New Roman" w:cs="Times New Roman" w:eastAsia="Times New Roman" w:hint="default"/>
        </w:rPr>
        <w:t>69</w:t>
      </w:r>
      <w:r>
        <w:rPr>
          <w:rFonts w:ascii="微软雅黑" w:hAnsi="微软雅黑" w:cs="微软雅黑" w:eastAsia="微软雅黑" w:hint="default"/>
        </w:rPr>
        <w:t>、所有者权益变动表项目注释</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t>不适用</w:t>
      </w:r>
    </w:p>
    <w:p>
      <w:pPr>
        <w:spacing w:line="240" w:lineRule="auto" w:before="4"/>
        <w:rPr>
          <w:rFonts w:ascii="宋体" w:hAnsi="宋体" w:cs="宋体" w:eastAsia="宋体" w:hint="default"/>
          <w:sz w:val="17"/>
          <w:szCs w:val="17"/>
        </w:rPr>
      </w:pPr>
    </w:p>
    <w:p>
      <w:pPr>
        <w:pStyle w:val="BodyText"/>
        <w:spacing w:line="240" w:lineRule="auto"/>
        <w:ind w:right="1016"/>
        <w:jc w:val="left"/>
        <w:rPr>
          <w:rFonts w:ascii="微软雅黑" w:hAnsi="微软雅黑" w:cs="微软雅黑" w:eastAsia="微软雅黑" w:hint="default"/>
        </w:rPr>
      </w:pPr>
      <w:bookmarkStart w:name="70、所有权或使用权受到限制的资产" w:id="350"/>
      <w:bookmarkEnd w:id="350"/>
      <w:r>
        <w:rPr/>
      </w:r>
      <w:r>
        <w:rPr>
          <w:rFonts w:ascii="Times New Roman" w:hAnsi="Times New Roman" w:cs="Times New Roman" w:eastAsia="Times New Roman" w:hint="default"/>
        </w:rPr>
        <w:t>70</w:t>
      </w:r>
      <w:r>
        <w:rPr>
          <w:rFonts w:ascii="微软雅黑" w:hAnsi="微软雅黑" w:cs="微软雅黑" w:eastAsia="微软雅黑" w:hint="default"/>
        </w:rPr>
        <w:t>、所有权或使用权受到限制的资产</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428"/>
        <w:gridCol w:w="3148"/>
        <w:gridCol w:w="3280"/>
      </w:tblGrid>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7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10" w:right="0"/>
              <w:jc w:val="left"/>
              <w:rPr>
                <w:rFonts w:ascii="Times New Roman" w:hAnsi="Times New Roman" w:cs="Times New Roman" w:eastAsia="Times New Roman" w:hint="default"/>
                <w:sz w:val="18"/>
                <w:szCs w:val="18"/>
              </w:rPr>
            </w:pPr>
            <w:r>
              <w:rPr>
                <w:rFonts w:ascii="Times New Roman"/>
                <w:sz w:val="18"/>
              </w:rPr>
              <w:t>180,491,665.80</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开立备用信用证质押和为员工提供出入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境保证金所致</w:t>
            </w:r>
          </w:p>
        </w:tc>
      </w:tr>
    </w:tbl>
    <w:p>
      <w:pPr>
        <w:spacing w:after="0" w:line="235" w:lineRule="exact"/>
        <w:jc w:val="left"/>
        <w:rPr>
          <w:rFonts w:ascii="宋体" w:hAnsi="宋体" w:cs="宋体" w:eastAsia="宋体"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428"/>
        <w:gridCol w:w="3148"/>
        <w:gridCol w:w="3280"/>
      </w:tblGrid>
      <w:tr>
        <w:trPr>
          <w:trHeight w:val="407"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29,232,262.55</w:t>
            </w:r>
          </w:p>
        </w:tc>
        <w:tc>
          <w:tcPr>
            <w:tcW w:w="3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8" w:hRule="exact"/>
        </w:trPr>
        <w:tc>
          <w:tcPr>
            <w:tcW w:w="3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209,723,928.35</w:t>
            </w:r>
          </w:p>
        </w:tc>
        <w:tc>
          <w:tcPr>
            <w:tcW w:w="3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3"/>
        <w:rPr>
          <w:rFonts w:ascii="宋体" w:hAnsi="宋体" w:cs="宋体" w:eastAsia="宋体" w:hint="default"/>
          <w:sz w:val="17"/>
          <w:szCs w:val="17"/>
        </w:rPr>
      </w:pPr>
    </w:p>
    <w:p>
      <w:pPr>
        <w:pStyle w:val="BodyText"/>
        <w:spacing w:line="240" w:lineRule="auto"/>
        <w:ind w:right="1016"/>
        <w:jc w:val="left"/>
        <w:rPr>
          <w:rFonts w:ascii="微软雅黑" w:hAnsi="微软雅黑" w:cs="微软雅黑" w:eastAsia="微软雅黑" w:hint="default"/>
        </w:rPr>
      </w:pPr>
      <w:bookmarkStart w:name="71、外币货币性项目" w:id="351"/>
      <w:bookmarkEnd w:id="351"/>
      <w:r>
        <w:rPr/>
      </w:r>
      <w:r>
        <w:rPr>
          <w:rFonts w:ascii="Times New Roman" w:hAnsi="Times New Roman" w:cs="Times New Roman" w:eastAsia="Times New Roman" w:hint="default"/>
        </w:rPr>
        <w:t>71</w:t>
      </w:r>
      <w:r>
        <w:rPr>
          <w:rFonts w:ascii="微软雅黑" w:hAnsi="微软雅黑" w:cs="微软雅黑" w:eastAsia="微软雅黑" w:hint="default"/>
        </w:rPr>
        <w:t>、外币货币性项目</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bookmarkStart w:name="（1）外币货币性项目" w:id="352"/>
      <w:bookmarkEnd w:id="352"/>
      <w:r>
        <w:rPr/>
      </w:r>
      <w:r>
        <w:rPr/>
        <w:t>（</w:t>
      </w:r>
      <w:r>
        <w:rPr>
          <w:rFonts w:ascii="Times New Roman" w:hAnsi="Times New Roman" w:cs="Times New Roman" w:eastAsia="Times New Roman" w:hint="default"/>
        </w:rPr>
        <w:t>1</w:t>
      </w:r>
      <w:r>
        <w:rPr/>
        <w:t>）外币货币性项目</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571"/>
        <w:gridCol w:w="2362"/>
        <w:gridCol w:w="2462"/>
        <w:gridCol w:w="2461"/>
      </w:tblGrid>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405,715,384.85</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36,028,196.58</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6.863200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247,268,718.77</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7,615,308.10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7.847300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59,759,607.25</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1,049,611.18</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0.835910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877,380.48</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1,453,470,704.00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0.061887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89,950,941.46</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268,367,879.10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0.006125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1,643,753.26</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13,312,969.00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0.223400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2,974,117.27</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列弗</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100,853.80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4.016268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405,055.89</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26,163,654.61</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0.097986</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2,563,671.86</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165,142.67</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1.647900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272,138.61</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377,258,995.12</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39,861,265.68</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6.863200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273,575,838.61</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1,353,188,791.10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0.061887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83,744,794.71</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1,942,531,334.94</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0.006125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11,898,004.43</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35,865,456.88</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0.223400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8,012,343.07</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1.647900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28,014.30</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156,946,000.00</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7.8473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156,946,000.00</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39,152,913.53</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900,000.00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6.8632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6,176,880.00</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73"/>
              <w:jc w:val="center"/>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4,202,213.95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7.8473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32,976,033.53</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571"/>
        <w:gridCol w:w="2362"/>
        <w:gridCol w:w="2462"/>
        <w:gridCol w:w="2461"/>
      </w:tblGrid>
      <w:tr>
        <w:trPr>
          <w:trHeight w:val="407" w:hRule="exact"/>
        </w:trPr>
        <w:tc>
          <w:tcPr>
            <w:tcW w:w="2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659,213,286.26</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10,438,493.34</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6.8632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71,641,467.49</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503,762,675.00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0.006125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3,085,546.38</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74,469,951.36</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7.8473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584,388,049.31</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59,605.00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1.6479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98,223.08</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195,569.57</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17,508.61</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6.8632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120,165.09</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3"/>
              <w:jc w:val="center"/>
              <w:rPr>
                <w:rFonts w:ascii="宋体" w:hAnsi="宋体" w:cs="宋体" w:eastAsia="宋体" w:hint="default"/>
                <w:sz w:val="18"/>
                <w:szCs w:val="18"/>
              </w:rPr>
            </w:pPr>
            <w:r>
              <w:rPr>
                <w:rFonts w:ascii="宋体" w:hAnsi="宋体" w:cs="宋体" w:eastAsia="宋体" w:hint="default"/>
                <w:sz w:val="18"/>
                <w:szCs w:val="18"/>
              </w:rPr>
              <w:t>日元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671,994.92</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0.061887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41,587.75</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3"/>
              <w:jc w:val="center"/>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5,521,098.00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0.006125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33,816.73</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384,396,313.57</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43,557,292.87</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6.8632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298,942,412.43</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3"/>
              <w:jc w:val="center"/>
              <w:rPr>
                <w:rFonts w:ascii="宋体" w:hAnsi="宋体" w:cs="宋体" w:eastAsia="宋体" w:hint="default"/>
                <w:sz w:val="18"/>
                <w:szCs w:val="18"/>
              </w:rPr>
            </w:pPr>
            <w:r>
              <w:rPr>
                <w:rFonts w:ascii="宋体" w:hAnsi="宋体" w:cs="宋体" w:eastAsia="宋体" w:hint="default"/>
                <w:sz w:val="18"/>
                <w:szCs w:val="18"/>
              </w:rPr>
              <w:t>日元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1,039,027,961.82</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0.061887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64,302,323.47</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3"/>
              <w:jc w:val="center"/>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1,382,602,664.21</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0.006125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8,468,441.32</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3"/>
              <w:jc w:val="center"/>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1,566,413.68</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7.8473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12,292,118.07</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5"/>
              <w:jc w:val="right"/>
              <w:rPr>
                <w:rFonts w:ascii="宋体" w:hAnsi="宋体" w:cs="宋体" w:eastAsia="宋体" w:hint="default"/>
                <w:sz w:val="18"/>
                <w:szCs w:val="18"/>
              </w:rPr>
            </w:pPr>
            <w:r>
              <w:rPr>
                <w:rFonts w:ascii="宋体" w:hAnsi="宋体" w:cs="宋体" w:eastAsia="宋体" w:hint="default"/>
                <w:sz w:val="18"/>
                <w:szCs w:val="18"/>
              </w:rPr>
              <w:t>新台币</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1,750,305.65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0.2234</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391,018.28</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773,082,507.10</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24,741,785.94</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6.8632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169,807,825.26</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3"/>
              <w:jc w:val="center"/>
              <w:rPr>
                <w:rFonts w:ascii="宋体" w:hAnsi="宋体" w:cs="宋体" w:eastAsia="宋体" w:hint="default"/>
                <w:sz w:val="18"/>
                <w:szCs w:val="18"/>
              </w:rPr>
            </w:pPr>
            <w:r>
              <w:rPr>
                <w:rFonts w:ascii="宋体" w:hAnsi="宋体" w:cs="宋体" w:eastAsia="宋体" w:hint="default"/>
                <w:sz w:val="18"/>
                <w:szCs w:val="18"/>
              </w:rPr>
              <w:t>日元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38,935,787.00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0.061887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2,409,619.05</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3"/>
              <w:jc w:val="center"/>
              <w:rPr>
                <w:rFonts w:ascii="宋体" w:hAnsi="宋体" w:cs="宋体" w:eastAsia="宋体" w:hint="default"/>
                <w:sz w:val="18"/>
                <w:szCs w:val="18"/>
              </w:rPr>
            </w:pPr>
            <w:r>
              <w:rPr>
                <w:rFonts w:ascii="宋体" w:hAnsi="宋体" w:cs="宋体" w:eastAsia="宋体" w:hint="default"/>
                <w:sz w:val="18"/>
                <w:szCs w:val="18"/>
              </w:rPr>
              <w:t>韩元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2,373,753,652.98</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0.006125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14,539,241.12</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3"/>
              <w:jc w:val="center"/>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74,513,751.36</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7.8473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584,731,761.05</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5"/>
              <w:jc w:val="right"/>
              <w:rPr>
                <w:rFonts w:ascii="宋体" w:hAnsi="宋体" w:cs="宋体" w:eastAsia="宋体" w:hint="default"/>
                <w:sz w:val="18"/>
                <w:szCs w:val="18"/>
              </w:rPr>
            </w:pPr>
            <w:r>
              <w:rPr>
                <w:rFonts w:ascii="宋体" w:hAnsi="宋体" w:cs="宋体" w:eastAsia="宋体" w:hint="default"/>
                <w:sz w:val="18"/>
                <w:szCs w:val="18"/>
              </w:rPr>
              <w:t>新台币</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2,292,296.00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0.2234</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512,098.93</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5"/>
              <w:jc w:val="right"/>
              <w:rPr>
                <w:rFonts w:ascii="宋体" w:hAnsi="宋体" w:cs="宋体" w:eastAsia="宋体" w:hint="default"/>
                <w:sz w:val="18"/>
                <w:szCs w:val="18"/>
              </w:rPr>
            </w:pPr>
            <w:r>
              <w:rPr>
                <w:rFonts w:ascii="宋体" w:hAnsi="宋体" w:cs="宋体" w:eastAsia="宋体" w:hint="default"/>
                <w:sz w:val="18"/>
                <w:szCs w:val="18"/>
              </w:rPr>
              <w:t>林吉特</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656,569.99</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1.6479</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1,081,961.69</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62"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93,753,560.00</w:t>
            </w:r>
          </w:p>
        </w:tc>
      </w:tr>
      <w:tr>
        <w:trPr>
          <w:trHeight w:val="407"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6,800,000.00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6.8632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46,669,760.00</w:t>
            </w:r>
          </w:p>
        </w:tc>
      </w:tr>
      <w:tr>
        <w:trPr>
          <w:trHeight w:val="408" w:hRule="exact"/>
        </w:trPr>
        <w:tc>
          <w:tcPr>
            <w:tcW w:w="2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6,000,000.00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7.8473</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47,083,800.00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80" w:lineRule="auto" w:before="35"/>
        <w:ind w:left="214" w:right="1016" w:firstLine="420"/>
        <w:jc w:val="left"/>
      </w:pPr>
      <w:bookmarkStart w:name="（2）境外经营实体说明，包括对于重要的境外经营实体，应披露其境外主要经营地、记账" w:id="353"/>
      <w:bookmarkEnd w:id="353"/>
      <w:r>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 选择依据，记账本位币发生变化的还应披露原因。</w:t>
      </w:r>
    </w:p>
    <w:p>
      <w:pPr>
        <w:pStyle w:val="BodyText"/>
        <w:spacing w:line="508" w:lineRule="exact" w:before="37"/>
        <w:ind w:right="10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w:t>
      </w:r>
      <w:r>
        <w:rPr>
          <w:rFonts w:ascii="宋体" w:hAnsi="宋体" w:cs="宋体" w:eastAsia="宋体" w:hint="default"/>
        </w:rPr>
        <w:t>1.</w:t>
      </w:r>
      <w:r>
        <w:rPr/>
        <w:t>本公司重要境外经营实体为中科创达软件日本株式会社，主要经营地在日本，记账本位币为日元，</w:t>
      </w:r>
    </w:p>
    <w:p>
      <w:pPr>
        <w:pStyle w:val="BodyText"/>
        <w:spacing w:line="269" w:lineRule="exact"/>
        <w:ind w:left="214" w:right="1016"/>
        <w:jc w:val="left"/>
      </w:pPr>
      <w:r>
        <w:rPr/>
        <w:t>本报告期记账本位币未发生变化。选择依据为该公司来源于集团外收入占集团总收入的</w:t>
      </w:r>
      <w:r>
        <w:rPr>
          <w:spacing w:val="-53"/>
        </w:rPr>
        <w:t> </w:t>
      </w:r>
      <w:r>
        <w:rPr>
          <w:rFonts w:ascii="宋体" w:hAnsi="宋体" w:cs="宋体" w:eastAsia="宋体" w:hint="default"/>
        </w:rPr>
        <w:t>10%</w:t>
      </w:r>
      <w:r>
        <w:rPr/>
        <w:t>以上。</w:t>
      </w:r>
    </w:p>
    <w:p>
      <w:pPr>
        <w:spacing w:line="240" w:lineRule="auto" w:before="12"/>
        <w:rPr>
          <w:rFonts w:ascii="宋体" w:hAnsi="宋体" w:cs="宋体" w:eastAsia="宋体" w:hint="default"/>
          <w:sz w:val="17"/>
          <w:szCs w:val="17"/>
        </w:rPr>
      </w:pPr>
    </w:p>
    <w:p>
      <w:pPr>
        <w:pStyle w:val="BodyText"/>
        <w:spacing w:line="240" w:lineRule="auto"/>
        <w:ind w:right="1016"/>
        <w:jc w:val="left"/>
      </w:pPr>
      <w:r>
        <w:rPr>
          <w:rFonts w:ascii="Times New Roman" w:hAnsi="Times New Roman" w:cs="Times New Roman" w:eastAsia="Times New Roman" w:hint="default"/>
        </w:rPr>
        <w:t>2.</w:t>
      </w:r>
      <w:r>
        <w:rPr/>
        <w:t>本公司重要境外经营实体为中科创达香港有限公司，主要经营地在香港，记账本位币为人民币，本</w:t>
      </w:r>
    </w:p>
    <w:p>
      <w:pPr>
        <w:spacing w:after="0" w:line="240" w:lineRule="auto"/>
        <w:jc w:val="left"/>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40" w:lineRule="auto" w:before="35"/>
        <w:ind w:left="214" w:right="1016"/>
        <w:jc w:val="left"/>
      </w:pPr>
      <w:r>
        <w:rPr/>
        <w:t>报告期记账本位币未发生变化。选择依据为该公司来源于集团外收入占集团总收入的</w:t>
      </w:r>
      <w:r>
        <w:rPr>
          <w:spacing w:val="-53"/>
        </w:rPr>
        <w:t> </w:t>
      </w:r>
      <w:r>
        <w:rPr>
          <w:rFonts w:ascii="Times New Roman" w:hAnsi="Times New Roman" w:cs="Times New Roman" w:eastAsia="Times New Roman" w:hint="default"/>
        </w:rPr>
        <w:t>10%</w:t>
      </w:r>
      <w:r>
        <w:rPr/>
        <w:t>以上。</w:t>
      </w:r>
    </w:p>
    <w:p>
      <w:pPr>
        <w:spacing w:line="240" w:lineRule="auto" w:before="9"/>
        <w:rPr>
          <w:rFonts w:ascii="宋体" w:hAnsi="宋体" w:cs="宋体" w:eastAsia="宋体" w:hint="default"/>
          <w:sz w:val="16"/>
          <w:szCs w:val="16"/>
        </w:rPr>
      </w:pPr>
    </w:p>
    <w:p>
      <w:pPr>
        <w:pStyle w:val="BodyText"/>
        <w:spacing w:line="280" w:lineRule="auto"/>
        <w:ind w:left="214" w:right="1016" w:firstLine="420"/>
        <w:jc w:val="left"/>
      </w:pPr>
      <w:r>
        <w:rPr>
          <w:rFonts w:ascii="Times New Roman" w:hAnsi="Times New Roman" w:cs="Times New Roman" w:eastAsia="Times New Roman" w:hint="default"/>
        </w:rPr>
        <w:t>3. </w:t>
      </w:r>
      <w:r>
        <w:rPr/>
        <w:t>本公司重要境外经营实体为 </w:t>
      </w:r>
      <w:r>
        <w:rPr>
          <w:rFonts w:ascii="Times New Roman" w:hAnsi="Times New Roman" w:cs="Times New Roman" w:eastAsia="Times New Roman" w:hint="default"/>
        </w:rPr>
        <w:t>MM Solutions</w:t>
      </w:r>
      <w:r>
        <w:rPr>
          <w:rFonts w:ascii="Times New Roman" w:hAnsi="Times New Roman" w:cs="Times New Roman" w:eastAsia="Times New Roman" w:hint="default"/>
          <w:spacing w:val="3"/>
        </w:rPr>
        <w:t> </w:t>
      </w:r>
      <w:r>
        <w:rPr>
          <w:rFonts w:ascii="Times New Roman" w:hAnsi="Times New Roman" w:cs="Times New Roman" w:eastAsia="Times New Roman" w:hint="default"/>
        </w:rPr>
        <w:t>EAD</w:t>
      </w:r>
      <w:r>
        <w:rPr/>
        <w:t>，主要经营地在保加利亚，记账本位币为列弗，本 报告期记账本位币未发生变化。选择依据为该公司来源于集团外收入占集团总收入的</w:t>
      </w:r>
      <w:r>
        <w:rPr>
          <w:spacing w:val="-53"/>
        </w:rPr>
        <w:t> </w:t>
      </w:r>
      <w:r>
        <w:rPr>
          <w:rFonts w:ascii="Times New Roman" w:hAnsi="Times New Roman" w:cs="Times New Roman" w:eastAsia="Times New Roman" w:hint="default"/>
        </w:rPr>
        <w:t>10%</w:t>
      </w:r>
      <w:r>
        <w:rPr/>
        <w:t>以上。</w:t>
      </w:r>
    </w:p>
    <w:p>
      <w:pPr>
        <w:pStyle w:val="BodyText"/>
        <w:spacing w:line="456" w:lineRule="auto" w:before="171"/>
        <w:ind w:right="9072"/>
        <w:jc w:val="left"/>
        <w:rPr>
          <w:rFonts w:ascii="微软雅黑" w:hAnsi="微软雅黑" w:cs="微软雅黑" w:eastAsia="微软雅黑" w:hint="default"/>
        </w:rPr>
      </w:pPr>
      <w:bookmarkStart w:name="72、套期" w:id="354"/>
      <w:bookmarkEnd w:id="354"/>
      <w:r>
        <w:rPr/>
      </w:r>
      <w:r>
        <w:rPr>
          <w:rFonts w:ascii="Times New Roman" w:hAnsi="Times New Roman" w:cs="Times New Roman" w:eastAsia="Times New Roman" w:hint="default"/>
        </w:rPr>
        <w:t>72</w:t>
      </w:r>
      <w:r>
        <w:rPr>
          <w:rFonts w:ascii="微软雅黑" w:hAnsi="微软雅黑" w:cs="微软雅黑" w:eastAsia="微软雅黑" w:hint="default"/>
        </w:rPr>
        <w:t>、套期 </w:t>
      </w:r>
      <w:r>
        <w:rPr/>
        <w:t>不适用 </w:t>
      </w:r>
      <w:bookmarkStart w:name="73、政府补助" w:id="355"/>
      <w:bookmarkEnd w:id="355"/>
      <w:r>
        <w:rPr/>
      </w:r>
      <w:r>
        <w:rPr>
          <w:rFonts w:ascii="Times New Roman" w:hAnsi="Times New Roman" w:cs="Times New Roman" w:eastAsia="Times New Roman" w:hint="default"/>
        </w:rPr>
        <w:t>73</w:t>
      </w:r>
      <w:r>
        <w:rPr>
          <w:rFonts w:ascii="微软雅黑" w:hAnsi="微软雅黑" w:cs="微软雅黑" w:eastAsia="微软雅黑" w:hint="default"/>
        </w:rPr>
        <w:t>、政府补助</w:t>
      </w:r>
    </w:p>
    <w:p>
      <w:pPr>
        <w:pStyle w:val="BodyText"/>
        <w:spacing w:line="240" w:lineRule="auto" w:before="103"/>
        <w:ind w:right="1016"/>
        <w:jc w:val="left"/>
      </w:pPr>
      <w:bookmarkStart w:name="（1）政府补助基本情况" w:id="356"/>
      <w:bookmarkEnd w:id="356"/>
      <w:r>
        <w:rPr/>
      </w:r>
      <w:r>
        <w:rPr/>
        <w:t>（</w:t>
      </w:r>
      <w:r>
        <w:rPr>
          <w:rFonts w:ascii="Times New Roman" w:hAnsi="Times New Roman" w:cs="Times New Roman" w:eastAsia="Times New Roman" w:hint="default"/>
        </w:rPr>
        <w:t>1</w:t>
      </w:r>
      <w:r>
        <w:rPr/>
        <w:t>）政府补助基本情况</w:t>
      </w:r>
    </w:p>
    <w:p>
      <w:pPr>
        <w:spacing w:line="240" w:lineRule="auto" w:before="1"/>
        <w:rPr>
          <w:rFonts w:ascii="宋体" w:hAnsi="宋体" w:cs="宋体" w:eastAsia="宋体"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464"/>
        <w:gridCol w:w="2465"/>
      </w:tblGrid>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9,406,476.77</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9,406,476.77</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用于补贴企业研发投入</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19,200,000.00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19,200,000.00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用于补贴企业研发投入</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3,522,175.92</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3,522,175.92</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智能硬件公共服务平台房租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287,000.00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287,000.00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334,922.69</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334,922.69</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专利、软著补贴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69,700.00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69,700.00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年度陕西省中小企业发</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展专项资金科技创新项目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100,000.00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北京商委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年新录用人才</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7,000.00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北京市科委推动企业走出去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开展海外布局政府补助款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600,000.00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600,000.00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北京市商务委员会对外投资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合作转向资金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861,150.00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861,150.00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北京市商务委员会服务贸易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创新发展专项资金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1,714,806.00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1,714,806.00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北京市专利资助金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12,500.00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12,500.00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北京中关村海外科技园补贴</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29,700.00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29,700.00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国家知识产权局北京市专利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资助金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25,000.00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25,000.00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首都知识产权服务业协会补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40,000.00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中关村企业信用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年信用报</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告补贴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74,600.00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74,600.00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中国技术交易所商标注册资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金补助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18,000.00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18,000.00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年残障金奖励</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341.50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341.50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年度高新区鼓励知识产</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权创造和发展资助资金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2,000.00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年度技术转移输出方奖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补</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7,200.00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7,200.00</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年科技创新券报销款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15,800.00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15,800.00</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464"/>
        <w:gridCol w:w="2465"/>
      </w:tblGrid>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年企业所得税返还</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400,000.00</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年人才办公场所补贴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72,000.00</w:t>
            </w:r>
          </w:p>
        </w:tc>
      </w:tr>
      <w:tr>
        <w:trPr>
          <w:trHeight w:val="47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年省级研发投入奖励</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Times New Roman" w:hAnsi="Times New Roman" w:cs="Times New Roman" w:eastAsia="Times New Roman" w:hint="default"/>
                <w:sz w:val="18"/>
                <w:szCs w:val="18"/>
              </w:rPr>
            </w:pPr>
            <w:r>
              <w:rPr>
                <w:rFonts w:ascii="Times New Roman"/>
                <w:sz w:val="18"/>
              </w:rPr>
              <w:t>647,300.00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z w:val="18"/>
              </w:rPr>
              <w:t>647,300.00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年新认定高新技术企业</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奖励项目补助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100,000.00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年南京市工业和信息化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专项资金政府补助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500,000.00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保险补助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120,000.00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120,000.00</w:t>
            </w:r>
          </w:p>
        </w:tc>
      </w:tr>
      <w:tr>
        <w:trPr>
          <w:trHeight w:val="710"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成都高新区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年省级外经</w:t>
            </w:r>
          </w:p>
          <w:p>
            <w:pPr>
              <w:pStyle w:val="TableParagraph"/>
              <w:spacing w:line="232" w:lineRule="exact" w:before="17"/>
              <w:ind w:left="103" w:right="188"/>
              <w:jc w:val="left"/>
              <w:rPr>
                <w:rFonts w:ascii="宋体" w:hAnsi="宋体" w:cs="宋体" w:eastAsia="宋体" w:hint="default"/>
                <w:sz w:val="18"/>
                <w:szCs w:val="18"/>
              </w:rPr>
            </w:pPr>
            <w:r>
              <w:rPr>
                <w:rFonts w:ascii="宋体" w:hAnsi="宋体" w:cs="宋体" w:eastAsia="宋体" w:hint="default"/>
                <w:sz w:val="18"/>
                <w:szCs w:val="18"/>
              </w:rPr>
              <w:t>贸发展专项切块资金实施方 案</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40,000.00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大连高新区知识产权创造和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发展资助资金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8,500.00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8,500.00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年第二批高企认</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定补助（</w:t>
            </w:r>
            <w:r>
              <w:rPr>
                <w:rFonts w:ascii="Times New Roman" w:hAnsi="Times New Roman" w:cs="Times New Roman" w:eastAsia="Times New Roman" w:hint="default"/>
                <w:sz w:val="18"/>
                <w:szCs w:val="18"/>
              </w:rPr>
              <w:t>10.8</w:t>
            </w:r>
            <w:r>
              <w:rPr>
                <w:rFonts w:ascii="宋体" w:hAnsi="宋体" w:cs="宋体" w:eastAsia="宋体" w:hint="default"/>
                <w:sz w:val="18"/>
                <w:szCs w:val="18"/>
              </w:rPr>
              <w:t>）</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400,000.00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瞪羚企业认定奖励</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150,000.00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150,000.00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瞪羚企业研发费用增量奖励</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171,100.00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171,100.00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工作补助费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50,000.00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国家高新技术企业认定奖补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50,000.00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国家和市级高新技术企业首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次认定奖补</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国家级高新企业认定奖励</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80,000.00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国内外发明专利申请支持</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12,500.00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浑南区创新创业专项资金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（高企奖励）</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200,000.00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境外市场拓展项目资金补贴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科技创新券专项</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200,000.00</w:t>
            </w:r>
          </w:p>
        </w:tc>
      </w:tr>
      <w:tr>
        <w:trPr>
          <w:trHeight w:val="710"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企业研发投入支持计划</w:t>
            </w:r>
            <w:r>
              <w:rPr>
                <w:rFonts w:ascii="Times New Roman" w:hAnsi="Times New Roman" w:cs="Times New Roman" w:eastAsia="Times New Roman" w:hint="default"/>
                <w:sz w:val="18"/>
                <w:szCs w:val="18"/>
              </w:rPr>
              <w:t>-</w:t>
            </w:r>
            <w:r>
              <w:rPr>
                <w:rFonts w:ascii="宋体" w:hAnsi="宋体" w:cs="宋体" w:eastAsia="宋体" w:hint="default"/>
                <w:sz w:val="18"/>
                <w:szCs w:val="18"/>
              </w:rPr>
              <w:t>南山</w:t>
            </w:r>
          </w:p>
          <w:p>
            <w:pPr>
              <w:pStyle w:val="TableParagraph"/>
              <w:spacing w:line="232" w:lineRule="exact" w:before="17"/>
              <w:ind w:left="103" w:right="189"/>
              <w:jc w:val="left"/>
              <w:rPr>
                <w:rFonts w:ascii="宋体" w:hAnsi="宋体" w:cs="宋体" w:eastAsia="宋体" w:hint="default"/>
                <w:sz w:val="18"/>
                <w:szCs w:val="18"/>
              </w:rPr>
            </w:pPr>
            <w:r>
              <w:rPr>
                <w:rFonts w:ascii="宋体" w:hAnsi="宋体" w:cs="宋体" w:eastAsia="宋体" w:hint="default"/>
                <w:sz w:val="18"/>
                <w:szCs w:val="18"/>
              </w:rPr>
              <w:t>区自主创新产业发展专项资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科技创新分项资金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109,000.00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109,000.00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企业研究开发资助计划第三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批资助资金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398,000.00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398,000.00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上海徐汇区财政</w:t>
            </w:r>
            <w:r>
              <w:rPr>
                <w:rFonts w:ascii="Times New Roman" w:hAnsi="Times New Roman" w:cs="Times New Roman" w:eastAsia="Times New Roman" w:hint="default"/>
                <w:sz w:val="18"/>
                <w:szCs w:val="18"/>
              </w:rPr>
              <w:t>-</w:t>
            </w:r>
            <w:r>
              <w:rPr>
                <w:rFonts w:ascii="宋体" w:hAnsi="宋体" w:cs="宋体" w:eastAsia="宋体" w:hint="default"/>
                <w:sz w:val="18"/>
                <w:szCs w:val="18"/>
              </w:rPr>
              <w:t>科技创新发</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展款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30,000.00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深圳市第二批计算机软件著</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作权登记资助项目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7,200.00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7,200.00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深圳市第二批专利申请资助</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6,000.00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6,000.00</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实验室补贴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科技小巨人政府补助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300,000.00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300,000.00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西安市国内专利资助</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4,000.00</w:t>
            </w:r>
          </w:p>
        </w:tc>
      </w:tr>
      <w:tr>
        <w:trPr>
          <w:trHeight w:val="476"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政府补助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号文专项第一批</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第三笔项目资金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289,280.00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289,280.00</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知识产权创造奖励</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8,000.00</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464"/>
        <w:gridCol w:w="2463"/>
        <w:gridCol w:w="2464"/>
        <w:gridCol w:w="2465"/>
      </w:tblGrid>
      <w:tr>
        <w:trPr>
          <w:trHeight w:val="407" w:hRule="exact"/>
        </w:trPr>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智能软硬件一体化平台项目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710"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中关村示范区科技型小微企</w:t>
            </w:r>
          </w:p>
          <w:p>
            <w:pPr>
              <w:pStyle w:val="TableParagraph"/>
              <w:spacing w:line="240" w:lineRule="auto"/>
              <w:ind w:left="103" w:right="188"/>
              <w:jc w:val="left"/>
              <w:rPr>
                <w:rFonts w:ascii="宋体" w:hAnsi="宋体" w:cs="宋体" w:eastAsia="宋体" w:hint="default"/>
                <w:sz w:val="18"/>
                <w:szCs w:val="18"/>
              </w:rPr>
            </w:pPr>
            <w:r>
              <w:rPr>
                <w:rFonts w:ascii="宋体" w:hAnsi="宋体" w:cs="宋体" w:eastAsia="宋体" w:hint="default"/>
                <w:sz w:val="18"/>
                <w:szCs w:val="18"/>
              </w:rPr>
              <w:t>业研发费用支持资金待拨付 款</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124,800.00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124,800.00</w:t>
            </w:r>
          </w:p>
        </w:tc>
      </w:tr>
      <w:tr>
        <w:trPr>
          <w:trHeight w:val="47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中科创达区域总部怡化落户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7"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271,282.00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271,282.00</w:t>
            </w:r>
          </w:p>
        </w:tc>
      </w:tr>
      <w:tr>
        <w:trPr>
          <w:trHeight w:val="408" w:hRule="exact"/>
        </w:trPr>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服务外包发展专项资金</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6,214,012.00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6,214,012.00</w:t>
            </w:r>
          </w:p>
        </w:tc>
      </w:tr>
    </w:tbl>
    <w:p>
      <w:pPr>
        <w:spacing w:line="240" w:lineRule="auto" w:before="6"/>
        <w:rPr>
          <w:rFonts w:ascii="Times New Roman" w:hAnsi="Times New Roman" w:cs="Times New Roman" w:eastAsia="Times New Roman" w:hint="default"/>
          <w:sz w:val="8"/>
          <w:szCs w:val="8"/>
        </w:rPr>
      </w:pPr>
    </w:p>
    <w:p>
      <w:pPr>
        <w:pStyle w:val="BodyText"/>
        <w:spacing w:line="240" w:lineRule="auto" w:before="35"/>
        <w:ind w:right="1016"/>
        <w:jc w:val="left"/>
      </w:pPr>
      <w:bookmarkStart w:name="（2）政府补助退回情况" w:id="357"/>
      <w:bookmarkEnd w:id="357"/>
      <w:r>
        <w:rPr/>
      </w:r>
      <w:r>
        <w:rPr/>
        <w:t>（</w:t>
      </w:r>
      <w:r>
        <w:rPr>
          <w:rFonts w:ascii="Times New Roman" w:hAnsi="Times New Roman" w:cs="Times New Roman" w:eastAsia="Times New Roman" w:hint="default"/>
        </w:rPr>
        <w:t>2</w:t>
      </w:r>
      <w:r>
        <w:rPr/>
        <w:t>）政府补助退回情况</w:t>
      </w:r>
    </w:p>
    <w:p>
      <w:pPr>
        <w:spacing w:line="240" w:lineRule="auto" w:before="8"/>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pStyle w:val="BodyText"/>
        <w:spacing w:line="436" w:lineRule="auto"/>
        <w:ind w:right="9492"/>
        <w:jc w:val="left"/>
        <w:rPr>
          <w:rFonts w:ascii="微软雅黑" w:hAnsi="微软雅黑" w:cs="微软雅黑" w:eastAsia="微软雅黑" w:hint="default"/>
        </w:rPr>
      </w:pPr>
      <w:bookmarkStart w:name="74、其他" w:id="358"/>
      <w:bookmarkEnd w:id="358"/>
      <w:r>
        <w:rPr/>
      </w:r>
      <w:r>
        <w:rPr>
          <w:rFonts w:ascii="Times New Roman" w:hAnsi="Times New Roman" w:cs="Times New Roman" w:eastAsia="Times New Roman" w:hint="default"/>
        </w:rPr>
        <w:t>74</w:t>
      </w:r>
      <w:r>
        <w:rPr>
          <w:rFonts w:ascii="微软雅黑" w:hAnsi="微软雅黑" w:cs="微软雅黑" w:eastAsia="微软雅黑" w:hint="default"/>
        </w:rPr>
        <w:t>、其他 </w:t>
      </w:r>
      <w:bookmarkStart w:name="不适用" w:id="359"/>
      <w:bookmarkEnd w:id="359"/>
      <w:r>
        <w:rPr>
          <w:rFonts w:ascii="微软雅黑" w:hAnsi="微软雅黑" w:cs="微软雅黑" w:eastAsia="微软雅黑" w:hint="default"/>
        </w:rPr>
        <w:t>不适用</w:t>
      </w:r>
    </w:p>
    <w:p>
      <w:pPr>
        <w:pStyle w:val="Heading2"/>
        <w:spacing w:line="240" w:lineRule="auto" w:before="175"/>
        <w:ind w:right="1016"/>
        <w:jc w:val="left"/>
      </w:pPr>
      <w:bookmarkStart w:name="八、合并范围的变更" w:id="360"/>
      <w:bookmarkEnd w:id="360"/>
      <w:r>
        <w:rPr/>
      </w:r>
      <w:r>
        <w:rPr/>
        <w:t>八、合并范围的变更</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非同一控制下企业合并" w:id="361"/>
      <w:bookmarkEnd w:id="361"/>
      <w:r>
        <w:rPr/>
      </w:r>
      <w:r>
        <w:rPr>
          <w:rFonts w:ascii="Times New Roman" w:hAnsi="Times New Roman" w:cs="Times New Roman" w:eastAsia="Times New Roman" w:hint="default"/>
        </w:rPr>
        <w:t>1</w:t>
      </w:r>
      <w:r>
        <w:rPr>
          <w:rFonts w:ascii="微软雅黑" w:hAnsi="微软雅黑" w:cs="微软雅黑" w:eastAsia="微软雅黑" w:hint="default"/>
        </w:rPr>
        <w:t>、非同一控制下企业合并</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bookmarkStart w:name="（1）本期发生的非同一控制下企业合并" w:id="362"/>
      <w:bookmarkEnd w:id="362"/>
      <w:r>
        <w:rPr/>
      </w:r>
      <w:r>
        <w:rPr/>
        <w:t>（</w:t>
      </w:r>
      <w:r>
        <w:rPr>
          <w:rFonts w:ascii="Times New Roman" w:hAnsi="Times New Roman" w:cs="Times New Roman" w:eastAsia="Times New Roman" w:hint="default"/>
        </w:rPr>
        <w:t>1</w:t>
      </w:r>
      <w:r>
        <w:rPr/>
        <w:t>）本期发生的非同一控制下企业合并</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000"/>
        <w:gridCol w:w="1002"/>
        <w:gridCol w:w="1342"/>
        <w:gridCol w:w="1002"/>
        <w:gridCol w:w="1003"/>
        <w:gridCol w:w="1003"/>
        <w:gridCol w:w="1001"/>
        <w:gridCol w:w="1250"/>
        <w:gridCol w:w="1252"/>
      </w:tblGrid>
      <w:tr>
        <w:trPr>
          <w:trHeight w:val="710" w:hRule="exact"/>
        </w:trPr>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14" w:right="13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15" w:right="134"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15" w:right="135"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16" w:right="134"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34" w:right="13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购买日至期</w:t>
            </w:r>
          </w:p>
          <w:p>
            <w:pPr>
              <w:pStyle w:val="TableParagraph"/>
              <w:spacing w:line="232" w:lineRule="exact" w:before="24"/>
              <w:ind w:left="350" w:right="168" w:hanging="180"/>
              <w:jc w:val="left"/>
              <w:rPr>
                <w:rFonts w:ascii="宋体" w:hAnsi="宋体" w:cs="宋体" w:eastAsia="宋体" w:hint="default"/>
                <w:sz w:val="18"/>
                <w:szCs w:val="18"/>
              </w:rPr>
            </w:pPr>
            <w:r>
              <w:rPr>
                <w:rFonts w:ascii="宋体" w:hAnsi="宋体" w:cs="宋体" w:eastAsia="宋体" w:hint="default"/>
                <w:sz w:val="18"/>
                <w:szCs w:val="18"/>
              </w:rPr>
              <w:t>末被购买方 的收入</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购买日至期</w:t>
            </w:r>
          </w:p>
          <w:p>
            <w:pPr>
              <w:pStyle w:val="TableParagraph"/>
              <w:spacing w:line="232" w:lineRule="exact" w:before="24"/>
              <w:ind w:left="260" w:right="169" w:hanging="90"/>
              <w:jc w:val="left"/>
              <w:rPr>
                <w:rFonts w:ascii="宋体" w:hAnsi="宋体" w:cs="宋体" w:eastAsia="宋体" w:hint="default"/>
                <w:sz w:val="18"/>
                <w:szCs w:val="18"/>
              </w:rPr>
            </w:pPr>
            <w:r>
              <w:rPr>
                <w:rFonts w:ascii="宋体" w:hAnsi="宋体" w:cs="宋体" w:eastAsia="宋体" w:hint="default"/>
                <w:sz w:val="18"/>
                <w:szCs w:val="18"/>
              </w:rPr>
              <w:t>末被购买方 的净利润</w:t>
            </w:r>
          </w:p>
        </w:tc>
      </w:tr>
      <w:tr>
        <w:trPr>
          <w:trHeight w:val="710" w:hRule="exact"/>
        </w:trPr>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18"/>
                <w:szCs w:val="18"/>
              </w:rPr>
            </w:pPr>
            <w:r>
              <w:rPr>
                <w:rFonts w:ascii="Times New Roman"/>
                <w:sz w:val="18"/>
              </w:rPr>
              <w:t>MM</w:t>
            </w:r>
          </w:p>
          <w:p>
            <w:pPr>
              <w:pStyle w:val="TableParagraph"/>
              <w:spacing w:line="240" w:lineRule="auto"/>
              <w:ind w:left="103" w:right="204"/>
              <w:jc w:val="left"/>
              <w:rPr>
                <w:rFonts w:ascii="Times New Roman" w:hAnsi="Times New Roman" w:cs="Times New Roman" w:eastAsia="Times New Roman" w:hint="default"/>
                <w:sz w:val="18"/>
                <w:szCs w:val="18"/>
              </w:rPr>
            </w:pPr>
            <w:r>
              <w:rPr>
                <w:rFonts w:ascii="Times New Roman"/>
                <w:sz w:val="18"/>
              </w:rPr>
              <w:t>Solutions</w:t>
            </w:r>
            <w:r>
              <w:rPr>
                <w:rFonts w:ascii="Times New Roman"/>
                <w:w w:val="99"/>
                <w:sz w:val="18"/>
              </w:rPr>
              <w:t> </w:t>
            </w:r>
            <w:r>
              <w:rPr>
                <w:rFonts w:ascii="Times New Roman"/>
                <w:sz w:val="18"/>
              </w:rPr>
              <w:t>EAD</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03</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290,702,167.21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100.00%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8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03</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股权变更</w:t>
            </w:r>
          </w:p>
          <w:p>
            <w:pPr>
              <w:pStyle w:val="TableParagraph"/>
              <w:spacing w:line="232" w:lineRule="exact" w:before="24"/>
              <w:ind w:left="101" w:right="167"/>
              <w:jc w:val="left"/>
              <w:rPr>
                <w:rFonts w:ascii="宋体" w:hAnsi="宋体" w:cs="宋体" w:eastAsia="宋体" w:hint="default"/>
                <w:sz w:val="18"/>
                <w:szCs w:val="18"/>
              </w:rPr>
            </w:pPr>
            <w:r>
              <w:rPr>
                <w:rFonts w:ascii="宋体" w:hAnsi="宋体" w:cs="宋体" w:eastAsia="宋体" w:hint="default"/>
                <w:sz w:val="18"/>
                <w:szCs w:val="18"/>
              </w:rPr>
              <w:t>手续办理 完毕</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91,561,167.64</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35,163,583.13</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5"/>
        <w:ind w:right="1016"/>
        <w:jc w:val="left"/>
      </w:pPr>
      <w:bookmarkStart w:name="（2）合并成本及商誉" w:id="363"/>
      <w:bookmarkEnd w:id="363"/>
      <w:r>
        <w:rPr/>
      </w:r>
      <w:r>
        <w:rPr/>
        <w:t>（</w:t>
      </w:r>
      <w:r>
        <w:rPr>
          <w:rFonts w:ascii="Times New Roman" w:hAnsi="Times New Roman" w:cs="Times New Roman" w:eastAsia="Times New Roman" w:hint="default"/>
        </w:rPr>
        <w:t>2</w:t>
      </w:r>
      <w:r>
        <w:rPr/>
        <w:t>）合并成本及商誉</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928"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290,702,167.21</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290,702,167.21</w:t>
            </w:r>
          </w:p>
        </w:tc>
      </w:tr>
      <w:tr>
        <w:trPr>
          <w:trHeight w:val="408"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112,621,857.09</w:t>
            </w:r>
          </w:p>
        </w:tc>
      </w:tr>
      <w:tr>
        <w:trPr>
          <w:trHeight w:val="476"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178,080,310.12</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合并成本公允价值的确定方法、或有对价及其变动的说明：</w:t>
      </w:r>
    </w:p>
    <w:p>
      <w:pPr>
        <w:spacing w:after="0" w:line="240" w:lineRule="auto"/>
        <w:jc w:val="left"/>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80" w:lineRule="auto" w:before="35"/>
        <w:ind w:left="214" w:right="1122" w:firstLine="420"/>
        <w:jc w:val="left"/>
      </w:pPr>
      <w:r>
        <w:rPr/>
        <w:t>本公司通过附属子公司</w:t>
      </w:r>
      <w:r>
        <w:rPr>
          <w:spacing w:val="-53"/>
        </w:rPr>
        <w:t> </w:t>
      </w:r>
      <w:r>
        <w:rPr>
          <w:rFonts w:ascii="Times New Roman" w:hAnsi="Times New Roman" w:cs="Times New Roman" w:eastAsia="Times New Roman" w:hint="default"/>
        </w:rPr>
        <w:t>AchieveSky</w:t>
      </w:r>
      <w:r>
        <w:rPr>
          <w:rFonts w:ascii="Times New Roman" w:hAnsi="Times New Roman" w:cs="Times New Roman" w:eastAsia="Times New Roman" w:hint="default"/>
          <w:spacing w:val="-6"/>
        </w:rPr>
        <w:t> </w:t>
      </w:r>
      <w:r>
        <w:rPr>
          <w:rFonts w:ascii="Times New Roman" w:hAnsi="Times New Roman" w:cs="Times New Roman" w:eastAsia="Times New Roman" w:hint="default"/>
        </w:rPr>
        <w:t>Europe</w:t>
      </w:r>
      <w:r>
        <w:rPr>
          <w:rFonts w:ascii="Times New Roman" w:hAnsi="Times New Roman" w:cs="Times New Roman" w:eastAsia="Times New Roman" w:hint="default"/>
          <w:spacing w:val="-6"/>
        </w:rPr>
        <w:t> </w:t>
      </w:r>
      <w:r>
        <w:rPr>
          <w:rFonts w:ascii="Times New Roman" w:hAnsi="Times New Roman" w:cs="Times New Roman" w:eastAsia="Times New Roman" w:hint="default"/>
        </w:rPr>
        <w:t>SARL</w:t>
      </w:r>
      <w:r>
        <w:rPr>
          <w:rFonts w:ascii="Times New Roman" w:hAnsi="Times New Roman" w:cs="Times New Roman" w:eastAsia="Times New Roman" w:hint="default"/>
          <w:spacing w:val="-11"/>
        </w:rPr>
        <w:t> </w:t>
      </w:r>
      <w:r>
        <w:rPr/>
        <w:t>收购</w:t>
      </w:r>
      <w:r>
        <w:rPr>
          <w:spacing w:val="-54"/>
        </w:rPr>
        <w:t> </w:t>
      </w:r>
      <w:r>
        <w:rPr>
          <w:rFonts w:ascii="Times New Roman" w:hAnsi="Times New Roman" w:cs="Times New Roman" w:eastAsia="Times New Roman" w:hint="default"/>
        </w:rPr>
        <w:t>MM</w:t>
      </w:r>
      <w:r>
        <w:rPr>
          <w:rFonts w:ascii="Times New Roman" w:hAnsi="Times New Roman" w:cs="Times New Roman" w:eastAsia="Times New Roman" w:hint="default"/>
          <w:spacing w:val="-5"/>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6"/>
        </w:rPr>
        <w:t> </w:t>
      </w:r>
      <w:r>
        <w:rPr>
          <w:rFonts w:ascii="Times New Roman" w:hAnsi="Times New Roman" w:cs="Times New Roman" w:eastAsia="Times New Roman" w:hint="default"/>
        </w:rPr>
        <w:t>EAD100%</w:t>
      </w:r>
      <w:r>
        <w:rPr/>
        <w:t>股权，业经中水致远资</w:t>
      </w:r>
      <w:r>
        <w:rPr>
          <w:w w:val="99"/>
        </w:rPr>
        <w:t> </w:t>
      </w:r>
      <w:r>
        <w:rPr/>
        <w:t>产评估有限公司评估并出具中水致远评咨字（</w:t>
      </w:r>
      <w:r>
        <w:rPr>
          <w:rFonts w:ascii="Times New Roman" w:hAnsi="Times New Roman" w:cs="Times New Roman" w:eastAsia="Times New Roman" w:hint="default"/>
        </w:rPr>
        <w:t>2018</w:t>
      </w:r>
      <w:r>
        <w:rPr/>
        <w:t>）第</w:t>
      </w:r>
      <w:r>
        <w:rPr>
          <w:spacing w:val="-56"/>
        </w:rPr>
        <w:t> </w:t>
      </w:r>
      <w:r>
        <w:rPr>
          <w:rFonts w:ascii="Times New Roman" w:hAnsi="Times New Roman" w:cs="Times New Roman" w:eastAsia="Times New Roman" w:hint="default"/>
        </w:rPr>
        <w:t>010051</w:t>
      </w:r>
      <w:r>
        <w:rPr>
          <w:rFonts w:ascii="Times New Roman" w:hAnsi="Times New Roman" w:cs="Times New Roman" w:eastAsia="Times New Roman" w:hint="default"/>
          <w:spacing w:val="-12"/>
        </w:rPr>
        <w:t> </w:t>
      </w:r>
      <w:r>
        <w:rPr/>
        <w:t>号资产估值报告书。</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7"/>
          <w:szCs w:val="27"/>
        </w:rPr>
      </w:pPr>
    </w:p>
    <w:p>
      <w:pPr>
        <w:pStyle w:val="BodyText"/>
        <w:spacing w:line="240" w:lineRule="auto"/>
        <w:ind w:right="1016"/>
        <w:jc w:val="left"/>
      </w:pPr>
      <w:bookmarkStart w:name="（3）被购买方于购买日可辨认资产、负债" w:id="364"/>
      <w:bookmarkEnd w:id="364"/>
      <w:r>
        <w:rPr/>
      </w:r>
      <w:r>
        <w:rPr/>
        <w:t>（</w:t>
      </w:r>
      <w:r>
        <w:rPr>
          <w:rFonts w:ascii="Times New Roman" w:hAnsi="Times New Roman" w:cs="Times New Roman" w:eastAsia="Times New Roman" w:hint="default"/>
        </w:rPr>
        <w:t>3</w:t>
      </w:r>
      <w:r>
        <w:rPr/>
        <w:t>）被购买方于购买日可辨认资产、负债</w:t>
      </w:r>
    </w:p>
    <w:p>
      <w:pPr>
        <w:spacing w:line="240" w:lineRule="auto" w:before="1"/>
        <w:rPr>
          <w:rFonts w:ascii="宋体" w:hAnsi="宋体" w:cs="宋体" w:eastAsia="宋体"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71"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6"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7"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7"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47,668,479.32</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47,668,479.32</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21,081,096.63</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21,081,096.63</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233,049.41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233,049.41</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521,398.68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521,398.68</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75,369,759.19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3,957,889.98</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367,349.07</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367,349.07</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14,650,512.91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14,650,512.91</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14,283,421.63</w:t>
            </w:r>
          </w:p>
        </w:tc>
        <w:tc>
          <w:tcPr>
            <w:tcW w:w="328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应交所得税</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2,366,044.01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2,366,044.01</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402,898.98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402,898.98</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112,621,857.09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55,493,409.51</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112,621,857.09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55,493,409.51</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可辨认资产、负债公允价值的确定方法：</w:t>
      </w:r>
    </w:p>
    <w:p>
      <w:pPr>
        <w:spacing w:line="240" w:lineRule="auto" w:before="12"/>
        <w:rPr>
          <w:rFonts w:ascii="宋体" w:hAnsi="宋体" w:cs="宋体" w:eastAsia="宋体" w:hint="default"/>
          <w:sz w:val="17"/>
          <w:szCs w:val="17"/>
        </w:rPr>
      </w:pPr>
    </w:p>
    <w:p>
      <w:pPr>
        <w:pStyle w:val="BodyText"/>
        <w:spacing w:line="280" w:lineRule="auto"/>
        <w:ind w:left="214" w:right="1123" w:firstLine="420"/>
        <w:jc w:val="left"/>
      </w:pPr>
      <w:r>
        <w:rPr/>
        <w:t>收购</w:t>
      </w:r>
      <w:r>
        <w:rPr>
          <w:spacing w:val="-53"/>
        </w:rPr>
        <w:t> </w:t>
      </w:r>
      <w:r>
        <w:rPr>
          <w:rFonts w:ascii="Times New Roman" w:hAnsi="Times New Roman" w:cs="Times New Roman" w:eastAsia="Times New Roman" w:hint="default"/>
        </w:rPr>
        <w:t>MM</w:t>
      </w:r>
      <w:r>
        <w:rPr>
          <w:rFonts w:ascii="Times New Roman" w:hAnsi="Times New Roman" w:cs="Times New Roman" w:eastAsia="Times New Roman" w:hint="default"/>
          <w:spacing w:val="19"/>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17"/>
        </w:rPr>
        <w:t> </w:t>
      </w:r>
      <w:r>
        <w:rPr>
          <w:rFonts w:ascii="Times New Roman" w:hAnsi="Times New Roman" w:cs="Times New Roman" w:eastAsia="Times New Roman" w:hint="default"/>
        </w:rPr>
        <w:t>EAD</w:t>
      </w:r>
      <w:r>
        <w:rPr/>
        <w:t>，业经中水致远资产评估有限公司进行评估，并于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08</w:t>
      </w:r>
      <w:r>
        <w:rPr>
          <w:rFonts w:ascii="Times New Roman" w:hAnsi="Times New Roman" w:cs="Times New Roman" w:eastAsia="Times New Roman" w:hint="default"/>
          <w:spacing w:val="-11"/>
        </w:rPr>
        <w:t> </w:t>
      </w:r>
      <w:r>
        <w:rPr/>
        <w:t>日出具了 中水致远评咨字（</w:t>
      </w:r>
      <w:r>
        <w:rPr>
          <w:rFonts w:ascii="Times New Roman" w:hAnsi="Times New Roman" w:cs="Times New Roman" w:eastAsia="Times New Roman" w:hint="default"/>
        </w:rPr>
        <w:t>2018</w:t>
      </w:r>
      <w:r>
        <w:rPr/>
        <w:t>）第</w:t>
      </w:r>
      <w:r>
        <w:rPr>
          <w:spacing w:val="-54"/>
        </w:rPr>
        <w:t> </w:t>
      </w:r>
      <w:r>
        <w:rPr>
          <w:rFonts w:ascii="Times New Roman" w:hAnsi="Times New Roman" w:cs="Times New Roman" w:eastAsia="Times New Roman" w:hint="default"/>
        </w:rPr>
        <w:t>010051</w:t>
      </w:r>
      <w:r>
        <w:rPr>
          <w:rFonts w:ascii="Times New Roman" w:hAnsi="Times New Roman" w:cs="Times New Roman" w:eastAsia="Times New Roman" w:hint="default"/>
          <w:spacing w:val="-12"/>
        </w:rPr>
        <w:t> </w:t>
      </w:r>
      <w:r>
        <w:rPr/>
        <w:t>号</w:t>
      </w:r>
      <w:r>
        <w:rPr>
          <w:spacing w:val="-54"/>
        </w:rPr>
        <w:t> </w:t>
      </w:r>
      <w:r>
        <w:rPr>
          <w:rFonts w:ascii="Times New Roman" w:hAnsi="Times New Roman" w:cs="Times New Roman" w:eastAsia="Times New Roman" w:hint="default"/>
        </w:rPr>
        <w:t>MM</w:t>
      </w:r>
      <w:r>
        <w:rPr>
          <w:rFonts w:ascii="Times New Roman" w:hAnsi="Times New Roman" w:cs="Times New Roman" w:eastAsia="Times New Roman" w:hint="default"/>
          <w:spacing w:val="-1"/>
        </w:rPr>
        <w:t> </w:t>
      </w:r>
      <w:r>
        <w:rPr>
          <w:rFonts w:ascii="Times New Roman" w:hAnsi="Times New Roman" w:cs="Times New Roman" w:eastAsia="Times New Roman" w:hint="default"/>
        </w:rPr>
        <w:t>Solutions</w:t>
      </w:r>
      <w:r>
        <w:rPr>
          <w:rFonts w:ascii="Times New Roman" w:hAnsi="Times New Roman" w:cs="Times New Roman" w:eastAsia="Times New Roman" w:hint="default"/>
          <w:spacing w:val="-1"/>
        </w:rPr>
        <w:t> </w:t>
      </w:r>
      <w:r>
        <w:rPr>
          <w:rFonts w:ascii="Times New Roman" w:hAnsi="Times New Roman" w:cs="Times New Roman" w:eastAsia="Times New Roman" w:hint="default"/>
        </w:rPr>
        <w:t>EAD</w:t>
      </w:r>
      <w:r>
        <w:rPr>
          <w:rFonts w:ascii="Times New Roman" w:hAnsi="Times New Roman" w:cs="Times New Roman" w:eastAsia="Times New Roman" w:hint="default"/>
          <w:spacing w:val="-12"/>
        </w:rPr>
        <w:t> </w:t>
      </w:r>
      <w:r>
        <w:rPr/>
        <w:t>可辨识净资产估值报告书。</w:t>
      </w:r>
    </w:p>
    <w:p>
      <w:pPr>
        <w:pStyle w:val="BodyText"/>
        <w:spacing w:line="444" w:lineRule="auto" w:before="178"/>
        <w:ind w:right="6552"/>
        <w:jc w:val="left"/>
      </w:pPr>
      <w:r>
        <w:rPr/>
        <w:t>企业合并中承担的被购买方的或有负债： 其他说明：</w:t>
      </w:r>
    </w:p>
    <w:p>
      <w:pPr>
        <w:pStyle w:val="BodyText"/>
        <w:spacing w:line="240" w:lineRule="auto" w:before="54"/>
        <w:ind w:right="1016"/>
        <w:jc w:val="left"/>
      </w:pPr>
      <w:bookmarkStart w:name="（4）购买日之前持有的股权按照公允价值重新计量产生的利得或损失" w:id="365"/>
      <w:bookmarkEnd w:id="365"/>
      <w:r>
        <w:rPr/>
      </w:r>
      <w:r>
        <w:rPr/>
        <w:t>（</w:t>
      </w:r>
      <w:r>
        <w:rPr>
          <w:rFonts w:ascii="Times New Roman" w:hAnsi="Times New Roman" w:cs="Times New Roman" w:eastAsia="Times New Roman" w:hint="default"/>
        </w:rPr>
        <w:t>4</w:t>
      </w:r>
      <w:r>
        <w:rPr/>
        <w:t>）购买日之前持有的股权按照公允价值重新计量产生的利得或损失</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1</w:t>
      </w:r>
      <w:r>
        <w:rPr/>
        <w:t>、是否存在通过多次交易分步实现企业合并且在报告期内取得控制权的交易</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9"/>
          <w:szCs w:val="29"/>
        </w:rPr>
      </w:pPr>
    </w:p>
    <w:p>
      <w:pPr>
        <w:pStyle w:val="BodyText"/>
        <w:spacing w:line="240" w:lineRule="auto"/>
        <w:ind w:right="1016"/>
        <w:jc w:val="left"/>
        <w:rPr>
          <w:rFonts w:ascii="微软雅黑" w:hAnsi="微软雅黑" w:cs="微软雅黑" w:eastAsia="微软雅黑" w:hint="default"/>
        </w:rPr>
      </w:pPr>
      <w:bookmarkStart w:name="2、同一控制下企业合并" w:id="366"/>
      <w:bookmarkEnd w:id="366"/>
      <w:r>
        <w:rPr/>
      </w:r>
      <w:r>
        <w:rPr>
          <w:rFonts w:ascii="Times New Roman" w:hAnsi="Times New Roman" w:cs="Times New Roman" w:eastAsia="Times New Roman" w:hint="default"/>
        </w:rPr>
        <w:t>2</w:t>
      </w:r>
      <w:r>
        <w:rPr>
          <w:rFonts w:ascii="微软雅黑" w:hAnsi="微软雅黑" w:cs="微软雅黑" w:eastAsia="微软雅黑" w:hint="default"/>
        </w:rPr>
        <w:t>、同一控制下企业合并</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t>不适用</w:t>
      </w:r>
    </w:p>
    <w:p>
      <w:pPr>
        <w:spacing w:after="0" w:line="240" w:lineRule="auto"/>
        <w:jc w:val="left"/>
        <w:sectPr>
          <w:footerReference w:type="default" r:id="rId20"/>
          <w:pgSz w:w="11910" w:h="16840"/>
          <w:pgMar w:footer="1007" w:header="801" w:top="1080" w:bottom="1200" w:left="920" w:right="0"/>
          <w:pgNumType w:start="17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3、反向购买" w:id="367"/>
      <w:bookmarkEnd w:id="367"/>
      <w:r>
        <w:rPr/>
      </w:r>
      <w:r>
        <w:rPr>
          <w:rFonts w:ascii="Times New Roman" w:hAnsi="Times New Roman" w:cs="Times New Roman" w:eastAsia="Times New Roman" w:hint="default"/>
        </w:rPr>
        <w:t>3</w:t>
      </w:r>
      <w:r>
        <w:rPr>
          <w:rFonts w:ascii="微软雅黑" w:hAnsi="微软雅黑" w:cs="微软雅黑" w:eastAsia="微软雅黑" w:hint="default"/>
        </w:rPr>
        <w:t>、反向购买</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t>不适用</w:t>
      </w:r>
    </w:p>
    <w:p>
      <w:pPr>
        <w:spacing w:line="240" w:lineRule="auto" w:before="5"/>
        <w:rPr>
          <w:rFonts w:ascii="宋体" w:hAnsi="宋体" w:cs="宋体" w:eastAsia="宋体" w:hint="default"/>
          <w:sz w:val="17"/>
          <w:szCs w:val="17"/>
        </w:rPr>
      </w:pPr>
    </w:p>
    <w:p>
      <w:pPr>
        <w:pStyle w:val="BodyText"/>
        <w:spacing w:line="240" w:lineRule="auto"/>
        <w:ind w:right="1016"/>
        <w:jc w:val="left"/>
        <w:rPr>
          <w:rFonts w:ascii="微软雅黑" w:hAnsi="微软雅黑" w:cs="微软雅黑" w:eastAsia="微软雅黑" w:hint="default"/>
        </w:rPr>
      </w:pPr>
      <w:bookmarkStart w:name="4、处置子公司" w:id="368"/>
      <w:bookmarkEnd w:id="368"/>
      <w:r>
        <w:rPr/>
      </w:r>
      <w:r>
        <w:rPr>
          <w:rFonts w:ascii="Times New Roman" w:hAnsi="Times New Roman" w:cs="Times New Roman" w:eastAsia="Times New Roman" w:hint="default"/>
        </w:rPr>
        <w:t>4</w:t>
      </w:r>
      <w:r>
        <w:rPr>
          <w:rFonts w:ascii="微软雅黑" w:hAnsi="微软雅黑" w:cs="微软雅黑" w:eastAsia="微软雅黑" w:hint="default"/>
        </w:rPr>
        <w:t>、处置子公司</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t>是否存在单次处置对子公司投资即丧失控制权的情形</w:t>
      </w:r>
    </w:p>
    <w:p>
      <w:pPr>
        <w:spacing w:line="240" w:lineRule="auto" w:before="12"/>
        <w:rPr>
          <w:rFonts w:ascii="宋体" w:hAnsi="宋体" w:cs="宋体" w:eastAsia="宋体" w:hint="default"/>
          <w:sz w:val="17"/>
          <w:szCs w:val="17"/>
        </w:rPr>
      </w:pPr>
    </w:p>
    <w:p>
      <w:pPr>
        <w:pStyle w:val="BodyText"/>
        <w:spacing w:line="420" w:lineRule="auto"/>
        <w:ind w:right="361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是否存在通过多次交易分步处置对子公司投资且在本期丧失控制权的情形</w:t>
      </w:r>
    </w:p>
    <w:p>
      <w:pPr>
        <w:pStyle w:val="BodyText"/>
        <w:spacing w:line="240" w:lineRule="auto" w:before="75"/>
        <w:ind w:right="10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1"/>
        <w:rPr>
          <w:rFonts w:ascii="宋体" w:hAnsi="宋体" w:cs="宋体" w:eastAsia="宋体" w:hint="default"/>
          <w:sz w:val="16"/>
          <w:szCs w:val="16"/>
        </w:rPr>
      </w:pPr>
    </w:p>
    <w:p>
      <w:pPr>
        <w:pStyle w:val="BodyText"/>
        <w:spacing w:line="458" w:lineRule="auto"/>
        <w:ind w:right="2352"/>
        <w:jc w:val="left"/>
      </w:pPr>
      <w:bookmarkStart w:name="5、其他原因的合并范围变动" w:id="369"/>
      <w:bookmarkEnd w:id="369"/>
      <w:r>
        <w:rPr/>
      </w:r>
      <w:r>
        <w:rPr>
          <w:rFonts w:ascii="Times New Roman" w:hAnsi="Times New Roman" w:cs="Times New Roman" w:eastAsia="Times New Roman" w:hint="default"/>
        </w:rPr>
        <w:t>5</w:t>
      </w:r>
      <w:r>
        <w:rPr>
          <w:rFonts w:ascii="微软雅黑" w:hAnsi="微软雅黑" w:cs="微软雅黑" w:eastAsia="微软雅黑" w:hint="default"/>
        </w:rPr>
        <w:t>、其他原因的合并范围变动 </w:t>
      </w:r>
      <w:r>
        <w:rPr/>
        <w:t>说明其他原因导致的合并范围变动（如，新设子公司、清算子公司等）及其相关情况：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年度因新设子公司合并范围变动情况如下：</w:t>
      </w:r>
    </w:p>
    <w:p>
      <w:pPr>
        <w:spacing w:line="240" w:lineRule="auto" w:before="2"/>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9856"/>
      </w:tblGrid>
      <w:tr>
        <w:trPr>
          <w:trHeight w:val="426" w:hRule="exact"/>
        </w:trPr>
        <w:tc>
          <w:tcPr>
            <w:tcW w:w="9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r>
      <w:tr>
        <w:trPr>
          <w:trHeight w:val="427"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重庆创通联智物联网有限公司</w:t>
            </w:r>
          </w:p>
        </w:tc>
      </w:tr>
      <w:tr>
        <w:trPr>
          <w:trHeight w:val="427"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THUNDERSOFT INDIA PRIVATE</w:t>
            </w:r>
            <w:r>
              <w:rPr>
                <w:rFonts w:ascii="宋体"/>
                <w:spacing w:val="-2"/>
                <w:sz w:val="21"/>
              </w:rPr>
              <w:t> </w:t>
            </w:r>
            <w:r>
              <w:rPr>
                <w:rFonts w:ascii="宋体"/>
                <w:sz w:val="21"/>
              </w:rPr>
              <w:t>LIMITED</w:t>
            </w:r>
          </w:p>
        </w:tc>
      </w:tr>
      <w:tr>
        <w:trPr>
          <w:trHeight w:val="427"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THUNDER SOFTWARE TECHNOLOGY MALAYSIA</w:t>
            </w:r>
            <w:r>
              <w:rPr>
                <w:rFonts w:ascii="宋体"/>
                <w:spacing w:val="-2"/>
                <w:sz w:val="21"/>
              </w:rPr>
              <w:t> </w:t>
            </w:r>
            <w:r>
              <w:rPr>
                <w:rFonts w:ascii="宋体"/>
                <w:sz w:val="21"/>
              </w:rPr>
              <w:t>SDN.BHD</w:t>
            </w:r>
          </w:p>
        </w:tc>
      </w:tr>
      <w:tr>
        <w:trPr>
          <w:trHeight w:val="427"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Thundercomm America</w:t>
            </w:r>
            <w:r>
              <w:rPr>
                <w:rFonts w:ascii="宋体"/>
                <w:spacing w:val="-2"/>
                <w:sz w:val="21"/>
              </w:rPr>
              <w:t> </w:t>
            </w:r>
            <w:r>
              <w:rPr>
                <w:rFonts w:ascii="宋体"/>
                <w:sz w:val="21"/>
              </w:rPr>
              <w:t>Corporation</w:t>
            </w:r>
          </w:p>
        </w:tc>
      </w:tr>
      <w:tr>
        <w:trPr>
          <w:trHeight w:val="427" w:hRule="exact"/>
        </w:trPr>
        <w:tc>
          <w:tcPr>
            <w:tcW w:w="9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1"/>
                <w:szCs w:val="21"/>
              </w:rPr>
            </w:pPr>
            <w:r>
              <w:rPr>
                <w:rFonts w:ascii="宋体"/>
                <w:sz w:val="21"/>
              </w:rPr>
              <w:t>Thundercomm HongKong Corporation</w:t>
            </w:r>
            <w:r>
              <w:rPr>
                <w:rFonts w:ascii="宋体"/>
                <w:spacing w:val="-2"/>
                <w:sz w:val="21"/>
              </w:rPr>
              <w:t> </w:t>
            </w:r>
            <w:r>
              <w:rPr>
                <w:rFonts w:ascii="宋体"/>
                <w:sz w:val="21"/>
              </w:rPr>
              <w:t>Limited</w:t>
            </w:r>
          </w:p>
        </w:tc>
      </w:tr>
    </w:tbl>
    <w:p>
      <w:pPr>
        <w:spacing w:line="240" w:lineRule="auto" w:before="7"/>
        <w:rPr>
          <w:rFonts w:ascii="宋体" w:hAnsi="宋体" w:cs="宋体" w:eastAsia="宋体" w:hint="default"/>
          <w:sz w:val="20"/>
          <w:szCs w:val="20"/>
        </w:rPr>
      </w:pPr>
    </w:p>
    <w:p>
      <w:pPr>
        <w:pStyle w:val="Heading2"/>
        <w:spacing w:line="397" w:lineRule="exact"/>
        <w:ind w:right="1016"/>
        <w:jc w:val="left"/>
      </w:pPr>
      <w:bookmarkStart w:name="九、在其他主体中的权益" w:id="370"/>
      <w:bookmarkEnd w:id="370"/>
      <w:r>
        <w:rPr/>
      </w:r>
      <w:r>
        <w:rPr/>
        <w:t>九、在其他主体中的权益</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在子公司中的权益" w:id="371"/>
      <w:bookmarkEnd w:id="371"/>
      <w:r>
        <w:rPr/>
      </w:r>
      <w:r>
        <w:rPr>
          <w:rFonts w:ascii="Times New Roman" w:hAnsi="Times New Roman" w:cs="Times New Roman" w:eastAsia="Times New Roman" w:hint="default"/>
        </w:rPr>
        <w:t>1</w:t>
      </w:r>
      <w:r>
        <w:rPr>
          <w:rFonts w:ascii="微软雅黑" w:hAnsi="微软雅黑" w:cs="微软雅黑" w:eastAsia="微软雅黑" w:hint="default"/>
        </w:rPr>
        <w:t>、在子公司中的权益</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bookmarkStart w:name="企业集团的构成" w:id="372"/>
      <w:bookmarkEnd w:id="372"/>
      <w:r>
        <w:rPr/>
      </w:r>
      <w:r>
        <w:rPr/>
        <w:t>企业集团的构成</w:t>
      </w:r>
    </w:p>
    <w:p>
      <w:pPr>
        <w:spacing w:line="240" w:lineRule="auto" w:before="7"/>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1414"/>
        <w:gridCol w:w="1408"/>
        <w:gridCol w:w="1407"/>
        <w:gridCol w:w="1408"/>
        <w:gridCol w:w="1406"/>
        <w:gridCol w:w="1407"/>
        <w:gridCol w:w="1406"/>
      </w:tblGrid>
      <w:tr>
        <w:trPr>
          <w:trHeight w:val="406" w:hRule="exact"/>
        </w:trPr>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8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8" w:hRule="exact"/>
        </w:trPr>
        <w:tc>
          <w:tcPr>
            <w:tcW w:w="1414"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06"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畅索软件科技</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9"/>
                <w:sz w:val="18"/>
                <w:szCs w:val="18"/>
              </w:rPr>
              <w:t>（上海）有限公</w:t>
            </w:r>
            <w:r>
              <w:rPr>
                <w:rFonts w:ascii="宋体" w:hAnsi="宋体" w:cs="宋体" w:eastAsia="宋体" w:hint="default"/>
                <w:sz w:val="18"/>
                <w:szCs w:val="18"/>
              </w:rPr>
              <w:t> 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中科创达软件</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10"/>
                <w:sz w:val="18"/>
                <w:szCs w:val="18"/>
              </w:rPr>
              <w:t>科技（深圳）有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北京信恒创科</w:t>
            </w:r>
          </w:p>
          <w:p>
            <w:pPr>
              <w:pStyle w:val="TableParagraph"/>
              <w:spacing w:line="240" w:lineRule="auto"/>
              <w:ind w:left="103" w:right="219"/>
              <w:jc w:val="left"/>
              <w:rPr>
                <w:rFonts w:ascii="宋体" w:hAnsi="宋体" w:cs="宋体" w:eastAsia="宋体" w:hint="default"/>
                <w:sz w:val="18"/>
                <w:szCs w:val="18"/>
              </w:rPr>
            </w:pPr>
            <w:r>
              <w:rPr>
                <w:rFonts w:ascii="宋体" w:hAnsi="宋体" w:cs="宋体" w:eastAsia="宋体" w:hint="default"/>
                <w:sz w:val="18"/>
                <w:szCs w:val="18"/>
              </w:rPr>
              <w:t>技发展有限公 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北京润信恒达</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9" w:right="0"/>
              <w:jc w:val="left"/>
              <w:rPr>
                <w:rFonts w:ascii="Times New Roman" w:hAnsi="Times New Roman" w:cs="Times New Roman" w:eastAsia="Times New Roman" w:hint="default"/>
                <w:sz w:val="18"/>
                <w:szCs w:val="18"/>
              </w:rPr>
            </w:pPr>
            <w:r>
              <w:rPr>
                <w:rFonts w:ascii="Times New Roman"/>
                <w:sz w:val="18"/>
              </w:rPr>
              <w:t>91.00%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01" w:footer="1007" w:top="1080" w:bottom="120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414"/>
        <w:gridCol w:w="1408"/>
        <w:gridCol w:w="1407"/>
        <w:gridCol w:w="1408"/>
        <w:gridCol w:w="1406"/>
        <w:gridCol w:w="1407"/>
        <w:gridCol w:w="1406"/>
      </w:tblGrid>
      <w:tr>
        <w:trPr>
          <w:trHeight w:val="407" w:hRule="exact"/>
        </w:trPr>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8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7" w:hRule="exact"/>
        </w:trPr>
        <w:tc>
          <w:tcPr>
            <w:tcW w:w="1414"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06"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40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成都中科创达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南京中科创达</w:t>
            </w:r>
          </w:p>
          <w:p>
            <w:pPr>
              <w:pStyle w:val="TableParagraph"/>
              <w:spacing w:line="232" w:lineRule="exact" w:before="24"/>
              <w:ind w:left="103" w:right="219"/>
              <w:jc w:val="left"/>
              <w:rPr>
                <w:rFonts w:ascii="宋体" w:hAnsi="宋体" w:cs="宋体" w:eastAsia="宋体" w:hint="default"/>
                <w:sz w:val="18"/>
                <w:szCs w:val="18"/>
              </w:rPr>
            </w:pPr>
            <w:r>
              <w:rPr>
                <w:rFonts w:ascii="宋体" w:hAnsi="宋体" w:cs="宋体" w:eastAsia="宋体" w:hint="default"/>
                <w:sz w:val="18"/>
                <w:szCs w:val="18"/>
              </w:rPr>
              <w:t>软件科技有限 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西安中科创达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香港天集有限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企业管理服务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中科创达香港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移动操作系统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香港天盛有限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移动智能终端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深圳市创达天</w:t>
            </w:r>
          </w:p>
          <w:p>
            <w:pPr>
              <w:pStyle w:val="TableParagraph"/>
              <w:spacing w:line="240" w:lineRule="auto"/>
              <w:ind w:left="103" w:right="219"/>
              <w:jc w:val="left"/>
              <w:rPr>
                <w:rFonts w:ascii="宋体" w:hAnsi="宋体" w:cs="宋体" w:eastAsia="宋体" w:hint="default"/>
                <w:sz w:val="18"/>
                <w:szCs w:val="18"/>
              </w:rPr>
            </w:pPr>
            <w:r>
              <w:rPr>
                <w:rFonts w:ascii="宋体" w:hAnsi="宋体" w:cs="宋体" w:eastAsia="宋体" w:hint="default"/>
                <w:sz w:val="18"/>
                <w:szCs w:val="18"/>
              </w:rPr>
              <w:t>盛智能科技有 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303"/>
              <w:jc w:val="left"/>
              <w:rPr>
                <w:rFonts w:ascii="Times New Roman" w:hAnsi="Times New Roman" w:cs="Times New Roman" w:eastAsia="Times New Roman" w:hint="default"/>
                <w:sz w:val="18"/>
                <w:szCs w:val="18"/>
              </w:rPr>
            </w:pPr>
            <w:r>
              <w:rPr>
                <w:rFonts w:ascii="Times New Roman"/>
                <w:sz w:val="18"/>
              </w:rPr>
              <w:t>Mobile Focus</w:t>
            </w:r>
            <w:r>
              <w:rPr>
                <w:rFonts w:ascii="Times New Roman"/>
                <w:w w:val="99"/>
                <w:sz w:val="18"/>
              </w:rPr>
              <w:t> </w:t>
            </w:r>
            <w:r>
              <w:rPr>
                <w:rFonts w:ascii="Times New Roman"/>
                <w:sz w:val="18"/>
              </w:rPr>
              <w:t>Holding</w:t>
            </w:r>
            <w:r>
              <w:rPr>
                <w:rFonts w:ascii="Times New Roman"/>
                <w:spacing w:val="-2"/>
                <w:sz w:val="18"/>
              </w:rPr>
              <w:t> </w:t>
            </w:r>
            <w:r>
              <w:rPr>
                <w:rFonts w:ascii="Times New Roman"/>
                <w:sz w:val="18"/>
              </w:rPr>
              <w:t>Ltd.</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英属维尔京群</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岛</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英属维尔京群</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岛</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日本天集有限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369"/>
              <w:jc w:val="left"/>
              <w:rPr>
                <w:rFonts w:ascii="Times New Roman" w:hAnsi="Times New Roman" w:cs="Times New Roman" w:eastAsia="Times New Roman" w:hint="default"/>
                <w:sz w:val="18"/>
                <w:szCs w:val="18"/>
              </w:rPr>
            </w:pPr>
            <w:r>
              <w:rPr>
                <w:rFonts w:ascii="Times New Roman"/>
                <w:sz w:val="18"/>
              </w:rPr>
              <w:t>Longtrans</w:t>
            </w:r>
            <w:r>
              <w:rPr>
                <w:rFonts w:ascii="Times New Roman"/>
                <w:w w:val="99"/>
                <w:sz w:val="18"/>
              </w:rPr>
              <w:t> </w:t>
            </w:r>
            <w:r>
              <w:rPr>
                <w:rFonts w:ascii="Times New Roman"/>
                <w:sz w:val="18"/>
              </w:rPr>
              <w:t>Holding</w:t>
            </w:r>
            <w:r>
              <w:rPr>
                <w:rFonts w:ascii="Times New Roman"/>
                <w:spacing w:val="-2"/>
                <w:sz w:val="18"/>
              </w:rPr>
              <w:t> </w:t>
            </w:r>
            <w:r>
              <w:rPr>
                <w:rFonts w:ascii="Times New Roman"/>
                <w:sz w:val="18"/>
              </w:rPr>
              <w:t>Ltd.</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英属维尔京群</w:t>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z w:val="18"/>
                <w:szCs w:val="18"/>
              </w:rPr>
              <w:t>岛</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英属维尔京群</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岛</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80.10%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台湾聚引移动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台湾</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移动智能终端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中科创达软件</w:t>
            </w:r>
          </w:p>
          <w:p>
            <w:pPr>
              <w:pStyle w:val="TableParagraph"/>
              <w:spacing w:line="232" w:lineRule="exact" w:before="24"/>
              <w:ind w:left="103" w:right="219"/>
              <w:jc w:val="left"/>
              <w:rPr>
                <w:rFonts w:ascii="宋体" w:hAnsi="宋体" w:cs="宋体" w:eastAsia="宋体" w:hint="default"/>
                <w:sz w:val="18"/>
                <w:szCs w:val="18"/>
              </w:rPr>
            </w:pPr>
            <w:r>
              <w:rPr>
                <w:rFonts w:ascii="宋体" w:hAnsi="宋体" w:cs="宋体" w:eastAsia="宋体" w:hint="default"/>
                <w:sz w:val="18"/>
                <w:szCs w:val="18"/>
              </w:rPr>
              <w:t>股份有限公司 韩国子公司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2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274"/>
              <w:jc w:val="left"/>
              <w:rPr>
                <w:rFonts w:ascii="Times New Roman" w:hAnsi="Times New Roman" w:cs="Times New Roman" w:eastAsia="Times New Roman" w:hint="default"/>
                <w:sz w:val="18"/>
                <w:szCs w:val="18"/>
              </w:rPr>
            </w:pPr>
            <w:r>
              <w:rPr>
                <w:rFonts w:ascii="Times New Roman"/>
                <w:sz w:val="18"/>
              </w:rPr>
              <w:t>AchieveSky</w:t>
            </w:r>
            <w:r>
              <w:rPr>
                <w:rFonts w:ascii="Times New Roman"/>
                <w:w w:val="99"/>
                <w:sz w:val="18"/>
              </w:rPr>
              <w:t> </w:t>
            </w:r>
            <w:r>
              <w:rPr>
                <w:rFonts w:ascii="Times New Roman"/>
                <w:sz w:val="18"/>
              </w:rPr>
              <w:t>Europe</w:t>
            </w:r>
            <w:r>
              <w:rPr>
                <w:rFonts w:ascii="Times New Roman"/>
                <w:spacing w:val="-1"/>
                <w:sz w:val="18"/>
              </w:rPr>
              <w:t> </w:t>
            </w:r>
            <w:r>
              <w:rPr>
                <w:rFonts w:ascii="Times New Roman"/>
                <w:sz w:val="18"/>
              </w:rPr>
              <w:t>SARL</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45"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373"/>
              <w:jc w:val="both"/>
              <w:rPr>
                <w:rFonts w:ascii="Times New Roman" w:hAnsi="Times New Roman" w:cs="Times New Roman" w:eastAsia="Times New Roman" w:hint="default"/>
                <w:sz w:val="18"/>
                <w:szCs w:val="18"/>
              </w:rPr>
            </w:pPr>
            <w:r>
              <w:rPr>
                <w:rFonts w:ascii="Times New Roman"/>
                <w:sz w:val="18"/>
              </w:rPr>
              <w:t>Thundersoft Automotive Technology Luxembourg SARL</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卢森堡</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88.33%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中科创达美国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市场调研</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沈阳中科创达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大连中科创达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青柠优视科技</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9"/>
                <w:sz w:val="18"/>
                <w:szCs w:val="18"/>
              </w:rPr>
              <w:t>（北京）有限公</w:t>
            </w:r>
            <w:r>
              <w:rPr>
                <w:rFonts w:ascii="宋体" w:hAnsi="宋体" w:cs="宋体" w:eastAsia="宋体" w:hint="default"/>
                <w:sz w:val="18"/>
                <w:szCs w:val="18"/>
              </w:rPr>
              <w:t> 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75.00%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北京创思远达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重庆创通联达</w:t>
            </w:r>
          </w:p>
          <w:p>
            <w:pPr>
              <w:pStyle w:val="TableParagraph"/>
              <w:spacing w:line="240" w:lineRule="auto"/>
              <w:ind w:left="103" w:right="219"/>
              <w:jc w:val="left"/>
              <w:rPr>
                <w:rFonts w:ascii="宋体" w:hAnsi="宋体" w:cs="宋体" w:eastAsia="宋体" w:hint="default"/>
                <w:sz w:val="18"/>
                <w:szCs w:val="18"/>
              </w:rPr>
            </w:pPr>
            <w:r>
              <w:rPr>
                <w:rFonts w:ascii="宋体" w:hAnsi="宋体" w:cs="宋体" w:eastAsia="宋体" w:hint="default"/>
                <w:sz w:val="18"/>
                <w:szCs w:val="18"/>
              </w:rPr>
              <w:t>智能技术有限 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81.97%</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北京爱普新思</w:t>
            </w:r>
          </w:p>
          <w:p>
            <w:pPr>
              <w:pStyle w:val="TableParagraph"/>
              <w:spacing w:line="240" w:lineRule="auto"/>
              <w:ind w:left="103" w:right="219"/>
              <w:jc w:val="left"/>
              <w:rPr>
                <w:rFonts w:ascii="宋体" w:hAnsi="宋体" w:cs="宋体" w:eastAsia="宋体" w:hint="default"/>
                <w:sz w:val="18"/>
                <w:szCs w:val="18"/>
              </w:rPr>
            </w:pPr>
            <w:r>
              <w:rPr>
                <w:rFonts w:ascii="宋体" w:hAnsi="宋体" w:cs="宋体" w:eastAsia="宋体" w:hint="default"/>
                <w:sz w:val="18"/>
                <w:szCs w:val="18"/>
              </w:rPr>
              <w:t>电子技术有限 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北京慧驰科技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spacing w:after="0" w:line="240" w:lineRule="auto"/>
        <w:jc w:val="left"/>
        <w:rPr>
          <w:rFonts w:ascii="宋体" w:hAnsi="宋体" w:cs="宋体" w:eastAsia="宋体" w:hint="default"/>
          <w:sz w:val="18"/>
          <w:szCs w:val="18"/>
        </w:rPr>
        <w:sectPr>
          <w:pgSz w:w="11910" w:h="16840"/>
          <w:pgMar w:header="801" w:footer="1007" w:top="1080" w:bottom="120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414"/>
        <w:gridCol w:w="1408"/>
        <w:gridCol w:w="1407"/>
        <w:gridCol w:w="1408"/>
        <w:gridCol w:w="1406"/>
        <w:gridCol w:w="1407"/>
        <w:gridCol w:w="1406"/>
      </w:tblGrid>
      <w:tr>
        <w:trPr>
          <w:trHeight w:val="407" w:hRule="exact"/>
        </w:trPr>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8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7" w:hRule="exact"/>
        </w:trPr>
        <w:tc>
          <w:tcPr>
            <w:tcW w:w="1414"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c>
          <w:tcPr>
            <w:tcW w:w="1408" w:type="dxa"/>
            <w:vMerge/>
            <w:tcBorders>
              <w:left w:val="single" w:sz="4" w:space="0" w:color="000000"/>
              <w:bottom w:val="single" w:sz="4" w:space="0" w:color="000000"/>
              <w:right w:val="single" w:sz="4" w:space="0" w:color="000000"/>
            </w:tcBorders>
            <w:shd w:val="clear" w:color="auto" w:fill="D2D2D2"/>
          </w:tcPr>
          <w:p>
            <w:pP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406" w:type="dxa"/>
            <w:vMerge/>
            <w:tcBorders>
              <w:left w:val="single" w:sz="4" w:space="0" w:color="000000"/>
              <w:bottom w:val="single" w:sz="4" w:space="0" w:color="000000"/>
              <w:right w:val="single" w:sz="4" w:space="0" w:color="000000"/>
            </w:tcBorders>
            <w:shd w:val="clear" w:color="auto" w:fill="D2D2D2"/>
          </w:tcPr>
          <w:p>
            <w:pP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中科创达软件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日本株式会社</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7"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武汉中科创达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杭州聚引投资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中科创达（重</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9"/>
                <w:sz w:val="18"/>
                <w:szCs w:val="18"/>
              </w:rPr>
              <w:t>庆）汽车科技有</w:t>
            </w:r>
            <w:r>
              <w:rPr>
                <w:rFonts w:ascii="宋体" w:hAnsi="宋体" w:cs="宋体" w:eastAsia="宋体" w:hint="default"/>
                <w:sz w:val="18"/>
                <w:szCs w:val="18"/>
              </w:rPr>
              <w:t> 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212"/>
              <w:jc w:val="left"/>
              <w:rPr>
                <w:rFonts w:ascii="宋体" w:hAnsi="宋体" w:cs="宋体" w:eastAsia="宋体" w:hint="default"/>
                <w:sz w:val="18"/>
                <w:szCs w:val="18"/>
              </w:rPr>
            </w:pPr>
            <w:r>
              <w:rPr>
                <w:rFonts w:ascii="宋体" w:hAnsi="宋体" w:cs="宋体" w:eastAsia="宋体" w:hint="default"/>
                <w:sz w:val="18"/>
                <w:szCs w:val="18"/>
              </w:rPr>
              <w:t>移动智能终端 解决方案</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南京中创盎赛</w:t>
            </w:r>
          </w:p>
          <w:p>
            <w:pPr>
              <w:pStyle w:val="TableParagraph"/>
              <w:spacing w:line="240" w:lineRule="auto"/>
              <w:ind w:left="103" w:right="219"/>
              <w:jc w:val="left"/>
              <w:rPr>
                <w:rFonts w:ascii="宋体" w:hAnsi="宋体" w:cs="宋体" w:eastAsia="宋体" w:hint="default"/>
                <w:sz w:val="18"/>
                <w:szCs w:val="18"/>
              </w:rPr>
            </w:pPr>
            <w:r>
              <w:rPr>
                <w:rFonts w:ascii="宋体" w:hAnsi="宋体" w:cs="宋体" w:eastAsia="宋体" w:hint="default"/>
                <w:sz w:val="18"/>
                <w:szCs w:val="18"/>
              </w:rPr>
              <w:t>软件科技有限 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Rightware</w:t>
            </w:r>
            <w:r>
              <w:rPr>
                <w:rFonts w:ascii="Times New Roman"/>
                <w:spacing w:val="-3"/>
                <w:sz w:val="18"/>
              </w:rPr>
              <w:t> </w:t>
            </w:r>
            <w:r>
              <w:rPr>
                <w:rFonts w:ascii="Times New Roman"/>
                <w:sz w:val="18"/>
              </w:rPr>
              <w:t>Oy</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芬兰</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芬兰</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车载电子解决</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方案</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88.33%</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47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QuantumX</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95.00%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南京慧行汽车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84.00%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重庆协同创新</w:t>
            </w:r>
          </w:p>
          <w:p>
            <w:pPr>
              <w:pStyle w:val="TableParagraph"/>
              <w:spacing w:line="240" w:lineRule="auto"/>
              <w:ind w:left="103" w:right="219"/>
              <w:jc w:val="left"/>
              <w:rPr>
                <w:rFonts w:ascii="宋体" w:hAnsi="宋体" w:cs="宋体" w:eastAsia="宋体" w:hint="default"/>
                <w:sz w:val="18"/>
                <w:szCs w:val="18"/>
              </w:rPr>
            </w:pPr>
            <w:r>
              <w:rPr>
                <w:rFonts w:ascii="宋体" w:hAnsi="宋体" w:cs="宋体" w:eastAsia="宋体" w:hint="default"/>
                <w:sz w:val="18"/>
                <w:szCs w:val="18"/>
              </w:rPr>
              <w:t>智能汽车研究 院有限公司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重庆创通联智</w:t>
            </w:r>
          </w:p>
          <w:p>
            <w:pPr>
              <w:pStyle w:val="TableParagraph"/>
              <w:spacing w:line="240" w:lineRule="auto"/>
              <w:ind w:left="103" w:right="219"/>
              <w:jc w:val="left"/>
              <w:rPr>
                <w:rFonts w:ascii="宋体" w:hAnsi="宋体" w:cs="宋体" w:eastAsia="宋体" w:hint="default"/>
                <w:sz w:val="18"/>
                <w:szCs w:val="18"/>
              </w:rPr>
            </w:pPr>
            <w:r>
              <w:rPr>
                <w:rFonts w:ascii="宋体" w:hAnsi="宋体" w:cs="宋体" w:eastAsia="宋体" w:hint="default"/>
                <w:sz w:val="18"/>
                <w:szCs w:val="18"/>
              </w:rPr>
              <w:t>物联网有限公 司</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83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09"/>
              <w:jc w:val="left"/>
              <w:rPr>
                <w:rFonts w:ascii="Times New Roman" w:hAnsi="Times New Roman" w:cs="Times New Roman" w:eastAsia="Times New Roman" w:hint="default"/>
                <w:sz w:val="18"/>
                <w:szCs w:val="18"/>
              </w:rPr>
            </w:pPr>
            <w:r>
              <w:rPr>
                <w:rFonts w:ascii="Times New Roman"/>
                <w:sz w:val="18"/>
              </w:rPr>
              <w:t>THUNDERSOF</w:t>
            </w:r>
            <w:r>
              <w:rPr>
                <w:rFonts w:ascii="Times New Roman"/>
                <w:w w:val="99"/>
                <w:sz w:val="18"/>
              </w:rPr>
              <w:t> </w:t>
            </w:r>
            <w:r>
              <w:rPr>
                <w:rFonts w:ascii="Times New Roman"/>
                <w:sz w:val="18"/>
              </w:rPr>
              <w:t>T</w:t>
            </w:r>
            <w:r>
              <w:rPr>
                <w:rFonts w:ascii="Times New Roman"/>
                <w:spacing w:val="-4"/>
                <w:sz w:val="18"/>
              </w:rPr>
              <w:t> </w:t>
            </w:r>
            <w:r>
              <w:rPr>
                <w:rFonts w:ascii="Times New Roman"/>
                <w:sz w:val="18"/>
              </w:rPr>
              <w:t>INDIA</w:t>
            </w:r>
            <w:r>
              <w:rPr>
                <w:rFonts w:ascii="Times New Roman"/>
                <w:w w:val="99"/>
                <w:sz w:val="18"/>
              </w:rPr>
              <w:t> </w:t>
            </w:r>
            <w:r>
              <w:rPr>
                <w:rFonts w:ascii="Times New Roman"/>
                <w:spacing w:val="-7"/>
                <w:sz w:val="18"/>
              </w:rPr>
              <w:t>PRIVATE</w:t>
            </w:r>
            <w:r>
              <w:rPr>
                <w:rFonts w:ascii="Times New Roman"/>
                <w:spacing w:val="-43"/>
                <w:sz w:val="18"/>
              </w:rPr>
              <w:t> </w:t>
            </w:r>
            <w:r>
              <w:rPr>
                <w:rFonts w:ascii="Times New Roman"/>
                <w:spacing w:val="-43"/>
                <w:sz w:val="18"/>
              </w:rPr>
            </w:r>
            <w:r>
              <w:rPr>
                <w:rFonts w:ascii="Times New Roman"/>
                <w:sz w:val="18"/>
              </w:rPr>
              <w:t>LIMITED</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印度</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4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98"/>
              <w:jc w:val="left"/>
              <w:rPr>
                <w:rFonts w:ascii="Times New Roman" w:hAnsi="Times New Roman" w:cs="Times New Roman" w:eastAsia="Times New Roman" w:hint="default"/>
                <w:sz w:val="18"/>
                <w:szCs w:val="18"/>
              </w:rPr>
            </w:pPr>
            <w:r>
              <w:rPr>
                <w:rFonts w:ascii="Times New Roman"/>
                <w:sz w:val="18"/>
              </w:rPr>
              <w:t>THUNDER</w:t>
            </w:r>
            <w:r>
              <w:rPr>
                <w:rFonts w:ascii="Times New Roman"/>
                <w:w w:val="99"/>
                <w:sz w:val="18"/>
              </w:rPr>
              <w:t> </w:t>
            </w:r>
            <w:r>
              <w:rPr>
                <w:rFonts w:ascii="Times New Roman"/>
                <w:spacing w:val="-3"/>
                <w:sz w:val="18"/>
              </w:rPr>
              <w:t>SOFTWARE</w:t>
            </w:r>
            <w:r>
              <w:rPr>
                <w:rFonts w:ascii="Times New Roman"/>
                <w:sz w:val="18"/>
              </w:rPr>
              <w:t> TECHNOLOG</w:t>
            </w:r>
            <w:r>
              <w:rPr>
                <w:rFonts w:ascii="Times New Roman"/>
                <w:w w:val="99"/>
                <w:sz w:val="18"/>
              </w:rPr>
              <w:t> </w:t>
            </w:r>
            <w:r>
              <w:rPr>
                <w:rFonts w:ascii="Times New Roman"/>
                <w:sz w:val="18"/>
              </w:rPr>
              <w:t>Y</w:t>
            </w:r>
            <w:r>
              <w:rPr>
                <w:rFonts w:ascii="Times New Roman"/>
                <w:spacing w:val="-4"/>
                <w:sz w:val="18"/>
              </w:rPr>
              <w:t> </w:t>
            </w:r>
            <w:r>
              <w:rPr>
                <w:rFonts w:ascii="Times New Roman"/>
                <w:spacing w:val="-3"/>
                <w:sz w:val="18"/>
              </w:rPr>
              <w:t>MALAYSIA</w:t>
            </w:r>
            <w:r>
              <w:rPr>
                <w:rFonts w:ascii="Times New Roman"/>
                <w:w w:val="99"/>
                <w:sz w:val="18"/>
              </w:rPr>
              <w:t> </w:t>
            </w:r>
            <w:r>
              <w:rPr>
                <w:rFonts w:ascii="Times New Roman"/>
                <w:sz w:val="18"/>
              </w:rPr>
              <w:t>SDN.BHD.</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2" w:lineRule="exact"/>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7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254"/>
              <w:jc w:val="left"/>
              <w:rPr>
                <w:rFonts w:ascii="Times New Roman" w:hAnsi="Times New Roman" w:cs="Times New Roman" w:eastAsia="Times New Roman" w:hint="default"/>
                <w:sz w:val="18"/>
                <w:szCs w:val="18"/>
              </w:rPr>
            </w:pPr>
            <w:r>
              <w:rPr>
                <w:rFonts w:ascii="Times New Roman"/>
                <w:sz w:val="18"/>
              </w:rPr>
              <w:t>MM</w:t>
            </w:r>
            <w:r>
              <w:rPr>
                <w:rFonts w:ascii="Times New Roman"/>
                <w:spacing w:val="-2"/>
                <w:sz w:val="18"/>
              </w:rPr>
              <w:t> </w:t>
            </w:r>
            <w:r>
              <w:rPr>
                <w:rFonts w:ascii="Times New Roman"/>
                <w:sz w:val="18"/>
              </w:rPr>
              <w:t>Solutions</w:t>
            </w:r>
            <w:r>
              <w:rPr>
                <w:rFonts w:ascii="Times New Roman"/>
                <w:w w:val="99"/>
                <w:sz w:val="18"/>
              </w:rPr>
              <w:t> </w:t>
            </w:r>
            <w:r>
              <w:rPr>
                <w:rFonts w:ascii="Times New Roman"/>
                <w:sz w:val="18"/>
              </w:rPr>
              <w:t>EAD</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保加利亚</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保加利亚</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销售及开发服</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631"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239"/>
              <w:jc w:val="left"/>
              <w:rPr>
                <w:rFonts w:ascii="Times New Roman" w:hAnsi="Times New Roman" w:cs="Times New Roman" w:eastAsia="Times New Roman" w:hint="default"/>
                <w:sz w:val="18"/>
                <w:szCs w:val="18"/>
              </w:rPr>
            </w:pPr>
            <w:r>
              <w:rPr>
                <w:rFonts w:ascii="Times New Roman"/>
                <w:sz w:val="18"/>
              </w:rPr>
              <w:t>Thundercomm America</w:t>
            </w:r>
            <w:r>
              <w:rPr>
                <w:rFonts w:ascii="Times New Roman"/>
                <w:w w:val="99"/>
                <w:sz w:val="18"/>
              </w:rPr>
              <w:t> </w:t>
            </w:r>
            <w:r>
              <w:rPr>
                <w:rFonts w:ascii="Times New Roman"/>
                <w:sz w:val="18"/>
              </w:rPr>
              <w:t>Corporation</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81.97%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83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239"/>
              <w:jc w:val="left"/>
              <w:rPr>
                <w:rFonts w:ascii="Times New Roman" w:hAnsi="Times New Roman" w:cs="Times New Roman" w:eastAsia="Times New Roman" w:hint="default"/>
                <w:sz w:val="18"/>
                <w:szCs w:val="18"/>
              </w:rPr>
            </w:pPr>
            <w:r>
              <w:rPr>
                <w:rFonts w:ascii="Times New Roman"/>
                <w:sz w:val="18"/>
              </w:rPr>
              <w:t>Thundercomm HongKong Corporation Limited</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03" w:right="212"/>
              <w:jc w:val="left"/>
              <w:rPr>
                <w:rFonts w:ascii="宋体" w:hAnsi="宋体" w:cs="宋体" w:eastAsia="宋体" w:hint="default"/>
                <w:sz w:val="18"/>
                <w:szCs w:val="18"/>
              </w:rPr>
            </w:pPr>
            <w:r>
              <w:rPr>
                <w:rFonts w:ascii="宋体" w:hAnsi="宋体" w:cs="宋体" w:eastAsia="宋体" w:hint="default"/>
                <w:sz w:val="18"/>
                <w:szCs w:val="18"/>
              </w:rPr>
              <w:t>销售及开发服 务</w:t>
            </w:r>
          </w:p>
        </w:tc>
        <w:tc>
          <w:tcPr>
            <w:tcW w:w="1406"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81.97%</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
        <w:rPr>
          <w:rFonts w:ascii="Times New Roman" w:hAnsi="Times New Roman" w:cs="Times New Roman" w:eastAsia="Times New Roman" w:hint="default"/>
          <w:sz w:val="10"/>
          <w:szCs w:val="10"/>
        </w:rPr>
      </w:pPr>
    </w:p>
    <w:p>
      <w:pPr>
        <w:pStyle w:val="BodyText"/>
        <w:spacing w:line="324" w:lineRule="exact"/>
        <w:ind w:right="1016"/>
        <w:jc w:val="left"/>
        <w:rPr>
          <w:rFonts w:ascii="微软雅黑" w:hAnsi="微软雅黑" w:cs="微软雅黑" w:eastAsia="微软雅黑" w:hint="default"/>
        </w:rPr>
      </w:pPr>
      <w:bookmarkStart w:name="2、在子公司的所有者权益份额发生变化且仍控制子公司的交易" w:id="373"/>
      <w:bookmarkEnd w:id="373"/>
      <w:r>
        <w:rPr/>
      </w:r>
      <w:r>
        <w:rPr>
          <w:rFonts w:ascii="Times New Roman" w:hAnsi="Times New Roman" w:cs="Times New Roman" w:eastAsia="Times New Roman" w:hint="default"/>
        </w:rPr>
        <w:t>2</w:t>
      </w:r>
      <w:r>
        <w:rPr>
          <w:rFonts w:ascii="微软雅黑" w:hAnsi="微软雅黑" w:cs="微软雅黑" w:eastAsia="微软雅黑" w:hint="default"/>
        </w:rPr>
        <w:t>、在子公司的所有者权益份额发生变化且仍控制子公司的交易</w:t>
      </w:r>
    </w:p>
    <w:p>
      <w:pPr>
        <w:spacing w:line="240" w:lineRule="auto" w:before="8"/>
        <w:rPr>
          <w:rFonts w:ascii="微软雅黑" w:hAnsi="微软雅黑" w:cs="微软雅黑" w:eastAsia="微软雅黑" w:hint="default"/>
          <w:sz w:val="20"/>
          <w:szCs w:val="20"/>
        </w:rPr>
      </w:pPr>
    </w:p>
    <w:p>
      <w:pPr>
        <w:pStyle w:val="BodyText"/>
        <w:spacing w:line="240" w:lineRule="auto"/>
        <w:ind w:right="1016"/>
        <w:jc w:val="left"/>
      </w:pPr>
      <w:bookmarkStart w:name="（1）在子公司所有者权益份额发生变化的情况说明" w:id="374"/>
      <w:bookmarkEnd w:id="374"/>
      <w:r>
        <w:rPr/>
      </w:r>
      <w:r>
        <w:rPr/>
        <w:t>（</w:t>
      </w:r>
      <w:r>
        <w:rPr>
          <w:rFonts w:ascii="Times New Roman" w:hAnsi="Times New Roman" w:cs="Times New Roman" w:eastAsia="Times New Roman" w:hint="default"/>
        </w:rPr>
        <w:t>1</w:t>
      </w:r>
      <w:r>
        <w:rPr/>
        <w:t>）在子公司所有者权益份额发生变化的情况说明</w:t>
      </w:r>
    </w:p>
    <w:p>
      <w:pPr>
        <w:spacing w:line="240" w:lineRule="auto" w:before="4"/>
        <w:rPr>
          <w:rFonts w:ascii="宋体" w:hAnsi="宋体" w:cs="宋体" w:eastAsia="宋体"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3184"/>
        <w:gridCol w:w="2226"/>
        <w:gridCol w:w="2226"/>
        <w:gridCol w:w="2219"/>
      </w:tblGrid>
      <w:tr>
        <w:trPr>
          <w:trHeight w:val="427"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变动前持股比例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8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变动后持股比例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61" w:right="0"/>
              <w:jc w:val="left"/>
              <w:rPr>
                <w:rFonts w:ascii="宋体" w:hAnsi="宋体" w:cs="宋体" w:eastAsia="宋体" w:hint="default"/>
                <w:sz w:val="18"/>
                <w:szCs w:val="18"/>
              </w:rPr>
            </w:pPr>
            <w:r>
              <w:rPr>
                <w:rFonts w:ascii="宋体" w:hAnsi="宋体" w:cs="宋体" w:eastAsia="宋体" w:hint="default"/>
                <w:b/>
                <w:bCs/>
                <w:sz w:val="18"/>
                <w:szCs w:val="18"/>
              </w:rPr>
              <w:t>股权变动原因</w:t>
            </w:r>
            <w:r>
              <w:rPr>
                <w:rFonts w:ascii="宋体" w:hAnsi="宋体" w:cs="宋体" w:eastAsia="宋体" w:hint="default"/>
                <w:sz w:val="18"/>
                <w:szCs w:val="18"/>
              </w:rPr>
            </w:r>
          </w:p>
        </w:tc>
      </w:tr>
      <w:tr>
        <w:trPr>
          <w:trHeight w:val="427"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北京创思远达科技有限公司</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95.00%</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67" w:right="0"/>
              <w:jc w:val="left"/>
              <w:rPr>
                <w:rFonts w:ascii="Times New Roman" w:hAnsi="Times New Roman" w:cs="Times New Roman" w:eastAsia="Times New Roman" w:hint="default"/>
                <w:sz w:val="18"/>
                <w:szCs w:val="18"/>
              </w:rPr>
            </w:pPr>
            <w:r>
              <w:rPr>
                <w:rFonts w:ascii="Times New Roman"/>
                <w:sz w:val="18"/>
              </w:rPr>
              <w:t>100.00%</w:t>
            </w:r>
          </w:p>
        </w:tc>
        <w:tc>
          <w:tcPr>
            <w:tcW w:w="2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64" w:right="0"/>
              <w:jc w:val="left"/>
              <w:rPr>
                <w:rFonts w:ascii="宋体" w:hAnsi="宋体" w:cs="宋体" w:eastAsia="宋体" w:hint="default"/>
                <w:sz w:val="18"/>
                <w:szCs w:val="18"/>
              </w:rPr>
            </w:pPr>
            <w:r>
              <w:rPr>
                <w:rFonts w:ascii="宋体" w:hAnsi="宋体" w:cs="宋体" w:eastAsia="宋体" w:hint="default"/>
                <w:sz w:val="18"/>
                <w:szCs w:val="18"/>
              </w:rPr>
              <w:t>收购少数股东股权</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2）交易对于少数股东权益及归属于母公司所有者权益的影响" w:id="375"/>
      <w:bookmarkEnd w:id="375"/>
      <w:r>
        <w:rPr/>
      </w:r>
      <w:r>
        <w:rPr/>
        <w:t>（</w:t>
      </w:r>
      <w:r>
        <w:rPr>
          <w:rFonts w:ascii="Times New Roman" w:hAnsi="Times New Roman" w:cs="Times New Roman" w:eastAsia="Times New Roman" w:hint="default"/>
        </w:rPr>
        <w:t>2</w:t>
      </w:r>
      <w:r>
        <w:rPr/>
        <w:t>）交易对于少数股东权益及归属于母公司所有者权益的影响</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5"/>
          <w:szCs w:val="5"/>
        </w:rPr>
      </w:pPr>
    </w:p>
    <w:p>
      <w:pPr>
        <w:spacing w:line="427" w:lineRule="exact"/>
        <w:ind w:left="10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93.3pt;height:21.4pt;mso-position-horizontal-relative:char;mso-position-vertical-relative:line" coordorigin="0,0" coordsize="9866,428">
            <v:group style="position:absolute;left:10;top:16;width:4919;height:95" coordorigin="10,16" coordsize="4919,95">
              <v:shape style="position:absolute;left:10;top:16;width:4919;height:95" coordorigin="10,16" coordsize="4919,95" path="m10,110l4928,110,4928,16,10,16,10,110xe" filled="true" fillcolor="#d2d2d2" stroked="false">
                <v:path arrowok="t"/>
                <v:fill type="solid"/>
              </v:shape>
            </v:group>
            <v:group style="position:absolute;left:10;top:110;width:104;height:207" coordorigin="10,110" coordsize="104,207">
              <v:shape style="position:absolute;left:10;top:110;width:104;height:207" coordorigin="10,110" coordsize="104,207" path="m10,317l113,317,113,110,10,110,10,317xe" filled="true" fillcolor="#d2d2d2" stroked="false">
                <v:path arrowok="t"/>
                <v:fill type="solid"/>
              </v:shape>
            </v:group>
            <v:group style="position:absolute;left:4825;top:110;width:104;height:207" coordorigin="4825,110" coordsize="104,207">
              <v:shape style="position:absolute;left:4825;top:110;width:104;height:207" coordorigin="4825,110" coordsize="104,207" path="m4825,317l4928,317,4928,110,4825,110,4825,317xe" filled="true" fillcolor="#d2d2d2" stroked="false">
                <v:path arrowok="t"/>
                <v:fill type="solid"/>
              </v:shape>
            </v:group>
            <v:group style="position:absolute;left:10;top:317;width:4919;height:96" coordorigin="10,317" coordsize="4919,96">
              <v:shape style="position:absolute;left:10;top:317;width:4919;height:96" coordorigin="10,317" coordsize="4919,96" path="m10,413l4928,413,4928,317,10,317,10,413xe" filled="true" fillcolor="#d2d2d2" stroked="false">
                <v:path arrowok="t"/>
                <v:fill type="solid"/>
              </v:shape>
            </v:group>
            <v:group style="position:absolute;left:113;top:110;width:4712;height:207" coordorigin="113,110" coordsize="4712,207">
              <v:shape style="position:absolute;left:113;top:110;width:4712;height:207" coordorigin="113,110" coordsize="4712,207" path="m113,317l4825,317,4825,110,113,110,113,317xe" filled="true" fillcolor="#d2d2d2" stroked="false">
                <v:path arrowok="t"/>
                <v:fill type="solid"/>
              </v:shape>
            </v:group>
            <v:group style="position:absolute;left:4938;top:16;width:4918;height:95" coordorigin="4938,16" coordsize="4918,95">
              <v:shape style="position:absolute;left:4938;top:16;width:4918;height:95" coordorigin="4938,16" coordsize="4918,95" path="m4938,110l9856,110,9856,16,4938,16,4938,110xe" filled="true" fillcolor="#e0ffff" stroked="false">
                <v:path arrowok="t"/>
                <v:fill type="solid"/>
              </v:shape>
            </v:group>
            <v:group style="position:absolute;left:4938;top:110;width:104;height:207" coordorigin="4938,110" coordsize="104,207">
              <v:shape style="position:absolute;left:4938;top:110;width:104;height:207" coordorigin="4938,110" coordsize="104,207" path="m4938,317l5041,317,5041,110,4938,110,4938,317xe" filled="true" fillcolor="#e0ffff" stroked="false">
                <v:path arrowok="t"/>
                <v:fill type="solid"/>
              </v:shape>
            </v:group>
            <v:group style="position:absolute;left:9752;top:110;width:104;height:207" coordorigin="9752,110" coordsize="104,207">
              <v:shape style="position:absolute;left:9752;top:110;width:104;height:207" coordorigin="9752,110" coordsize="104,207" path="m9752,317l9856,317,9856,110,9752,110,9752,317xe" filled="true" fillcolor="#e0ffff" stroked="false">
                <v:path arrowok="t"/>
                <v:fill type="solid"/>
              </v:shape>
            </v:group>
            <v:group style="position:absolute;left:4938;top:317;width:4918;height:96" coordorigin="4938,317" coordsize="4918,96">
              <v:shape style="position:absolute;left:4938;top:317;width:4918;height:96" coordorigin="4938,317" coordsize="4918,96" path="m4938,413l9856,413,9856,317,4938,317,4938,413xe" filled="true" fillcolor="#e0ffff" stroked="false">
                <v:path arrowok="t"/>
                <v:fill type="solid"/>
              </v:shape>
            </v:group>
            <v:group style="position:absolute;left:5041;top:110;width:4712;height:207" coordorigin="5041,110" coordsize="4712,207">
              <v:shape style="position:absolute;left:5041;top:110;width:4712;height:207" coordorigin="5041,110" coordsize="4712,207" path="m5041,317l9752,317,9752,110,5041,110,5041,317xe" filled="true" fillcolor="#e0ffff" stroked="false">
                <v:path arrowok="t"/>
                <v:fill type="solid"/>
              </v:shape>
            </v:group>
            <v:group style="position:absolute;left:10;top:10;width:4919;height:2" coordorigin="10,10" coordsize="4919,2">
              <v:shape style="position:absolute;left:10;top:10;width:4919;height:2" coordorigin="10,10" coordsize="4919,0" path="m10,10l4928,10e" filled="false" stroked="true" strokeweight=".48004pt" strokecolor="#000000">
                <v:path arrowok="t"/>
              </v:shape>
            </v:group>
            <v:group style="position:absolute;left:4938;top:10;width:4918;height:2" coordorigin="4938,10" coordsize="4918,2">
              <v:shape style="position:absolute;left:4938;top:10;width:4918;height:2" coordorigin="4938,10" coordsize="4918,0" path="m4938,10l9856,10e" filled="false" stroked="true" strokeweight=".48004pt" strokecolor="#000000">
                <v:path arrowok="t"/>
              </v:shape>
            </v:group>
            <v:group style="position:absolute;left:5;top:5;width:2;height:418" coordorigin="5,5" coordsize="2,418">
              <v:shape style="position:absolute;left:5;top:5;width:2;height:418" coordorigin="5,5" coordsize="0,418" path="m5,5l5,422e" filled="false" stroked="true" strokeweight=".48pt" strokecolor="#000000">
                <v:path arrowok="t"/>
              </v:shape>
            </v:group>
            <v:group style="position:absolute;left:10;top:418;width:4919;height:2" coordorigin="10,418" coordsize="4919,2">
              <v:shape style="position:absolute;left:10;top:418;width:4919;height:2" coordorigin="10,418" coordsize="4919,0" path="m10,418l4928,418e" filled="false" stroked="true" strokeweight=".47998pt" strokecolor="#000000">
                <v:path arrowok="t"/>
              </v:shape>
            </v:group>
            <v:group style="position:absolute;left:4933;top:5;width:2;height:418" coordorigin="4933,5" coordsize="2,418">
              <v:shape style="position:absolute;left:4933;top:5;width:2;height:418" coordorigin="4933,5" coordsize="0,418" path="m4933,5l4933,422e" filled="false" stroked="true" strokeweight=".48001pt" strokecolor="#000000">
                <v:path arrowok="t"/>
              </v:shape>
            </v:group>
            <v:group style="position:absolute;left:4938;top:418;width:4918;height:2" coordorigin="4938,418" coordsize="4918,2">
              <v:shape style="position:absolute;left:4938;top:418;width:4918;height:2" coordorigin="4938,418" coordsize="4918,0" path="m4938,418l9856,418e" filled="false" stroked="true" strokeweight=".47998pt" strokecolor="#000000">
                <v:path arrowok="t"/>
              </v:shape>
            </v:group>
            <v:group style="position:absolute;left:9860;top:5;width:2;height:418" coordorigin="9860,5" coordsize="2,418">
              <v:shape style="position:absolute;left:9860;top:5;width:2;height:418" coordorigin="9860,5" coordsize="0,418" path="m9860,5l9860,422e" filled="false" stroked="true" strokeweight=".48004pt" strokecolor="#000000">
                <v:path arrowok="t"/>
              </v:shape>
            </v:group>
          </v:group>
        </w:pict>
      </w:r>
      <w:r>
        <w:rPr>
          <w:rFonts w:ascii="宋体" w:hAnsi="宋体" w:cs="宋体" w:eastAsia="宋体" w:hint="default"/>
          <w:position w:val="-8"/>
          <w:sz w:val="20"/>
          <w:szCs w:val="20"/>
        </w:rPr>
      </w:r>
    </w:p>
    <w:p>
      <w:pPr>
        <w:spacing w:after="0" w:line="427" w:lineRule="exact"/>
        <w:rPr>
          <w:rFonts w:ascii="宋体" w:hAnsi="宋体" w:cs="宋体" w:eastAsia="宋体" w:hint="default"/>
          <w:sz w:val="20"/>
          <w:szCs w:val="20"/>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4928"/>
        <w:gridCol w:w="4928"/>
      </w:tblGrid>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187,890.27</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187,890.27</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227,948.58</w:t>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w w:val="95"/>
                <w:sz w:val="18"/>
              </w:rPr>
              <w:t>-40,058.31</w:t>
            </w:r>
            <w:r>
              <w:rPr>
                <w:rFonts w:ascii="Times New Roman"/>
                <w:sz w:val="18"/>
              </w:rPr>
            </w:r>
          </w:p>
        </w:tc>
      </w:tr>
      <w:tr>
        <w:trPr>
          <w:trHeight w:val="407"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40,058.31</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12"/>
        <w:rPr>
          <w:rFonts w:ascii="宋体" w:hAnsi="宋体" w:cs="宋体" w:eastAsia="宋体" w:hint="default"/>
          <w:sz w:val="17"/>
          <w:szCs w:val="17"/>
        </w:rPr>
      </w:pPr>
    </w:p>
    <w:p>
      <w:pPr>
        <w:pStyle w:val="BodyText"/>
        <w:spacing w:line="240" w:lineRule="auto"/>
        <w:ind w:right="1016"/>
        <w:jc w:val="left"/>
      </w:pPr>
      <w:r>
        <w:rPr>
          <w:spacing w:val="14"/>
        </w:rPr>
        <w:t>本期因子公司创思远达科技有限公司收购少数股东股权因权益性交易，相应调整增加资本公积</w:t>
      </w:r>
    </w:p>
    <w:p>
      <w:pPr>
        <w:spacing w:before="66"/>
        <w:ind w:left="214" w:right="1016" w:firstLine="0"/>
        <w:jc w:val="left"/>
        <w:rPr>
          <w:rFonts w:ascii="宋体" w:hAnsi="宋体" w:cs="宋体" w:eastAsia="宋体" w:hint="default"/>
          <w:sz w:val="21"/>
          <w:szCs w:val="21"/>
        </w:rPr>
      </w:pPr>
      <w:r>
        <w:rPr>
          <w:rFonts w:ascii="Times New Roman" w:hAnsi="Times New Roman" w:cs="Times New Roman" w:eastAsia="Times New Roman" w:hint="default"/>
          <w:sz w:val="22"/>
          <w:szCs w:val="22"/>
        </w:rPr>
        <w:t>40,058.31</w:t>
      </w:r>
      <w:r>
        <w:rPr>
          <w:rFonts w:ascii="Times New Roman" w:hAnsi="Times New Roman" w:cs="Times New Roman" w:eastAsia="Times New Roman" w:hint="default"/>
          <w:spacing w:val="-16"/>
          <w:sz w:val="22"/>
          <w:szCs w:val="22"/>
        </w:rPr>
        <w:t> </w:t>
      </w:r>
      <w:r>
        <w:rPr>
          <w:rFonts w:ascii="宋体" w:hAnsi="宋体" w:cs="宋体" w:eastAsia="宋体" w:hint="default"/>
          <w:sz w:val="21"/>
          <w:szCs w:val="21"/>
        </w:rPr>
        <w:t>元。</w:t>
      </w:r>
    </w:p>
    <w:p>
      <w:pPr>
        <w:spacing w:line="240" w:lineRule="auto" w:before="11"/>
        <w:rPr>
          <w:rFonts w:ascii="宋体" w:hAnsi="宋体" w:cs="宋体" w:eastAsia="宋体" w:hint="default"/>
          <w:sz w:val="15"/>
          <w:szCs w:val="15"/>
        </w:rPr>
      </w:pPr>
    </w:p>
    <w:p>
      <w:pPr>
        <w:pStyle w:val="BodyText"/>
        <w:spacing w:line="240" w:lineRule="auto"/>
        <w:ind w:right="1016"/>
        <w:jc w:val="left"/>
        <w:rPr>
          <w:rFonts w:ascii="微软雅黑" w:hAnsi="微软雅黑" w:cs="微软雅黑" w:eastAsia="微软雅黑" w:hint="default"/>
        </w:rPr>
      </w:pPr>
      <w:bookmarkStart w:name="3、在合营安排或联营企业中的权益" w:id="376"/>
      <w:bookmarkEnd w:id="376"/>
      <w:r>
        <w:rPr/>
      </w:r>
      <w:r>
        <w:rPr>
          <w:rFonts w:ascii="Times New Roman" w:hAnsi="Times New Roman" w:cs="Times New Roman" w:eastAsia="Times New Roman" w:hint="default"/>
        </w:rPr>
        <w:t>3</w:t>
      </w:r>
      <w:r>
        <w:rPr>
          <w:rFonts w:ascii="微软雅黑" w:hAnsi="微软雅黑" w:cs="微软雅黑" w:eastAsia="微软雅黑" w:hint="default"/>
        </w:rPr>
        <w:t>、在合营安排或联营企业中的权益</w:t>
      </w:r>
    </w:p>
    <w:p>
      <w:pPr>
        <w:spacing w:line="240" w:lineRule="auto" w:before="8"/>
        <w:rPr>
          <w:rFonts w:ascii="微软雅黑" w:hAnsi="微软雅黑" w:cs="微软雅黑" w:eastAsia="微软雅黑" w:hint="default"/>
          <w:sz w:val="20"/>
          <w:szCs w:val="20"/>
        </w:rPr>
      </w:pPr>
    </w:p>
    <w:p>
      <w:pPr>
        <w:pStyle w:val="BodyText"/>
        <w:spacing w:line="420" w:lineRule="auto"/>
        <w:ind w:right="7287"/>
        <w:jc w:val="left"/>
      </w:pPr>
      <w:bookmarkStart w:name="（1）重要的合营企业或联营企业" w:id="377"/>
      <w:bookmarkEnd w:id="377"/>
      <w:r>
        <w:rPr/>
      </w:r>
      <w:r>
        <w:rPr/>
        <w:t>（</w:t>
      </w:r>
      <w:r>
        <w:rPr>
          <w:rFonts w:ascii="Times New Roman" w:hAnsi="Times New Roman" w:cs="Times New Roman" w:eastAsia="Times New Roman" w:hint="default"/>
        </w:rPr>
        <w:t>1</w:t>
      </w:r>
      <w:r>
        <w:rPr/>
        <w:t>）重要的合营企业或联营企业 不适用</w:t>
      </w:r>
    </w:p>
    <w:p>
      <w:pPr>
        <w:pStyle w:val="BodyText"/>
        <w:spacing w:line="420" w:lineRule="auto" w:before="76"/>
        <w:ind w:right="7077"/>
        <w:jc w:val="left"/>
      </w:pPr>
      <w:bookmarkStart w:name="（2）重要合营企业的主要财务信息" w:id="378"/>
      <w:bookmarkEnd w:id="378"/>
      <w:r>
        <w:rPr/>
      </w:r>
      <w:r>
        <w:rPr/>
        <w:t>（</w:t>
      </w:r>
      <w:r>
        <w:rPr>
          <w:rFonts w:ascii="Times New Roman" w:hAnsi="Times New Roman" w:cs="Times New Roman" w:eastAsia="Times New Roman" w:hint="default"/>
        </w:rPr>
        <w:t>2</w:t>
      </w:r>
      <w:r>
        <w:rPr/>
        <w:t>）重要合营企业的主要财务信息 不适用</w:t>
      </w:r>
    </w:p>
    <w:p>
      <w:pPr>
        <w:pStyle w:val="BodyText"/>
        <w:spacing w:line="420" w:lineRule="auto" w:before="75"/>
        <w:ind w:right="7077"/>
        <w:jc w:val="left"/>
      </w:pPr>
      <w:bookmarkStart w:name="（3）重要联营企业的主要财务信息" w:id="379"/>
      <w:bookmarkEnd w:id="379"/>
      <w:r>
        <w:rPr/>
      </w:r>
      <w:r>
        <w:rPr/>
        <w:t>（</w:t>
      </w:r>
      <w:r>
        <w:rPr>
          <w:rFonts w:ascii="Times New Roman" w:hAnsi="Times New Roman" w:cs="Times New Roman" w:eastAsia="Times New Roman" w:hint="default"/>
        </w:rPr>
        <w:t>3</w:t>
      </w:r>
      <w:r>
        <w:rPr/>
        <w:t>）重要联营企业的主要财务信息 不适用</w:t>
      </w:r>
    </w:p>
    <w:p>
      <w:pPr>
        <w:pStyle w:val="BodyText"/>
        <w:spacing w:line="240" w:lineRule="auto" w:before="76"/>
        <w:ind w:right="1016"/>
        <w:jc w:val="left"/>
      </w:pPr>
      <w:bookmarkStart w:name="（4）不重要的合营企业和联营企业的汇总财务信息" w:id="380"/>
      <w:bookmarkEnd w:id="380"/>
      <w:r>
        <w:rPr/>
      </w:r>
      <w:r>
        <w:rPr/>
        <w:t>（</w:t>
      </w:r>
      <w:r>
        <w:rPr>
          <w:rFonts w:ascii="Times New Roman" w:hAnsi="Times New Roman" w:cs="Times New Roman" w:eastAsia="Times New Roman" w:hint="default"/>
        </w:rPr>
        <w:t>4</w:t>
      </w:r>
      <w:r>
        <w:rPr/>
        <w:t>）不重要的合营企业和联营企业的汇总财务信息</w:t>
      </w:r>
    </w:p>
    <w:p>
      <w:pPr>
        <w:spacing w:line="240" w:lineRule="auto" w:before="13"/>
        <w:rPr>
          <w:rFonts w:ascii="宋体" w:hAnsi="宋体" w:cs="宋体" w:eastAsia="宋体" w:hint="default"/>
          <w:sz w:val="16"/>
          <w:szCs w:val="1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424"/>
        <w:gridCol w:w="3150"/>
        <w:gridCol w:w="3281"/>
      </w:tblGrid>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17,706,641.81</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21,654,192.20</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11,431,862.81</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723,280.12</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11,431,862.81</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723,280.12</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26,825,988.24</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26,321,461.10</w:t>
            </w:r>
          </w:p>
        </w:tc>
      </w:tr>
      <w:tr>
        <w:trPr>
          <w:trHeight w:val="406"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9,944,353.01</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4,683,564.92</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1,043,680.23</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2,595,380.20</w:t>
            </w: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10,988,033.24</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7,278,945.12</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3"/>
        <w:rPr>
          <w:rFonts w:ascii="宋体" w:hAnsi="宋体" w:cs="宋体" w:eastAsia="宋体" w:hint="default"/>
          <w:sz w:val="29"/>
          <w:szCs w:val="29"/>
        </w:rPr>
      </w:pPr>
    </w:p>
    <w:p>
      <w:pPr>
        <w:pStyle w:val="Heading2"/>
        <w:spacing w:line="397" w:lineRule="exact"/>
        <w:ind w:left="154" w:right="0"/>
        <w:jc w:val="both"/>
      </w:pPr>
      <w:bookmarkStart w:name="十、与金融工具相关的风险" w:id="381"/>
      <w:bookmarkEnd w:id="381"/>
      <w:r>
        <w:rPr/>
      </w:r>
      <w:r>
        <w:rPr/>
        <w:t>十、与金融工具相关的风险</w:t>
      </w:r>
    </w:p>
    <w:p>
      <w:pPr>
        <w:spacing w:line="240" w:lineRule="auto" w:before="12"/>
        <w:rPr>
          <w:rFonts w:ascii="微软雅黑" w:hAnsi="微软雅黑" w:cs="微软雅黑" w:eastAsia="微软雅黑" w:hint="default"/>
          <w:sz w:val="24"/>
          <w:szCs w:val="24"/>
        </w:rPr>
      </w:pPr>
    </w:p>
    <w:p>
      <w:pPr>
        <w:pStyle w:val="BodyText"/>
        <w:spacing w:line="297" w:lineRule="auto"/>
        <w:ind w:left="154" w:right="1017" w:firstLine="420"/>
        <w:jc w:val="left"/>
      </w:pPr>
      <w:r>
        <w:rPr>
          <w:spacing w:val="-3"/>
        </w:rPr>
        <w:t>本集团的主要金融工具包括货币资金、应收账款、应收票据、其他应收款、一年内到期的非流动资产、</w:t>
      </w:r>
      <w:r>
        <w:rPr/>
        <w:t> 其他流动资产、长期应收款、可供出售金融资产、应付账款、应付股利、其他应付款、短期借款、以公允 价值计量且其变动计入当期损益的金融负债、其他流动负债、长期借款、长期应付款及一年内到期的非流 动负债。各项金融工具的详细情况已于相关附注内披露。与这些金融工具有关的风险，以及本集团为降低 这些风险所采取的风险管理政策如下所述。本集团管理层对这些风险敞口进行管理和监控以确保将上述风 险控制在限定的范围之内。</w:t>
      </w:r>
    </w:p>
    <w:p>
      <w:pPr>
        <w:pStyle w:val="BodyText"/>
        <w:spacing w:line="508" w:lineRule="exact" w:before="22"/>
        <w:ind w:left="574" w:right="1116"/>
        <w:jc w:val="left"/>
      </w:pPr>
      <w:r>
        <w:rPr>
          <w:rFonts w:ascii="Times New Roman" w:hAnsi="Times New Roman" w:cs="Times New Roman" w:eastAsia="Times New Roman" w:hint="default"/>
        </w:rPr>
        <w:t>1</w:t>
      </w:r>
      <w:r>
        <w:rPr/>
        <w:t>、风险管理目标和政策 </w:t>
      </w:r>
      <w:r>
        <w:rPr>
          <w:spacing w:val="-1"/>
        </w:rPr>
        <w:t>本集团从事风险管理的目标是在风险和收益之间取得适当的平衡，力求降低金融风险对本集团财务业</w:t>
      </w:r>
    </w:p>
    <w:p>
      <w:pPr>
        <w:pStyle w:val="BodyText"/>
        <w:spacing w:line="297" w:lineRule="auto"/>
        <w:ind w:left="154" w:right="1130"/>
        <w:jc w:val="both"/>
      </w:pPr>
      <w:r>
        <w:rPr>
          <w:spacing w:val="-1"/>
        </w:rPr>
        <w:t>绩的不利影响。基于该风险管理目标，本集团已制定风险管理政策以辨别和分析本集团所面临的风险，设</w:t>
      </w:r>
      <w:r>
        <w:rPr>
          <w:spacing w:val="-83"/>
        </w:rPr>
        <w:t> </w:t>
      </w:r>
      <w:r>
        <w:rPr>
          <w:spacing w:val="-83"/>
        </w:rPr>
      </w:r>
      <w:r>
        <w:rPr>
          <w:spacing w:val="-1"/>
        </w:rPr>
        <w:t>定适当的风险可接受水平并设计相应的内部控制程序，以监控本集团的风险水平。本集团会定期审阅这些</w:t>
      </w:r>
      <w:r>
        <w:rPr>
          <w:spacing w:val="-80"/>
        </w:rPr>
        <w:t> </w:t>
      </w:r>
      <w:r>
        <w:rPr>
          <w:spacing w:val="-80"/>
        </w:rPr>
      </w:r>
      <w:r>
        <w:rPr>
          <w:spacing w:val="-1"/>
        </w:rPr>
        <w:t>风险管理政策及有关内部控制系统，以适应市场情况或本集团经营活动的改变。本集团的内部审计部门也</w:t>
      </w:r>
      <w:r>
        <w:rPr>
          <w:spacing w:val="-81"/>
        </w:rPr>
        <w:t> </w:t>
      </w:r>
      <w:r>
        <w:rPr>
          <w:spacing w:val="-81"/>
        </w:rPr>
      </w:r>
      <w:r>
        <w:rPr/>
        <w:t>定期或随机检查内部控制系统的执行是否符合风险管理政策。</w:t>
      </w:r>
    </w:p>
    <w:p>
      <w:pPr>
        <w:spacing w:line="240" w:lineRule="auto" w:before="0"/>
        <w:rPr>
          <w:rFonts w:ascii="宋体" w:hAnsi="宋体" w:cs="宋体" w:eastAsia="宋体" w:hint="default"/>
          <w:sz w:val="14"/>
          <w:szCs w:val="14"/>
        </w:rPr>
      </w:pPr>
    </w:p>
    <w:p>
      <w:pPr>
        <w:pStyle w:val="BodyText"/>
        <w:spacing w:line="297" w:lineRule="auto"/>
        <w:ind w:left="154" w:right="1133" w:firstLine="420"/>
        <w:jc w:val="both"/>
      </w:pPr>
      <w:r>
        <w:rPr>
          <w:spacing w:val="-1"/>
        </w:rPr>
        <w:t>本集团的金融工具导致的主要风险是信用风险、流动性风险、市场风险（包括利率风险、汇率风险和</w:t>
      </w:r>
      <w:r>
        <w:rPr/>
        <w:t> 商品价格风险</w:t>
      </w:r>
      <w:r>
        <w:rPr>
          <w:rFonts w:ascii="Times New Roman" w:hAnsi="Times New Roman" w:cs="Times New Roman" w:eastAsia="Times New Roman" w:hint="default"/>
        </w:rPr>
        <w:t>/</w:t>
      </w:r>
      <w:r>
        <w:rPr/>
        <w:t>权益工具价格风险）。</w:t>
      </w:r>
    </w:p>
    <w:p>
      <w:pPr>
        <w:pStyle w:val="BodyText"/>
        <w:spacing w:line="297" w:lineRule="auto" w:before="162"/>
        <w:ind w:left="154" w:right="1131" w:firstLine="420"/>
        <w:jc w:val="both"/>
      </w:pPr>
      <w:r>
        <w:rPr>
          <w:spacing w:val="-1"/>
        </w:rPr>
        <w:t>董事会负责规划并建立本集团的风险管理架构，指定本集团的风险管理政策和相关指引并监督风险管</w:t>
      </w:r>
      <w:r>
        <w:rPr/>
        <w:t> </w:t>
      </w:r>
      <w:r>
        <w:rPr>
          <w:spacing w:val="-1"/>
        </w:rPr>
        <w:t>理措施的执行情况。本集团已制定风险管理政策以识别和分析本集团所面临的风险，这些风险管理政策对</w:t>
      </w:r>
      <w:r>
        <w:rPr>
          <w:spacing w:val="-81"/>
        </w:rPr>
        <w:t> </w:t>
      </w:r>
      <w:r>
        <w:rPr>
          <w:spacing w:val="-81"/>
        </w:rPr>
      </w:r>
      <w:r>
        <w:rPr>
          <w:spacing w:val="-1"/>
        </w:rPr>
        <w:t>特定风险进行了明确规定，涵盖了信用风险、流动性风险和市场风险管理等诸多方面。本集团定期评估市</w:t>
      </w:r>
      <w:r>
        <w:rPr>
          <w:spacing w:val="-83"/>
        </w:rPr>
        <w:t> </w:t>
      </w:r>
      <w:r>
        <w:rPr>
          <w:spacing w:val="-83"/>
        </w:rPr>
      </w:r>
      <w:r>
        <w:rPr>
          <w:spacing w:val="-1"/>
        </w:rPr>
        <w:t>场环境及本集团经营活动的变化以决定是否对风险管理政策及系统进行更新。本集团的风险管理由风险管</w:t>
      </w:r>
      <w:r>
        <w:rPr>
          <w:spacing w:val="-81"/>
        </w:rPr>
        <w:t> </w:t>
      </w:r>
      <w:r>
        <w:rPr>
          <w:spacing w:val="-81"/>
        </w:rPr>
      </w:r>
      <w:r>
        <w:rPr>
          <w:spacing w:val="-1"/>
        </w:rPr>
        <w:t>理委员会按照董事会批准的政策开展。风险管理委员会通过与本集团其他业务部门的紧密合作来识别、评</w:t>
      </w:r>
      <w:r>
        <w:rPr>
          <w:spacing w:val="-81"/>
        </w:rPr>
        <w:t> </w:t>
      </w:r>
      <w:r>
        <w:rPr>
          <w:spacing w:val="-81"/>
        </w:rPr>
      </w:r>
      <w:r>
        <w:rPr>
          <w:spacing w:val="-1"/>
        </w:rPr>
        <w:t>价和规避相关风险。本集团内部审计部门就风险管理控制及程序进行定期的审核，并将审核结果上报本集</w:t>
      </w:r>
      <w:r>
        <w:rPr>
          <w:spacing w:val="-81"/>
        </w:rPr>
        <w:t> </w:t>
      </w:r>
      <w:r>
        <w:rPr>
          <w:spacing w:val="-81"/>
        </w:rPr>
      </w:r>
      <w:r>
        <w:rPr/>
        <w:t>团的审计委员会。</w:t>
      </w:r>
    </w:p>
    <w:p>
      <w:pPr>
        <w:spacing w:line="240" w:lineRule="auto" w:before="0"/>
        <w:rPr>
          <w:rFonts w:ascii="宋体" w:hAnsi="宋体" w:cs="宋体" w:eastAsia="宋体" w:hint="default"/>
          <w:sz w:val="14"/>
          <w:szCs w:val="14"/>
        </w:rPr>
      </w:pPr>
    </w:p>
    <w:p>
      <w:pPr>
        <w:pStyle w:val="BodyText"/>
        <w:spacing w:line="297" w:lineRule="auto"/>
        <w:ind w:left="154" w:right="1132" w:firstLine="420"/>
        <w:jc w:val="both"/>
      </w:pPr>
      <w:r>
        <w:rPr>
          <w:spacing w:val="-1"/>
        </w:rPr>
        <w:t>本集团通过适当的多样化投资及业务组合来分散金融工具风险，并通过制定相应的风险管理政策减少</w:t>
      </w:r>
      <w:r>
        <w:rPr/>
        <w:t> 集中于任何单一行业、特定地区或特定交易对手方的风险。</w:t>
      </w:r>
    </w:p>
    <w:p>
      <w:pPr>
        <w:spacing w:line="240" w:lineRule="auto" w:before="12"/>
        <w:rPr>
          <w:rFonts w:ascii="宋体" w:hAnsi="宋体" w:cs="宋体" w:eastAsia="宋体" w:hint="default"/>
          <w:sz w:val="13"/>
          <w:szCs w:val="13"/>
        </w:rPr>
      </w:pPr>
    </w:p>
    <w:p>
      <w:pPr>
        <w:pStyle w:val="BodyText"/>
        <w:spacing w:line="420" w:lineRule="auto"/>
        <w:ind w:left="574" w:right="2772"/>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w:t>
      </w:r>
    </w:p>
    <w:p>
      <w:pPr>
        <w:pStyle w:val="BodyText"/>
        <w:spacing w:line="240" w:lineRule="auto" w:before="76"/>
        <w:ind w:left="574" w:right="0"/>
        <w:jc w:val="left"/>
      </w:pPr>
      <w:r>
        <w:rPr>
          <w:spacing w:val="-3"/>
        </w:rPr>
        <w:t>本集团对信用风险按组合分类进行管理。信用风险主要产生于银行存款、衍生金融工具和应收款项等。</w:t>
      </w:r>
    </w:p>
    <w:p>
      <w:pPr>
        <w:spacing w:line="240" w:lineRule="auto" w:before="10"/>
        <w:rPr>
          <w:rFonts w:ascii="宋体" w:hAnsi="宋体" w:cs="宋体" w:eastAsia="宋体" w:hint="default"/>
          <w:sz w:val="17"/>
          <w:szCs w:val="17"/>
        </w:rPr>
      </w:pPr>
    </w:p>
    <w:p>
      <w:pPr>
        <w:pStyle w:val="BodyText"/>
        <w:spacing w:line="297" w:lineRule="auto"/>
        <w:ind w:left="154" w:right="1132" w:firstLine="420"/>
        <w:jc w:val="both"/>
      </w:pPr>
      <w:r>
        <w:rPr>
          <w:spacing w:val="-1"/>
        </w:rPr>
        <w:t>本集团银行存款主要存放于国有银行和其它大中型上市银行，本集团预期银行存款不存在重大的信用</w:t>
      </w:r>
      <w:r>
        <w:rPr/>
        <w:t> 风险。</w:t>
      </w:r>
    </w:p>
    <w:p>
      <w:pPr>
        <w:spacing w:line="240" w:lineRule="auto" w:before="0"/>
        <w:rPr>
          <w:rFonts w:ascii="宋体" w:hAnsi="宋体" w:cs="宋体" w:eastAsia="宋体" w:hint="default"/>
          <w:sz w:val="14"/>
          <w:szCs w:val="14"/>
        </w:rPr>
      </w:pPr>
    </w:p>
    <w:p>
      <w:pPr>
        <w:pStyle w:val="BodyText"/>
        <w:spacing w:line="297" w:lineRule="auto"/>
        <w:ind w:left="154" w:right="1131" w:firstLine="420"/>
        <w:jc w:val="both"/>
      </w:pPr>
      <w:r>
        <w:rPr>
          <w:spacing w:val="-1"/>
        </w:rPr>
        <w:t>对于应收款项，本集团设定相关政策以控制信用风险敞口。本集团基于对债务人的财务状况、外部评</w:t>
      </w:r>
      <w:r>
        <w:rPr/>
        <w:t> </w:t>
      </w:r>
      <w:r>
        <w:rPr>
          <w:spacing w:val="-1"/>
        </w:rPr>
        <w:t>级、从第三方获取担保的可能性、信用记录及其它因素诸如目前市场状况等评估债务人的信用资质并设置</w:t>
      </w:r>
      <w:r>
        <w:rPr>
          <w:spacing w:val="-81"/>
        </w:rPr>
        <w:t> </w:t>
      </w:r>
      <w:r>
        <w:rPr>
          <w:spacing w:val="-81"/>
        </w:rPr>
      </w:r>
      <w:r>
        <w:rPr>
          <w:spacing w:val="-1"/>
        </w:rPr>
        <w:t>相应欠款额度与信用期限。本集团已采取政策只与信用良好的交易对手方合作并在有必要时获取足够的抵</w:t>
      </w:r>
      <w:r>
        <w:rPr>
          <w:spacing w:val="-81"/>
        </w:rPr>
        <w:t> </w:t>
      </w:r>
      <w:r>
        <w:rPr>
          <w:spacing w:val="-81"/>
        </w:rPr>
      </w:r>
      <w:r>
        <w:rPr>
          <w:spacing w:val="-1"/>
        </w:rPr>
        <w:t>押品，以此缓解因交易对手方未能履行合同义务而产生财务损失的风险。本集团会定期对债务人信用记录</w:t>
      </w:r>
      <w:r>
        <w:rPr>
          <w:spacing w:val="-81"/>
        </w:rPr>
        <w:t> </w:t>
      </w:r>
      <w:r>
        <w:rPr>
          <w:spacing w:val="-81"/>
        </w:rPr>
      </w:r>
      <w:r>
        <w:rPr>
          <w:spacing w:val="-1"/>
        </w:rPr>
        <w:t>进行监控，对于信用记录不良的债务人，本集团会采用书面催款、缩短信用期或取消信用期等方式，以确</w:t>
      </w:r>
    </w:p>
    <w:p>
      <w:pPr>
        <w:spacing w:after="0" w:line="297" w:lineRule="auto"/>
        <w:jc w:val="both"/>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240" w:lineRule="auto" w:before="35"/>
        <w:ind w:left="214" w:right="1016"/>
        <w:jc w:val="left"/>
      </w:pPr>
      <w:r>
        <w:rPr/>
        <w:t>保本集团的整体信用风险在可控的范围内。</w:t>
      </w:r>
    </w:p>
    <w:p>
      <w:pPr>
        <w:spacing w:line="240" w:lineRule="auto" w:before="12"/>
        <w:rPr>
          <w:rFonts w:ascii="宋体" w:hAnsi="宋体" w:cs="宋体" w:eastAsia="宋体" w:hint="default"/>
          <w:sz w:val="17"/>
          <w:szCs w:val="17"/>
        </w:rPr>
      </w:pPr>
    </w:p>
    <w:p>
      <w:pPr>
        <w:pStyle w:val="BodyText"/>
        <w:spacing w:line="297" w:lineRule="auto"/>
        <w:ind w:left="214" w:right="1132" w:firstLine="420"/>
        <w:jc w:val="both"/>
      </w:pPr>
      <w:r>
        <w:rPr>
          <w:spacing w:val="-1"/>
        </w:rPr>
        <w:t>本集团应收账款的债务人为分布于不同行业和地区的客户。本集团持续对应收账款的财务状况实施信</w:t>
      </w:r>
      <w:r>
        <w:rPr/>
        <w:t> 用评估，并在适当时购买信用担保保险。</w:t>
      </w:r>
    </w:p>
    <w:p>
      <w:pPr>
        <w:spacing w:line="240" w:lineRule="auto" w:before="1"/>
        <w:rPr>
          <w:rFonts w:ascii="宋体" w:hAnsi="宋体" w:cs="宋体" w:eastAsia="宋体" w:hint="default"/>
          <w:sz w:val="14"/>
          <w:szCs w:val="14"/>
        </w:rPr>
      </w:pPr>
    </w:p>
    <w:p>
      <w:pPr>
        <w:pStyle w:val="BodyText"/>
        <w:spacing w:line="297" w:lineRule="auto"/>
        <w:ind w:left="214" w:right="1132" w:firstLine="420"/>
        <w:jc w:val="both"/>
      </w:pPr>
      <w:r>
        <w:rPr>
          <w:spacing w:val="-1"/>
        </w:rPr>
        <w:t>本集团所承受的最大信用风险敞口为资产负债表中每项金融资产的账面金额。本集团没有提供任何其</w:t>
      </w:r>
      <w:r>
        <w:rPr/>
        <w:t> 他可能令本集团承受信用风险的担保。</w:t>
      </w:r>
    </w:p>
    <w:p>
      <w:pPr>
        <w:spacing w:line="240" w:lineRule="auto" w:before="12"/>
        <w:rPr>
          <w:rFonts w:ascii="宋体" w:hAnsi="宋体" w:cs="宋体" w:eastAsia="宋体" w:hint="default"/>
          <w:sz w:val="13"/>
          <w:szCs w:val="13"/>
        </w:rPr>
      </w:pPr>
    </w:p>
    <w:p>
      <w:pPr>
        <w:pStyle w:val="BodyText"/>
        <w:spacing w:line="240" w:lineRule="auto"/>
        <w:ind w:right="1016"/>
        <w:jc w:val="left"/>
      </w:pPr>
      <w:r>
        <w:rPr>
          <w:spacing w:val="4"/>
        </w:rPr>
        <w:t>本集团应收账款中，欠款金额前五大客户的应收账款占本集团应收账款总额的 </w:t>
      </w:r>
      <w:r>
        <w:rPr>
          <w:rFonts w:ascii="Times New Roman" w:hAnsi="Times New Roman" w:cs="Times New Roman" w:eastAsia="Times New Roman" w:hint="default"/>
        </w:rPr>
        <w:t>29.10%</w:t>
      </w:r>
      <w:r>
        <w:rPr/>
        <w:t>（</w:t>
      </w:r>
      <w:r>
        <w:rPr>
          <w:rFonts w:ascii="Times New Roman" w:hAnsi="Times New Roman" w:cs="Times New Roman" w:eastAsia="Times New Roman" w:hint="default"/>
        </w:rPr>
        <w:t>2017 </w:t>
      </w:r>
      <w:r>
        <w:rPr>
          <w:rFonts w:ascii="Times New Roman" w:hAnsi="Times New Roman" w:cs="Times New Roman" w:eastAsia="Times New Roman" w:hint="default"/>
          <w:spacing w:val="1"/>
        </w:rPr>
        <w:t> </w:t>
      </w:r>
      <w:r>
        <w:rPr>
          <w:spacing w:val="4"/>
        </w:rPr>
        <w:t>年：</w:t>
      </w:r>
      <w:r>
        <w:rPr/>
      </w:r>
    </w:p>
    <w:p>
      <w:pPr>
        <w:pStyle w:val="BodyText"/>
        <w:spacing w:line="240" w:lineRule="auto" w:before="50"/>
        <w:ind w:left="214" w:right="1016"/>
        <w:jc w:val="left"/>
        <w:rPr>
          <w:rFonts w:ascii="Times New Roman" w:hAnsi="Times New Roman" w:cs="Times New Roman" w:eastAsia="Times New Roman" w:hint="default"/>
        </w:rPr>
      </w:pPr>
      <w:r>
        <w:rPr>
          <w:rFonts w:ascii="Times New Roman" w:hAnsi="Times New Roman" w:cs="Times New Roman" w:eastAsia="Times New Roman" w:hint="default"/>
        </w:rPr>
        <w:t>34.15%</w:t>
      </w:r>
      <w:r>
        <w:rPr/>
        <w:t>）；本集团其他应收款中，欠款金额前五大公司的其他应收款占本集团其他应收款总额的</w:t>
      </w:r>
      <w:r>
        <w:rPr>
          <w:spacing w:val="46"/>
        </w:rPr>
        <w:t> </w:t>
      </w:r>
      <w:r>
        <w:rPr>
          <w:rFonts w:ascii="Times New Roman" w:hAnsi="Times New Roman" w:cs="Times New Roman" w:eastAsia="Times New Roman" w:hint="default"/>
        </w:rPr>
        <w:t>60.30%</w:t>
      </w:r>
    </w:p>
    <w:p>
      <w:pPr>
        <w:pStyle w:val="BodyText"/>
        <w:spacing w:line="240" w:lineRule="auto" w:before="50"/>
        <w:ind w:left="214" w:right="1016"/>
        <w:jc w:val="left"/>
      </w:pP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60.85%</w:t>
      </w:r>
      <w:r>
        <w:rPr/>
        <w:t>）。</w:t>
      </w:r>
    </w:p>
    <w:p>
      <w:pPr>
        <w:pStyle w:val="BodyText"/>
        <w:spacing w:line="490" w:lineRule="atLeast" w:before="19"/>
        <w:ind w:right="1016"/>
        <w:jc w:val="left"/>
      </w:pPr>
      <w:r>
        <w:rPr/>
        <w:t>（</w:t>
      </w:r>
      <w:r>
        <w:rPr>
          <w:rFonts w:ascii="Times New Roman" w:hAnsi="Times New Roman" w:cs="Times New Roman" w:eastAsia="Times New Roman" w:hint="default"/>
        </w:rPr>
        <w:t>2</w:t>
      </w:r>
      <w:r>
        <w:rPr/>
        <w:t>）流动性风险 </w:t>
      </w:r>
      <w:r>
        <w:rPr>
          <w:spacing w:val="3"/>
        </w:rPr>
        <w:t>流动性风险，是指本集团在履行以交付现金或其他金融资产的方式结算的义务时发生资金短缺的风</w:t>
      </w:r>
    </w:p>
    <w:p>
      <w:pPr>
        <w:pStyle w:val="BodyText"/>
        <w:spacing w:line="240" w:lineRule="auto" w:before="66"/>
        <w:ind w:left="214" w:right="1016"/>
        <w:jc w:val="left"/>
      </w:pPr>
      <w:r>
        <w:rPr/>
        <w:t>险。</w:t>
      </w:r>
    </w:p>
    <w:p>
      <w:pPr>
        <w:spacing w:line="240" w:lineRule="auto" w:before="12"/>
        <w:rPr>
          <w:rFonts w:ascii="宋体" w:hAnsi="宋体" w:cs="宋体" w:eastAsia="宋体" w:hint="default"/>
          <w:sz w:val="17"/>
          <w:szCs w:val="17"/>
        </w:rPr>
      </w:pPr>
    </w:p>
    <w:p>
      <w:pPr>
        <w:pStyle w:val="BodyText"/>
        <w:spacing w:line="297" w:lineRule="auto"/>
        <w:ind w:left="214" w:right="1023" w:firstLine="420"/>
        <w:jc w:val="left"/>
      </w:pPr>
      <w:r>
        <w:rPr/>
        <w:t>管理流动风险时，本集团保持管理层认为充分的现金及现金等价物并对其进行监控，以满足本集团经 </w:t>
      </w:r>
      <w:r>
        <w:rPr>
          <w:spacing w:val="-3"/>
        </w:rPr>
        <w:t>营需要，并降低现金流量波动的影响。本集团管理层对银行借款的使用情况进行监控并确保遵守借款协议。</w:t>
      </w:r>
      <w:r>
        <w:rPr>
          <w:spacing w:val="-92"/>
        </w:rPr>
        <w:t> </w:t>
      </w:r>
      <w:r>
        <w:rPr>
          <w:spacing w:val="-92"/>
        </w:rPr>
      </w:r>
      <w:r>
        <w:rPr/>
        <w:t>同时从主要金融机构获得提供足够备用资金的承诺，以满足短期和长期的资金需求。</w:t>
      </w:r>
    </w:p>
    <w:p>
      <w:pPr>
        <w:spacing w:line="240" w:lineRule="auto" w:before="0"/>
        <w:rPr>
          <w:rFonts w:ascii="宋体" w:hAnsi="宋体" w:cs="宋体" w:eastAsia="宋体" w:hint="default"/>
          <w:sz w:val="14"/>
          <w:szCs w:val="14"/>
        </w:rPr>
      </w:pPr>
    </w:p>
    <w:p>
      <w:pPr>
        <w:pStyle w:val="BodyText"/>
        <w:spacing w:line="240" w:lineRule="auto"/>
        <w:ind w:right="1016"/>
        <w:jc w:val="left"/>
      </w:pPr>
      <w:r>
        <w:rPr/>
        <w:t>本集团通过经营业务产生的资金及银行及其他借款来筹措营运资金。</w:t>
      </w:r>
    </w:p>
    <w:p>
      <w:pPr>
        <w:pStyle w:val="BodyText"/>
        <w:spacing w:line="490" w:lineRule="atLeast" w:before="33"/>
        <w:ind w:right="1092"/>
        <w:jc w:val="left"/>
      </w:pPr>
      <w:r>
        <w:rPr/>
        <w:t>（</w:t>
      </w:r>
      <w:r>
        <w:rPr>
          <w:rFonts w:ascii="Times New Roman" w:hAnsi="Times New Roman" w:cs="Times New Roman" w:eastAsia="Times New Roman" w:hint="default"/>
        </w:rPr>
        <w:t>3</w:t>
      </w:r>
      <w:r>
        <w:rPr/>
        <w:t>）市场风险 金融工具的市场风险，是指金融工具的公允价值或未来现金流量因市场价格变动而发生波动的风险，</w:t>
      </w:r>
    </w:p>
    <w:p>
      <w:pPr>
        <w:pStyle w:val="BodyText"/>
        <w:spacing w:line="444" w:lineRule="auto" w:before="66"/>
        <w:ind w:right="6762" w:hanging="420"/>
        <w:jc w:val="left"/>
      </w:pPr>
      <w:r>
        <w:rPr/>
        <w:t>包括利率风险、汇率风险和其他价格风险。 利率风险</w:t>
      </w:r>
    </w:p>
    <w:p>
      <w:pPr>
        <w:pStyle w:val="BodyText"/>
        <w:spacing w:line="297" w:lineRule="auto" w:before="55"/>
        <w:ind w:left="214" w:right="1131" w:firstLine="420"/>
        <w:jc w:val="both"/>
      </w:pPr>
      <w:r>
        <w:rPr>
          <w:spacing w:val="-1"/>
        </w:rPr>
        <w:t>利率风险，是指金融工具的公允价值或未来现金流量因市场利率变动而发生波动的风险。利率风险可</w:t>
      </w:r>
      <w:r>
        <w:rPr/>
        <w:t> 源于已确认的计息金融工具和未确认的金融工具（如某些贷款承诺）。</w:t>
      </w:r>
    </w:p>
    <w:p>
      <w:pPr>
        <w:spacing w:line="240" w:lineRule="auto" w:before="0"/>
        <w:rPr>
          <w:rFonts w:ascii="宋体" w:hAnsi="宋体" w:cs="宋体" w:eastAsia="宋体" w:hint="default"/>
          <w:sz w:val="14"/>
          <w:szCs w:val="14"/>
        </w:rPr>
      </w:pPr>
    </w:p>
    <w:p>
      <w:pPr>
        <w:pStyle w:val="BodyText"/>
        <w:spacing w:line="297" w:lineRule="auto"/>
        <w:ind w:left="214" w:right="1131" w:firstLine="420"/>
        <w:jc w:val="both"/>
      </w:pPr>
      <w:r>
        <w:rPr>
          <w:spacing w:val="-1"/>
        </w:rPr>
        <w:t>本集团的利率风险主要产生于长期银行借款及应付债券等长期带息债务。浮动利率的金融负债使本集</w:t>
      </w:r>
      <w:r>
        <w:rPr/>
        <w:t> </w:t>
      </w:r>
      <w:r>
        <w:rPr>
          <w:spacing w:val="-1"/>
        </w:rPr>
        <w:t>团面临现金流量利率风险，固定利率的金融负债使本集团面临公允价值利率风险。本集团根据当时的市场</w:t>
      </w:r>
      <w:r>
        <w:rPr>
          <w:spacing w:val="-81"/>
        </w:rPr>
        <w:t> </w:t>
      </w:r>
      <w:r>
        <w:rPr>
          <w:spacing w:val="-81"/>
        </w:rPr>
      </w:r>
      <w:r>
        <w:rPr>
          <w:spacing w:val="-1"/>
        </w:rPr>
        <w:t>环境来决定固定利率及浮动利率合同的相对比例，并通过定期审阅与监察维持适当的固定和浮动利率工具</w:t>
      </w:r>
      <w:r>
        <w:rPr>
          <w:spacing w:val="-81"/>
        </w:rPr>
        <w:t> </w:t>
      </w:r>
      <w:r>
        <w:rPr>
          <w:spacing w:val="-81"/>
        </w:rPr>
      </w:r>
      <w:r>
        <w:rPr/>
        <w:t>组合。</w:t>
      </w:r>
    </w:p>
    <w:p>
      <w:pPr>
        <w:spacing w:line="240" w:lineRule="auto" w:before="12"/>
        <w:rPr>
          <w:rFonts w:ascii="宋体" w:hAnsi="宋体" w:cs="宋体" w:eastAsia="宋体" w:hint="default"/>
          <w:sz w:val="13"/>
          <w:szCs w:val="13"/>
        </w:rPr>
      </w:pPr>
    </w:p>
    <w:p>
      <w:pPr>
        <w:pStyle w:val="BodyText"/>
        <w:spacing w:line="297" w:lineRule="auto"/>
        <w:ind w:left="214" w:right="1131" w:firstLine="420"/>
        <w:jc w:val="both"/>
      </w:pPr>
      <w:r>
        <w:rPr>
          <w:spacing w:val="-1"/>
        </w:rPr>
        <w:t>本集团密切关注利率变动对本集团利率风险的影响。本集团目前并未采取利率对冲政策。但管理层负</w:t>
      </w:r>
      <w:r>
        <w:rPr/>
        <w:t> </w:t>
      </w:r>
      <w:r>
        <w:rPr>
          <w:spacing w:val="-1"/>
        </w:rPr>
        <w:t>责监控利率风险，并将于需要时考虑对冲重大利率风险。由于定期存款为短期存款，故银行存款的公允价</w:t>
      </w:r>
      <w:r>
        <w:rPr>
          <w:spacing w:val="-83"/>
        </w:rPr>
        <w:t> </w:t>
      </w:r>
      <w:r>
        <w:rPr>
          <w:spacing w:val="-83"/>
        </w:rPr>
      </w:r>
      <w:r>
        <w:rPr/>
        <w:t>值利率风险并不重大。</w:t>
      </w:r>
    </w:p>
    <w:p>
      <w:pPr>
        <w:spacing w:line="240" w:lineRule="auto" w:before="12"/>
        <w:rPr>
          <w:rFonts w:ascii="宋体" w:hAnsi="宋体" w:cs="宋体" w:eastAsia="宋体" w:hint="default"/>
          <w:sz w:val="13"/>
          <w:szCs w:val="13"/>
        </w:rPr>
      </w:pPr>
    </w:p>
    <w:p>
      <w:pPr>
        <w:pStyle w:val="BodyText"/>
        <w:spacing w:line="240" w:lineRule="auto"/>
        <w:ind w:right="1016"/>
        <w:jc w:val="left"/>
      </w:pPr>
      <w:r>
        <w:rPr/>
        <w:t>本集团持有的计息金融工具如下（单位：人民币万元）：</w:t>
      </w:r>
    </w:p>
    <w:p>
      <w:pPr>
        <w:spacing w:line="240" w:lineRule="auto" w:before="8"/>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3978"/>
        <w:gridCol w:w="2939"/>
        <w:gridCol w:w="2939"/>
      </w:tblGrid>
      <w:tr>
        <w:trPr>
          <w:trHeight w:val="427" w:hRule="exact"/>
        </w:trPr>
        <w:tc>
          <w:tcPr>
            <w:tcW w:w="3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2939"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5"/>
              <w:jc w:val="right"/>
              <w:rPr>
                <w:rFonts w:ascii="Times New Roman" w:hAnsi="Times New Roman" w:cs="Times New Roman" w:eastAsia="Times New Roman" w:hint="default"/>
                <w:sz w:val="18"/>
                <w:szCs w:val="18"/>
              </w:rPr>
            </w:pPr>
            <w:r>
              <w:rPr>
                <w:rFonts w:ascii="Times New Roman"/>
                <w:sz w:val="18"/>
              </w:rPr>
              <w:t>708.11</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5"/>
              <w:jc w:val="right"/>
              <w:rPr>
                <w:rFonts w:ascii="Times New Roman" w:hAnsi="Times New Roman" w:cs="Times New Roman" w:eastAsia="Times New Roman" w:hint="default"/>
                <w:sz w:val="18"/>
                <w:szCs w:val="18"/>
              </w:rPr>
            </w:pPr>
            <w:r>
              <w:rPr>
                <w:rFonts w:ascii="Times New Roman"/>
                <w:sz w:val="18"/>
              </w:rPr>
              <w:t>702.71</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3978"/>
        <w:gridCol w:w="2939"/>
        <w:gridCol w:w="2939"/>
      </w:tblGrid>
      <w:tr>
        <w:trPr>
          <w:trHeight w:val="470"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其中：长期应付款</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5"/>
              <w:jc w:val="right"/>
              <w:rPr>
                <w:rFonts w:ascii="Times New Roman" w:hAnsi="Times New Roman" w:cs="Times New Roman" w:eastAsia="Times New Roman" w:hint="default"/>
                <w:sz w:val="18"/>
                <w:szCs w:val="18"/>
              </w:rPr>
            </w:pPr>
            <w:r>
              <w:rPr>
                <w:rFonts w:ascii="Times New Roman"/>
                <w:sz w:val="18"/>
              </w:rPr>
              <w:t>704.76</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5"/>
              <w:jc w:val="right"/>
              <w:rPr>
                <w:rFonts w:ascii="Times New Roman" w:hAnsi="Times New Roman" w:cs="Times New Roman" w:eastAsia="Times New Roman" w:hint="default"/>
                <w:sz w:val="18"/>
                <w:szCs w:val="18"/>
              </w:rPr>
            </w:pPr>
            <w:r>
              <w:rPr>
                <w:rFonts w:ascii="Times New Roman"/>
                <w:sz w:val="18"/>
              </w:rPr>
              <w:t>684.07</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23"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5"/>
              <w:jc w:val="right"/>
              <w:rPr>
                <w:rFonts w:ascii="Times New Roman" w:hAnsi="Times New Roman" w:cs="Times New Roman" w:eastAsia="Times New Roman" w:hint="default"/>
                <w:sz w:val="18"/>
                <w:szCs w:val="18"/>
              </w:rPr>
            </w:pPr>
            <w:r>
              <w:rPr>
                <w:rFonts w:ascii="Times New Roman"/>
                <w:sz w:val="18"/>
              </w:rPr>
              <w:t>3.35</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5"/>
              <w:jc w:val="right"/>
              <w:rPr>
                <w:rFonts w:ascii="Times New Roman" w:hAnsi="Times New Roman" w:cs="Times New Roman" w:eastAsia="Times New Roman" w:hint="default"/>
                <w:sz w:val="18"/>
                <w:szCs w:val="18"/>
              </w:rPr>
            </w:pPr>
            <w:r>
              <w:rPr>
                <w:rFonts w:ascii="Times New Roman"/>
                <w:sz w:val="18"/>
              </w:rPr>
              <w:t>18.64</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5"/>
              <w:jc w:val="right"/>
              <w:rPr>
                <w:rFonts w:ascii="Times New Roman" w:hAnsi="Times New Roman" w:cs="Times New Roman" w:eastAsia="Times New Roman" w:hint="default"/>
                <w:sz w:val="18"/>
                <w:szCs w:val="18"/>
              </w:rPr>
            </w:pPr>
            <w:r>
              <w:rPr>
                <w:rFonts w:ascii="Times New Roman"/>
                <w:b/>
                <w:sz w:val="18"/>
              </w:rPr>
              <w:t>708.11</w:t>
            </w:r>
            <w:r>
              <w:rPr>
                <w:rFonts w:ascii="Times New Roman"/>
                <w:sz w:val="18"/>
              </w:rPr>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5"/>
              <w:jc w:val="right"/>
              <w:rPr>
                <w:rFonts w:ascii="Times New Roman" w:hAnsi="Times New Roman" w:cs="Times New Roman" w:eastAsia="Times New Roman" w:hint="default"/>
                <w:sz w:val="18"/>
                <w:szCs w:val="18"/>
              </w:rPr>
            </w:pPr>
            <w:r>
              <w:rPr>
                <w:rFonts w:ascii="Times New Roman"/>
                <w:b/>
                <w:sz w:val="18"/>
              </w:rPr>
              <w:t>702.71</w:t>
            </w:r>
            <w:r>
              <w:rPr>
                <w:rFonts w:ascii="Times New Roman"/>
                <w:sz w:val="18"/>
              </w:rPr>
            </w:r>
          </w:p>
        </w:tc>
      </w:tr>
      <w:tr>
        <w:trPr>
          <w:trHeight w:val="428"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6"/>
              <w:jc w:val="right"/>
              <w:rPr>
                <w:rFonts w:ascii="Times New Roman" w:hAnsi="Times New Roman" w:cs="Times New Roman" w:eastAsia="Times New Roman" w:hint="default"/>
                <w:sz w:val="18"/>
                <w:szCs w:val="18"/>
              </w:rPr>
            </w:pPr>
            <w:r>
              <w:rPr>
                <w:rFonts w:ascii="Times New Roman"/>
                <w:sz w:val="18"/>
              </w:rPr>
              <w:t>89,446.79</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6"/>
              <w:jc w:val="right"/>
              <w:rPr>
                <w:rFonts w:ascii="Times New Roman" w:hAnsi="Times New Roman" w:cs="Times New Roman" w:eastAsia="Times New Roman" w:hint="default"/>
                <w:sz w:val="18"/>
                <w:szCs w:val="18"/>
              </w:rPr>
            </w:pPr>
            <w:r>
              <w:rPr>
                <w:rFonts w:ascii="Times New Roman"/>
                <w:sz w:val="18"/>
              </w:rPr>
              <w:t>127,460.30</w:t>
            </w:r>
          </w:p>
        </w:tc>
      </w:tr>
      <w:tr>
        <w:trPr>
          <w:trHeight w:val="42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其中：货币资金</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6"/>
              <w:jc w:val="right"/>
              <w:rPr>
                <w:rFonts w:ascii="Times New Roman" w:hAnsi="Times New Roman" w:cs="Times New Roman" w:eastAsia="Times New Roman" w:hint="default"/>
                <w:sz w:val="18"/>
                <w:szCs w:val="18"/>
              </w:rPr>
            </w:pPr>
            <w:r>
              <w:rPr>
                <w:rFonts w:ascii="Times New Roman"/>
                <w:sz w:val="18"/>
              </w:rPr>
              <w:t>89,446.79</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6"/>
              <w:jc w:val="right"/>
              <w:rPr>
                <w:rFonts w:ascii="Times New Roman" w:hAnsi="Times New Roman" w:cs="Times New Roman" w:eastAsia="Times New Roman" w:hint="default"/>
                <w:sz w:val="18"/>
                <w:szCs w:val="18"/>
              </w:rPr>
            </w:pPr>
            <w:r>
              <w:rPr>
                <w:rFonts w:ascii="Times New Roman"/>
                <w:sz w:val="18"/>
              </w:rPr>
              <w:t>127,460.30</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6"/>
              <w:jc w:val="right"/>
              <w:rPr>
                <w:rFonts w:ascii="Times New Roman" w:hAnsi="Times New Roman" w:cs="Times New Roman" w:eastAsia="Times New Roman" w:hint="default"/>
                <w:sz w:val="18"/>
                <w:szCs w:val="18"/>
              </w:rPr>
            </w:pPr>
            <w:r>
              <w:rPr>
                <w:rFonts w:ascii="Times New Roman"/>
                <w:sz w:val="18"/>
              </w:rPr>
              <w:t>54,071.75</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6"/>
              <w:jc w:val="right"/>
              <w:rPr>
                <w:rFonts w:ascii="Times New Roman" w:hAnsi="Times New Roman" w:cs="Times New Roman" w:eastAsia="Times New Roman" w:hint="default"/>
                <w:sz w:val="18"/>
                <w:szCs w:val="18"/>
              </w:rPr>
            </w:pPr>
            <w:r>
              <w:rPr>
                <w:rFonts w:ascii="Times New Roman"/>
                <w:sz w:val="18"/>
              </w:rPr>
              <w:t>83,572.35</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6"/>
              <w:jc w:val="right"/>
              <w:rPr>
                <w:rFonts w:ascii="Times New Roman" w:hAnsi="Times New Roman" w:cs="Times New Roman" w:eastAsia="Times New Roman" w:hint="default"/>
                <w:sz w:val="18"/>
                <w:szCs w:val="18"/>
              </w:rPr>
            </w:pPr>
            <w:r>
              <w:rPr>
                <w:rFonts w:ascii="Times New Roman"/>
                <w:spacing w:val="-1"/>
                <w:sz w:val="18"/>
              </w:rPr>
              <w:t>37,375.36</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6"/>
              <w:jc w:val="right"/>
              <w:rPr>
                <w:rFonts w:ascii="Times New Roman" w:hAnsi="Times New Roman" w:cs="Times New Roman" w:eastAsia="Times New Roman" w:hint="default"/>
                <w:sz w:val="18"/>
                <w:szCs w:val="18"/>
              </w:rPr>
            </w:pPr>
            <w:r>
              <w:rPr>
                <w:rFonts w:ascii="Times New Roman"/>
                <w:sz w:val="18"/>
              </w:rPr>
              <w:t>66,654.31</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6"/>
              <w:jc w:val="right"/>
              <w:rPr>
                <w:rFonts w:ascii="Times New Roman" w:hAnsi="Times New Roman" w:cs="Times New Roman" w:eastAsia="Times New Roman" w:hint="default"/>
                <w:sz w:val="18"/>
                <w:szCs w:val="18"/>
              </w:rPr>
            </w:pPr>
            <w:r>
              <w:rPr>
                <w:rFonts w:ascii="Times New Roman"/>
                <w:spacing w:val="-1"/>
                <w:sz w:val="18"/>
              </w:rPr>
              <w:t>16,377.16</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6"/>
              <w:jc w:val="right"/>
              <w:rPr>
                <w:rFonts w:ascii="Times New Roman" w:hAnsi="Times New Roman" w:cs="Times New Roman" w:eastAsia="Times New Roman" w:hint="default"/>
                <w:sz w:val="18"/>
                <w:szCs w:val="18"/>
              </w:rPr>
            </w:pPr>
            <w:r>
              <w:rPr>
                <w:rFonts w:ascii="Times New Roman"/>
                <w:sz w:val="18"/>
              </w:rPr>
              <w:t>16,600.64</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8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5"/>
              <w:jc w:val="right"/>
              <w:rPr>
                <w:rFonts w:ascii="Times New Roman" w:hAnsi="Times New Roman" w:cs="Times New Roman" w:eastAsia="Times New Roman" w:hint="default"/>
                <w:sz w:val="18"/>
                <w:szCs w:val="18"/>
              </w:rPr>
            </w:pPr>
            <w:r>
              <w:rPr>
                <w:rFonts w:ascii="Times New Roman"/>
                <w:sz w:val="18"/>
              </w:rPr>
              <w:t>319.23</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5"/>
              <w:jc w:val="right"/>
              <w:rPr>
                <w:rFonts w:ascii="Times New Roman" w:hAnsi="Times New Roman" w:cs="Times New Roman" w:eastAsia="Times New Roman" w:hint="default"/>
                <w:sz w:val="18"/>
                <w:szCs w:val="18"/>
              </w:rPr>
            </w:pPr>
            <w:r>
              <w:rPr>
                <w:rFonts w:ascii="Times New Roman"/>
                <w:sz w:val="18"/>
              </w:rPr>
              <w:t>317.40</w:t>
            </w:r>
          </w:p>
        </w:tc>
      </w:tr>
      <w:tr>
        <w:trPr>
          <w:trHeight w:val="427"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6"/>
              <w:jc w:val="right"/>
              <w:rPr>
                <w:rFonts w:ascii="Times New Roman" w:hAnsi="Times New Roman" w:cs="Times New Roman" w:eastAsia="Times New Roman" w:hint="default"/>
                <w:sz w:val="18"/>
                <w:szCs w:val="18"/>
              </w:rPr>
            </w:pPr>
            <w:r>
              <w:rPr>
                <w:rFonts w:ascii="Times New Roman"/>
                <w:b/>
                <w:sz w:val="18"/>
              </w:rPr>
              <w:t>143,518.54</w:t>
            </w:r>
            <w:r>
              <w:rPr>
                <w:rFonts w:ascii="Times New Roman"/>
                <w:sz w:val="18"/>
              </w:rPr>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206"/>
              <w:jc w:val="right"/>
              <w:rPr>
                <w:rFonts w:ascii="Times New Roman" w:hAnsi="Times New Roman" w:cs="Times New Roman" w:eastAsia="Times New Roman" w:hint="default"/>
                <w:sz w:val="18"/>
                <w:szCs w:val="18"/>
              </w:rPr>
            </w:pPr>
            <w:r>
              <w:rPr>
                <w:rFonts w:ascii="Times New Roman"/>
                <w:b/>
                <w:sz w:val="18"/>
              </w:rPr>
              <w:t>211,032.65</w:t>
            </w:r>
            <w:r>
              <w:rPr>
                <w:rFonts w:ascii="Times New Roman"/>
                <w:sz w:val="18"/>
              </w:rPr>
            </w:r>
          </w:p>
        </w:tc>
      </w:tr>
    </w:tbl>
    <w:p>
      <w:pPr>
        <w:spacing w:line="240" w:lineRule="auto" w:before="6"/>
        <w:rPr>
          <w:rFonts w:ascii="宋体" w:hAnsi="宋体" w:cs="宋体" w:eastAsia="宋体" w:hint="default"/>
          <w:sz w:val="7"/>
          <w:szCs w:val="7"/>
        </w:rPr>
      </w:pPr>
    </w:p>
    <w:p>
      <w:pPr>
        <w:pStyle w:val="BodyText"/>
        <w:spacing w:line="297" w:lineRule="auto" w:before="35"/>
        <w:ind w:left="214" w:right="1131" w:firstLine="420"/>
        <w:jc w:val="both"/>
      </w:pPr>
      <w:r>
        <w:rPr>
          <w:spacing w:val="-1"/>
        </w:rPr>
        <w:t>对于资产负债表日持有的、使本集团面临公允价值利率风险的金融工具，上述敏感性分析中的净利润</w:t>
      </w:r>
      <w:r>
        <w:rPr/>
        <w:t> </w:t>
      </w:r>
      <w:r>
        <w:rPr>
          <w:spacing w:val="-1"/>
        </w:rPr>
        <w:t>及股东权益的影响是假设在资产负债表日利率发生变动，按照新利率对上述金融工具进行重新计量后的影</w:t>
      </w:r>
      <w:r>
        <w:rPr>
          <w:spacing w:val="-81"/>
        </w:rPr>
        <w:t> </w:t>
      </w:r>
      <w:r>
        <w:rPr>
          <w:spacing w:val="-81"/>
        </w:rPr>
      </w:r>
      <w:r>
        <w:rPr>
          <w:spacing w:val="-1"/>
        </w:rPr>
        <w:t>响。对于资产负债表日持有的、使本集团面临现金流量利率风险的浮动利率非衍生工具，上述敏感性分析</w:t>
      </w:r>
      <w:r>
        <w:rPr>
          <w:spacing w:val="-83"/>
        </w:rPr>
        <w:t> </w:t>
      </w:r>
      <w:r>
        <w:rPr>
          <w:spacing w:val="-83"/>
        </w:rPr>
      </w:r>
      <w:r>
        <w:rPr>
          <w:spacing w:val="-1"/>
        </w:rPr>
        <w:t>中的净利润及股东权益的影响是上述利率变动对按年度估算的利息费用或收入的影响。上一年度的分析基</w:t>
      </w:r>
      <w:r>
        <w:rPr>
          <w:spacing w:val="-81"/>
        </w:rPr>
        <w:t> </w:t>
      </w:r>
      <w:r>
        <w:rPr>
          <w:spacing w:val="-81"/>
        </w:rPr>
      </w:r>
      <w:r>
        <w:rPr/>
        <w:t>于同样的假设和方法。</w:t>
      </w:r>
    </w:p>
    <w:p>
      <w:pPr>
        <w:pStyle w:val="BodyText"/>
        <w:spacing w:line="510" w:lineRule="exact" w:before="19"/>
        <w:ind w:right="1016"/>
        <w:jc w:val="left"/>
      </w:pPr>
      <w:r>
        <w:rPr/>
        <w:t>汇率风险 </w:t>
      </w:r>
      <w:r>
        <w:rPr>
          <w:spacing w:val="-1"/>
        </w:rPr>
        <w:t>汇率风险，是指金融工具的公允价值或未来现金流量因外汇汇率变动而发生波动的风险。汇率风险可</w:t>
      </w:r>
    </w:p>
    <w:p>
      <w:pPr>
        <w:pStyle w:val="BodyText"/>
        <w:spacing w:line="268" w:lineRule="exact"/>
        <w:ind w:left="214" w:right="1016"/>
        <w:jc w:val="left"/>
      </w:pPr>
      <w:r>
        <w:rPr/>
        <w:t>源于以记账本位币之外的外币进行计价的金融工具。</w:t>
      </w:r>
    </w:p>
    <w:p>
      <w:pPr>
        <w:spacing w:line="240" w:lineRule="auto" w:before="10"/>
        <w:rPr>
          <w:rFonts w:ascii="宋体" w:hAnsi="宋体" w:cs="宋体" w:eastAsia="宋体" w:hint="default"/>
          <w:sz w:val="17"/>
          <w:szCs w:val="17"/>
        </w:rPr>
      </w:pPr>
    </w:p>
    <w:p>
      <w:pPr>
        <w:pStyle w:val="BodyText"/>
        <w:spacing w:line="297" w:lineRule="auto"/>
        <w:ind w:left="214" w:right="1133" w:firstLine="420"/>
        <w:jc w:val="both"/>
      </w:pPr>
      <w:r>
        <w:rPr>
          <w:spacing w:val="-1"/>
        </w:rPr>
        <w:t>本集团的主要经营位于中国境内、日本、香港，国内业务以人民币结算、出口业务主要以美元、日元</w:t>
      </w:r>
      <w:r>
        <w:rPr/>
        <w:t> </w:t>
      </w:r>
      <w:r>
        <w:rPr>
          <w:spacing w:val="-1"/>
        </w:rPr>
        <w:t>结算，境外经营公司以美元、日元结算。但本集团已确认的外币资产和负债及未来的外币交易（外币资产</w:t>
      </w:r>
      <w:r>
        <w:rPr>
          <w:spacing w:val="-86"/>
        </w:rPr>
        <w:t> </w:t>
      </w:r>
      <w:r>
        <w:rPr>
          <w:spacing w:val="-86"/>
        </w:rPr>
      </w:r>
      <w:r>
        <w:rPr/>
        <w:t>和负债及外币交易的计价货币主要为美元、日元）依然存在外汇风险。</w:t>
      </w:r>
    </w:p>
    <w:p>
      <w:pPr>
        <w:spacing w:line="240" w:lineRule="auto" w:before="12"/>
        <w:rPr>
          <w:rFonts w:ascii="宋体" w:hAnsi="宋体" w:cs="宋体" w:eastAsia="宋体" w:hint="default"/>
          <w:sz w:val="13"/>
          <w:szCs w:val="13"/>
        </w:rPr>
      </w:pPr>
    </w:p>
    <w:p>
      <w:pPr>
        <w:pStyle w:val="BodyText"/>
        <w:spacing w:line="297" w:lineRule="auto"/>
        <w:ind w:left="214" w:right="1133" w:firstLine="420"/>
        <w:jc w:val="both"/>
      </w:pPr>
      <w:r>
        <w:rPr>
          <w:spacing w:val="-1"/>
        </w:rPr>
        <w:t>相关外币资产及外币负债包括：以外币计价的货币资金、应收账款、其他应收款、长期应收款、应付</w:t>
      </w:r>
      <w:r>
        <w:rPr/>
        <w:t> 账款、其他应付款、短期借款、长期借款。</w:t>
      </w:r>
    </w:p>
    <w:p>
      <w:pPr>
        <w:spacing w:line="240" w:lineRule="auto" w:before="0"/>
        <w:rPr>
          <w:rFonts w:ascii="宋体" w:hAnsi="宋体" w:cs="宋体" w:eastAsia="宋体" w:hint="default"/>
          <w:sz w:val="14"/>
          <w:szCs w:val="14"/>
        </w:rPr>
      </w:pPr>
    </w:p>
    <w:p>
      <w:pPr>
        <w:pStyle w:val="BodyText"/>
        <w:spacing w:line="280" w:lineRule="auto"/>
        <w:ind w:left="214" w:right="1132" w:firstLine="420"/>
        <w:jc w:val="both"/>
      </w:pPr>
      <w:r>
        <w:rPr/>
        <w:t>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3"/>
        </w:rPr>
        <w:t>日，本集团持有的外币金融资产和外币金融负债折算成人民币的金额列示如下（单</w:t>
      </w:r>
      <w:r>
        <w:rPr/>
        <w:t> 位：人民币万元）：</w:t>
      </w:r>
    </w:p>
    <w:p>
      <w:pPr>
        <w:spacing w:line="240" w:lineRule="auto" w:before="11"/>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1971"/>
        <w:gridCol w:w="1971"/>
        <w:gridCol w:w="1972"/>
        <w:gridCol w:w="1971"/>
        <w:gridCol w:w="1972"/>
      </w:tblGrid>
      <w:tr>
        <w:trPr>
          <w:trHeight w:val="427"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外币负债</w:t>
            </w:r>
            <w:r>
              <w:rPr>
                <w:rFonts w:ascii="宋体" w:hAnsi="宋体" w:cs="宋体" w:eastAsia="宋体" w:hint="default"/>
                <w:sz w:val="18"/>
                <w:szCs w:val="18"/>
              </w:rPr>
            </w:r>
          </w:p>
        </w:tc>
        <w:tc>
          <w:tcPr>
            <w:tcW w:w="39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外币资产</w:t>
            </w:r>
            <w:r>
              <w:rPr>
                <w:rFonts w:ascii="宋体" w:hAnsi="宋体" w:cs="宋体" w:eastAsia="宋体" w:hint="default"/>
                <w:sz w:val="18"/>
                <w:szCs w:val="18"/>
              </w:rPr>
            </w:r>
          </w:p>
        </w:tc>
      </w:tr>
      <w:tr>
        <w:trPr>
          <w:trHeight w:val="427"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42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51,542.00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16,283.47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59,878.31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26,106.16</w:t>
            </w:r>
          </w:p>
        </w:tc>
      </w:tr>
      <w:tr>
        <w:trPr>
          <w:trHeight w:val="42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6,671.19</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17,373.73</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7,017.52</w:t>
            </w:r>
          </w:p>
        </w:tc>
      </w:tr>
      <w:tr>
        <w:trPr>
          <w:trHeight w:val="426"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87.74</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101.51</w:t>
            </w:r>
          </w:p>
        </w:tc>
      </w:tr>
      <w:tr>
        <w:trPr>
          <w:trHeight w:val="42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2,300.77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653.32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z w:val="18"/>
              </w:rPr>
              <w:t>1,666.11</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924.22</w:t>
            </w:r>
          </w:p>
        </w:tc>
      </w:tr>
      <w:tr>
        <w:trPr>
          <w:trHeight w:val="42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80,105.37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56,393.64</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67,712.37</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36,565.91</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971"/>
        <w:gridCol w:w="1971"/>
        <w:gridCol w:w="1972"/>
        <w:gridCol w:w="1971"/>
        <w:gridCol w:w="1972"/>
      </w:tblGrid>
      <w:tr>
        <w:trPr>
          <w:trHeight w:val="42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90.31</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z w:val="18"/>
              </w:rPr>
              <w:t>1,098.65</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339.43</w:t>
            </w:r>
          </w:p>
        </w:tc>
      </w:tr>
      <w:tr>
        <w:trPr>
          <w:trHeight w:val="42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列弗</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40.51</w:t>
            </w: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108.20</w:t>
            </w: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39.84</w:t>
            </w: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1971" w:type="dxa"/>
            <w:tcBorders>
              <w:top w:val="single" w:sz="4" w:space="0" w:color="000000"/>
              <w:left w:val="single" w:sz="4" w:space="0" w:color="000000"/>
              <w:bottom w:val="single" w:sz="4" w:space="0" w:color="000000"/>
              <w:right w:val="single" w:sz="4" w:space="0" w:color="000000"/>
            </w:tcBorders>
          </w:tcPr>
          <w:p>
            <w:pPr/>
          </w:p>
        </w:tc>
        <w:tc>
          <w:tcPr>
            <w:tcW w:w="1972" w:type="dxa"/>
            <w:tcBorders>
              <w:top w:val="single" w:sz="4" w:space="0" w:color="000000"/>
              <w:left w:val="single" w:sz="4" w:space="0" w:color="000000"/>
              <w:bottom w:val="single" w:sz="4" w:space="0" w:color="000000"/>
              <w:right w:val="single" w:sz="4" w:space="0" w:color="000000"/>
            </w:tcBorders>
          </w:tcPr>
          <w:p>
            <w:pP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z w:val="18"/>
              </w:rPr>
              <w:t>256.37</w:t>
            </w:r>
          </w:p>
        </w:tc>
        <w:tc>
          <w:tcPr>
            <w:tcW w:w="1972"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b/>
                <w:spacing w:val="-1"/>
                <w:sz w:val="18"/>
              </w:rPr>
              <w:t>140,817.84</w:t>
            </w:r>
            <w:r>
              <w:rPr>
                <w:rFonts w:ascii="Times New Roman"/>
                <w:spacing w:val="-1"/>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138" w:right="0"/>
              <w:jc w:val="left"/>
              <w:rPr>
                <w:rFonts w:ascii="Times New Roman" w:hAnsi="Times New Roman" w:cs="Times New Roman" w:eastAsia="Times New Roman" w:hint="default"/>
                <w:sz w:val="18"/>
                <w:szCs w:val="18"/>
              </w:rPr>
            </w:pPr>
            <w:r>
              <w:rPr>
                <w:rFonts w:ascii="Times New Roman"/>
                <w:b/>
                <w:sz w:val="18"/>
              </w:rPr>
              <w:t>73,330.43</w:t>
            </w:r>
            <w:r>
              <w:rPr>
                <w:rFonts w:ascii="Times New Roman"/>
                <w:sz w:val="18"/>
              </w:rPr>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18"/>
                <w:szCs w:val="18"/>
              </w:rPr>
            </w:pPr>
            <w:r>
              <w:rPr>
                <w:rFonts w:ascii="Times New Roman"/>
                <w:b/>
                <w:spacing w:val="-1"/>
                <w:sz w:val="18"/>
              </w:rPr>
              <w:t>148,153.63</w:t>
            </w:r>
            <w:r>
              <w:rPr>
                <w:rFonts w:ascii="Times New Roman"/>
                <w:spacing w:val="-1"/>
                <w:sz w:val="18"/>
              </w:rPr>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z w:val="18"/>
              </w:rPr>
              <w:t>71,054.75</w:t>
            </w:r>
            <w:r>
              <w:rPr>
                <w:rFonts w:ascii="Times New Roman"/>
                <w:sz w:val="18"/>
              </w:rPr>
            </w:r>
          </w:p>
        </w:tc>
      </w:tr>
    </w:tbl>
    <w:p>
      <w:pPr>
        <w:spacing w:line="240" w:lineRule="auto" w:before="6"/>
        <w:rPr>
          <w:rFonts w:ascii="宋体" w:hAnsi="宋体" w:cs="宋体" w:eastAsia="宋体" w:hint="default"/>
          <w:sz w:val="7"/>
          <w:szCs w:val="7"/>
        </w:rPr>
      </w:pPr>
    </w:p>
    <w:p>
      <w:pPr>
        <w:pStyle w:val="BodyText"/>
        <w:spacing w:line="297" w:lineRule="auto" w:before="35"/>
        <w:ind w:left="214" w:right="1016" w:firstLine="420"/>
        <w:jc w:val="left"/>
      </w:pPr>
      <w:r>
        <w:rPr>
          <w:spacing w:val="-1"/>
        </w:rPr>
        <w:t>本集团密切关注汇率变动对本集团汇率风险的影响。本集团目前并未采取任何措施规避汇率风险。但</w:t>
      </w:r>
      <w:r>
        <w:rPr/>
        <w:t> 管理层负责监控汇率风险，并将于需要时考虑对冲重大汇率风险。</w:t>
      </w:r>
    </w:p>
    <w:p>
      <w:pPr>
        <w:pStyle w:val="BodyText"/>
        <w:spacing w:line="508" w:lineRule="exact" w:before="22"/>
        <w:ind w:right="1016"/>
        <w:jc w:val="left"/>
      </w:pPr>
      <w:r>
        <w:rPr>
          <w:rFonts w:ascii="Times New Roman" w:hAnsi="Times New Roman" w:cs="Times New Roman" w:eastAsia="Times New Roman" w:hint="default"/>
        </w:rPr>
        <w:t>2</w:t>
      </w:r>
      <w:r>
        <w:rPr/>
        <w:t>、资本管理 </w:t>
      </w:r>
      <w:r>
        <w:rPr>
          <w:spacing w:val="-1"/>
        </w:rPr>
        <w:t>本集团资本管理政策的目标是为了保障本集团能够持续经营，从而为股东提供回报，并使其他利益相</w:t>
      </w:r>
    </w:p>
    <w:p>
      <w:pPr>
        <w:pStyle w:val="BodyText"/>
        <w:spacing w:line="268" w:lineRule="exact"/>
        <w:ind w:left="214" w:right="1016"/>
        <w:jc w:val="left"/>
      </w:pPr>
      <w:r>
        <w:rPr/>
        <w:t>关者获益，同时维持最佳的资本结构以降低资本成本。</w:t>
      </w:r>
    </w:p>
    <w:p>
      <w:pPr>
        <w:spacing w:line="240" w:lineRule="auto" w:before="12"/>
        <w:rPr>
          <w:rFonts w:ascii="宋体" w:hAnsi="宋体" w:cs="宋体" w:eastAsia="宋体" w:hint="default"/>
          <w:sz w:val="17"/>
          <w:szCs w:val="17"/>
        </w:rPr>
      </w:pPr>
    </w:p>
    <w:p>
      <w:pPr>
        <w:pStyle w:val="BodyText"/>
        <w:spacing w:line="297" w:lineRule="auto"/>
        <w:ind w:left="214" w:right="1016" w:firstLine="420"/>
        <w:jc w:val="left"/>
      </w:pPr>
      <w:r>
        <w:rPr>
          <w:spacing w:val="-1"/>
        </w:rPr>
        <w:t>为了维持或调整资本结构，本集团可能会调整支付给股东的股利金额、向股东返还资本、发行新股或</w:t>
      </w:r>
      <w:r>
        <w:rPr/>
        <w:t> 出售资产以减低债务。</w:t>
      </w:r>
    </w:p>
    <w:p>
      <w:pPr>
        <w:spacing w:line="240" w:lineRule="auto" w:before="12"/>
        <w:rPr>
          <w:rFonts w:ascii="宋体" w:hAnsi="宋体" w:cs="宋体" w:eastAsia="宋体" w:hint="default"/>
          <w:sz w:val="13"/>
          <w:szCs w:val="13"/>
        </w:rPr>
      </w:pPr>
    </w:p>
    <w:p>
      <w:pPr>
        <w:pStyle w:val="BodyText"/>
        <w:spacing w:line="280" w:lineRule="auto"/>
        <w:ind w:left="214" w:right="1120" w:firstLine="420"/>
        <w:jc w:val="left"/>
      </w:pPr>
      <w:r>
        <w:rPr>
          <w:spacing w:val="-3"/>
        </w:rPr>
        <w:t>本集团以资产负债率（即总负债除以总资产）为基础对资本结构进行监控。于</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spacing w:val="-8"/>
        </w:rPr>
        <w:t>日，本</w:t>
      </w:r>
      <w:r>
        <w:rPr/>
        <w:t> 集团的资产负债率为</w:t>
      </w:r>
      <w:r>
        <w:rPr>
          <w:spacing w:val="-53"/>
        </w:rPr>
        <w:t> </w:t>
      </w:r>
      <w:r>
        <w:rPr>
          <w:rFonts w:ascii="Times New Roman" w:hAnsi="Times New Roman" w:cs="Times New Roman" w:eastAsia="Times New Roman" w:hint="default"/>
        </w:rPr>
        <w:t>40.40%</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w:t>
      </w:r>
      <w:r>
        <w:rPr>
          <w:rFonts w:ascii="Times New Roman" w:hAnsi="Times New Roman" w:cs="Times New Roman" w:eastAsia="Times New Roman" w:hint="default"/>
        </w:rPr>
        <w:t>50.83%</w:t>
      </w:r>
      <w:r>
        <w:rPr/>
        <w:t>）。</w:t>
      </w:r>
    </w:p>
    <w:p>
      <w:pPr>
        <w:spacing w:line="240" w:lineRule="auto" w:before="6"/>
        <w:rPr>
          <w:rFonts w:ascii="宋体" w:hAnsi="宋体" w:cs="宋体" w:eastAsia="宋体" w:hint="default"/>
          <w:sz w:val="17"/>
          <w:szCs w:val="17"/>
        </w:rPr>
      </w:pPr>
    </w:p>
    <w:p>
      <w:pPr>
        <w:pStyle w:val="Heading2"/>
        <w:spacing w:line="240" w:lineRule="auto"/>
        <w:ind w:right="1016"/>
        <w:jc w:val="left"/>
      </w:pPr>
      <w:bookmarkStart w:name="十一、公允价值的披露" w:id="382"/>
      <w:bookmarkEnd w:id="382"/>
      <w:r>
        <w:rPr/>
      </w:r>
      <w:r>
        <w:rPr/>
        <w:t>十一、公允价值的披露</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以公允价值计量的资产和负债的期末公允价值" w:id="383"/>
      <w:bookmarkEnd w:id="383"/>
      <w:r>
        <w:rPr/>
      </w:r>
      <w:r>
        <w:rPr>
          <w:rFonts w:ascii="Times New Roman" w:hAnsi="Times New Roman" w:cs="Times New Roman" w:eastAsia="Times New Roman" w:hint="default"/>
        </w:rPr>
        <w:t>1</w:t>
      </w:r>
      <w:r>
        <w:rPr>
          <w:rFonts w:ascii="微软雅黑" w:hAnsi="微软雅黑" w:cs="微软雅黑" w:eastAsia="微软雅黑" w:hint="default"/>
        </w:rPr>
        <w:t>、以公允价值计量的资产和负债的期末公允价值</w:t>
      </w:r>
    </w:p>
    <w:p>
      <w:pPr>
        <w:spacing w:line="240" w:lineRule="auto" w:before="16"/>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231"/>
        <w:gridCol w:w="1458"/>
        <w:gridCol w:w="1485"/>
        <w:gridCol w:w="1340"/>
        <w:gridCol w:w="1342"/>
      </w:tblGrid>
      <w:tr>
        <w:trPr>
          <w:trHeight w:val="366" w:hRule="exact"/>
        </w:trPr>
        <w:tc>
          <w:tcPr>
            <w:tcW w:w="423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523" w:hRule="exact"/>
        </w:trPr>
        <w:tc>
          <w:tcPr>
            <w:tcW w:w="423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3" w:right="182" w:hanging="180"/>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6" w:right="196" w:hanging="180"/>
              <w:jc w:val="left"/>
              <w:rPr>
                <w:rFonts w:ascii="宋体" w:hAnsi="宋体" w:cs="宋体" w:eastAsia="宋体" w:hint="default"/>
                <w:sz w:val="18"/>
                <w:szCs w:val="18"/>
              </w:rPr>
            </w:pPr>
            <w:r>
              <w:rPr>
                <w:rFonts w:ascii="宋体" w:hAnsi="宋体" w:cs="宋体" w:eastAsia="宋体" w:hint="default"/>
                <w:sz w:val="18"/>
                <w:szCs w:val="18"/>
              </w:rPr>
              <w:t>第二层次公允 价值计量</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05" w:right="122" w:hanging="180"/>
              <w:jc w:val="left"/>
              <w:rPr>
                <w:rFonts w:ascii="宋体" w:hAnsi="宋体" w:cs="宋体" w:eastAsia="宋体" w:hint="default"/>
                <w:sz w:val="18"/>
                <w:szCs w:val="18"/>
              </w:rPr>
            </w:pPr>
            <w:r>
              <w:rPr>
                <w:rFonts w:ascii="宋体" w:hAnsi="宋体" w:cs="宋体" w:eastAsia="宋体" w:hint="default"/>
                <w:sz w:val="18"/>
                <w:szCs w:val="18"/>
              </w:rPr>
              <w:t>第三层次公允 价值计量</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7"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1"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w:t>
            </w:r>
          </w:p>
        </w:tc>
      </w:tr>
      <w:tr>
        <w:trPr>
          <w:trHeight w:val="481"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（六）指定为以公允价值计量且变动计入当期损益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的金融负债</w:t>
            </w:r>
          </w:p>
        </w:tc>
        <w:tc>
          <w:tcPr>
            <w:tcW w:w="145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19,413,700.00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19,413,700.00</w:t>
            </w:r>
          </w:p>
        </w:tc>
      </w:tr>
      <w:tr>
        <w:trPr>
          <w:trHeight w:val="407"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（七）应付职工薪酬</w:t>
            </w:r>
            <w:r>
              <w:rPr>
                <w:rFonts w:ascii="Times New Roman" w:hAnsi="Times New Roman" w:cs="Times New Roman" w:eastAsia="Times New Roman" w:hint="default"/>
                <w:sz w:val="18"/>
                <w:szCs w:val="18"/>
              </w:rPr>
              <w:t>-</w:t>
            </w:r>
            <w:r>
              <w:rPr>
                <w:rFonts w:ascii="宋体" w:hAnsi="宋体" w:cs="宋体" w:eastAsia="宋体" w:hint="default"/>
                <w:sz w:val="18"/>
                <w:szCs w:val="18"/>
              </w:rPr>
              <w:t>以现金结算的股份支付</w:t>
            </w:r>
          </w:p>
        </w:tc>
        <w:tc>
          <w:tcPr>
            <w:tcW w:w="145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615,074.58</w:t>
            </w:r>
          </w:p>
        </w:tc>
        <w:tc>
          <w:tcPr>
            <w:tcW w:w="1340"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615,074.58</w:t>
            </w:r>
          </w:p>
        </w:tc>
      </w:tr>
      <w:tr>
        <w:trPr>
          <w:trHeight w:val="406"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78"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非同一控制下的企业合并中取得的被购买方各项可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辨认资产</w:t>
            </w:r>
          </w:p>
        </w:tc>
        <w:tc>
          <w:tcPr>
            <w:tcW w:w="145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147,679,029.29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147,679,029.29</w:t>
            </w:r>
          </w:p>
        </w:tc>
      </w:tr>
      <w:tr>
        <w:trPr>
          <w:trHeight w:val="407"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非持续以公允价值计量的资产总额</w:t>
            </w:r>
          </w:p>
        </w:tc>
        <w:tc>
          <w:tcPr>
            <w:tcW w:w="145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147,679,029.29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147,679,029.29</w:t>
            </w:r>
          </w:p>
        </w:tc>
      </w:tr>
      <w:tr>
        <w:trPr>
          <w:trHeight w:val="476" w:hRule="exact"/>
        </w:trPr>
        <w:tc>
          <w:tcPr>
            <w:tcW w:w="42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非同一控制下的企业合并中取得的被购买方各项可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辨认负债</w:t>
            </w:r>
          </w:p>
        </w:tc>
        <w:tc>
          <w:tcPr>
            <w:tcW w:w="145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33,167,448.44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33,167,448.44</w:t>
            </w:r>
          </w:p>
        </w:tc>
      </w:tr>
      <w:tr>
        <w:trPr>
          <w:trHeight w:val="408"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非持续以公允价值计量的负债总额</w:t>
            </w:r>
          </w:p>
        </w:tc>
        <w:tc>
          <w:tcPr>
            <w:tcW w:w="1458" w:type="dxa"/>
            <w:tcBorders>
              <w:top w:val="single" w:sz="4" w:space="0" w:color="000000"/>
              <w:left w:val="single" w:sz="4" w:space="0" w:color="000000"/>
              <w:bottom w:val="single" w:sz="4" w:space="0" w:color="000000"/>
              <w:right w:val="single" w:sz="4" w:space="0" w:color="000000"/>
            </w:tcBorders>
          </w:tcPr>
          <w:p>
            <w:pPr/>
          </w:p>
        </w:tc>
        <w:tc>
          <w:tcPr>
            <w:tcW w:w="1485"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33,167,448.44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33,167,448.44</w:t>
            </w:r>
          </w:p>
        </w:tc>
      </w:tr>
    </w:tbl>
    <w:p>
      <w:pPr>
        <w:spacing w:line="240" w:lineRule="auto" w:before="12"/>
        <w:rPr>
          <w:rFonts w:ascii="宋体" w:hAnsi="宋体" w:cs="宋体" w:eastAsia="宋体" w:hint="default"/>
          <w:sz w:val="8"/>
          <w:szCs w:val="8"/>
        </w:rPr>
      </w:pPr>
    </w:p>
    <w:p>
      <w:pPr>
        <w:pStyle w:val="BodyText"/>
        <w:spacing w:line="324" w:lineRule="exact"/>
        <w:ind w:right="1016"/>
        <w:jc w:val="left"/>
        <w:rPr>
          <w:rFonts w:ascii="微软雅黑" w:hAnsi="微软雅黑" w:cs="微软雅黑" w:eastAsia="微软雅黑" w:hint="default"/>
        </w:rPr>
      </w:pPr>
      <w:bookmarkStart w:name="2、持续和非持续第一层次公允价值计量项目市价的确定依据" w:id="384"/>
      <w:bookmarkEnd w:id="384"/>
      <w:r>
        <w:rPr/>
      </w:r>
      <w:r>
        <w:rPr>
          <w:rFonts w:ascii="Times New Roman" w:hAnsi="Times New Roman" w:cs="Times New Roman" w:eastAsia="Times New Roman" w:hint="default"/>
        </w:rPr>
        <w:t>2</w:t>
      </w:r>
      <w:r>
        <w:rPr>
          <w:rFonts w:ascii="微软雅黑" w:hAnsi="微软雅黑" w:cs="微软雅黑" w:eastAsia="微软雅黑" w:hint="default"/>
        </w:rPr>
        <w:t>、持续和非持续第一层次公允价值计量项目市价的确定依据</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r>
        <w:rPr/>
        <w:t>相同资产或负债在活跃市场中的报价（未经调整的）。</w:t>
      </w:r>
    </w:p>
    <w:p>
      <w:pPr>
        <w:spacing w:after="0" w:line="240" w:lineRule="auto"/>
        <w:jc w:val="left"/>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left="574" w:right="1116"/>
        <w:jc w:val="left"/>
        <w:rPr>
          <w:rFonts w:ascii="微软雅黑" w:hAnsi="微软雅黑" w:cs="微软雅黑" w:eastAsia="微软雅黑" w:hint="default"/>
        </w:rPr>
      </w:pPr>
      <w:bookmarkStart w:name="3、持续和非持续第二层次公允价值计量项目，采用的估值技术和重要参数的定性及定量信" w:id="385"/>
      <w:bookmarkEnd w:id="385"/>
      <w:r>
        <w:rPr/>
      </w:r>
      <w:r>
        <w:rPr>
          <w:rFonts w:ascii="Times New Roman" w:hAnsi="Times New Roman" w:cs="Times New Roman" w:eastAsia="Times New Roman" w:hint="default"/>
        </w:rPr>
        <w:t>3</w:t>
      </w:r>
      <w:r>
        <w:rPr>
          <w:rFonts w:ascii="微软雅黑" w:hAnsi="微软雅黑" w:cs="微软雅黑" w:eastAsia="微软雅黑" w:hint="default"/>
        </w:rPr>
        <w:t>、持续和非持续第二层次公允价值计量项目，采用的估值技术和重要参数的定性及定量信息</w:t>
      </w:r>
    </w:p>
    <w:p>
      <w:pPr>
        <w:spacing w:line="240" w:lineRule="auto" w:before="7"/>
        <w:rPr>
          <w:rFonts w:ascii="微软雅黑" w:hAnsi="微软雅黑" w:cs="微软雅黑" w:eastAsia="微软雅黑" w:hint="default"/>
          <w:sz w:val="20"/>
          <w:szCs w:val="20"/>
        </w:rPr>
      </w:pPr>
    </w:p>
    <w:p>
      <w:pPr>
        <w:pStyle w:val="BodyText"/>
        <w:spacing w:line="297" w:lineRule="auto"/>
        <w:ind w:left="154" w:right="1133" w:firstLine="420"/>
        <w:jc w:val="both"/>
      </w:pPr>
      <w:r>
        <w:rPr>
          <w:spacing w:val="-1"/>
        </w:rPr>
        <w:t>直接（即价格）或间接（即从价格推导出）地使用除第一层次中的资产或负债的市场报价之外的可观</w:t>
      </w:r>
      <w:r>
        <w:rPr/>
        <w:t> 察输入值。</w:t>
      </w:r>
    </w:p>
    <w:p>
      <w:pPr>
        <w:pStyle w:val="BodyText"/>
        <w:spacing w:line="456" w:lineRule="auto" w:before="176"/>
        <w:ind w:left="574" w:right="1116"/>
        <w:jc w:val="left"/>
        <w:rPr>
          <w:rFonts w:ascii="微软雅黑" w:hAnsi="微软雅黑" w:cs="微软雅黑" w:eastAsia="微软雅黑" w:hint="default"/>
        </w:rPr>
      </w:pPr>
      <w:bookmarkStart w:name="4、持续和非持续第三层次公允价值计量项目，采用的估值技术和重要参数的定性及定量信" w:id="386"/>
      <w:bookmarkEnd w:id="386"/>
      <w:r>
        <w:rPr/>
      </w:r>
      <w:r>
        <w:rPr>
          <w:rFonts w:ascii="Times New Roman" w:hAnsi="Times New Roman" w:cs="Times New Roman" w:eastAsia="Times New Roman" w:hint="default"/>
        </w:rPr>
        <w:t>4</w:t>
      </w:r>
      <w:r>
        <w:rPr>
          <w:rFonts w:ascii="微软雅黑" w:hAnsi="微软雅黑" w:cs="微软雅黑" w:eastAsia="微软雅黑" w:hint="default"/>
        </w:rPr>
        <w:t>、持续和非持续第三层次公允价值计量项目，采用的估值技术和重要参数的定性及定量信息 </w:t>
      </w:r>
      <w:r>
        <w:rPr/>
        <w:t>资产或负债使用了任何非基于可观察市场数据的输入值（不可观察输入值）。 </w:t>
      </w:r>
      <w:bookmarkStart w:name="5、持续的第三层次公允价值计量项目，期初与期末账面价值间的调节信息及不可观察参数" w:id="387"/>
      <w:bookmarkEnd w:id="387"/>
      <w:r>
        <w:rPr/>
      </w:r>
      <w:r>
        <w:rPr>
          <w:rFonts w:ascii="Times New Roman" w:hAnsi="Times New Roman" w:cs="Times New Roman" w:eastAsia="Times New Roman" w:hint="default"/>
        </w:rPr>
        <w:t>5</w:t>
      </w:r>
      <w:r>
        <w:rPr>
          <w:rFonts w:ascii="微软雅黑" w:hAnsi="微软雅黑" w:cs="微软雅黑" w:eastAsia="微软雅黑" w:hint="default"/>
        </w:rPr>
        <w:t>、持续的第三层次公允价值计量项目，期初与期末账面价值间的调节信息及不可观察参数敏感性分</w:t>
      </w:r>
    </w:p>
    <w:p>
      <w:pPr>
        <w:pStyle w:val="BodyText"/>
        <w:spacing w:line="291" w:lineRule="exact"/>
        <w:ind w:left="154" w:right="1116"/>
        <w:jc w:val="left"/>
        <w:rPr>
          <w:rFonts w:ascii="微软雅黑" w:hAnsi="微软雅黑" w:cs="微软雅黑" w:eastAsia="微软雅黑" w:hint="default"/>
        </w:rPr>
      </w:pPr>
      <w:r>
        <w:rPr>
          <w:rFonts w:ascii="微软雅黑" w:hAnsi="微软雅黑" w:cs="微软雅黑" w:eastAsia="微软雅黑" w:hint="default"/>
        </w:rPr>
        <w:t>析</w:t>
      </w:r>
    </w:p>
    <w:p>
      <w:pPr>
        <w:spacing w:line="240" w:lineRule="auto" w:before="4"/>
        <w:rPr>
          <w:rFonts w:ascii="微软雅黑" w:hAnsi="微软雅黑" w:cs="微软雅黑" w:eastAsia="微软雅黑" w:hint="default"/>
          <w:sz w:val="17"/>
          <w:szCs w:val="17"/>
        </w:rPr>
      </w:pPr>
    </w:p>
    <w:p>
      <w:pPr>
        <w:pStyle w:val="BodyText"/>
        <w:spacing w:line="240" w:lineRule="auto"/>
        <w:ind w:left="574" w:right="1116"/>
        <w:jc w:val="left"/>
        <w:rPr>
          <w:rFonts w:ascii="微软雅黑" w:hAnsi="微软雅黑" w:cs="微软雅黑" w:eastAsia="微软雅黑" w:hint="default"/>
        </w:rPr>
      </w:pPr>
      <w:bookmarkStart w:name="6、持续的公允价值计量项目，本期内发生各层级之间转换的，转换的原因及确定转换时点" w:id="388"/>
      <w:bookmarkEnd w:id="388"/>
      <w:r>
        <w:rPr/>
      </w:r>
      <w:r>
        <w:rPr>
          <w:rFonts w:ascii="Times New Roman" w:hAnsi="Times New Roman" w:cs="Times New Roman" w:eastAsia="Times New Roman" w:hint="default"/>
        </w:rPr>
        <w:t>6</w:t>
      </w:r>
      <w:r>
        <w:rPr>
          <w:rFonts w:ascii="微软雅黑" w:hAnsi="微软雅黑" w:cs="微软雅黑" w:eastAsia="微软雅黑" w:hint="default"/>
        </w:rPr>
        <w:t>、持续的公允价值计量项目，本期内发生各层级之间转换的，转换的原因及确定转换时点的政策</w:t>
      </w:r>
    </w:p>
    <w:p>
      <w:pPr>
        <w:spacing w:line="240" w:lineRule="auto" w:before="7"/>
        <w:rPr>
          <w:rFonts w:ascii="微软雅黑" w:hAnsi="微软雅黑" w:cs="微软雅黑" w:eastAsia="微软雅黑" w:hint="default"/>
          <w:sz w:val="20"/>
          <w:szCs w:val="20"/>
        </w:rPr>
      </w:pPr>
    </w:p>
    <w:p>
      <w:pPr>
        <w:pStyle w:val="BodyText"/>
        <w:spacing w:line="297" w:lineRule="auto"/>
        <w:ind w:left="154" w:right="1131" w:firstLine="420"/>
        <w:jc w:val="both"/>
      </w:pPr>
      <w:r>
        <w:rPr>
          <w:spacing w:val="-1"/>
        </w:rPr>
        <w:t>本年度，本集团的金融资产及金融负债的公允价值计量未发生第一层次和第二层次之间的转换，亦无</w:t>
      </w:r>
      <w:r>
        <w:rPr/>
        <w:t> 转入或转出第三层次的情况。</w:t>
      </w:r>
    </w:p>
    <w:p>
      <w:pPr>
        <w:pStyle w:val="BodyText"/>
        <w:spacing w:line="240" w:lineRule="auto" w:before="176"/>
        <w:ind w:left="574" w:right="1116"/>
        <w:jc w:val="left"/>
        <w:rPr>
          <w:rFonts w:ascii="微软雅黑" w:hAnsi="微软雅黑" w:cs="微软雅黑" w:eastAsia="微软雅黑" w:hint="default"/>
        </w:rPr>
      </w:pPr>
      <w:bookmarkStart w:name="7、本期内发生的估值技术变更及变更原因" w:id="389"/>
      <w:bookmarkEnd w:id="389"/>
      <w:r>
        <w:rPr/>
      </w:r>
      <w:r>
        <w:rPr>
          <w:rFonts w:ascii="Times New Roman" w:hAnsi="Times New Roman" w:cs="Times New Roman" w:eastAsia="Times New Roman" w:hint="default"/>
        </w:rPr>
        <w:t>7</w:t>
      </w:r>
      <w:r>
        <w:rPr>
          <w:rFonts w:ascii="微软雅黑" w:hAnsi="微软雅黑" w:cs="微软雅黑" w:eastAsia="微软雅黑" w:hint="default"/>
        </w:rPr>
        <w:t>、本期内发生的估值技术变更及变更原因</w:t>
      </w:r>
    </w:p>
    <w:p>
      <w:pPr>
        <w:spacing w:line="240" w:lineRule="auto" w:before="4"/>
        <w:rPr>
          <w:rFonts w:ascii="微软雅黑" w:hAnsi="微软雅黑" w:cs="微软雅黑" w:eastAsia="微软雅黑" w:hint="default"/>
          <w:sz w:val="17"/>
          <w:szCs w:val="17"/>
        </w:rPr>
      </w:pPr>
    </w:p>
    <w:p>
      <w:pPr>
        <w:pStyle w:val="BodyText"/>
        <w:spacing w:line="240" w:lineRule="auto"/>
        <w:ind w:left="574" w:right="1116"/>
        <w:jc w:val="left"/>
        <w:rPr>
          <w:rFonts w:ascii="微软雅黑" w:hAnsi="微软雅黑" w:cs="微软雅黑" w:eastAsia="微软雅黑" w:hint="default"/>
        </w:rPr>
      </w:pPr>
      <w:bookmarkStart w:name="8、不以公允价值计量的金融资产和金融负债的公允价值情况" w:id="390"/>
      <w:bookmarkEnd w:id="390"/>
      <w:r>
        <w:rPr/>
      </w:r>
      <w:r>
        <w:rPr>
          <w:rFonts w:ascii="Times New Roman" w:hAnsi="Times New Roman" w:cs="Times New Roman" w:eastAsia="Times New Roman" w:hint="default"/>
        </w:rPr>
        <w:t>8</w:t>
      </w:r>
      <w:r>
        <w:rPr>
          <w:rFonts w:ascii="微软雅黑" w:hAnsi="微软雅黑" w:cs="微软雅黑" w:eastAsia="微软雅黑" w:hint="default"/>
        </w:rPr>
        <w:t>、不以公允价值计量的金融资产和金融负债的公允价值情况</w:t>
      </w:r>
    </w:p>
    <w:p>
      <w:pPr>
        <w:spacing w:line="240" w:lineRule="auto" w:before="8"/>
        <w:rPr>
          <w:rFonts w:ascii="微软雅黑" w:hAnsi="微软雅黑" w:cs="微软雅黑" w:eastAsia="微软雅黑" w:hint="default"/>
          <w:sz w:val="20"/>
          <w:szCs w:val="20"/>
        </w:rPr>
      </w:pPr>
    </w:p>
    <w:p>
      <w:pPr>
        <w:pStyle w:val="BodyText"/>
        <w:spacing w:line="297" w:lineRule="auto"/>
        <w:ind w:left="154" w:right="1133" w:firstLine="420"/>
        <w:jc w:val="both"/>
      </w:pPr>
      <w:r>
        <w:rPr>
          <w:spacing w:val="-1"/>
        </w:rPr>
        <w:t>本集团以摊余成本计量的金融资产和金融负债主要包括：货币资金、应收票据、应收账款、其他应收</w:t>
      </w:r>
      <w:r>
        <w:rPr/>
        <w:t> 款、长期应收款、其他流动资产、短期借款、应付账款、其他应付款、长期应付款、其他流动负债等。</w:t>
      </w:r>
    </w:p>
    <w:p>
      <w:pPr>
        <w:spacing w:line="240" w:lineRule="auto" w:before="0"/>
        <w:rPr>
          <w:rFonts w:ascii="宋体" w:hAnsi="宋体" w:cs="宋体" w:eastAsia="宋体" w:hint="default"/>
          <w:sz w:val="14"/>
          <w:szCs w:val="14"/>
        </w:rPr>
      </w:pPr>
    </w:p>
    <w:p>
      <w:pPr>
        <w:pStyle w:val="BodyText"/>
        <w:spacing w:line="240" w:lineRule="auto"/>
        <w:ind w:left="574" w:right="1116"/>
        <w:jc w:val="left"/>
      </w:pPr>
      <w:r>
        <w:rPr/>
        <w:t>不以公允价值计量的金融资产和金融负债的账面价值与公允价值相差很小。</w:t>
      </w:r>
    </w:p>
    <w:p>
      <w:pPr>
        <w:spacing w:line="240" w:lineRule="auto" w:before="3"/>
        <w:rPr>
          <w:rFonts w:ascii="宋体" w:hAnsi="宋体" w:cs="宋体" w:eastAsia="宋体" w:hint="default"/>
          <w:sz w:val="17"/>
          <w:szCs w:val="17"/>
        </w:rPr>
      </w:pPr>
    </w:p>
    <w:p>
      <w:pPr>
        <w:pStyle w:val="BodyText"/>
        <w:spacing w:line="240" w:lineRule="auto"/>
        <w:ind w:left="574" w:right="1116"/>
        <w:jc w:val="left"/>
        <w:rPr>
          <w:rFonts w:ascii="微软雅黑" w:hAnsi="微软雅黑" w:cs="微软雅黑" w:eastAsia="微软雅黑" w:hint="default"/>
        </w:rPr>
      </w:pPr>
      <w:bookmarkStart w:name="9、其他" w:id="391"/>
      <w:bookmarkEnd w:id="391"/>
      <w:r>
        <w:rPr/>
      </w:r>
      <w:r>
        <w:rPr>
          <w:rFonts w:ascii="Times New Roman" w:hAnsi="Times New Roman" w:cs="Times New Roman" w:eastAsia="Times New Roman" w:hint="default"/>
        </w:rPr>
        <w:t>9</w:t>
      </w:r>
      <w:r>
        <w:rPr>
          <w:rFonts w:ascii="微软雅黑" w:hAnsi="微软雅黑" w:cs="微软雅黑" w:eastAsia="微软雅黑" w:hint="default"/>
        </w:rPr>
        <w:t>、其他</w:t>
      </w:r>
    </w:p>
    <w:p>
      <w:pPr>
        <w:spacing w:line="240" w:lineRule="auto" w:before="8"/>
        <w:rPr>
          <w:rFonts w:ascii="微软雅黑" w:hAnsi="微软雅黑" w:cs="微软雅黑" w:eastAsia="微软雅黑" w:hint="default"/>
          <w:sz w:val="20"/>
          <w:szCs w:val="20"/>
        </w:rPr>
      </w:pPr>
    </w:p>
    <w:p>
      <w:pPr>
        <w:pStyle w:val="BodyText"/>
        <w:spacing w:line="280" w:lineRule="auto"/>
        <w:ind w:left="154" w:right="1131" w:firstLine="420"/>
        <w:jc w:val="both"/>
      </w:pPr>
      <w:r>
        <w:rPr/>
        <w:t>说明：</w:t>
      </w:r>
      <w:r>
        <w:rPr>
          <w:rFonts w:ascii="Times New Roman" w:hAnsi="Times New Roman" w:cs="Times New Roman" w:eastAsia="Times New Roman" w:hint="default"/>
        </w:rPr>
        <w:t>“</w:t>
      </w:r>
      <w:r>
        <w:rPr/>
        <w:t>以公允价值计量且其变动计入当期损益的金融负债</w:t>
      </w:r>
      <w:r>
        <w:rPr>
          <w:rFonts w:ascii="Times New Roman" w:hAnsi="Times New Roman" w:cs="Times New Roman" w:eastAsia="Times New Roman" w:hint="default"/>
        </w:rPr>
        <w:t>”</w:t>
      </w:r>
      <w:r>
        <w:rPr/>
        <w:t>系收购北京爱普新思电子技术有限公司和 北京慧驰科技有限公司的分期支付股权转让款，详见本报告</w:t>
      </w:r>
      <w:r>
        <w:rPr>
          <w:rFonts w:ascii="Times New Roman" w:hAnsi="Times New Roman" w:cs="Times New Roman" w:eastAsia="Times New Roman" w:hint="default"/>
        </w:rPr>
        <w:t>“</w:t>
      </w:r>
      <w:r>
        <w:rPr/>
        <w:t>第十一节七、</w:t>
      </w:r>
      <w:r>
        <w:rPr>
          <w:rFonts w:ascii="Times New Roman" w:hAnsi="Times New Roman" w:cs="Times New Roman" w:eastAsia="Times New Roman" w:hint="default"/>
        </w:rPr>
        <w:t>27</w:t>
      </w:r>
      <w:r>
        <w:rPr/>
        <w:t>、以公允价值计量且其变动</w:t>
      </w:r>
      <w:r>
        <w:rPr>
          <w:spacing w:val="-17"/>
        </w:rPr>
        <w:t> </w:t>
      </w:r>
      <w:r>
        <w:rPr>
          <w:spacing w:val="-17"/>
        </w:rPr>
      </w:r>
      <w:r>
        <w:rPr/>
        <w:t>计入当期损益的金融负债</w:t>
      </w:r>
      <w:r>
        <w:rPr>
          <w:rFonts w:ascii="Times New Roman" w:hAnsi="Times New Roman" w:cs="Times New Roman" w:eastAsia="Times New Roman" w:hint="default"/>
        </w:rPr>
        <w:t>”</w:t>
      </w:r>
      <w:r>
        <w:rPr/>
        <w:t>。</w:t>
      </w:r>
    </w:p>
    <w:p>
      <w:pPr>
        <w:pStyle w:val="BodyText"/>
        <w:spacing w:line="420" w:lineRule="auto" w:before="178"/>
        <w:ind w:left="574" w:right="3869"/>
        <w:jc w:val="left"/>
      </w:pP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以现金结算的股份支付</w:t>
      </w:r>
      <w:r>
        <w:rPr>
          <w:rFonts w:ascii="Times New Roman" w:hAnsi="Times New Roman" w:cs="Times New Roman" w:eastAsia="Times New Roman" w:hint="default"/>
        </w:rPr>
        <w:t>”</w:t>
      </w:r>
      <w:r>
        <w:rPr/>
        <w:t>系现金股票增值权形成。 非持续的公允价值计量系本年收购</w:t>
      </w:r>
      <w:r>
        <w:rPr>
          <w:spacing w:val="-53"/>
        </w:rPr>
        <w:t> </w:t>
      </w:r>
      <w:r>
        <w:rPr>
          <w:rFonts w:ascii="Times New Roman" w:hAnsi="Times New Roman" w:cs="Times New Roman" w:eastAsia="Times New Roman" w:hint="default"/>
        </w:rPr>
        <w:t>MMS</w:t>
      </w:r>
      <w:r>
        <w:rPr>
          <w:rFonts w:ascii="Times New Roman" w:hAnsi="Times New Roman" w:cs="Times New Roman" w:eastAsia="Times New Roman" w:hint="default"/>
          <w:spacing w:val="-12"/>
        </w:rPr>
        <w:t> </w:t>
      </w:r>
      <w:r>
        <w:rPr/>
        <w:t>可辨认资产、负债公允价值。</w:t>
      </w:r>
    </w:p>
    <w:p>
      <w:pPr>
        <w:pStyle w:val="BodyText"/>
        <w:spacing w:line="297" w:lineRule="auto" w:before="43"/>
        <w:ind w:left="154" w:right="1109" w:firstLine="420"/>
        <w:jc w:val="both"/>
      </w:pPr>
      <w:r>
        <w:rPr>
          <w:spacing w:val="-1"/>
        </w:rPr>
        <w:t>对于在活跃市场上交易的金融工具，本集团以其活跃市场报价确定其公允价值；对于不在活跃市场上</w:t>
      </w:r>
      <w:r>
        <w:rPr/>
        <w:t> </w:t>
      </w:r>
      <w:r>
        <w:rPr>
          <w:spacing w:val="-1"/>
        </w:rPr>
        <w:t>交易的金融工具，本集团采用估值技术确定其公允价值。所使用的估值模型主要为现金流量折现模型和市</w:t>
      </w:r>
      <w:r>
        <w:rPr>
          <w:spacing w:val="-81"/>
        </w:rPr>
        <w:t> </w:t>
      </w:r>
      <w:r>
        <w:rPr>
          <w:spacing w:val="-81"/>
        </w:rPr>
      </w:r>
      <w:r>
        <w:rPr/>
        <w:t>场可比公司模型等。估值技术的输入值主要包括无风险利率、基准利率、汇率、信用点差、流动性溢价、 缺乏流动性折价等。</w:t>
      </w:r>
    </w:p>
    <w:p>
      <w:pPr>
        <w:spacing w:after="0" w:line="297" w:lineRule="auto"/>
        <w:jc w:val="both"/>
        <w:sectPr>
          <w:pgSz w:w="11910" w:h="16840"/>
          <w:pgMar w:header="801" w:footer="1007" w:top="1080" w:bottom="1200" w:left="980" w:right="0"/>
        </w:sectPr>
      </w:pPr>
    </w:p>
    <w:p>
      <w:pPr>
        <w:spacing w:line="240" w:lineRule="auto" w:before="3"/>
        <w:rPr>
          <w:rFonts w:ascii="宋体" w:hAnsi="宋体" w:cs="宋体" w:eastAsia="宋体" w:hint="default"/>
          <w:sz w:val="29"/>
          <w:szCs w:val="29"/>
        </w:rPr>
      </w:pPr>
    </w:p>
    <w:p>
      <w:pPr>
        <w:pStyle w:val="Heading2"/>
        <w:spacing w:line="397" w:lineRule="exact"/>
        <w:ind w:right="1016"/>
        <w:jc w:val="left"/>
      </w:pPr>
      <w:bookmarkStart w:name="十二、关联方及关联交易" w:id="392"/>
      <w:bookmarkEnd w:id="392"/>
      <w:r>
        <w:rPr/>
      </w:r>
      <w:r>
        <w:rPr/>
        <w:t>十二、关联方及关联交易</w:t>
      </w:r>
    </w:p>
    <w:p>
      <w:pPr>
        <w:spacing w:line="240" w:lineRule="auto" w:before="9"/>
        <w:rPr>
          <w:rFonts w:ascii="微软雅黑" w:hAnsi="微软雅黑" w:cs="微软雅黑" w:eastAsia="微软雅黑" w:hint="default"/>
          <w:sz w:val="21"/>
          <w:szCs w:val="21"/>
        </w:rPr>
      </w:pPr>
    </w:p>
    <w:p>
      <w:pPr>
        <w:pStyle w:val="BodyText"/>
        <w:spacing w:line="456" w:lineRule="auto"/>
        <w:ind w:right="5712"/>
        <w:jc w:val="left"/>
        <w:rPr>
          <w:rFonts w:ascii="微软雅黑" w:hAnsi="微软雅黑" w:cs="微软雅黑" w:eastAsia="微软雅黑" w:hint="default"/>
        </w:rPr>
      </w:pPr>
      <w:bookmarkStart w:name="1、本企业的母公司情况" w:id="393"/>
      <w:bookmarkEnd w:id="393"/>
      <w:r>
        <w:rPr/>
      </w:r>
      <w:r>
        <w:rPr>
          <w:rFonts w:ascii="Times New Roman" w:hAnsi="Times New Roman" w:cs="Times New Roman" w:eastAsia="Times New Roman" w:hint="default"/>
        </w:rPr>
        <w:t>1</w:t>
      </w:r>
      <w:r>
        <w:rPr>
          <w:rFonts w:ascii="微软雅黑" w:hAnsi="微软雅黑" w:cs="微软雅黑" w:eastAsia="微软雅黑" w:hint="default"/>
        </w:rPr>
        <w:t>、本企业的母公司情况 </w:t>
      </w:r>
      <w:r>
        <w:rPr/>
        <w:t>本企业最终控制方是赵鸿飞。 </w:t>
      </w:r>
      <w:bookmarkStart w:name="2、本企业的子公司情况" w:id="394"/>
      <w:bookmarkEnd w:id="394"/>
      <w:r>
        <w:rPr/>
      </w:r>
      <w:r>
        <w:rPr>
          <w:rFonts w:ascii="Times New Roman" w:hAnsi="Times New Roman" w:cs="Times New Roman" w:eastAsia="Times New Roman" w:hint="default"/>
        </w:rPr>
        <w:t>2</w:t>
      </w:r>
      <w:r>
        <w:rPr>
          <w:rFonts w:ascii="微软雅黑" w:hAnsi="微软雅黑" w:cs="微软雅黑" w:eastAsia="微软雅黑" w:hint="default"/>
        </w:rPr>
        <w:t>、本企业的子公司情况</w:t>
      </w:r>
    </w:p>
    <w:p>
      <w:pPr>
        <w:pStyle w:val="BodyText"/>
        <w:spacing w:line="240" w:lineRule="auto" w:before="104"/>
        <w:ind w:right="1016"/>
        <w:jc w:val="left"/>
      </w:pPr>
      <w:r>
        <w:rPr/>
        <w:t>本企业子公司的情况详见附注九、</w:t>
      </w:r>
      <w:r>
        <w:rPr>
          <w:rFonts w:ascii="Times New Roman" w:hAnsi="Times New Roman" w:cs="Times New Roman" w:eastAsia="Times New Roman" w:hint="default"/>
        </w:rPr>
        <w:t>1  </w:t>
      </w:r>
      <w:r>
        <w:rPr/>
        <w:t>（</w:t>
      </w:r>
      <w:r>
        <w:rPr>
          <w:rFonts w:ascii="Times New Roman" w:hAnsi="Times New Roman" w:cs="Times New Roman" w:eastAsia="Times New Roman" w:hint="default"/>
          <w:spacing w:val="-1"/>
        </w:rPr>
        <w:t>1</w:t>
      </w:r>
      <w:r>
        <w:rPr>
          <w:spacing w:val="-105"/>
        </w:rPr>
        <w:t>）。</w:t>
      </w:r>
      <w:r>
        <w:rPr/>
      </w:r>
    </w:p>
    <w:p>
      <w:pPr>
        <w:spacing w:line="240" w:lineRule="auto" w:before="0"/>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3、本企业合营和联营企业情况" w:id="395"/>
      <w:bookmarkEnd w:id="395"/>
      <w:r>
        <w:rPr/>
      </w:r>
      <w:r>
        <w:rPr>
          <w:rFonts w:ascii="Times New Roman" w:hAnsi="Times New Roman" w:cs="Times New Roman" w:eastAsia="Times New Roman" w:hint="default"/>
        </w:rPr>
        <w:t>3</w:t>
      </w:r>
      <w:r>
        <w:rPr>
          <w:rFonts w:ascii="微软雅黑" w:hAnsi="微软雅黑" w:cs="微软雅黑" w:eastAsia="微软雅黑" w:hint="default"/>
        </w:rPr>
        <w:t>、本企业合营和联营企业情况</w:t>
      </w:r>
    </w:p>
    <w:p>
      <w:pPr>
        <w:pStyle w:val="BodyText"/>
        <w:spacing w:line="490" w:lineRule="atLeast" w:before="154"/>
        <w:ind w:right="1016"/>
        <w:jc w:val="left"/>
      </w:pPr>
      <w:r>
        <w:rPr/>
        <w:t>本企业重要的合营或联营企业详见附注七、</w:t>
      </w:r>
      <w:r>
        <w:rPr>
          <w:rFonts w:ascii="Times New Roman" w:hAnsi="Times New Roman" w:cs="Times New Roman" w:eastAsia="Times New Roman" w:hint="default"/>
        </w:rPr>
        <w:t>14</w:t>
      </w:r>
      <w:r>
        <w:rPr/>
        <w:t>。 </w:t>
      </w:r>
      <w:r>
        <w:rPr>
          <w:spacing w:val="-1"/>
        </w:rPr>
        <w:t>本期与本公司发生关联方交易，或前期与本公司发生关联方交易形成余额的其他合营或联营企业情况</w:t>
      </w:r>
    </w:p>
    <w:p>
      <w:pPr>
        <w:pStyle w:val="BodyText"/>
        <w:spacing w:line="240" w:lineRule="auto" w:before="66"/>
        <w:ind w:left="214" w:right="1016"/>
        <w:jc w:val="left"/>
      </w:pPr>
      <w:r>
        <w:rPr/>
        <w:t>如下：</w:t>
      </w:r>
    </w:p>
    <w:p>
      <w:pPr>
        <w:spacing w:line="240" w:lineRule="auto" w:before="8"/>
        <w:rPr>
          <w:rFonts w:ascii="宋体" w:hAnsi="宋体" w:cs="宋体" w:eastAsia="宋体"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4926"/>
        <w:gridCol w:w="4930"/>
      </w:tblGrid>
      <w:tr>
        <w:trPr>
          <w:trHeight w:val="407" w:hRule="exact"/>
        </w:trPr>
        <w:tc>
          <w:tcPr>
            <w:tcW w:w="4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北京安创空间科技有限公司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重庆创华科技有限公司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杭州格像科技有限公司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8"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北京云创远景软件有限责任公司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T2 Mobile</w:t>
            </w:r>
            <w:r>
              <w:rPr>
                <w:rFonts w:ascii="Times New Roman"/>
                <w:spacing w:val="-3"/>
                <w:sz w:val="18"/>
              </w:rPr>
              <w:t> </w:t>
            </w:r>
            <w:r>
              <w:rPr>
                <w:rFonts w:ascii="Times New Roman"/>
                <w:sz w:val="18"/>
              </w:rPr>
              <w:t>Limited</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深圳互连科技有限公司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4、其他关联方情况" w:id="396"/>
      <w:bookmarkEnd w:id="396"/>
      <w:r>
        <w:rPr/>
      </w:r>
      <w:r>
        <w:rPr>
          <w:rFonts w:ascii="Times New Roman" w:hAnsi="Times New Roman" w:cs="Times New Roman" w:eastAsia="Times New Roman" w:hint="default"/>
        </w:rPr>
        <w:t>4</w:t>
      </w:r>
      <w:r>
        <w:rPr>
          <w:rFonts w:ascii="微软雅黑" w:hAnsi="微软雅黑" w:cs="微软雅黑" w:eastAsia="微软雅黑" w:hint="default"/>
        </w:rPr>
        <w:t>、其他关联方情况</w:t>
      </w:r>
    </w:p>
    <w:p>
      <w:pPr>
        <w:spacing w:line="240" w:lineRule="auto" w:before="12"/>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4926"/>
        <w:gridCol w:w="4930"/>
      </w:tblGrid>
      <w:tr>
        <w:trPr>
          <w:trHeight w:val="407" w:hRule="exact"/>
        </w:trPr>
        <w:tc>
          <w:tcPr>
            <w:tcW w:w="4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上海畅联智融通讯科技有限公司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本公司联营公司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T2MobileLimited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之子公司</w:t>
            </w:r>
          </w:p>
        </w:tc>
      </w:tr>
      <w:tr>
        <w:trPr>
          <w:trHeight w:val="408"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T2MobileInternationalLimited</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本公司联营公司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T2MobileLimited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之子公司</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柚子（北京）科技有限公司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柚子移动控制的公司</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柚子（北京）移动技术有限公司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柚子香港的全资子公司</w:t>
            </w:r>
          </w:p>
        </w:tc>
      </w:tr>
      <w:tr>
        <w:trPr>
          <w:trHeight w:val="476"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赵鸿飞、杨宇欣、王焕欣、陈晓华、邓锋、许亮、王玥、程</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丽、邹鹏程、刘学徽、王晶、季志强、孙涛</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董事、监事及高级管理人员</w:t>
            </w:r>
          </w:p>
        </w:tc>
      </w:tr>
      <w:tr>
        <w:trPr>
          <w:trHeight w:val="408"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耿增强、吴安华、王涌、唐林林、冯娟鹃、王琰</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报告期内曾任董事、监事及高级管理人员</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Point Mobile</w:t>
            </w:r>
            <w:r>
              <w:rPr>
                <w:rFonts w:ascii="Times New Roman"/>
                <w:spacing w:val="-5"/>
                <w:sz w:val="18"/>
              </w:rPr>
              <w:t> </w:t>
            </w:r>
            <w:r>
              <w:rPr>
                <w:rFonts w:ascii="Times New Roman"/>
                <w:sz w:val="18"/>
              </w:rPr>
              <w:t>Co.Ltd.</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个月内曾为联营企业</w:t>
            </w:r>
          </w:p>
        </w:tc>
      </w:tr>
      <w:tr>
        <w:trPr>
          <w:trHeight w:val="407" w:hRule="exact"/>
        </w:trPr>
        <w:tc>
          <w:tcPr>
            <w:tcW w:w="4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南京特思艾软件科技有限公司</w:t>
            </w:r>
          </w:p>
        </w:tc>
        <w:tc>
          <w:tcPr>
            <w:tcW w:w="4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个月内仍为关联方</w:t>
            </w:r>
          </w:p>
        </w:tc>
      </w:tr>
    </w:tbl>
    <w:p>
      <w:pPr>
        <w:spacing w:after="0" w:line="240" w:lineRule="auto"/>
        <w:jc w:val="left"/>
        <w:rPr>
          <w:rFonts w:ascii="宋体" w:hAnsi="宋体" w:cs="宋体" w:eastAsia="宋体" w:hint="default"/>
          <w:sz w:val="18"/>
          <w:szCs w:val="18"/>
        </w:rPr>
        <w:sectPr>
          <w:pgSz w:w="11910" w:h="16840"/>
          <w:pgMar w:header="801" w:footer="1007" w:top="1080" w:bottom="1200" w:left="920" w:right="0"/>
        </w:sectPr>
      </w:pPr>
    </w:p>
    <w:p>
      <w:pPr>
        <w:spacing w:line="240" w:lineRule="auto" w:before="0"/>
        <w:rPr>
          <w:rFonts w:ascii="微软雅黑" w:hAnsi="微软雅黑" w:cs="微软雅黑" w:eastAsia="微软雅黑" w:hint="default"/>
          <w:sz w:val="20"/>
          <w:szCs w:val="20"/>
        </w:rPr>
      </w:pPr>
    </w:p>
    <w:p>
      <w:pPr>
        <w:spacing w:line="240" w:lineRule="auto" w:before="9"/>
        <w:rPr>
          <w:rFonts w:ascii="微软雅黑" w:hAnsi="微软雅黑" w:cs="微软雅黑" w:eastAsia="微软雅黑" w:hint="default"/>
          <w:sz w:val="27"/>
          <w:szCs w:val="27"/>
        </w:rPr>
      </w:pPr>
    </w:p>
    <w:p>
      <w:pPr>
        <w:pStyle w:val="BodyText"/>
        <w:spacing w:line="324" w:lineRule="exact"/>
        <w:ind w:right="1016"/>
        <w:jc w:val="left"/>
        <w:rPr>
          <w:rFonts w:ascii="微软雅黑" w:hAnsi="微软雅黑" w:cs="微软雅黑" w:eastAsia="微软雅黑" w:hint="default"/>
        </w:rPr>
      </w:pPr>
      <w:bookmarkStart w:name="5、关联交易情况" w:id="397"/>
      <w:bookmarkEnd w:id="397"/>
      <w:r>
        <w:rPr/>
      </w:r>
      <w:r>
        <w:rPr>
          <w:rFonts w:ascii="Times New Roman" w:hAnsi="Times New Roman" w:cs="Times New Roman" w:eastAsia="Times New Roman" w:hint="default"/>
        </w:rPr>
        <w:t>5</w:t>
      </w:r>
      <w:r>
        <w:rPr>
          <w:rFonts w:ascii="微软雅黑" w:hAnsi="微软雅黑" w:cs="微软雅黑" w:eastAsia="微软雅黑" w:hint="default"/>
        </w:rPr>
        <w:t>、关联交易情况</w:t>
      </w:r>
    </w:p>
    <w:p>
      <w:pPr>
        <w:spacing w:line="240" w:lineRule="auto" w:before="8"/>
        <w:rPr>
          <w:rFonts w:ascii="微软雅黑" w:hAnsi="微软雅黑" w:cs="微软雅黑" w:eastAsia="微软雅黑" w:hint="default"/>
          <w:sz w:val="20"/>
          <w:szCs w:val="20"/>
        </w:rPr>
      </w:pPr>
    </w:p>
    <w:p>
      <w:pPr>
        <w:pStyle w:val="BodyText"/>
        <w:spacing w:line="420" w:lineRule="auto"/>
        <w:ind w:right="6237"/>
        <w:jc w:val="left"/>
      </w:pPr>
      <w:bookmarkStart w:name="（1）购销商品、提供和接受劳务的关联交易" w:id="398"/>
      <w:bookmarkEnd w:id="398"/>
      <w:r>
        <w:rPr/>
      </w:r>
      <w:r>
        <w:rPr/>
        <w:t>（</w:t>
      </w:r>
      <w:r>
        <w:rPr>
          <w:rFonts w:ascii="Times New Roman" w:hAnsi="Times New Roman" w:cs="Times New Roman" w:eastAsia="Times New Roman" w:hint="default"/>
        </w:rPr>
        <w:t>1</w:t>
      </w:r>
      <w:r>
        <w:rPr/>
        <w:t>）购销商品、提供和接受劳务的关联交易 采购商品</w:t>
      </w:r>
      <w:r>
        <w:rPr>
          <w:rFonts w:ascii="Times New Roman" w:hAnsi="Times New Roman" w:cs="Times New Roman" w:eastAsia="Times New Roman" w:hint="default"/>
        </w:rPr>
        <w:t>/</w:t>
      </w:r>
      <w:r>
        <w:rPr/>
        <w:t>接受劳务情况表</w:t>
      </w:r>
    </w:p>
    <w:p>
      <w:pPr>
        <w:spacing w:before="4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587"/>
        <w:gridCol w:w="1496"/>
        <w:gridCol w:w="1498"/>
        <w:gridCol w:w="1758"/>
        <w:gridCol w:w="1758"/>
        <w:gridCol w:w="1758"/>
      </w:tblGrid>
      <w:tr>
        <w:trPr>
          <w:trHeight w:val="407" w:hRule="exact"/>
        </w:trPr>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4"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142"/>
              <w:jc w:val="left"/>
              <w:rPr>
                <w:rFonts w:ascii="Times New Roman" w:hAnsi="Times New Roman" w:cs="Times New Roman" w:eastAsia="Times New Roman" w:hint="default"/>
                <w:sz w:val="18"/>
                <w:szCs w:val="18"/>
              </w:rPr>
            </w:pPr>
            <w:r>
              <w:rPr>
                <w:rFonts w:ascii="Times New Roman"/>
                <w:sz w:val="18"/>
              </w:rPr>
              <w:t>T2MobileInternati</w:t>
            </w:r>
            <w:r>
              <w:rPr>
                <w:rFonts w:ascii="Times New Roman"/>
                <w:w w:val="99"/>
                <w:sz w:val="18"/>
              </w:rPr>
              <w:t> </w:t>
            </w:r>
            <w:r>
              <w:rPr>
                <w:rFonts w:ascii="Times New Roman"/>
                <w:sz w:val="18"/>
              </w:rPr>
              <w:t>onalLimited</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2,381,699.44</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pacing w:val="-1"/>
                <w:sz w:val="18"/>
              </w:rPr>
              <w:t>12,750,461.88</w:t>
            </w:r>
          </w:p>
        </w:tc>
      </w:tr>
      <w:tr>
        <w:trPr>
          <w:trHeight w:val="47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件有限责任公司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4,156,455.37</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3,515,356.65</w:t>
            </w:r>
          </w:p>
        </w:tc>
      </w:tr>
      <w:tr>
        <w:trPr>
          <w:trHeight w:val="47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杭州格像科技有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853,928.93</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上海畅联智融通</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讯科技有限公司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硬件采购</w:t>
            </w:r>
          </w:p>
        </w:tc>
        <w:tc>
          <w:tcPr>
            <w:tcW w:w="149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73,360.79</w:t>
            </w:r>
          </w:p>
        </w:tc>
      </w:tr>
      <w:tr>
        <w:trPr>
          <w:trHeight w:val="47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上海畅联智融通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讯科技有限公司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2,231,000.00</w:t>
            </w:r>
          </w:p>
        </w:tc>
      </w:tr>
      <w:tr>
        <w:trPr>
          <w:trHeight w:val="47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深圳互连科技有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41,815.96</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377,617.91</w:t>
            </w:r>
          </w:p>
        </w:tc>
      </w:tr>
      <w:tr>
        <w:trPr>
          <w:trHeight w:val="47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柚子（北京）移动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32,300.00</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305,825.24</w:t>
            </w:r>
          </w:p>
        </w:tc>
      </w:tr>
      <w:tr>
        <w:trPr>
          <w:trHeight w:val="47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柚子（北京）科技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206,319.94</w:t>
            </w:r>
          </w:p>
        </w:tc>
      </w:tr>
      <w:tr>
        <w:trPr>
          <w:trHeight w:val="477"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南京特思艾软件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218,880.02</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固定资产采购</w:t>
            </w:r>
          </w:p>
        </w:tc>
        <w:tc>
          <w:tcPr>
            <w:tcW w:w="149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704,509.93</w:t>
            </w:r>
          </w:p>
        </w:tc>
      </w:tr>
      <w:tr>
        <w:trPr>
          <w:trHeight w:val="476" w:hRule="exact"/>
        </w:trPr>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8,343,702.46</w:t>
            </w: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3,381,268.23</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出售商品</w:t>
      </w:r>
      <w:r>
        <w:rPr>
          <w:rFonts w:ascii="Times New Roman" w:hAnsi="Times New Roman" w:cs="Times New Roman" w:eastAsia="Times New Roman" w:hint="default"/>
        </w:rPr>
        <w:t>/</w:t>
      </w:r>
      <w:r>
        <w:rPr/>
        <w:t>提供劳务情况表</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348"/>
        <w:gridCol w:w="1448"/>
        <w:gridCol w:w="2327"/>
        <w:gridCol w:w="2732"/>
      </w:tblGrid>
      <w:tr>
        <w:trPr>
          <w:trHeight w:val="407" w:hRule="exact"/>
        </w:trPr>
        <w:tc>
          <w:tcPr>
            <w:tcW w:w="3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8"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上海畅联智融通讯科技有限公司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3,763,840.84</w:t>
            </w:r>
          </w:p>
        </w:tc>
      </w:tr>
      <w:tr>
        <w:trPr>
          <w:trHeight w:val="407"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上海畅联智融通讯科技有限公司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230,375.00</w:t>
            </w: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技术服务收入</w:t>
            </w:r>
          </w:p>
        </w:tc>
        <w:tc>
          <w:tcPr>
            <w:tcW w:w="2327" w:type="dxa"/>
            <w:tcBorders>
              <w:top w:val="single" w:sz="4" w:space="0" w:color="000000"/>
              <w:left w:val="single" w:sz="4" w:space="0" w:color="000000"/>
              <w:bottom w:val="single" w:sz="4" w:space="0" w:color="000000"/>
              <w:right w:val="single" w:sz="4" w:space="0" w:color="000000"/>
            </w:tcBorders>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7,394,891.32</w:t>
            </w:r>
          </w:p>
        </w:tc>
      </w:tr>
      <w:tr>
        <w:trPr>
          <w:trHeight w:val="408"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421,448.69</w:t>
            </w: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PointMobileCo.Ltd.</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7,410,798.35</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10,859,176.33</w:t>
            </w:r>
          </w:p>
        </w:tc>
      </w:tr>
      <w:tr>
        <w:trPr>
          <w:trHeight w:val="407"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南京特思艾软件科技有限公司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4,933,139.57</w:t>
            </w: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安谋科技（中国）有限公司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2,962,376.13</w:t>
            </w:r>
          </w:p>
        </w:tc>
        <w:tc>
          <w:tcPr>
            <w:tcW w:w="273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北京云创远景软件有限责任公司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4,661,830.09</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4,806,792.92</w:t>
            </w:r>
          </w:p>
        </w:tc>
      </w:tr>
      <w:tr>
        <w:trPr>
          <w:trHeight w:val="407"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柚子（北京）移动技术有限公司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软件开发收入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6,519,186.80</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3,764,028.77</w:t>
            </w:r>
          </w:p>
        </w:tc>
      </w:tr>
      <w:tr>
        <w:trPr>
          <w:trHeight w:val="408"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柚子（北京）移动技术有限公司</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商品销售收入</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1,613,329.72</w:t>
            </w:r>
          </w:p>
        </w:tc>
        <w:tc>
          <w:tcPr>
            <w:tcW w:w="27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40" w:lineRule="auto" w:before="35"/>
        <w:ind w:right="1016"/>
        <w:jc w:val="left"/>
      </w:pPr>
      <w:r>
        <w:rPr/>
        <w:t>购销商品、提供和接受劳务的关联交易说明</w:t>
      </w:r>
    </w:p>
    <w:p>
      <w:pPr>
        <w:spacing w:line="240" w:lineRule="auto" w:before="12"/>
        <w:rPr>
          <w:rFonts w:ascii="宋体" w:hAnsi="宋体" w:cs="宋体" w:eastAsia="宋体" w:hint="default"/>
          <w:sz w:val="17"/>
          <w:szCs w:val="17"/>
        </w:rPr>
      </w:pPr>
    </w:p>
    <w:p>
      <w:pPr>
        <w:pStyle w:val="BodyText"/>
        <w:spacing w:line="420" w:lineRule="auto"/>
        <w:ind w:right="6120"/>
        <w:jc w:val="left"/>
      </w:pPr>
      <w:bookmarkStart w:name="（2）关联受托管理/承包及委托管理/出包情况" w:id="399"/>
      <w:bookmarkEnd w:id="399"/>
      <w:r>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 不适用</w:t>
      </w:r>
    </w:p>
    <w:p>
      <w:pPr>
        <w:pStyle w:val="BodyText"/>
        <w:spacing w:line="420" w:lineRule="auto" w:before="77"/>
        <w:ind w:right="8547"/>
        <w:jc w:val="left"/>
      </w:pPr>
      <w:bookmarkStart w:name="（3）关联租赁情况" w:id="400"/>
      <w:bookmarkEnd w:id="400"/>
      <w:r>
        <w:rPr/>
      </w:r>
      <w:r>
        <w:rPr/>
        <w:t>（</w:t>
      </w:r>
      <w:r>
        <w:rPr>
          <w:rFonts w:ascii="Times New Roman" w:hAnsi="Times New Roman" w:cs="Times New Roman" w:eastAsia="Times New Roman" w:hint="default"/>
        </w:rPr>
        <w:t>3</w:t>
      </w:r>
      <w:r>
        <w:rPr/>
        <w:t>）关联租赁情况 不适用</w:t>
      </w:r>
    </w:p>
    <w:p>
      <w:pPr>
        <w:pStyle w:val="BodyText"/>
        <w:spacing w:line="420" w:lineRule="auto" w:before="75"/>
        <w:ind w:right="8547"/>
        <w:jc w:val="left"/>
      </w:pPr>
      <w:bookmarkStart w:name="（4）关联担保情况" w:id="401"/>
      <w:bookmarkEnd w:id="401"/>
      <w:r>
        <w:rPr/>
      </w:r>
      <w:r>
        <w:rPr/>
        <w:t>（</w:t>
      </w:r>
      <w:r>
        <w:rPr>
          <w:rFonts w:ascii="Times New Roman" w:hAnsi="Times New Roman" w:cs="Times New Roman" w:eastAsia="Times New Roman" w:hint="default"/>
        </w:rPr>
        <w:t>4</w:t>
      </w:r>
      <w:r>
        <w:rPr/>
        <w:t>）关联担保情况 本公司作为担保方</w:t>
      </w:r>
    </w:p>
    <w:p>
      <w:pPr>
        <w:spacing w:before="8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970"/>
        <w:gridCol w:w="1972"/>
        <w:gridCol w:w="1972"/>
        <w:gridCol w:w="1756"/>
        <w:gridCol w:w="2186"/>
      </w:tblGrid>
      <w:tr>
        <w:trPr>
          <w:trHeight w:val="407" w:hRule="exact"/>
        </w:trPr>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9"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7"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158,515,460.00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9,147,880.00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261,368,000.00</w:t>
            </w:r>
          </w:p>
        </w:tc>
        <w:tc>
          <w:tcPr>
            <w:tcW w:w="1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关联担保情况说明</w:t>
      </w:r>
    </w:p>
    <w:p>
      <w:pPr>
        <w:spacing w:line="240" w:lineRule="auto" w:before="12"/>
        <w:rPr>
          <w:rFonts w:ascii="宋体" w:hAnsi="宋体" w:cs="宋体" w:eastAsia="宋体" w:hint="default"/>
          <w:sz w:val="17"/>
          <w:szCs w:val="17"/>
        </w:rPr>
      </w:pPr>
    </w:p>
    <w:p>
      <w:pPr>
        <w:pStyle w:val="BodyText"/>
        <w:spacing w:line="288" w:lineRule="auto"/>
        <w:ind w:left="214" w:right="1132" w:firstLine="420"/>
        <w:jc w:val="both"/>
      </w:pPr>
      <w:r>
        <w:rPr>
          <w:rFonts w:ascii="Times New Roman" w:hAnsi="Times New Roman" w:cs="Times New Roman" w:eastAsia="Times New Roman" w:hint="default"/>
        </w:rPr>
        <w:t>1. </w:t>
      </w:r>
      <w:r>
        <w:rPr/>
        <w:t>根据本公司 </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年第一届董事会十三次会议决议，本公司使用汇丰银行（中国）有限公司北京 </w:t>
      </w:r>
      <w:r>
        <w:rPr>
          <w:spacing w:val="3"/>
        </w:rPr>
        <w:t>分行综合信用额度申请开立备用信用证为本公司之全资子公司香港天集有限公司在香港上海汇丰银行股</w:t>
      </w:r>
      <w:r>
        <w:rPr>
          <w:spacing w:val="-82"/>
        </w:rPr>
        <w:t> </w:t>
      </w:r>
      <w:r>
        <w:rPr>
          <w:spacing w:val="-82"/>
        </w:rPr>
      </w:r>
      <w:r>
        <w:rPr/>
        <w:t>份有限公司申请授信提供担保，金额为美元</w:t>
      </w:r>
      <w:r>
        <w:rPr>
          <w:spacing w:val="-53"/>
        </w:rPr>
        <w:t> </w:t>
      </w:r>
      <w:r>
        <w:rPr>
          <w:rFonts w:ascii="Times New Roman" w:hAnsi="Times New Roman" w:cs="Times New Roman" w:eastAsia="Times New Roman" w:hint="default"/>
        </w:rPr>
        <w:t>140</w:t>
      </w:r>
      <w:r>
        <w:rPr>
          <w:rFonts w:ascii="Times New Roman" w:hAnsi="Times New Roman" w:cs="Times New Roman" w:eastAsia="Times New Roman" w:hint="default"/>
          <w:spacing w:val="-1"/>
        </w:rPr>
        <w:t> </w:t>
      </w:r>
      <w:r>
        <w:rPr/>
        <w:t>万元整，担保期限为</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年，延期</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w:t>
      </w:r>
    </w:p>
    <w:p>
      <w:pPr>
        <w:pStyle w:val="BodyText"/>
        <w:spacing w:line="290" w:lineRule="auto" w:before="171"/>
        <w:ind w:left="214" w:right="1132" w:firstLine="420"/>
        <w:jc w:val="both"/>
      </w:pPr>
      <w:r>
        <w:rPr>
          <w:rFonts w:ascii="Times New Roman" w:hAnsi="Times New Roman" w:cs="Times New Roman" w:eastAsia="Times New Roman" w:hint="default"/>
        </w:rPr>
        <w:t>2. </w:t>
      </w:r>
      <w:r>
        <w:rPr/>
        <w:t>根据本公司 </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t>年第二届董事会十四次会议决议，本公司使用汇丰银行（中国）有限公司北京 </w:t>
      </w:r>
      <w:r>
        <w:rPr>
          <w:spacing w:val="3"/>
        </w:rPr>
        <w:t>分行综合信用额度申请开立备用信用证为本公司之全资子公司香港天集有限公司在香港上海汇丰银行股</w:t>
      </w:r>
      <w:r>
        <w:rPr>
          <w:spacing w:val="-82"/>
        </w:rPr>
        <w:t> </w:t>
      </w:r>
      <w:r>
        <w:rPr>
          <w:spacing w:val="-82"/>
        </w:rPr>
      </w:r>
      <w:r>
        <w:rPr/>
        <w:t>份有限公司申请授信提供担保，金额为欧元</w:t>
      </w:r>
      <w:r>
        <w:rPr>
          <w:spacing w:val="-53"/>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
        </w:rPr>
        <w:t> </w:t>
      </w:r>
      <w:r>
        <w:rPr/>
        <w:t>万元整，担保期限为</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p>
    <w:p>
      <w:pPr>
        <w:pStyle w:val="BodyText"/>
        <w:spacing w:line="290" w:lineRule="auto" w:before="168"/>
        <w:ind w:left="214" w:right="1132" w:firstLine="420"/>
        <w:jc w:val="both"/>
      </w:pPr>
      <w:r>
        <w:rPr>
          <w:rFonts w:ascii="Times New Roman" w:hAnsi="Times New Roman" w:cs="Times New Roman" w:eastAsia="Times New Roman" w:hint="default"/>
        </w:rPr>
        <w:t>3. </w:t>
      </w:r>
      <w:r>
        <w:rPr/>
        <w:t>根据本公司 </w:t>
      </w:r>
      <w:r>
        <w:rPr>
          <w:rFonts w:ascii="Times New Roman" w:hAnsi="Times New Roman" w:cs="Times New Roman" w:eastAsia="Times New Roman" w:hint="default"/>
        </w:rPr>
        <w:t>2016</w:t>
      </w:r>
      <w:r>
        <w:rPr>
          <w:rFonts w:ascii="Times New Roman" w:hAnsi="Times New Roman" w:cs="Times New Roman" w:eastAsia="Times New Roman" w:hint="default"/>
          <w:spacing w:val="26"/>
        </w:rPr>
        <w:t> </w:t>
      </w:r>
      <w:r>
        <w:rPr/>
        <w:t>年第二届董事会十四次会议决议，本公司使用招商银行股份有限公司北京大运 </w:t>
      </w:r>
      <w:r>
        <w:rPr>
          <w:spacing w:val="3"/>
        </w:rPr>
        <w:t>村支行综合信用额度申请开立备用信用证为本公司之全资子公司香港天集有限公司在招商银行股份有限</w:t>
      </w:r>
      <w:r>
        <w:rPr>
          <w:spacing w:val="-82"/>
        </w:rPr>
        <w:t> </w:t>
      </w:r>
      <w:r>
        <w:rPr>
          <w:spacing w:val="-82"/>
        </w:rPr>
      </w:r>
      <w:r>
        <w:rPr/>
        <w:t>公司卢森堡分行申请授信提供担保，金额为欧元</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万元整。</w:t>
      </w:r>
    </w:p>
    <w:p>
      <w:pPr>
        <w:pStyle w:val="BodyText"/>
        <w:spacing w:line="240" w:lineRule="auto" w:before="168"/>
        <w:ind w:right="1016"/>
        <w:jc w:val="left"/>
      </w:pPr>
      <w:bookmarkStart w:name="（5）关联方资产转让、债务重组情况" w:id="402"/>
      <w:bookmarkEnd w:id="402"/>
      <w:r>
        <w:rPr/>
      </w:r>
      <w:r>
        <w:rPr/>
        <w:t>（</w:t>
      </w:r>
      <w:r>
        <w:rPr>
          <w:rFonts w:ascii="Times New Roman" w:hAnsi="Times New Roman" w:cs="Times New Roman" w:eastAsia="Times New Roman" w:hint="default"/>
        </w:rPr>
        <w:t>5</w:t>
      </w:r>
      <w:r>
        <w:rPr/>
        <w:t>）关联方资产转让、债务重组情况</w:t>
      </w:r>
    </w:p>
    <w:p>
      <w:pPr>
        <w:spacing w:line="240" w:lineRule="auto" w:before="1"/>
        <w:rPr>
          <w:rFonts w:ascii="宋体" w:hAnsi="宋体" w:cs="宋体" w:eastAsia="宋体"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462"/>
        <w:gridCol w:w="2465"/>
        <w:gridCol w:w="2464"/>
        <w:gridCol w:w="2465"/>
      </w:tblGrid>
      <w:tr>
        <w:trPr>
          <w:trHeight w:val="407" w:hRule="exact"/>
        </w:trPr>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6" w:hRule="exact"/>
        </w:trPr>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柚子（北京）移动技术有限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固定资产转让</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40" w:right="0"/>
              <w:jc w:val="left"/>
              <w:rPr>
                <w:rFonts w:ascii="Times New Roman" w:hAnsi="Times New Roman" w:cs="Times New Roman" w:eastAsia="Times New Roman" w:hint="default"/>
                <w:sz w:val="18"/>
                <w:szCs w:val="18"/>
              </w:rPr>
            </w:pPr>
            <w:r>
              <w:rPr>
                <w:rFonts w:ascii="Times New Roman"/>
                <w:sz w:val="18"/>
              </w:rPr>
              <w:t>142,445.00</w:t>
            </w:r>
          </w:p>
        </w:tc>
        <w:tc>
          <w:tcPr>
            <w:tcW w:w="24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7）关键管理人员报酬" w:id="403"/>
      <w:bookmarkEnd w:id="403"/>
      <w:r>
        <w:rPr/>
      </w:r>
      <w:r>
        <w:rPr/>
        <w:t>（</w:t>
      </w:r>
      <w:r>
        <w:rPr>
          <w:rFonts w:ascii="Times New Roman" w:hAnsi="Times New Roman" w:cs="Times New Roman" w:eastAsia="Times New Roman" w:hint="default"/>
        </w:rPr>
        <w:t>7</w:t>
      </w:r>
      <w:r>
        <w:rPr/>
        <w:t>）关键管理人员报酬</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4"/>
        <w:gridCol w:w="3285"/>
        <w:gridCol w:w="3287"/>
      </w:tblGrid>
      <w:tr>
        <w:trPr>
          <w:trHeight w:val="407"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6,347,446.00</w:t>
            </w:r>
          </w:p>
        </w:tc>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3,781,700.00</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10"/>
        <w:rPr>
          <w:rFonts w:ascii="宋体" w:hAnsi="宋体" w:cs="宋体" w:eastAsia="宋体" w:hint="default"/>
          <w:sz w:val="26"/>
          <w:szCs w:val="26"/>
        </w:rPr>
      </w:pPr>
    </w:p>
    <w:p>
      <w:pPr>
        <w:pStyle w:val="BodyText"/>
        <w:spacing w:line="324" w:lineRule="exact"/>
        <w:ind w:right="1016"/>
        <w:jc w:val="left"/>
        <w:rPr>
          <w:rFonts w:ascii="微软雅黑" w:hAnsi="微软雅黑" w:cs="微软雅黑" w:eastAsia="微软雅黑" w:hint="default"/>
        </w:rPr>
      </w:pPr>
      <w:bookmarkStart w:name="6、关联方应收应付款项" w:id="404"/>
      <w:bookmarkEnd w:id="404"/>
      <w:r>
        <w:rPr/>
      </w:r>
      <w:r>
        <w:rPr>
          <w:rFonts w:ascii="Times New Roman" w:hAnsi="Times New Roman" w:cs="Times New Roman" w:eastAsia="Times New Roman" w:hint="default"/>
        </w:rPr>
        <w:t>6</w:t>
      </w:r>
      <w:r>
        <w:rPr>
          <w:rFonts w:ascii="微软雅黑" w:hAnsi="微软雅黑" w:cs="微软雅黑" w:eastAsia="微软雅黑" w:hint="default"/>
        </w:rPr>
        <w:t>、关联方应收应付款项</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应收项目" w:id="405"/>
      <w:bookmarkEnd w:id="405"/>
      <w:r>
        <w:rPr/>
      </w:r>
      <w:r>
        <w:rPr/>
        <w:t>（</w:t>
      </w:r>
      <w:r>
        <w:rPr>
          <w:rFonts w:ascii="Times New Roman" w:hAnsi="Times New Roman" w:cs="Times New Roman" w:eastAsia="Times New Roman" w:hint="default"/>
        </w:rPr>
        <w:t>1</w:t>
      </w:r>
      <w:r>
        <w:rPr/>
        <w:t>）应收项目</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643"/>
        <w:gridCol w:w="1643"/>
        <w:gridCol w:w="1643"/>
        <w:gridCol w:w="1642"/>
        <w:gridCol w:w="1642"/>
        <w:gridCol w:w="1643"/>
      </w:tblGrid>
      <w:tr>
        <w:trPr>
          <w:trHeight w:val="407" w:hRule="exact"/>
        </w:trPr>
        <w:tc>
          <w:tcPr>
            <w:tcW w:w="1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43" w:type="dxa"/>
            <w:vMerge/>
            <w:tcBorders>
              <w:left w:val="single" w:sz="4" w:space="0" w:color="000000"/>
              <w:bottom w:val="single" w:sz="4" w:space="0" w:color="000000"/>
              <w:right w:val="single" w:sz="4" w:space="0" w:color="000000"/>
            </w:tcBorders>
            <w:shd w:val="clear" w:color="auto" w:fill="D2D2D2"/>
          </w:tcPr>
          <w:p>
            <w:pPr/>
          </w:p>
        </w:tc>
        <w:tc>
          <w:tcPr>
            <w:tcW w:w="1643" w:type="dxa"/>
            <w:vMerge/>
            <w:tcBorders>
              <w:left w:val="single" w:sz="4" w:space="0" w:color="000000"/>
              <w:bottom w:val="single" w:sz="4" w:space="0" w:color="000000"/>
              <w:right w:val="single" w:sz="4" w:space="0" w:color="000000"/>
            </w:tcBorders>
            <w:shd w:val="clear" w:color="auto" w:fill="D2D2D2"/>
          </w:tcPr>
          <w:p>
            <w:pP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76"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3,417,565.66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850,350.00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13,953,442.08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139,534.42</w:t>
            </w:r>
          </w:p>
        </w:tc>
      </w:tr>
      <w:tr>
        <w:trPr>
          <w:trHeight w:val="478"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件有限责任公司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18"/>
                <w:szCs w:val="18"/>
              </w:rPr>
            </w:pPr>
            <w:r>
              <w:rPr>
                <w:rFonts w:ascii="Times New Roman"/>
                <w:spacing w:val="-1"/>
                <w:sz w:val="18"/>
              </w:rPr>
              <w:t>10,097,577.84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772,488.24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3,044,544.46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30,445.44</w:t>
            </w:r>
          </w:p>
        </w:tc>
      </w:tr>
      <w:tr>
        <w:trPr>
          <w:trHeight w:val="476"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上海畅联智融通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讯科技有限公司</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6,266,409.67</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62,664.10</w:t>
            </w:r>
          </w:p>
        </w:tc>
      </w:tr>
      <w:tr>
        <w:trPr>
          <w:trHeight w:val="476"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北京安创空间科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1,417,932.78</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14,179.33</w:t>
            </w:r>
          </w:p>
        </w:tc>
      </w:tr>
      <w:tr>
        <w:trPr>
          <w:trHeight w:val="478"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柚子（北京）移动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4,194,007.56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41,940.08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3,827,425.00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38,274.25</w:t>
            </w:r>
          </w:p>
        </w:tc>
      </w:tr>
      <w:tr>
        <w:trPr>
          <w:trHeight w:val="424"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237"/>
              <w:jc w:val="left"/>
              <w:rPr>
                <w:rFonts w:ascii="Times New Roman" w:hAnsi="Times New Roman" w:cs="Times New Roman" w:eastAsia="Times New Roman" w:hint="default"/>
                <w:sz w:val="18"/>
                <w:szCs w:val="18"/>
              </w:rPr>
            </w:pPr>
            <w:r>
              <w:rPr>
                <w:rFonts w:ascii="Times New Roman"/>
                <w:sz w:val="18"/>
              </w:rPr>
              <w:t>Point Mobile</w:t>
            </w:r>
            <w:r>
              <w:rPr>
                <w:rFonts w:ascii="Times New Roman"/>
                <w:spacing w:val="-2"/>
                <w:sz w:val="18"/>
              </w:rPr>
              <w:t> </w:t>
            </w:r>
            <w:r>
              <w:rPr>
                <w:rFonts w:ascii="Times New Roman"/>
                <w:sz w:val="18"/>
              </w:rPr>
              <w:t>Co.,</w:t>
            </w:r>
            <w:r>
              <w:rPr>
                <w:rFonts w:ascii="Times New Roman"/>
                <w:w w:val="99"/>
                <w:sz w:val="18"/>
              </w:rPr>
              <w:t> </w:t>
            </w:r>
            <w:r>
              <w:rPr>
                <w:rFonts w:ascii="Times New Roman"/>
                <w:sz w:val="18"/>
              </w:rPr>
              <w:t>Ltd.</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z w:val="18"/>
              </w:rPr>
              <w:t>61,258.86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z w:val="18"/>
              </w:rPr>
              <w:t>612.59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Times New Roman" w:hAnsi="Times New Roman" w:cs="Times New Roman" w:eastAsia="Times New Roman" w:hint="default"/>
                <w:sz w:val="18"/>
                <w:szCs w:val="18"/>
              </w:rPr>
            </w:pPr>
            <w:r>
              <w:rPr>
                <w:rFonts w:ascii="Times New Roman"/>
                <w:sz w:val="18"/>
              </w:rPr>
              <w:t>427,384.14</w:t>
            </w: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南京特思艾软件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4,860,837.95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48,608.30</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杭州格像科技有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300,000.00</w:t>
            </w: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北京安创空间科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147,776.00</w:t>
            </w: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件有限责任公司</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357,335.00</w:t>
            </w: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2,516,104.63</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件有限责任公司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56,210.00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11,242.00</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43"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4,500,000.00</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45,000.00</w:t>
            </w:r>
          </w:p>
        </w:tc>
      </w:tr>
      <w:tr>
        <w:trPr>
          <w:trHeight w:val="478" w:hRule="exact"/>
        </w:trPr>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杭州格像科技有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40,849.26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8,169.85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40,849.26</w:t>
            </w:r>
          </w:p>
        </w:tc>
        <w:tc>
          <w:tcPr>
            <w:tcW w:w="1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408.49</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2）应付项目" w:id="406"/>
      <w:bookmarkEnd w:id="406"/>
      <w:r>
        <w:rPr/>
      </w:r>
      <w:r>
        <w:rPr/>
        <w:t>（</w:t>
      </w:r>
      <w:r>
        <w:rPr>
          <w:rFonts w:ascii="Times New Roman" w:hAnsi="Times New Roman" w:cs="Times New Roman" w:eastAsia="Times New Roman" w:hint="default"/>
        </w:rPr>
        <w:t>2</w:t>
      </w:r>
      <w:r>
        <w:rPr/>
        <w:t>）应付项目</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088"/>
        <w:gridCol w:w="2838"/>
        <w:gridCol w:w="2464"/>
        <w:gridCol w:w="2465"/>
      </w:tblGrid>
      <w:tr>
        <w:trPr>
          <w:trHeight w:val="407"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T2MobileInternationalLimited</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453,465.35</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4,538,099.92</w:t>
            </w:r>
          </w:p>
        </w:tc>
      </w:tr>
      <w:tr>
        <w:trPr>
          <w:trHeight w:val="407"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北京云创远景软件有限责任公司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3,617,204.77</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1,453,089.87</w:t>
            </w:r>
          </w:p>
        </w:tc>
      </w:tr>
      <w:tr>
        <w:trPr>
          <w:trHeight w:val="40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上海畅联智融通讯科技有限公司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14,965.94</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1,336,217.70</w:t>
            </w:r>
          </w:p>
        </w:tc>
      </w:tr>
      <w:tr>
        <w:trPr>
          <w:trHeight w:val="407"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柚子（北京）科技有限公司</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206,319.94</w:t>
            </w:r>
          </w:p>
        </w:tc>
      </w:tr>
      <w:tr>
        <w:trPr>
          <w:trHeight w:val="407"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柚子（北京）移动技术有限公司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50,000.00</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50,000.00</w:t>
            </w:r>
          </w:p>
        </w:tc>
      </w:tr>
      <w:tr>
        <w:trPr>
          <w:trHeight w:val="407"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15,567.58</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40,735.65</w:t>
            </w:r>
          </w:p>
        </w:tc>
      </w:tr>
      <w:tr>
        <w:trPr>
          <w:trHeight w:val="407"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杭州格像科技有限公司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459,433.93</w:t>
            </w: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南京特思艾软件科技有限公司</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218,880.02</w:t>
            </w:r>
          </w:p>
        </w:tc>
        <w:tc>
          <w:tcPr>
            <w:tcW w:w="246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2088"/>
        <w:gridCol w:w="2838"/>
        <w:gridCol w:w="2464"/>
        <w:gridCol w:w="2465"/>
      </w:tblGrid>
      <w:tr>
        <w:trPr>
          <w:trHeight w:val="407" w:hRule="exact"/>
        </w:trPr>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8" w:hRule="exact"/>
        </w:trPr>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中天智慧科技有限公司</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6" w:right="0"/>
              <w:jc w:val="left"/>
              <w:rPr>
                <w:rFonts w:ascii="Times New Roman" w:hAnsi="Times New Roman" w:cs="Times New Roman" w:eastAsia="Times New Roman" w:hint="default"/>
                <w:sz w:val="18"/>
                <w:szCs w:val="18"/>
              </w:rPr>
            </w:pPr>
            <w:r>
              <w:rPr>
                <w:rFonts w:ascii="Times New Roman"/>
                <w:sz w:val="18"/>
              </w:rPr>
              <w:t>3,336,682.50</w:t>
            </w:r>
          </w:p>
        </w:tc>
      </w:tr>
    </w:tbl>
    <w:p>
      <w:pPr>
        <w:spacing w:line="240" w:lineRule="auto" w:before="7"/>
        <w:rPr>
          <w:rFonts w:ascii="宋体" w:hAnsi="宋体" w:cs="宋体" w:eastAsia="宋体" w:hint="default"/>
          <w:sz w:val="20"/>
          <w:szCs w:val="20"/>
        </w:rPr>
      </w:pPr>
    </w:p>
    <w:p>
      <w:pPr>
        <w:pStyle w:val="Heading2"/>
        <w:spacing w:line="397" w:lineRule="exact"/>
        <w:ind w:right="1016"/>
        <w:jc w:val="left"/>
      </w:pPr>
      <w:bookmarkStart w:name="十三、股份支付" w:id="407"/>
      <w:bookmarkEnd w:id="407"/>
      <w:r>
        <w:rPr/>
      </w:r>
      <w:r>
        <w:rPr/>
        <w:t>十三、股份支付</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股份支付总体情况" w:id="408"/>
      <w:bookmarkEnd w:id="408"/>
      <w:r>
        <w:rPr/>
      </w:r>
      <w:r>
        <w:rPr>
          <w:rFonts w:ascii="Times New Roman" w:hAnsi="Times New Roman" w:cs="Times New Roman" w:eastAsia="Times New Roman" w:hint="default"/>
        </w:rPr>
        <w:t>1</w:t>
      </w:r>
      <w:r>
        <w:rPr>
          <w:rFonts w:ascii="微软雅黑" w:hAnsi="微软雅黑" w:cs="微软雅黑" w:eastAsia="微软雅黑" w:hint="default"/>
        </w:rPr>
        <w:t>、股份支付总体情况</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618"/>
        <w:gridCol w:w="4238"/>
      </w:tblGrid>
      <w:tr>
        <w:trPr>
          <w:trHeight w:val="407" w:hRule="exact"/>
        </w:trPr>
        <w:tc>
          <w:tcPr>
            <w:tcW w:w="5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7" w:hRule="exact"/>
        </w:trPr>
        <w:tc>
          <w:tcPr>
            <w:tcW w:w="5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78,138,848.08</w:t>
            </w:r>
          </w:p>
        </w:tc>
      </w:tr>
      <w:tr>
        <w:trPr>
          <w:trHeight w:val="407" w:hRule="exact"/>
        </w:trPr>
        <w:tc>
          <w:tcPr>
            <w:tcW w:w="5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16,292,526.90</w:t>
            </w:r>
          </w:p>
        </w:tc>
      </w:tr>
      <w:tr>
        <w:trPr>
          <w:trHeight w:val="710" w:hRule="exact"/>
        </w:trPr>
        <w:tc>
          <w:tcPr>
            <w:tcW w:w="5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元，合同剩余</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个月②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年激励计划行权价格为</w:t>
            </w:r>
          </w:p>
          <w:p>
            <w:pPr>
              <w:pStyle w:val="TableParagraph"/>
              <w:spacing w:line="24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7" w:hRule="exact"/>
        </w:trPr>
        <w:tc>
          <w:tcPr>
            <w:tcW w:w="5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其他说明</w:t>
      </w:r>
    </w:p>
    <w:p>
      <w:pPr>
        <w:spacing w:line="240" w:lineRule="auto" w:before="10"/>
        <w:rPr>
          <w:rFonts w:ascii="宋体" w:hAnsi="宋体" w:cs="宋体" w:eastAsia="宋体" w:hint="default"/>
          <w:sz w:val="17"/>
          <w:szCs w:val="17"/>
        </w:rPr>
      </w:pPr>
    </w:p>
    <w:p>
      <w:pPr>
        <w:pStyle w:val="BodyText"/>
        <w:spacing w:line="240" w:lineRule="auto"/>
        <w:ind w:right="1016"/>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t>年股权激励计划基本情况</w:t>
      </w:r>
    </w:p>
    <w:p>
      <w:pPr>
        <w:spacing w:line="240" w:lineRule="auto" w:before="9"/>
        <w:rPr>
          <w:rFonts w:ascii="宋体" w:hAnsi="宋体" w:cs="宋体" w:eastAsia="宋体" w:hint="default"/>
          <w:sz w:val="16"/>
          <w:szCs w:val="16"/>
        </w:rPr>
      </w:pPr>
    </w:p>
    <w:p>
      <w:pPr>
        <w:pStyle w:val="BodyText"/>
        <w:spacing w:line="283" w:lineRule="auto"/>
        <w:ind w:left="214" w:right="1126" w:firstLine="420"/>
        <w:jc w:val="both"/>
        <w:rPr>
          <w:rFonts w:ascii="Times New Roman" w:hAnsi="Times New Roman" w:cs="Times New Roman" w:eastAsia="Times New Roman" w:hint="default"/>
        </w:rPr>
      </w:pPr>
      <w:r>
        <w:rPr/>
        <w:t>本公司</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5"/>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52"/>
        </w:rPr>
        <w:t> </w:t>
      </w:r>
      <w:r>
        <w:rPr>
          <w:rFonts w:ascii="Times New Roman" w:hAnsi="Times New Roman" w:cs="Times New Roman" w:eastAsia="Times New Roman" w:hint="default"/>
        </w:rPr>
        <w:t>22</w:t>
      </w:r>
      <w:r>
        <w:rPr>
          <w:rFonts w:ascii="Times New Roman" w:hAnsi="Times New Roman" w:cs="Times New Roman" w:eastAsia="Times New Roman" w:hint="default"/>
          <w:spacing w:val="-14"/>
        </w:rPr>
        <w:t> </w:t>
      </w:r>
      <w:r>
        <w:rPr/>
        <w:t>日召开</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年第一次临时股东大会审议通过了《关于</w:t>
      </w:r>
      <w:r>
        <w:rPr>
          <w:rFonts w:ascii="Times New Roman" w:hAnsi="Times New Roman" w:cs="Times New Roman" w:eastAsia="Times New Roman" w:hint="default"/>
        </w:rPr>
        <w:t>&lt;</w:t>
      </w:r>
      <w:r>
        <w:rPr/>
        <w:t>中科创达软件股份有限</w:t>
      </w:r>
      <w:r>
        <w:rPr>
          <w:spacing w:val="-2"/>
        </w:rPr>
        <w:t> 公司限制性股票激励计划（草案）及其摘要</w:t>
      </w:r>
      <w:r>
        <w:rPr>
          <w:rFonts w:ascii="Times New Roman" w:hAnsi="Times New Roman" w:cs="Times New Roman" w:eastAsia="Times New Roman" w:hint="default"/>
          <w:spacing w:val="-2"/>
        </w:rPr>
        <w:t>&gt;</w:t>
      </w:r>
      <w:r>
        <w:rPr>
          <w:spacing w:val="-2"/>
        </w:rPr>
        <w:t>的议案》和《</w:t>
      </w:r>
      <w:r>
        <w:rPr>
          <w:rFonts w:ascii="Times New Roman" w:hAnsi="Times New Roman" w:cs="Times New Roman" w:eastAsia="Times New Roman" w:hint="default"/>
          <w:spacing w:val="-2"/>
        </w:rPr>
        <w:t>&lt;</w:t>
      </w:r>
      <w:r>
        <w:rPr>
          <w:spacing w:val="-2"/>
        </w:rPr>
        <w:t>中科创达软件股份有限公司股票增值权激励计</w:t>
      </w:r>
      <w:r>
        <w:rPr>
          <w:spacing w:val="-61"/>
        </w:rPr>
        <w:t> </w:t>
      </w:r>
      <w:r>
        <w:rPr/>
        <w:t>划（草案）及其摘要</w:t>
      </w:r>
      <w:r>
        <w:rPr>
          <w:rFonts w:ascii="Times New Roman" w:hAnsi="Times New Roman" w:cs="Times New Roman" w:eastAsia="Times New Roman" w:hint="default"/>
        </w:rPr>
        <w:t>&gt;</w:t>
      </w:r>
      <w:r>
        <w:rPr/>
        <w:t>的议案》，于</w:t>
      </w:r>
      <w:r>
        <w:rPr>
          <w:spacing w:val="-3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3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3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日第二届董事会第五次会议和第二届监事会第四次会 </w:t>
      </w:r>
      <w:r>
        <w:rPr>
          <w:spacing w:val="-1"/>
        </w:rPr>
        <w:t>议审议通过了《关于对公司限制性股票激励计划进行调整的议案》、《关于向激励对象授予限制性股票的</w:t>
      </w:r>
      <w:r>
        <w:rPr>
          <w:spacing w:val="-84"/>
        </w:rPr>
        <w:t> </w:t>
      </w:r>
      <w:r>
        <w:rPr>
          <w:spacing w:val="-84"/>
        </w:rPr>
      </w:r>
      <w:r>
        <w:rPr/>
        <w:t>议案》和《关于向激励对象授予股票增值权的议案》，于</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3"/>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13"/>
        </w:rPr>
        <w:t> </w:t>
      </w:r>
      <w:r>
        <w:rPr/>
        <w:t>日第二届董事会第七次会议审议 </w:t>
      </w:r>
      <w:r>
        <w:rPr>
          <w:spacing w:val="2"/>
        </w:rPr>
        <w:t>通过了《关于确认限制性股票授予人数和股份数的议案》，实际向董事会认为需要激励的员工（</w:t>
      </w:r>
      <w:r>
        <w:rPr>
          <w:rFonts w:ascii="Times New Roman" w:hAnsi="Times New Roman" w:cs="Times New Roman" w:eastAsia="Times New Roman" w:hint="default"/>
          <w:spacing w:val="2"/>
        </w:rPr>
        <w:t>“</w:t>
      </w:r>
      <w:r>
        <w:rPr>
          <w:spacing w:val="2"/>
        </w:rPr>
        <w:t>激励对</w:t>
      </w:r>
      <w:r>
        <w:rPr>
          <w:spacing w:val="-103"/>
        </w:rPr>
        <w:t> </w:t>
      </w:r>
      <w:r>
        <w:rPr/>
        <w:t>象</w:t>
      </w:r>
      <w:r>
        <w:rPr>
          <w:rFonts w:ascii="Times New Roman" w:hAnsi="Times New Roman" w:cs="Times New Roman" w:eastAsia="Times New Roman" w:hint="default"/>
        </w:rPr>
        <w:t>”</w:t>
      </w:r>
      <w:r>
        <w:rPr/>
        <w:t>）授予限制性股票 </w:t>
      </w:r>
      <w:r>
        <w:rPr>
          <w:rFonts w:ascii="Times New Roman" w:hAnsi="Times New Roman" w:cs="Times New Roman" w:eastAsia="Times New Roman" w:hint="default"/>
        </w:rPr>
        <w:t>3,137,854 </w:t>
      </w:r>
      <w:r>
        <w:rPr/>
        <w:t>股，授予价格 </w:t>
      </w:r>
      <w:r>
        <w:rPr>
          <w:rFonts w:ascii="Times New Roman" w:hAnsi="Times New Roman" w:cs="Times New Roman" w:eastAsia="Times New Roman" w:hint="default"/>
        </w:rPr>
        <w:t>85.48 </w:t>
      </w:r>
      <w:r>
        <w:rPr/>
        <w:t>元</w:t>
      </w:r>
      <w:r>
        <w:rPr>
          <w:rFonts w:ascii="Times New Roman" w:hAnsi="Times New Roman" w:cs="Times New Roman" w:eastAsia="Times New Roman" w:hint="default"/>
        </w:rPr>
        <w:t>/</w:t>
      </w:r>
      <w:r>
        <w:rPr/>
        <w:t>股，授予股票增值权 </w:t>
      </w:r>
      <w:r>
        <w:rPr>
          <w:rFonts w:ascii="Times New Roman" w:hAnsi="Times New Roman" w:cs="Times New Roman" w:eastAsia="Times New Roman" w:hint="default"/>
        </w:rPr>
        <w:t>283,000 </w:t>
      </w:r>
      <w:r>
        <w:rPr/>
        <w:t>份，行权价格</w:t>
      </w:r>
      <w:r>
        <w:rPr>
          <w:spacing w:val="-73"/>
        </w:rPr>
        <w:t> </w:t>
      </w:r>
      <w:r>
        <w:rPr>
          <w:rFonts w:ascii="Times New Roman" w:hAnsi="Times New Roman" w:cs="Times New Roman" w:eastAsia="Times New Roman" w:hint="default"/>
        </w:rPr>
        <w:t>85.48</w:t>
      </w:r>
    </w:p>
    <w:p>
      <w:pPr>
        <w:pStyle w:val="BodyText"/>
        <w:spacing w:line="240" w:lineRule="auto" w:before="8"/>
        <w:ind w:left="214" w:right="0"/>
        <w:jc w:val="both"/>
      </w:pPr>
      <w:r>
        <w:rPr/>
        <w:t>元</w:t>
      </w:r>
      <w:r>
        <w:rPr>
          <w:rFonts w:ascii="Times New Roman" w:hAnsi="Times New Roman" w:cs="Times New Roman" w:eastAsia="Times New Roman" w:hint="default"/>
        </w:rPr>
        <w:t>/</w:t>
      </w:r>
      <w:r>
        <w:rPr/>
        <w:t>份，授予日</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t>月</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w:t>
      </w:r>
    </w:p>
    <w:p>
      <w:pPr>
        <w:spacing w:line="240" w:lineRule="auto" w:before="9"/>
        <w:rPr>
          <w:rFonts w:ascii="宋体" w:hAnsi="宋体" w:cs="宋体" w:eastAsia="宋体" w:hint="default"/>
          <w:sz w:val="16"/>
          <w:szCs w:val="16"/>
        </w:rPr>
      </w:pPr>
    </w:p>
    <w:p>
      <w:pPr>
        <w:pStyle w:val="BodyText"/>
        <w:spacing w:line="240" w:lineRule="auto"/>
        <w:ind w:right="1016"/>
        <w:jc w:val="left"/>
      </w:pPr>
      <w:r>
        <w:rPr/>
        <w:t>本股权激励计划的有效期为</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年，自限制性股票和股票增值权授予之日起计算；自中科创达授予日起</w:t>
      </w:r>
    </w:p>
    <w:p>
      <w:pPr>
        <w:pStyle w:val="BodyText"/>
        <w:spacing w:line="280" w:lineRule="auto" w:before="49"/>
        <w:ind w:left="214" w:right="113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44"/>
        </w:rPr>
        <w:t> </w:t>
      </w:r>
      <w:r>
        <w:rPr/>
        <w:t>个月为锁定期</w:t>
      </w:r>
      <w:r>
        <w:rPr>
          <w:rFonts w:ascii="Times New Roman" w:hAnsi="Times New Roman" w:cs="Times New Roman" w:eastAsia="Times New Roman" w:hint="default"/>
        </w:rPr>
        <w:t>/</w:t>
      </w:r>
      <w:r>
        <w:rPr/>
        <w:t>等待期，锁定期</w:t>
      </w:r>
      <w:r>
        <w:rPr>
          <w:rFonts w:ascii="Times New Roman" w:hAnsi="Times New Roman" w:cs="Times New Roman" w:eastAsia="Times New Roman" w:hint="default"/>
        </w:rPr>
        <w:t>/</w:t>
      </w:r>
      <w:r>
        <w:rPr/>
        <w:t>等待期后为解锁期</w:t>
      </w:r>
      <w:r>
        <w:rPr>
          <w:rFonts w:ascii="Times New Roman" w:hAnsi="Times New Roman" w:cs="Times New Roman" w:eastAsia="Times New Roman" w:hint="default"/>
        </w:rPr>
        <w:t>/</w:t>
      </w:r>
      <w:r>
        <w:rPr/>
        <w:t>行权期。在锁定期</w:t>
      </w:r>
      <w:r>
        <w:rPr>
          <w:rFonts w:ascii="Times New Roman" w:hAnsi="Times New Roman" w:cs="Times New Roman" w:eastAsia="Times New Roman" w:hint="default"/>
        </w:rPr>
        <w:t>/</w:t>
      </w:r>
      <w:r>
        <w:rPr/>
        <w:t>等待期和解锁期</w:t>
      </w:r>
      <w:r>
        <w:rPr>
          <w:rFonts w:ascii="Times New Roman" w:hAnsi="Times New Roman" w:cs="Times New Roman" w:eastAsia="Times New Roman" w:hint="default"/>
        </w:rPr>
        <w:t>/</w:t>
      </w:r>
      <w:r>
        <w:rPr/>
        <w:t>行权期内，激励</w:t>
      </w:r>
      <w:r>
        <w:rPr>
          <w:spacing w:val="-103"/>
        </w:rPr>
        <w:t> </w:t>
      </w:r>
      <w:r>
        <w:rPr>
          <w:spacing w:val="-103"/>
        </w:rPr>
      </w:r>
      <w:r>
        <w:rPr>
          <w:spacing w:val="-2"/>
        </w:rPr>
        <w:t>对象根据本股权激励计划所获授的尚未解锁</w:t>
      </w:r>
      <w:r>
        <w:rPr>
          <w:rFonts w:ascii="Times New Roman" w:hAnsi="Times New Roman" w:cs="Times New Roman" w:eastAsia="Times New Roman" w:hint="default"/>
          <w:spacing w:val="-2"/>
        </w:rPr>
        <w:t>/</w:t>
      </w:r>
      <w:r>
        <w:rPr>
          <w:spacing w:val="-2"/>
        </w:rPr>
        <w:t>行权的限制性股票和股票增值权，不得转让或用于担保或偿还</w:t>
      </w:r>
      <w:r>
        <w:rPr>
          <w:spacing w:val="-92"/>
        </w:rPr>
        <w:t> </w:t>
      </w:r>
      <w:r>
        <w:rPr>
          <w:spacing w:val="-92"/>
        </w:rPr>
      </w:r>
      <w:r>
        <w:rPr/>
        <w:t>债务。自授予日起的</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个月后为解锁期</w:t>
      </w:r>
      <w:r>
        <w:rPr>
          <w:rFonts w:ascii="Times New Roman" w:hAnsi="Times New Roman" w:cs="Times New Roman" w:eastAsia="Times New Roman" w:hint="default"/>
        </w:rPr>
        <w:t>/</w:t>
      </w:r>
      <w:r>
        <w:rPr/>
        <w:t>行权期，授予的限制性股票和股票增值权的解锁期</w:t>
      </w:r>
      <w:r>
        <w:rPr>
          <w:rFonts w:ascii="Times New Roman" w:hAnsi="Times New Roman" w:cs="Times New Roman" w:eastAsia="Times New Roman" w:hint="default"/>
        </w:rPr>
        <w:t>/</w:t>
      </w:r>
      <w:r>
        <w:rPr/>
        <w:t>行权期及各期 解锁</w:t>
      </w:r>
      <w:r>
        <w:rPr>
          <w:rFonts w:ascii="Times New Roman" w:hAnsi="Times New Roman" w:cs="Times New Roman" w:eastAsia="Times New Roman" w:hint="default"/>
        </w:rPr>
        <w:t>/</w:t>
      </w:r>
      <w:r>
        <w:rPr/>
        <w:t>行权时间安排如下表所示：</w:t>
      </w:r>
    </w:p>
    <w:p>
      <w:pPr>
        <w:pStyle w:val="BodyText"/>
        <w:spacing w:line="280" w:lineRule="auto" w:before="178"/>
        <w:ind w:left="214" w:right="1130" w:firstLine="420"/>
        <w:jc w:val="both"/>
      </w:pPr>
      <w:r>
        <w:rPr>
          <w:rFonts w:ascii="Times New Roman" w:hAnsi="Times New Roman" w:cs="Times New Roman" w:eastAsia="Times New Roman" w:hint="default"/>
        </w:rPr>
        <w:t>1</w:t>
      </w:r>
      <w:r>
        <w:rPr/>
        <w:t>、第一次解锁期</w:t>
      </w:r>
      <w:r>
        <w:rPr>
          <w:rFonts w:ascii="Times New Roman" w:hAnsi="Times New Roman" w:cs="Times New Roman" w:eastAsia="Times New Roman" w:hint="default"/>
        </w:rPr>
        <w:t>/</w:t>
      </w:r>
      <w:r>
        <w:rPr/>
        <w:t>行权期为自授予日起</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个月后的首个交易日起至授予日起</w:t>
      </w:r>
      <w:r>
        <w:rPr>
          <w:spacing w:val="-37"/>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个月内的最后一个交 易日当日止，解锁数量是获授标的股票总数的</w:t>
      </w:r>
      <w:r>
        <w:rPr>
          <w:spacing w:val="-52"/>
        </w:rPr>
        <w:t> </w:t>
      </w:r>
      <w:r>
        <w:rPr>
          <w:rFonts w:ascii="Times New Roman" w:hAnsi="Times New Roman" w:cs="Times New Roman" w:eastAsia="Times New Roman" w:hint="default"/>
        </w:rPr>
        <w:t>30%</w:t>
      </w:r>
      <w:r>
        <w:rPr/>
        <w:t>；</w:t>
      </w:r>
    </w:p>
    <w:p>
      <w:pPr>
        <w:pStyle w:val="BodyText"/>
        <w:spacing w:line="280" w:lineRule="auto" w:before="178"/>
        <w:ind w:left="214" w:right="1130" w:firstLine="420"/>
        <w:jc w:val="both"/>
      </w:pPr>
      <w:r>
        <w:rPr>
          <w:rFonts w:ascii="Times New Roman" w:hAnsi="Times New Roman" w:cs="Times New Roman" w:eastAsia="Times New Roman" w:hint="default"/>
        </w:rPr>
        <w:t>2</w:t>
      </w:r>
      <w:r>
        <w:rPr/>
        <w:t>、第二次解锁期</w:t>
      </w:r>
      <w:r>
        <w:rPr>
          <w:rFonts w:ascii="Times New Roman" w:hAnsi="Times New Roman" w:cs="Times New Roman" w:eastAsia="Times New Roman" w:hint="default"/>
        </w:rPr>
        <w:t>/</w:t>
      </w:r>
      <w:r>
        <w:rPr/>
        <w:t>行权期为自授予日起</w:t>
      </w:r>
      <w:r>
        <w:rPr>
          <w:spacing w:val="-37"/>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个月后的首个交易日起至授予日起</w:t>
      </w:r>
      <w:r>
        <w:rPr>
          <w:spacing w:val="-37"/>
        </w:rPr>
        <w:t> </w:t>
      </w:r>
      <w:r>
        <w:rPr>
          <w:rFonts w:ascii="Times New Roman" w:hAnsi="Times New Roman" w:cs="Times New Roman" w:eastAsia="Times New Roman" w:hint="default"/>
        </w:rPr>
        <w:t>36</w:t>
      </w:r>
      <w:r>
        <w:rPr>
          <w:rFonts w:ascii="Times New Roman" w:hAnsi="Times New Roman" w:cs="Times New Roman" w:eastAsia="Times New Roman" w:hint="default"/>
          <w:spacing w:val="-5"/>
        </w:rPr>
        <w:t> </w:t>
      </w:r>
      <w:r>
        <w:rPr/>
        <w:t>个月内的最后一个交 易日当日止，解锁数量是获授标的股票总数的</w:t>
      </w:r>
      <w:r>
        <w:rPr>
          <w:spacing w:val="-52"/>
        </w:rPr>
        <w:t> </w:t>
      </w:r>
      <w:r>
        <w:rPr>
          <w:rFonts w:ascii="Times New Roman" w:hAnsi="Times New Roman" w:cs="Times New Roman" w:eastAsia="Times New Roman" w:hint="default"/>
        </w:rPr>
        <w:t>30%</w:t>
      </w:r>
      <w:r>
        <w:rPr/>
        <w:t>；</w:t>
      </w:r>
    </w:p>
    <w:p>
      <w:pPr>
        <w:pStyle w:val="BodyText"/>
        <w:spacing w:line="280" w:lineRule="auto" w:before="179"/>
        <w:ind w:left="214" w:right="1130" w:firstLine="420"/>
        <w:jc w:val="both"/>
      </w:pPr>
      <w:r>
        <w:rPr>
          <w:rFonts w:ascii="Times New Roman" w:hAnsi="Times New Roman" w:cs="Times New Roman" w:eastAsia="Times New Roman" w:hint="default"/>
        </w:rPr>
        <w:t>3</w:t>
      </w:r>
      <w:r>
        <w:rPr/>
        <w:t>、第三次解锁期</w:t>
      </w:r>
      <w:r>
        <w:rPr>
          <w:rFonts w:ascii="Times New Roman" w:hAnsi="Times New Roman" w:cs="Times New Roman" w:eastAsia="Times New Roman" w:hint="default"/>
        </w:rPr>
        <w:t>/</w:t>
      </w:r>
      <w:r>
        <w:rPr/>
        <w:t>行权期为自授予日起</w:t>
      </w:r>
      <w:r>
        <w:rPr>
          <w:spacing w:val="-37"/>
        </w:rPr>
        <w:t> </w:t>
      </w:r>
      <w:r>
        <w:rPr>
          <w:rFonts w:ascii="Times New Roman" w:hAnsi="Times New Roman" w:cs="Times New Roman" w:eastAsia="Times New Roman" w:hint="default"/>
        </w:rPr>
        <w:t>36</w:t>
      </w:r>
      <w:r>
        <w:rPr>
          <w:rFonts w:ascii="Times New Roman" w:hAnsi="Times New Roman" w:cs="Times New Roman" w:eastAsia="Times New Roman" w:hint="default"/>
          <w:spacing w:val="-5"/>
        </w:rPr>
        <w:t> </w:t>
      </w:r>
      <w:r>
        <w:rPr/>
        <w:t>个月后的首个交易日起至授予日起</w:t>
      </w:r>
      <w:r>
        <w:rPr>
          <w:spacing w:val="-37"/>
        </w:rPr>
        <w:t> </w:t>
      </w:r>
      <w:r>
        <w:rPr>
          <w:rFonts w:ascii="Times New Roman" w:hAnsi="Times New Roman" w:cs="Times New Roman" w:eastAsia="Times New Roman" w:hint="default"/>
        </w:rPr>
        <w:t>48</w:t>
      </w:r>
      <w:r>
        <w:rPr>
          <w:rFonts w:ascii="Times New Roman" w:hAnsi="Times New Roman" w:cs="Times New Roman" w:eastAsia="Times New Roman" w:hint="default"/>
          <w:spacing w:val="-5"/>
        </w:rPr>
        <w:t> </w:t>
      </w:r>
      <w:r>
        <w:rPr/>
        <w:t>个月内的最后一个交 易日当日止，解锁数量是获授标的股票总数的</w:t>
      </w:r>
      <w:r>
        <w:rPr>
          <w:spacing w:val="-52"/>
        </w:rPr>
        <w:t> </w:t>
      </w:r>
      <w:r>
        <w:rPr>
          <w:rFonts w:ascii="Times New Roman" w:hAnsi="Times New Roman" w:cs="Times New Roman" w:eastAsia="Times New Roman" w:hint="default"/>
        </w:rPr>
        <w:t>40%</w:t>
      </w:r>
      <w:r>
        <w:rPr/>
        <w:t>；</w:t>
      </w:r>
    </w:p>
    <w:p>
      <w:pPr>
        <w:spacing w:after="0" w:line="280" w:lineRule="auto"/>
        <w:jc w:val="both"/>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80" w:lineRule="auto" w:before="35"/>
        <w:ind w:left="154" w:right="1132" w:firstLine="420"/>
        <w:jc w:val="both"/>
      </w:pPr>
      <w:r>
        <w:rPr>
          <w:spacing w:val="-2"/>
        </w:rPr>
        <w:t>本计划授予的限制性股票和股票增值权，在解锁期</w:t>
      </w:r>
      <w:r>
        <w:rPr>
          <w:rFonts w:ascii="Times New Roman" w:hAnsi="Times New Roman" w:cs="Times New Roman" w:eastAsia="Times New Roman" w:hint="default"/>
          <w:spacing w:val="-2"/>
        </w:rPr>
        <w:t>/</w:t>
      </w:r>
      <w:r>
        <w:rPr>
          <w:spacing w:val="-2"/>
        </w:rPr>
        <w:t>等待期的各会计年度中，分年度进行绩效考核并解</w:t>
      </w:r>
      <w:r>
        <w:rPr/>
        <w:t> 锁</w:t>
      </w:r>
      <w:r>
        <w:rPr>
          <w:rFonts w:ascii="Times New Roman" w:hAnsi="Times New Roman" w:cs="Times New Roman" w:eastAsia="Times New Roman" w:hint="default"/>
        </w:rPr>
        <w:t>/</w:t>
      </w:r>
      <w:r>
        <w:rPr/>
        <w:t>行权，以达到绩效考核目标作为激励对象的解锁</w:t>
      </w:r>
      <w:r>
        <w:rPr>
          <w:rFonts w:ascii="Times New Roman" w:hAnsi="Times New Roman" w:cs="Times New Roman" w:eastAsia="Times New Roman" w:hint="default"/>
        </w:rPr>
        <w:t>/</w:t>
      </w:r>
      <w:r>
        <w:rPr/>
        <w:t>行权条件。若当期解锁</w:t>
      </w:r>
      <w:r>
        <w:rPr>
          <w:rFonts w:ascii="Times New Roman" w:hAnsi="Times New Roman" w:cs="Times New Roman" w:eastAsia="Times New Roman" w:hint="default"/>
        </w:rPr>
        <w:t>/</w:t>
      </w:r>
      <w:r>
        <w:rPr/>
        <w:t>行权条件达成，则激励对象获</w:t>
      </w:r>
      <w:r>
        <w:rPr>
          <w:spacing w:val="-97"/>
        </w:rPr>
        <w:t> </w:t>
      </w:r>
      <w:r>
        <w:rPr>
          <w:spacing w:val="-97"/>
        </w:rPr>
      </w:r>
      <w:r>
        <w:rPr/>
        <w:t>授的限制性股票</w:t>
      </w:r>
      <w:r>
        <w:rPr>
          <w:rFonts w:ascii="Times New Roman" w:hAnsi="Times New Roman" w:cs="Times New Roman" w:eastAsia="Times New Roman" w:hint="default"/>
        </w:rPr>
        <w:t>/</w:t>
      </w:r>
      <w:r>
        <w:rPr/>
        <w:t>股票增值权按照本计划规定解锁</w:t>
      </w:r>
      <w:r>
        <w:rPr>
          <w:rFonts w:ascii="Times New Roman" w:hAnsi="Times New Roman" w:cs="Times New Roman" w:eastAsia="Times New Roman" w:hint="default"/>
        </w:rPr>
        <w:t>/</w:t>
      </w:r>
      <w:r>
        <w:rPr/>
        <w:t>行权。若当期解锁</w:t>
      </w:r>
      <w:r>
        <w:rPr>
          <w:rFonts w:ascii="Times New Roman" w:hAnsi="Times New Roman" w:cs="Times New Roman" w:eastAsia="Times New Roman" w:hint="default"/>
        </w:rPr>
        <w:t>/</w:t>
      </w:r>
      <w:r>
        <w:rPr/>
        <w:t>行权条件未达成，则公司按照本计划</w:t>
      </w:r>
      <w:r>
        <w:rPr>
          <w:spacing w:val="-98"/>
        </w:rPr>
        <w:t> </w:t>
      </w:r>
      <w:r>
        <w:rPr>
          <w:spacing w:val="-98"/>
        </w:rPr>
      </w:r>
      <w:r>
        <w:rPr/>
        <w:t>的规定回购注销相应的限制性股票，相应的股票增值权作废。</w:t>
      </w:r>
    </w:p>
    <w:p>
      <w:pPr>
        <w:pStyle w:val="BodyText"/>
        <w:spacing w:line="508" w:lineRule="exact" w:before="37"/>
        <w:ind w:left="574" w:right="1120"/>
        <w:jc w:val="left"/>
      </w:pPr>
      <w:r>
        <w:rPr/>
        <w:t>上述限制性股票和股票增值权的解锁条件主要为： 授予限制性股票和股票增值权的各年度绩效考核目标为：（</w:t>
      </w:r>
      <w:r>
        <w:rPr>
          <w:rFonts w:ascii="Times New Roman" w:hAnsi="Times New Roman" w:cs="Times New Roman" w:eastAsia="Times New Roman" w:hint="default"/>
        </w:rPr>
        <w:t>1</w:t>
      </w:r>
      <w:r>
        <w:rPr/>
        <w:t>）以</w:t>
      </w:r>
      <w:r>
        <w:rPr>
          <w:spacing w:val="-7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9"/>
        </w:rPr>
        <w:t> </w:t>
      </w:r>
      <w:r>
        <w:rPr/>
        <w:t>年业绩为基础，</w:t>
      </w:r>
      <w:r>
        <w:rPr>
          <w:rFonts w:ascii="Times New Roman" w:hAnsi="Times New Roman" w:cs="Times New Roman" w:eastAsia="Times New Roman" w:hint="default"/>
        </w:rPr>
        <w:t>2016</w:t>
      </w:r>
      <w:r>
        <w:rPr>
          <w:rFonts w:ascii="Times New Roman" w:hAnsi="Times New Roman" w:cs="Times New Roman" w:eastAsia="Times New Roman" w:hint="default"/>
          <w:spacing w:val="-28"/>
        </w:rPr>
        <w:t> </w:t>
      </w:r>
      <w:r>
        <w:rPr/>
        <w:t>年度营业</w:t>
      </w:r>
    </w:p>
    <w:p>
      <w:pPr>
        <w:pStyle w:val="BodyText"/>
        <w:spacing w:line="280" w:lineRule="auto"/>
        <w:ind w:left="154" w:right="1119"/>
        <w:jc w:val="left"/>
      </w:pPr>
      <w:r>
        <w:rPr/>
        <w:t>收入的增长率不低于</w:t>
      </w:r>
      <w:r>
        <w:rPr>
          <w:spacing w:val="-47"/>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2</w:t>
      </w:r>
      <w:r>
        <w:rPr/>
        <w:t>）以</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年业绩为基础，</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年度营业收入的增长率不低于</w:t>
      </w:r>
      <w:r>
        <w:rPr>
          <w:spacing w:val="-47"/>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3</w:t>
      </w:r>
      <w:r>
        <w:rPr/>
        <w:t>） 以</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年业绩为基础，</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年度营业收入的增长率不低于</w:t>
      </w:r>
      <w:r>
        <w:rPr>
          <w:spacing w:val="-54"/>
        </w:rPr>
        <w:t> </w:t>
      </w:r>
      <w:r>
        <w:rPr>
          <w:rFonts w:ascii="Times New Roman" w:hAnsi="Times New Roman" w:cs="Times New Roman" w:eastAsia="Times New Roman" w:hint="default"/>
        </w:rPr>
        <w:t>60%</w:t>
      </w:r>
      <w:r>
        <w:rPr/>
        <w:t>。</w:t>
      </w:r>
    </w:p>
    <w:p>
      <w:pPr>
        <w:pStyle w:val="BodyText"/>
        <w:spacing w:line="508" w:lineRule="exact" w:before="17"/>
        <w:ind w:left="574" w:right="1116"/>
        <w:jc w:val="left"/>
      </w:pPr>
      <w:r>
        <w:rPr/>
        <w:t>激励对象每次申请限制性股票解锁需要满足： 薪酬与考核委员会对激励对象进行考核评价，结果划分为（</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C</w:t>
      </w:r>
      <w:r>
        <w:rPr/>
        <w:t>）和（</w:t>
      </w:r>
      <w:r>
        <w:rPr>
          <w:rFonts w:ascii="Times New Roman" w:hAnsi="Times New Roman" w:cs="Times New Roman" w:eastAsia="Times New Roman" w:hint="default"/>
        </w:rPr>
        <w:t>D</w:t>
      </w:r>
      <w:r>
        <w:rPr/>
        <w:t>）四个档次，</w:t>
      </w:r>
    </w:p>
    <w:p>
      <w:pPr>
        <w:pStyle w:val="BodyText"/>
        <w:spacing w:line="280" w:lineRule="auto"/>
        <w:ind w:left="154" w:right="1122"/>
        <w:jc w:val="left"/>
      </w:pPr>
      <w:r>
        <w:rPr/>
        <w:t>分别对应标准系数</w:t>
      </w:r>
      <w:r>
        <w:rPr>
          <w:spacing w:val="-3"/>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0.8</w:t>
      </w:r>
      <w:r>
        <w:rPr/>
        <w:t>、</w:t>
      </w:r>
      <w:r>
        <w:rPr>
          <w:rFonts w:ascii="Times New Roman" w:hAnsi="Times New Roman" w:cs="Times New Roman" w:eastAsia="Times New Roman" w:hint="default"/>
        </w:rPr>
        <w:t>0</w:t>
      </w:r>
      <w:r>
        <w:rPr/>
        <w:t>，个人当年实际解锁</w:t>
      </w:r>
      <w:r>
        <w:rPr>
          <w:rFonts w:ascii="Times New Roman" w:hAnsi="Times New Roman" w:cs="Times New Roman" w:eastAsia="Times New Roman" w:hint="default"/>
        </w:rPr>
        <w:t>/</w:t>
      </w:r>
      <w:r>
        <w:rPr/>
        <w:t>行权额度＝标准系数</w:t>
      </w:r>
      <w:r>
        <w:rPr>
          <w:rFonts w:ascii="Times New Roman" w:hAnsi="Times New Roman" w:cs="Times New Roman" w:eastAsia="Times New Roman" w:hint="default"/>
        </w:rPr>
        <w:t>×</w:t>
      </w:r>
      <w:r>
        <w:rPr/>
        <w:t>个人当年计划解锁</w:t>
      </w:r>
      <w:r>
        <w:rPr>
          <w:rFonts w:ascii="Times New Roman" w:hAnsi="Times New Roman" w:cs="Times New Roman" w:eastAsia="Times New Roman" w:hint="default"/>
        </w:rPr>
        <w:t>/</w:t>
      </w:r>
      <w:r>
        <w:rPr/>
        <w:t>行权额</w:t>
      </w:r>
      <w:r>
        <w:rPr>
          <w:spacing w:val="1"/>
        </w:rPr>
        <w:t> </w:t>
      </w:r>
      <w:r>
        <w:rPr/>
        <w:t>度。</w:t>
      </w:r>
    </w:p>
    <w:p>
      <w:pPr>
        <w:spacing w:line="240" w:lineRule="auto" w:before="1"/>
        <w:rPr>
          <w:rFonts w:ascii="宋体" w:hAnsi="宋体" w:cs="宋体" w:eastAsia="宋体" w:hint="default"/>
          <w:sz w:val="15"/>
          <w:szCs w:val="15"/>
        </w:rPr>
      </w:pPr>
    </w:p>
    <w:p>
      <w:pPr>
        <w:pStyle w:val="BodyText"/>
        <w:spacing w:line="280" w:lineRule="auto"/>
        <w:ind w:left="154" w:right="1131" w:firstLine="420"/>
        <w:jc w:val="both"/>
      </w:pPr>
      <w:r>
        <w:rPr>
          <w:spacing w:val="-1"/>
        </w:rPr>
        <w:t>若激励对象考核结果为（</w:t>
      </w:r>
      <w:r>
        <w:rPr>
          <w:rFonts w:ascii="Times New Roman" w:hAnsi="Times New Roman" w:cs="Times New Roman" w:eastAsia="Times New Roman" w:hint="default"/>
          <w:spacing w:val="-1"/>
        </w:rPr>
        <w:t>A</w:t>
      </w:r>
      <w:r>
        <w:rPr>
          <w:spacing w:val="-1"/>
        </w:rPr>
        <w:t>）、（</w:t>
      </w:r>
      <w:r>
        <w:rPr>
          <w:rFonts w:ascii="Times New Roman" w:hAnsi="Times New Roman" w:cs="Times New Roman" w:eastAsia="Times New Roman" w:hint="default"/>
          <w:spacing w:val="-1"/>
        </w:rPr>
        <w:t>B</w:t>
      </w:r>
      <w:r>
        <w:rPr>
          <w:spacing w:val="-1"/>
        </w:rPr>
        <w:t>）、（</w:t>
      </w:r>
      <w:r>
        <w:rPr>
          <w:rFonts w:ascii="Times New Roman" w:hAnsi="Times New Roman" w:cs="Times New Roman" w:eastAsia="Times New Roman" w:hint="default"/>
          <w:spacing w:val="-1"/>
        </w:rPr>
        <w:t>C</w:t>
      </w:r>
      <w:r>
        <w:rPr>
          <w:spacing w:val="-1"/>
        </w:rPr>
        <w:t>），则激励对象可按照限制性股票激励计划或股票增值权</w:t>
      </w:r>
      <w:r>
        <w:rPr/>
        <w:t> </w:t>
      </w:r>
      <w:r>
        <w:rPr>
          <w:spacing w:val="-2"/>
        </w:rPr>
        <w:t>激励计划规定的比例分批次解锁</w:t>
      </w:r>
      <w:r>
        <w:rPr>
          <w:rFonts w:ascii="Times New Roman" w:hAnsi="Times New Roman" w:cs="Times New Roman" w:eastAsia="Times New Roman" w:hint="default"/>
          <w:spacing w:val="-2"/>
        </w:rPr>
        <w:t>/</w:t>
      </w:r>
      <w:r>
        <w:rPr>
          <w:spacing w:val="-2"/>
        </w:rPr>
        <w:t>行权，未能解锁的限制性股票由公司回购注销，未能行权的股票增值权作</w:t>
      </w:r>
      <w:r>
        <w:rPr>
          <w:spacing w:val="-95"/>
        </w:rPr>
        <w:t> </w:t>
      </w:r>
      <w:r>
        <w:rPr>
          <w:spacing w:val="-95"/>
        </w:rPr>
      </w:r>
      <w:r>
        <w:rPr/>
        <w:t>废。若激励对象考核结果为（</w:t>
      </w:r>
      <w:r>
        <w:rPr>
          <w:rFonts w:ascii="Times New Roman" w:hAnsi="Times New Roman" w:cs="Times New Roman" w:eastAsia="Times New Roman" w:hint="default"/>
        </w:rPr>
        <w:t>D</w:t>
      </w:r>
      <w:r>
        <w:rPr/>
        <w:t>），则公司将按照限制性股票激励计划的规定，回购注销该激励对象当期</w:t>
      </w:r>
      <w:r>
        <w:rPr>
          <w:spacing w:val="-75"/>
        </w:rPr>
        <w:t> </w:t>
      </w:r>
      <w:r>
        <w:rPr>
          <w:spacing w:val="-75"/>
        </w:rPr>
      </w:r>
      <w:r>
        <w:rPr/>
        <w:t>应解锁的限制性股票，当期应行权的股票增值权作废。</w:t>
      </w:r>
    </w:p>
    <w:p>
      <w:pPr>
        <w:spacing w:line="240" w:lineRule="auto" w:before="2"/>
        <w:rPr>
          <w:rFonts w:ascii="宋体" w:hAnsi="宋体" w:cs="宋体" w:eastAsia="宋体" w:hint="default"/>
          <w:sz w:val="15"/>
          <w:szCs w:val="15"/>
        </w:rPr>
      </w:pPr>
    </w:p>
    <w:p>
      <w:pPr>
        <w:pStyle w:val="BodyText"/>
        <w:spacing w:line="240" w:lineRule="auto"/>
        <w:ind w:left="574" w:right="111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年股权激励计划基本情况</w:t>
      </w:r>
    </w:p>
    <w:p>
      <w:pPr>
        <w:spacing w:line="240" w:lineRule="auto" w:before="9"/>
        <w:rPr>
          <w:rFonts w:ascii="宋体" w:hAnsi="宋体" w:cs="宋体" w:eastAsia="宋体" w:hint="default"/>
          <w:sz w:val="16"/>
          <w:szCs w:val="16"/>
        </w:rPr>
      </w:pPr>
    </w:p>
    <w:p>
      <w:pPr>
        <w:pStyle w:val="BodyText"/>
        <w:spacing w:line="240" w:lineRule="auto"/>
        <w:ind w:left="574" w:right="0"/>
        <w:jc w:val="left"/>
      </w:pPr>
      <w:r>
        <w:rPr/>
        <w:t>本公司</w:t>
      </w:r>
      <w:r>
        <w:rPr>
          <w:spacing w:val="-5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6"/>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5"/>
        </w:rPr>
        <w:t> </w:t>
      </w:r>
      <w:r>
        <w:rPr/>
        <w:t>日召开</w:t>
      </w:r>
      <w:r>
        <w:rPr>
          <w:spacing w:val="-5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年第四次临时股东大会审议通过了《关于公司</w:t>
      </w:r>
      <w:r>
        <w:rPr>
          <w:rFonts w:ascii="Times New Roman" w:hAnsi="Times New Roman" w:cs="Times New Roman" w:eastAsia="Times New Roman" w:hint="default"/>
        </w:rPr>
        <w:t>&lt;2017</w:t>
      </w:r>
      <w:r>
        <w:rPr>
          <w:rFonts w:ascii="Times New Roman" w:hAnsi="Times New Roman" w:cs="Times New Roman" w:eastAsia="Times New Roman" w:hint="default"/>
          <w:spacing w:val="-16"/>
        </w:rPr>
        <w:t> </w:t>
      </w:r>
      <w:r>
        <w:rPr/>
        <w:t>年限制性股票</w:t>
      </w:r>
    </w:p>
    <w:p>
      <w:pPr>
        <w:pStyle w:val="BodyText"/>
        <w:spacing w:line="240" w:lineRule="auto" w:before="49"/>
        <w:ind w:left="154" w:right="0"/>
        <w:jc w:val="left"/>
      </w:pPr>
      <w:r>
        <w:rPr>
          <w:spacing w:val="-5"/>
        </w:rPr>
        <w:t>激励计划（草案）</w:t>
      </w:r>
      <w:r>
        <w:rPr>
          <w:rFonts w:ascii="Times New Roman" w:hAnsi="Times New Roman" w:cs="Times New Roman" w:eastAsia="Times New Roman" w:hint="default"/>
          <w:spacing w:val="-5"/>
        </w:rPr>
        <w:t>&gt;</w:t>
      </w:r>
      <w:r>
        <w:rPr>
          <w:spacing w:val="-5"/>
        </w:rPr>
        <w:t>及其摘要的议案》，于</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日第二届董事会第二十三次会议审议通过了《关</w:t>
      </w:r>
    </w:p>
    <w:p>
      <w:pPr>
        <w:pStyle w:val="BodyText"/>
        <w:spacing w:line="240" w:lineRule="auto" w:before="50"/>
        <w:ind w:left="154" w:right="0"/>
        <w:jc w:val="left"/>
      </w:pPr>
      <w:r>
        <w:rPr/>
        <w:t>于向激励对象授予限制性股票的议案》，决定向 </w:t>
      </w:r>
      <w:r>
        <w:rPr>
          <w:rFonts w:ascii="Times New Roman" w:hAnsi="Times New Roman" w:cs="Times New Roman" w:eastAsia="Times New Roman" w:hint="default"/>
        </w:rPr>
        <w:t>210 </w:t>
      </w:r>
      <w:r>
        <w:rPr/>
        <w:t>名激励对象授予限制性股票 </w:t>
      </w:r>
      <w:r>
        <w:rPr>
          <w:rFonts w:ascii="Times New Roman" w:hAnsi="Times New Roman" w:cs="Times New Roman" w:eastAsia="Times New Roman" w:hint="default"/>
        </w:rPr>
        <w:t>281.10</w:t>
      </w:r>
      <w:r>
        <w:rPr>
          <w:rFonts w:ascii="Times New Roman" w:hAnsi="Times New Roman" w:cs="Times New Roman" w:eastAsia="Times New Roman" w:hint="default"/>
          <w:spacing w:val="28"/>
        </w:rPr>
        <w:t> </w:t>
      </w:r>
      <w:r>
        <w:rPr/>
        <w:t>万股，授予日为</w:t>
      </w:r>
    </w:p>
    <w:p>
      <w:pPr>
        <w:pStyle w:val="BodyText"/>
        <w:spacing w:line="240" w:lineRule="auto" w:before="50"/>
        <w:ind w:left="154"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月</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t>日，授予价格为</w:t>
      </w:r>
      <w:r>
        <w:rPr>
          <w:spacing w:val="-45"/>
        </w:rPr>
        <w:t> </w:t>
      </w:r>
      <w:r>
        <w:rPr>
          <w:rFonts w:ascii="Times New Roman" w:hAnsi="Times New Roman" w:cs="Times New Roman" w:eastAsia="Times New Roman" w:hint="default"/>
        </w:rPr>
        <w:t>13.59</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股，股票来源为公司向激励对象定向发行公司</w:t>
      </w:r>
      <w:r>
        <w:rPr>
          <w:spacing w:val="-44"/>
        </w:rPr>
        <w:t> </w:t>
      </w:r>
      <w:r>
        <w:rPr>
          <w:rFonts w:ascii="Times New Roman" w:hAnsi="Times New Roman" w:cs="Times New Roman" w:eastAsia="Times New Roman" w:hint="default"/>
        </w:rPr>
        <w:t>A</w:t>
      </w:r>
      <w:r>
        <w:rPr>
          <w:rFonts w:ascii="Times New Roman" w:hAnsi="Times New Roman" w:cs="Times New Roman" w:eastAsia="Times New Roman" w:hint="default"/>
          <w:spacing w:val="-12"/>
        </w:rPr>
        <w:t> </w:t>
      </w:r>
      <w:r>
        <w:rPr/>
        <w:t>股普通股。授予</w:t>
      </w:r>
    </w:p>
    <w:p>
      <w:pPr>
        <w:pStyle w:val="BodyText"/>
        <w:spacing w:line="240" w:lineRule="auto" w:before="50"/>
        <w:ind w:left="154" w:right="1116"/>
        <w:jc w:val="left"/>
      </w:pPr>
      <w:r>
        <w:rPr/>
        <w:t>日后由于</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名激励对象个人原因放弃认购，最终实际授予</w:t>
      </w:r>
      <w:r>
        <w:rPr>
          <w:spacing w:val="-53"/>
        </w:rPr>
        <w:t> </w:t>
      </w:r>
      <w:r>
        <w:rPr>
          <w:rFonts w:ascii="Times New Roman" w:hAnsi="Times New Roman" w:cs="Times New Roman" w:eastAsia="Times New Roman" w:hint="default"/>
        </w:rPr>
        <w:t>268.50</w:t>
      </w:r>
      <w:r>
        <w:rPr>
          <w:rFonts w:ascii="Times New Roman" w:hAnsi="Times New Roman" w:cs="Times New Roman" w:eastAsia="Times New Roman" w:hint="default"/>
          <w:spacing w:val="-11"/>
        </w:rPr>
        <w:t> </w:t>
      </w:r>
      <w:r>
        <w:rPr/>
        <w:t>万股，激励对象共计</w:t>
      </w:r>
      <w:r>
        <w:rPr>
          <w:spacing w:val="-53"/>
        </w:rPr>
        <w:t> </w:t>
      </w:r>
      <w:r>
        <w:rPr>
          <w:rFonts w:ascii="Times New Roman" w:hAnsi="Times New Roman" w:cs="Times New Roman" w:eastAsia="Times New Roman" w:hint="default"/>
        </w:rPr>
        <w:t>199</w:t>
      </w:r>
      <w:r>
        <w:rPr>
          <w:rFonts w:ascii="Times New Roman" w:hAnsi="Times New Roman" w:cs="Times New Roman" w:eastAsia="Times New Roman" w:hint="default"/>
          <w:spacing w:val="-11"/>
        </w:rPr>
        <w:t> </w:t>
      </w:r>
      <w:r>
        <w:rPr/>
        <w:t>人。</w:t>
      </w:r>
    </w:p>
    <w:p>
      <w:pPr>
        <w:spacing w:line="240" w:lineRule="auto" w:before="8"/>
        <w:rPr>
          <w:rFonts w:ascii="宋体" w:hAnsi="宋体" w:cs="宋体" w:eastAsia="宋体" w:hint="default"/>
          <w:sz w:val="16"/>
          <w:szCs w:val="16"/>
        </w:rPr>
      </w:pPr>
    </w:p>
    <w:p>
      <w:pPr>
        <w:pStyle w:val="BodyText"/>
        <w:spacing w:line="292" w:lineRule="auto"/>
        <w:ind w:left="154" w:right="1130" w:firstLine="420"/>
        <w:jc w:val="both"/>
      </w:pPr>
      <w:r>
        <w:rPr/>
        <w:t>本股权激励计划授予的限制性股票限售期为自授予登记完成之日起</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个月、</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个月、</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t>个月。激励 </w:t>
      </w:r>
      <w:r>
        <w:rPr>
          <w:spacing w:val="-1"/>
        </w:rPr>
        <w:t>对象根据本股权激励计划获授的限制性股票在解除限售前不得转让、用于担保或偿还债务。激励对象因获</w:t>
      </w:r>
      <w:r>
        <w:rPr>
          <w:spacing w:val="-81"/>
        </w:rPr>
        <w:t> </w:t>
      </w:r>
      <w:r>
        <w:rPr>
          <w:spacing w:val="-81"/>
        </w:rPr>
      </w:r>
      <w:r>
        <w:rPr>
          <w:spacing w:val="-1"/>
        </w:rPr>
        <w:t>受的尚未解除限售的限制性股票而取得的资本公积转增股本、派息、派发股票红利、股票拆细等股份和红</w:t>
      </w:r>
      <w:r>
        <w:rPr>
          <w:spacing w:val="-83"/>
        </w:rPr>
        <w:t> </w:t>
      </w:r>
      <w:r>
        <w:rPr>
          <w:spacing w:val="-83"/>
        </w:rPr>
      </w:r>
      <w:r>
        <w:rPr>
          <w:spacing w:val="-1"/>
        </w:rPr>
        <w:t>利同时按本激励计划进行锁定。本激励计划授予的限制性股票的解除限售期及各期解除限售时间安排如下</w:t>
      </w:r>
      <w:r>
        <w:rPr>
          <w:spacing w:val="-81"/>
        </w:rPr>
        <w:t> </w:t>
      </w:r>
      <w:r>
        <w:rPr>
          <w:spacing w:val="-81"/>
        </w:rPr>
      </w:r>
      <w:r>
        <w:rPr/>
        <w:t>表所示：</w:t>
      </w:r>
    </w:p>
    <w:p>
      <w:pPr>
        <w:spacing w:line="240" w:lineRule="auto" w:before="5"/>
        <w:rPr>
          <w:rFonts w:ascii="宋体" w:hAnsi="宋体" w:cs="宋体" w:eastAsia="宋体" w:hint="default"/>
          <w:sz w:val="14"/>
          <w:szCs w:val="14"/>
        </w:rPr>
      </w:pPr>
    </w:p>
    <w:p>
      <w:pPr>
        <w:pStyle w:val="BodyText"/>
        <w:spacing w:line="240" w:lineRule="auto"/>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、第一个解除限售期为自授予登记完成之日起 </w:t>
      </w:r>
      <w:r>
        <w:rPr>
          <w:rFonts w:ascii="Times New Roman" w:hAnsi="Times New Roman" w:cs="Times New Roman" w:eastAsia="Times New Roman" w:hint="default"/>
        </w:rPr>
        <w:t>12  </w:t>
      </w:r>
      <w:r>
        <w:rPr/>
        <w:t>个月后的首个交易日起至授予登记完成之日起</w:t>
      </w:r>
      <w:r>
        <w:rPr>
          <w:spacing w:val="-26"/>
        </w:rPr>
        <w:t> </w:t>
      </w:r>
      <w:r>
        <w:rPr>
          <w:rFonts w:ascii="Times New Roman" w:hAnsi="Times New Roman" w:cs="Times New Roman" w:eastAsia="Times New Roman" w:hint="default"/>
        </w:rPr>
        <w:t>24</w:t>
      </w:r>
    </w:p>
    <w:p>
      <w:pPr>
        <w:pStyle w:val="BodyText"/>
        <w:spacing w:line="240" w:lineRule="auto" w:before="49"/>
        <w:ind w:left="154" w:right="1116"/>
        <w:jc w:val="left"/>
      </w:pPr>
      <w:r>
        <w:rPr/>
        <w:t>个月内的最后一个交易日当日止，解除限售比例为</w:t>
      </w:r>
      <w:r>
        <w:rPr>
          <w:spacing w:val="-52"/>
        </w:rPr>
        <w:t> </w:t>
      </w:r>
      <w:r>
        <w:rPr>
          <w:rFonts w:ascii="Times New Roman" w:hAnsi="Times New Roman" w:cs="Times New Roman" w:eastAsia="Times New Roman" w:hint="default"/>
        </w:rPr>
        <w:t>30%</w:t>
      </w:r>
      <w:r>
        <w:rPr/>
        <w:t>；</w:t>
      </w:r>
    </w:p>
    <w:p>
      <w:pPr>
        <w:spacing w:line="240" w:lineRule="auto" w:before="9"/>
        <w:rPr>
          <w:rFonts w:ascii="宋体" w:hAnsi="宋体" w:cs="宋体" w:eastAsia="宋体" w:hint="default"/>
          <w:sz w:val="16"/>
          <w:szCs w:val="16"/>
        </w:rPr>
      </w:pPr>
    </w:p>
    <w:p>
      <w:pPr>
        <w:pStyle w:val="BodyText"/>
        <w:spacing w:line="240" w:lineRule="auto"/>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、第二个解除限售期为自授予登记完成之日起 </w:t>
      </w:r>
      <w:r>
        <w:rPr>
          <w:rFonts w:ascii="Times New Roman" w:hAnsi="Times New Roman" w:cs="Times New Roman" w:eastAsia="Times New Roman" w:hint="default"/>
        </w:rPr>
        <w:t>24  </w:t>
      </w:r>
      <w:r>
        <w:rPr/>
        <w:t>个月后的首个交易日起至授予登记完成之日起</w:t>
      </w:r>
      <w:r>
        <w:rPr>
          <w:spacing w:val="-26"/>
        </w:rPr>
        <w:t> </w:t>
      </w:r>
      <w:r>
        <w:rPr>
          <w:rFonts w:ascii="Times New Roman" w:hAnsi="Times New Roman" w:cs="Times New Roman" w:eastAsia="Times New Roman" w:hint="default"/>
        </w:rPr>
        <w:t>36</w:t>
      </w:r>
    </w:p>
    <w:p>
      <w:pPr>
        <w:pStyle w:val="BodyText"/>
        <w:spacing w:line="240" w:lineRule="auto" w:before="50"/>
        <w:ind w:left="154" w:right="1116"/>
        <w:jc w:val="left"/>
      </w:pPr>
      <w:r>
        <w:rPr/>
        <w:t>个月内的最后一个交易日当日止，解除限售比例为</w:t>
      </w:r>
      <w:r>
        <w:rPr>
          <w:spacing w:val="-52"/>
        </w:rPr>
        <w:t> </w:t>
      </w:r>
      <w:r>
        <w:rPr>
          <w:rFonts w:ascii="Times New Roman" w:hAnsi="Times New Roman" w:cs="Times New Roman" w:eastAsia="Times New Roman" w:hint="default"/>
        </w:rPr>
        <w:t>30%</w:t>
      </w:r>
      <w:r>
        <w:rPr/>
        <w:t>；</w:t>
      </w:r>
    </w:p>
    <w:p>
      <w:pPr>
        <w:spacing w:line="240" w:lineRule="auto" w:before="8"/>
        <w:rPr>
          <w:rFonts w:ascii="宋体" w:hAnsi="宋体" w:cs="宋体" w:eastAsia="宋体" w:hint="default"/>
          <w:sz w:val="16"/>
          <w:szCs w:val="16"/>
        </w:rPr>
      </w:pPr>
    </w:p>
    <w:p>
      <w:pPr>
        <w:pStyle w:val="BodyText"/>
        <w:spacing w:line="240" w:lineRule="auto"/>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、第三个解除限售期为自授予登记完成之日起 </w:t>
      </w:r>
      <w:r>
        <w:rPr>
          <w:rFonts w:ascii="Times New Roman" w:hAnsi="Times New Roman" w:cs="Times New Roman" w:eastAsia="Times New Roman" w:hint="default"/>
        </w:rPr>
        <w:t>36  </w:t>
      </w:r>
      <w:r>
        <w:rPr/>
        <w:t>个月后的首个交易日起至授予登记完成之日起</w:t>
      </w:r>
      <w:r>
        <w:rPr>
          <w:spacing w:val="-26"/>
        </w:rPr>
        <w:t> </w:t>
      </w:r>
      <w:r>
        <w:rPr>
          <w:rFonts w:ascii="Times New Roman" w:hAnsi="Times New Roman" w:cs="Times New Roman" w:eastAsia="Times New Roman" w:hint="default"/>
        </w:rPr>
        <w:t>48</w:t>
      </w:r>
    </w:p>
    <w:p>
      <w:pPr>
        <w:pStyle w:val="BodyText"/>
        <w:spacing w:line="240" w:lineRule="auto" w:before="50"/>
        <w:ind w:left="154" w:right="1116"/>
        <w:jc w:val="left"/>
      </w:pPr>
      <w:r>
        <w:rPr/>
        <w:t>个月内的最后一个交易日当日止，解除限售比例为</w:t>
      </w:r>
      <w:r>
        <w:rPr>
          <w:spacing w:val="-52"/>
        </w:rPr>
        <w:t> </w:t>
      </w:r>
      <w:r>
        <w:rPr>
          <w:rFonts w:ascii="Times New Roman" w:hAnsi="Times New Roman" w:cs="Times New Roman" w:eastAsia="Times New Roman" w:hint="default"/>
        </w:rPr>
        <w:t>40%</w:t>
      </w:r>
      <w:r>
        <w:rPr/>
        <w:t>；</w:t>
      </w:r>
    </w:p>
    <w:p>
      <w:pPr>
        <w:spacing w:line="240" w:lineRule="auto" w:before="9"/>
        <w:rPr>
          <w:rFonts w:ascii="宋体" w:hAnsi="宋体" w:cs="宋体" w:eastAsia="宋体" w:hint="default"/>
          <w:sz w:val="16"/>
          <w:szCs w:val="16"/>
        </w:rPr>
      </w:pPr>
    </w:p>
    <w:p>
      <w:pPr>
        <w:pStyle w:val="BodyText"/>
        <w:spacing w:line="297" w:lineRule="auto"/>
        <w:ind w:left="154" w:right="1110" w:firstLine="420"/>
        <w:jc w:val="both"/>
      </w:pPr>
      <w:r>
        <w:rPr/>
        <w:t>本计划授予的限制性股票在限售期满后，本公司为满足解除限售条件的激励对象办理解除限售事宜， </w:t>
      </w:r>
      <w:r>
        <w:rPr>
          <w:spacing w:val="-1"/>
        </w:rPr>
        <w:t>未满足解除限售条件的激励对象持有的限制性股票由本公司回购注销，回购价格为授予价格，限制性股票</w:t>
      </w:r>
    </w:p>
    <w:p>
      <w:pPr>
        <w:spacing w:after="0" w:line="297" w:lineRule="auto"/>
        <w:jc w:val="both"/>
        <w:sectPr>
          <w:pgSz w:w="11910" w:h="16840"/>
          <w:pgMar w:header="801" w:footer="1007" w:top="1080" w:bottom="1200" w:left="980" w:right="0"/>
        </w:sectPr>
      </w:pPr>
    </w:p>
    <w:p>
      <w:pPr>
        <w:spacing w:line="240" w:lineRule="auto" w:before="9"/>
        <w:rPr>
          <w:rFonts w:ascii="宋体" w:hAnsi="宋体" w:cs="宋体" w:eastAsia="宋体" w:hint="default"/>
          <w:sz w:val="21"/>
          <w:szCs w:val="21"/>
        </w:rPr>
      </w:pPr>
    </w:p>
    <w:p>
      <w:pPr>
        <w:pStyle w:val="BodyText"/>
        <w:spacing w:line="444" w:lineRule="auto" w:before="35"/>
        <w:ind w:right="5922" w:hanging="420"/>
        <w:jc w:val="left"/>
      </w:pPr>
      <w:r>
        <w:rPr/>
        <w:t>解除限售条件未成就时，相关权益不得递延至下期。 上述限制性股票的解除限售条件主要为：</w:t>
      </w:r>
    </w:p>
    <w:p>
      <w:pPr>
        <w:pStyle w:val="BodyText"/>
        <w:spacing w:line="240" w:lineRule="auto" w:before="54"/>
        <w:ind w:right="1016"/>
        <w:jc w:val="left"/>
      </w:pPr>
      <w:r>
        <w:rPr/>
        <w:t>公司层面业绩考核要求，本激励计划的解除限售考核年度为</w:t>
      </w:r>
      <w:r>
        <w:rPr>
          <w:spacing w:val="-37"/>
        </w:rPr>
        <w:t> </w:t>
      </w:r>
      <w:r>
        <w:rPr>
          <w:rFonts w:ascii="Times New Roman" w:hAnsi="Times New Roman" w:cs="Times New Roman" w:eastAsia="Times New Roman" w:hint="default"/>
        </w:rPr>
        <w:t>2017-2019</w:t>
      </w:r>
      <w:r>
        <w:rPr>
          <w:rFonts w:ascii="Times New Roman" w:hAnsi="Times New Roman" w:cs="Times New Roman" w:eastAsia="Times New Roman" w:hint="default"/>
          <w:spacing w:val="-5"/>
        </w:rPr>
        <w:t> </w:t>
      </w:r>
      <w:r>
        <w:rPr/>
        <w:t>年三个会计年度，每个会计年</w:t>
      </w:r>
    </w:p>
    <w:p>
      <w:pPr>
        <w:pStyle w:val="BodyText"/>
        <w:spacing w:line="280" w:lineRule="auto" w:before="50"/>
        <w:ind w:left="214" w:right="1129"/>
        <w:jc w:val="both"/>
      </w:pPr>
      <w:r>
        <w:rPr>
          <w:spacing w:val="-3"/>
        </w:rPr>
        <w:t>度考核一次，各年度业绩考核目标如下：第一个解除限售期业绩考核目标以</w:t>
      </w:r>
      <w:r>
        <w:rPr>
          <w:spacing w:val="-3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spacing w:val="-4"/>
        </w:rPr>
        <w:t>年营业收入为基数，</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50"/>
        </w:rPr>
        <w:t> </w:t>
      </w:r>
      <w:r>
        <w:rPr/>
        <w:t>年营业收入增长率不低于</w:t>
      </w:r>
      <w:r>
        <w:rPr>
          <w:spacing w:val="-40"/>
        </w:rPr>
        <w:t> </w:t>
      </w:r>
      <w:r>
        <w:rPr>
          <w:rFonts w:ascii="Times New Roman" w:hAnsi="Times New Roman" w:cs="Times New Roman" w:eastAsia="Times New Roman" w:hint="default"/>
        </w:rPr>
        <w:t>20%</w:t>
      </w:r>
      <w:r>
        <w:rPr/>
        <w:t>；第二个解除限售期以</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年营业收入为基数，</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年度营业收入增长率 不低于</w:t>
      </w:r>
      <w:r>
        <w:rPr>
          <w:spacing w:val="-54"/>
        </w:rPr>
        <w:t> </w:t>
      </w:r>
      <w:r>
        <w:rPr>
          <w:rFonts w:ascii="Times New Roman" w:hAnsi="Times New Roman" w:cs="Times New Roman" w:eastAsia="Times New Roman" w:hint="default"/>
        </w:rPr>
        <w:t>40%</w:t>
      </w:r>
      <w:r>
        <w:rPr/>
        <w:t>；第三个解除限售期以</w:t>
      </w:r>
      <w:r>
        <w:rPr>
          <w:spacing w:val="-5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t>年营业收入为基数，</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年度营业收入增长率不低于</w:t>
      </w:r>
      <w:r>
        <w:rPr>
          <w:spacing w:val="-54"/>
        </w:rPr>
        <w:t> </w:t>
      </w:r>
      <w:r>
        <w:rPr>
          <w:rFonts w:ascii="Times New Roman" w:hAnsi="Times New Roman" w:cs="Times New Roman" w:eastAsia="Times New Roman" w:hint="default"/>
        </w:rPr>
        <w:t>60%</w:t>
      </w:r>
      <w:r>
        <w:rPr/>
        <w:t>。</w:t>
      </w:r>
    </w:p>
    <w:p>
      <w:pPr>
        <w:pStyle w:val="BodyText"/>
        <w:spacing w:line="297" w:lineRule="auto" w:before="178"/>
        <w:ind w:left="214" w:right="1131" w:firstLine="420"/>
        <w:jc w:val="both"/>
      </w:pPr>
      <w:r>
        <w:rPr>
          <w:spacing w:val="-1"/>
        </w:rPr>
        <w:t>公司未满足上述业绩考核目标的，所有激励对象对应考核当年获受的限制性股票均不得解除限售，由</w:t>
      </w:r>
      <w:r>
        <w:rPr/>
        <w:t> 公司回购注销，回购价格为授予价格。</w:t>
      </w:r>
    </w:p>
    <w:p>
      <w:pPr>
        <w:spacing w:line="240" w:lineRule="auto" w:before="0"/>
        <w:rPr>
          <w:rFonts w:ascii="宋体" w:hAnsi="宋体" w:cs="宋体" w:eastAsia="宋体" w:hint="default"/>
          <w:sz w:val="14"/>
          <w:szCs w:val="14"/>
        </w:rPr>
      </w:pPr>
    </w:p>
    <w:p>
      <w:pPr>
        <w:pStyle w:val="BodyText"/>
        <w:spacing w:line="280" w:lineRule="auto"/>
        <w:ind w:left="214" w:right="1130" w:firstLine="420"/>
        <w:jc w:val="both"/>
      </w:pPr>
      <w:r>
        <w:rPr/>
        <w:t>个人层面绩效考核要求，激励对象个人考核按照《公司 </w:t>
      </w:r>
      <w:r>
        <w:rPr>
          <w:rFonts w:ascii="Times New Roman" w:hAnsi="Times New Roman" w:cs="Times New Roman" w:eastAsia="Times New Roman" w:hint="default"/>
        </w:rPr>
        <w:t>2017</w:t>
      </w:r>
      <w:r>
        <w:rPr>
          <w:rFonts w:ascii="Times New Roman" w:hAnsi="Times New Roman" w:cs="Times New Roman" w:eastAsia="Times New Roman" w:hint="default"/>
          <w:spacing w:val="30"/>
        </w:rPr>
        <w:t> </w:t>
      </w:r>
      <w:r>
        <w:rPr/>
        <w:t>年限制性股票激励计划实施考核管理办 法》分年进行考核，根据个人的绩效考评评价指标确定考核结果，划分为 </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C</w:t>
      </w:r>
      <w:r>
        <w:rPr/>
        <w:t>、</w:t>
      </w:r>
      <w:r>
        <w:rPr>
          <w:rFonts w:ascii="Times New Roman" w:hAnsi="Times New Roman" w:cs="Times New Roman" w:eastAsia="Times New Roman" w:hint="default"/>
        </w:rPr>
        <w:t>D</w:t>
      </w:r>
      <w:r>
        <w:rPr>
          <w:rFonts w:ascii="Times New Roman" w:hAnsi="Times New Roman" w:cs="Times New Roman" w:eastAsia="Times New Roman" w:hint="default"/>
          <w:spacing w:val="27"/>
        </w:rPr>
        <w:t> </w:t>
      </w:r>
      <w:r>
        <w:rPr/>
        <w:t>五个档次， 分别对应标准系数</w:t>
      </w:r>
      <w:r>
        <w:rPr>
          <w:spacing w:val="9"/>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0</w:t>
      </w:r>
      <w:r>
        <w:rPr/>
        <w:t>、</w:t>
      </w:r>
      <w:r>
        <w:rPr>
          <w:rFonts w:ascii="Times New Roman" w:hAnsi="Times New Roman" w:cs="Times New Roman" w:eastAsia="Times New Roman" w:hint="default"/>
        </w:rPr>
        <w:t>0</w:t>
      </w:r>
      <w:r>
        <w:rPr/>
        <w:t>，个人当年实际解除限售额度＝标准系数</w:t>
      </w:r>
      <w:r>
        <w:rPr>
          <w:rFonts w:ascii="Times New Roman" w:hAnsi="Times New Roman" w:cs="Times New Roman" w:eastAsia="Times New Roman" w:hint="default"/>
        </w:rPr>
        <w:t>×</w:t>
      </w:r>
      <w:r>
        <w:rPr/>
        <w:t>个人当年计划解除限售 额度。</w:t>
      </w:r>
    </w:p>
    <w:p>
      <w:pPr>
        <w:spacing w:line="240" w:lineRule="auto" w:before="1"/>
        <w:rPr>
          <w:rFonts w:ascii="宋体" w:hAnsi="宋体" w:cs="宋体" w:eastAsia="宋体" w:hint="default"/>
          <w:sz w:val="15"/>
          <w:szCs w:val="15"/>
        </w:rPr>
      </w:pPr>
    </w:p>
    <w:p>
      <w:pPr>
        <w:pStyle w:val="BodyText"/>
        <w:spacing w:line="240" w:lineRule="auto"/>
        <w:ind w:right="1016"/>
        <w:jc w:val="left"/>
      </w:pPr>
      <w:r>
        <w:rPr/>
        <w:t>激励对象考核当年不能解除限售的限制性股票，由公司回购注销，回购价格为授予价格。</w:t>
      </w:r>
    </w:p>
    <w:p>
      <w:pPr>
        <w:spacing w:line="240" w:lineRule="auto" w:before="4"/>
        <w:rPr>
          <w:rFonts w:ascii="宋体" w:hAnsi="宋体" w:cs="宋体" w:eastAsia="宋体" w:hint="default"/>
          <w:sz w:val="17"/>
          <w:szCs w:val="17"/>
        </w:rPr>
      </w:pPr>
    </w:p>
    <w:p>
      <w:pPr>
        <w:pStyle w:val="BodyText"/>
        <w:spacing w:line="240" w:lineRule="auto"/>
        <w:ind w:right="1016"/>
        <w:jc w:val="left"/>
        <w:rPr>
          <w:rFonts w:ascii="微软雅黑" w:hAnsi="微软雅黑" w:cs="微软雅黑" w:eastAsia="微软雅黑" w:hint="default"/>
        </w:rPr>
      </w:pPr>
      <w:bookmarkStart w:name="2、以权益结算的股份支付情况" w:id="409"/>
      <w:bookmarkEnd w:id="409"/>
      <w:r>
        <w:rPr/>
      </w:r>
      <w:r>
        <w:rPr>
          <w:rFonts w:ascii="Times New Roman" w:hAnsi="Times New Roman" w:cs="Times New Roman" w:eastAsia="Times New Roman" w:hint="default"/>
        </w:rPr>
        <w:t>2</w:t>
      </w:r>
      <w:r>
        <w:rPr>
          <w:rFonts w:ascii="微软雅黑" w:hAnsi="微软雅黑" w:cs="微软雅黑" w:eastAsia="微软雅黑" w:hint="default"/>
        </w:rPr>
        <w:t>、以权益结算的股份支付情况</w:t>
      </w:r>
    </w:p>
    <w:p>
      <w:pPr>
        <w:spacing w:line="240" w:lineRule="auto" w:before="16"/>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33"/>
        <w:gridCol w:w="4722"/>
      </w:tblGrid>
      <w:tr>
        <w:trPr>
          <w:trHeight w:val="47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年激励计划采用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年激励</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计划采用授予日本公司股票收盘价格与授予价格的差</w:t>
            </w:r>
          </w:p>
        </w:tc>
      </w:tr>
      <w:tr>
        <w:trPr>
          <w:trHeight w:val="47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根据截至本财务报告批准日最新取得的可行权职工人数变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动等后续信息进行最佳估计</w:t>
            </w:r>
          </w:p>
        </w:tc>
      </w:tr>
      <w:tr>
        <w:trPr>
          <w:trHeight w:val="40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2"/>
                <w:sz w:val="18"/>
              </w:rPr>
              <w:t>111,435,536.57</w:t>
            </w:r>
          </w:p>
        </w:tc>
      </w:tr>
      <w:tr>
        <w:trPr>
          <w:trHeight w:val="40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35,651,685.30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3、以现金结算的股份支付情况" w:id="410"/>
      <w:bookmarkEnd w:id="410"/>
      <w:r>
        <w:rPr/>
      </w:r>
      <w:r>
        <w:rPr>
          <w:rFonts w:ascii="Times New Roman" w:hAnsi="Times New Roman" w:cs="Times New Roman" w:eastAsia="Times New Roman" w:hint="default"/>
        </w:rPr>
        <w:t>3</w:t>
      </w:r>
      <w:r>
        <w:rPr>
          <w:rFonts w:ascii="微软雅黑" w:hAnsi="微软雅黑" w:cs="微软雅黑" w:eastAsia="微软雅黑" w:hint="default"/>
        </w:rPr>
        <w:t>、以现金结算的股份支付情况</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33"/>
        <w:gridCol w:w="4722"/>
      </w:tblGrid>
      <w:tr>
        <w:trPr>
          <w:trHeight w:val="476"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公司承担的、以股份或其他权益工具为基础计算确定的负债的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公允价值确定方法</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负债中以现金结算的股份支付产生的累计负债金额</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615,074.98</w:t>
            </w:r>
          </w:p>
        </w:tc>
      </w:tr>
      <w:tr>
        <w:trPr>
          <w:trHeight w:val="40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本期以现金结算的股份支付而确认的费用总额</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-4,161,404.59</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4、股份支付的修改、终止情况" w:id="411"/>
      <w:bookmarkEnd w:id="411"/>
      <w:r>
        <w:rPr/>
      </w:r>
      <w:r>
        <w:rPr>
          <w:rFonts w:ascii="Times New Roman" w:hAnsi="Times New Roman" w:cs="Times New Roman" w:eastAsia="Times New Roman" w:hint="default"/>
        </w:rPr>
        <w:t>4</w:t>
      </w:r>
      <w:r>
        <w:rPr>
          <w:rFonts w:ascii="微软雅黑" w:hAnsi="微软雅黑" w:cs="微软雅黑" w:eastAsia="微软雅黑" w:hint="default"/>
        </w:rPr>
        <w:t>、股份支付的修改、终止情况</w:t>
      </w:r>
    </w:p>
    <w:p>
      <w:pPr>
        <w:spacing w:line="240" w:lineRule="auto" w:before="9"/>
        <w:rPr>
          <w:rFonts w:ascii="微软雅黑" w:hAnsi="微软雅黑" w:cs="微软雅黑" w:eastAsia="微软雅黑" w:hint="default"/>
          <w:sz w:val="20"/>
          <w:szCs w:val="20"/>
        </w:rPr>
      </w:pPr>
    </w:p>
    <w:p>
      <w:pPr>
        <w:pStyle w:val="BodyText"/>
        <w:spacing w:line="240" w:lineRule="auto"/>
        <w:ind w:right="1016"/>
        <w:jc w:val="left"/>
      </w:pPr>
      <w:r>
        <w:rPr/>
        <w:t>无</w:t>
      </w:r>
    </w:p>
    <w:p>
      <w:pPr>
        <w:spacing w:after="0" w:line="240" w:lineRule="auto"/>
        <w:jc w:val="left"/>
        <w:sectPr>
          <w:pgSz w:w="11910" w:h="16840"/>
          <w:pgMar w:header="801" w:footer="1007" w:top="1080" w:bottom="1200" w:left="920" w:right="0"/>
        </w:sectPr>
      </w:pPr>
    </w:p>
    <w:p>
      <w:pPr>
        <w:spacing w:line="240" w:lineRule="auto" w:before="3"/>
        <w:rPr>
          <w:rFonts w:ascii="宋体" w:hAnsi="宋体" w:cs="宋体" w:eastAsia="宋体" w:hint="default"/>
          <w:sz w:val="29"/>
          <w:szCs w:val="29"/>
        </w:rPr>
      </w:pPr>
    </w:p>
    <w:p>
      <w:pPr>
        <w:pStyle w:val="Heading2"/>
        <w:spacing w:line="397" w:lineRule="exact"/>
        <w:ind w:right="1016"/>
        <w:jc w:val="left"/>
      </w:pPr>
      <w:bookmarkStart w:name="十四、承诺及或有事项" w:id="412"/>
      <w:bookmarkEnd w:id="412"/>
      <w:r>
        <w:rPr/>
      </w:r>
      <w:r>
        <w:rPr/>
        <w:t>十四、承诺及或有事项</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重要承诺事项" w:id="413"/>
      <w:bookmarkEnd w:id="413"/>
      <w:r>
        <w:rPr/>
      </w:r>
      <w:r>
        <w:rPr>
          <w:rFonts w:ascii="Times New Roman" w:hAnsi="Times New Roman" w:cs="Times New Roman" w:eastAsia="Times New Roman" w:hint="default"/>
        </w:rPr>
        <w:t>1</w:t>
      </w:r>
      <w:r>
        <w:rPr>
          <w:rFonts w:ascii="微软雅黑" w:hAnsi="微软雅黑" w:cs="微软雅黑" w:eastAsia="微软雅黑" w:hint="default"/>
        </w:rPr>
        <w:t>、重要承诺事项</w:t>
      </w:r>
    </w:p>
    <w:p>
      <w:pPr>
        <w:spacing w:line="240" w:lineRule="auto" w:before="9"/>
        <w:rPr>
          <w:rFonts w:ascii="微软雅黑" w:hAnsi="微软雅黑" w:cs="微软雅黑" w:eastAsia="微软雅黑" w:hint="default"/>
          <w:sz w:val="20"/>
          <w:szCs w:val="20"/>
        </w:rPr>
      </w:pPr>
    </w:p>
    <w:p>
      <w:pPr>
        <w:pStyle w:val="BodyText"/>
        <w:spacing w:line="240" w:lineRule="auto"/>
        <w:ind w:right="1016"/>
        <w:jc w:val="left"/>
      </w:pPr>
      <w:r>
        <w:rPr/>
        <w:t>资产负债表日存在的重要承诺</w:t>
      </w:r>
    </w:p>
    <w:p>
      <w:pPr>
        <w:spacing w:line="240" w:lineRule="auto" w:before="10"/>
        <w:rPr>
          <w:rFonts w:ascii="宋体" w:hAnsi="宋体" w:cs="宋体" w:eastAsia="宋体" w:hint="default"/>
          <w:sz w:val="17"/>
          <w:szCs w:val="17"/>
        </w:rPr>
      </w:pPr>
    </w:p>
    <w:p>
      <w:pPr>
        <w:pStyle w:val="BodyText"/>
        <w:spacing w:line="420" w:lineRule="auto"/>
        <w:ind w:right="2772"/>
        <w:jc w:val="left"/>
      </w:pPr>
      <w:r>
        <w:rPr/>
        <w:t>（</w:t>
      </w:r>
      <w:r>
        <w:rPr>
          <w:rFonts w:ascii="Times New Roman" w:hAnsi="Times New Roman" w:cs="Times New Roman" w:eastAsia="Times New Roman" w:hint="default"/>
        </w:rPr>
        <w:t>1</w:t>
      </w:r>
      <w:r>
        <w:rPr/>
        <w:t>）经营租赁承诺 至资产负债表日止，本公司对外签订的重大的不可撤销的经营租赁合约情况如下：</w:t>
      </w:r>
    </w:p>
    <w:p>
      <w:pPr>
        <w:spacing w:line="240" w:lineRule="auto" w:before="7"/>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6159"/>
        <w:gridCol w:w="1848"/>
        <w:gridCol w:w="1848"/>
      </w:tblGrid>
      <w:tr>
        <w:trPr>
          <w:trHeight w:val="427" w:hRule="exact"/>
        </w:trPr>
        <w:tc>
          <w:tcPr>
            <w:tcW w:w="6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left="1544" w:right="0"/>
              <w:jc w:val="left"/>
              <w:rPr>
                <w:rFonts w:ascii="宋体" w:hAnsi="宋体" w:cs="宋体" w:eastAsia="宋体" w:hint="default"/>
                <w:sz w:val="18"/>
                <w:szCs w:val="18"/>
              </w:rPr>
            </w:pPr>
            <w:r>
              <w:rPr>
                <w:rFonts w:ascii="宋体" w:hAnsi="宋体" w:cs="宋体" w:eastAsia="宋体" w:hint="default"/>
                <w:sz w:val="18"/>
                <w:szCs w:val="18"/>
              </w:rPr>
              <w:t>不可撤销的经营租赁的最低租赁付款额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7" w:hRule="exact"/>
        </w:trPr>
        <w:tc>
          <w:tcPr>
            <w:tcW w:w="6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41,610,137.63</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17,375,434.59</w:t>
            </w:r>
          </w:p>
        </w:tc>
      </w:tr>
      <w:tr>
        <w:trPr>
          <w:trHeight w:val="427" w:hRule="exact"/>
        </w:trPr>
        <w:tc>
          <w:tcPr>
            <w:tcW w:w="6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34,902,108.71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7,083,669.19</w:t>
            </w:r>
          </w:p>
        </w:tc>
      </w:tr>
      <w:tr>
        <w:trPr>
          <w:trHeight w:val="427" w:hRule="exact"/>
        </w:trPr>
        <w:tc>
          <w:tcPr>
            <w:tcW w:w="6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25,432,446.70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1,678,468.76</w:t>
            </w:r>
          </w:p>
        </w:tc>
      </w:tr>
      <w:tr>
        <w:trPr>
          <w:trHeight w:val="427" w:hRule="exact"/>
        </w:trPr>
        <w:tc>
          <w:tcPr>
            <w:tcW w:w="6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34,884,981.55</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1,113,200.00</w:t>
            </w:r>
          </w:p>
        </w:tc>
      </w:tr>
      <w:tr>
        <w:trPr>
          <w:trHeight w:val="427" w:hRule="exact"/>
        </w:trPr>
        <w:tc>
          <w:tcPr>
            <w:tcW w:w="6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b/>
                <w:spacing w:val="-1"/>
                <w:sz w:val="18"/>
              </w:rPr>
              <w:t>136,829,674.59</w:t>
            </w:r>
            <w:r>
              <w:rPr>
                <w:rFonts w:ascii="Times New Roman"/>
                <w:spacing w:val="-1"/>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b/>
                <w:spacing w:val="-1"/>
                <w:sz w:val="18"/>
              </w:rPr>
              <w:t>27,250,772.54</w:t>
            </w:r>
            <w:r>
              <w:rPr>
                <w:rFonts w:ascii="Times New Roman"/>
                <w:spacing w:val="-1"/>
                <w:sz w:val="18"/>
              </w:rPr>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w:t>
      </w:r>
      <w:r>
        <w:rPr>
          <w:rFonts w:ascii="Times New Roman" w:hAnsi="Times New Roman" w:cs="Times New Roman" w:eastAsia="Times New Roman" w:hint="default"/>
        </w:rPr>
        <w:t>2</w:t>
      </w:r>
      <w:r>
        <w:rPr/>
        <w:t>）其他承诺事项</w:t>
      </w:r>
    </w:p>
    <w:p>
      <w:pPr>
        <w:spacing w:line="240" w:lineRule="auto" w:before="9"/>
        <w:rPr>
          <w:rFonts w:ascii="宋体" w:hAnsi="宋体" w:cs="宋体" w:eastAsia="宋体" w:hint="default"/>
          <w:sz w:val="16"/>
          <w:szCs w:val="16"/>
        </w:rPr>
      </w:pPr>
    </w:p>
    <w:p>
      <w:pPr>
        <w:pStyle w:val="BodyText"/>
        <w:spacing w:line="240" w:lineRule="auto"/>
        <w:ind w:right="1016"/>
        <w:jc w:val="left"/>
      </w:pPr>
      <w:r>
        <w:rPr/>
        <w:t>截至</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日，本集团不存在其他应披露的承诺事项。</w:t>
      </w:r>
    </w:p>
    <w:p>
      <w:pPr>
        <w:spacing w:line="240" w:lineRule="auto" w:before="1"/>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2、或有事项" w:id="414"/>
      <w:bookmarkEnd w:id="414"/>
      <w:r>
        <w:rPr/>
      </w:r>
      <w:r>
        <w:rPr>
          <w:rFonts w:ascii="Times New Roman" w:hAnsi="Times New Roman" w:cs="Times New Roman" w:eastAsia="Times New Roman" w:hint="default"/>
        </w:rPr>
        <w:t>2</w:t>
      </w:r>
      <w:r>
        <w:rPr>
          <w:rFonts w:ascii="微软雅黑" w:hAnsi="微软雅黑" w:cs="微软雅黑" w:eastAsia="微软雅黑" w:hint="default"/>
        </w:rPr>
        <w:t>、或有事项</w:t>
      </w:r>
    </w:p>
    <w:p>
      <w:pPr>
        <w:spacing w:line="240" w:lineRule="auto" w:before="8"/>
        <w:rPr>
          <w:rFonts w:ascii="微软雅黑" w:hAnsi="微软雅黑" w:cs="微软雅黑" w:eastAsia="微软雅黑" w:hint="default"/>
          <w:sz w:val="20"/>
          <w:szCs w:val="20"/>
        </w:rPr>
      </w:pPr>
    </w:p>
    <w:p>
      <w:pPr>
        <w:pStyle w:val="BodyText"/>
        <w:spacing w:line="240" w:lineRule="auto"/>
        <w:ind w:left="740" w:right="1016"/>
        <w:jc w:val="left"/>
      </w:pPr>
      <w:bookmarkStart w:name="1）资产负债表日存在的重要或有事项" w:id="415"/>
      <w:bookmarkEnd w:id="415"/>
      <w:r>
        <w:rPr/>
      </w:r>
      <w:r>
        <w:rPr>
          <w:rFonts w:ascii="宋体" w:hAnsi="宋体" w:cs="宋体" w:eastAsia="宋体" w:hint="default"/>
        </w:rPr>
        <w:t>1</w:t>
      </w:r>
      <w:r>
        <w:rPr/>
        <w:t>）资产负债表日存在的重要或有事项</w:t>
      </w:r>
    </w:p>
    <w:p>
      <w:pPr>
        <w:spacing w:line="240" w:lineRule="auto" w:before="10"/>
        <w:rPr>
          <w:rFonts w:ascii="宋体" w:hAnsi="宋体" w:cs="宋体" w:eastAsia="宋体" w:hint="default"/>
          <w:sz w:val="17"/>
          <w:szCs w:val="17"/>
        </w:rPr>
      </w:pPr>
    </w:p>
    <w:p>
      <w:pPr>
        <w:pStyle w:val="BodyText"/>
        <w:spacing w:line="297" w:lineRule="auto"/>
        <w:ind w:left="214" w:right="1133" w:firstLine="420"/>
        <w:jc w:val="both"/>
      </w:pPr>
      <w:r>
        <w:rPr/>
        <w:t>（</w:t>
      </w:r>
      <w:r>
        <w:rPr>
          <w:rFonts w:ascii="宋体" w:hAnsi="宋体" w:cs="宋体" w:eastAsia="宋体" w:hint="default"/>
        </w:rPr>
        <w:t>1</w:t>
      </w:r>
      <w:r>
        <w:rPr/>
        <w:t>）根据本公司</w:t>
      </w:r>
      <w:r>
        <w:rPr>
          <w:spacing w:val="-66"/>
        </w:rPr>
        <w:t> </w:t>
      </w:r>
      <w:r>
        <w:rPr>
          <w:rFonts w:ascii="宋体" w:hAnsi="宋体" w:cs="宋体" w:eastAsia="宋体" w:hint="default"/>
        </w:rPr>
        <w:t>2014</w:t>
      </w:r>
      <w:r>
        <w:rPr>
          <w:rFonts w:ascii="宋体" w:hAnsi="宋体" w:cs="宋体" w:eastAsia="宋体" w:hint="default"/>
          <w:spacing w:val="-66"/>
        </w:rPr>
        <w:t> </w:t>
      </w:r>
      <w:r>
        <w:rPr/>
        <w:t>年第一届董事会十三次会议决议，本公司使用汇丰银行（中国）有限公司北京 </w:t>
      </w:r>
      <w:r>
        <w:rPr>
          <w:spacing w:val="3"/>
        </w:rPr>
        <w:t>分行综合信用额度申请开立备用信用证为本公司之全资子公司香港天集有限公司在香港上海汇丰银行股</w:t>
      </w:r>
      <w:r>
        <w:rPr>
          <w:spacing w:val="-82"/>
        </w:rPr>
        <w:t> </w:t>
      </w:r>
      <w:r>
        <w:rPr>
          <w:spacing w:val="-82"/>
        </w:rPr>
      </w:r>
      <w:r>
        <w:rPr/>
        <w:t>份有限公司申请授信提供担保，金额为美元</w:t>
      </w:r>
      <w:r>
        <w:rPr>
          <w:spacing w:val="-53"/>
        </w:rPr>
        <w:t> </w:t>
      </w:r>
      <w:r>
        <w:rPr>
          <w:rFonts w:ascii="宋体" w:hAnsi="宋体" w:cs="宋体" w:eastAsia="宋体" w:hint="default"/>
        </w:rPr>
        <w:t>140</w:t>
      </w:r>
      <w:r>
        <w:rPr>
          <w:rFonts w:ascii="宋体" w:hAnsi="宋体" w:cs="宋体" w:eastAsia="宋体" w:hint="default"/>
          <w:spacing w:val="-53"/>
        </w:rPr>
        <w:t> </w:t>
      </w:r>
      <w:r>
        <w:rPr/>
        <w:t>万元整，担保期限为</w:t>
      </w:r>
      <w:r>
        <w:rPr>
          <w:spacing w:val="-54"/>
        </w:rPr>
        <w:t> </w:t>
      </w:r>
      <w:r>
        <w:rPr>
          <w:rFonts w:ascii="宋体" w:hAnsi="宋体" w:cs="宋体" w:eastAsia="宋体" w:hint="default"/>
        </w:rPr>
        <w:t>1</w:t>
      </w:r>
      <w:r>
        <w:rPr>
          <w:rFonts w:ascii="宋体" w:hAnsi="宋体" w:cs="宋体" w:eastAsia="宋体" w:hint="default"/>
          <w:spacing w:val="-54"/>
        </w:rPr>
        <w:t> </w:t>
      </w:r>
      <w:r>
        <w:rPr/>
        <w:t>年，延期</w:t>
      </w:r>
      <w:r>
        <w:rPr>
          <w:spacing w:val="-53"/>
        </w:rPr>
        <w:t> </w:t>
      </w:r>
      <w:r>
        <w:rPr>
          <w:rFonts w:ascii="宋体" w:hAnsi="宋体" w:cs="宋体" w:eastAsia="宋体" w:hint="default"/>
        </w:rPr>
        <w:t>2</w:t>
      </w:r>
      <w:r>
        <w:rPr>
          <w:rFonts w:ascii="宋体" w:hAnsi="宋体" w:cs="宋体" w:eastAsia="宋体" w:hint="default"/>
          <w:spacing w:val="-54"/>
        </w:rPr>
        <w:t> </w:t>
      </w:r>
      <w:r>
        <w:rPr/>
        <w:t>年。</w:t>
      </w:r>
    </w:p>
    <w:p>
      <w:pPr>
        <w:spacing w:line="240" w:lineRule="auto" w:before="12"/>
        <w:rPr>
          <w:rFonts w:ascii="宋体" w:hAnsi="宋体" w:cs="宋体" w:eastAsia="宋体" w:hint="default"/>
          <w:sz w:val="13"/>
          <w:szCs w:val="13"/>
        </w:rPr>
      </w:pPr>
    </w:p>
    <w:p>
      <w:pPr>
        <w:pStyle w:val="BodyText"/>
        <w:spacing w:line="297" w:lineRule="auto"/>
        <w:ind w:left="214" w:right="1133" w:firstLine="420"/>
        <w:jc w:val="both"/>
      </w:pPr>
      <w:r>
        <w:rPr/>
        <w:t>（</w:t>
      </w:r>
      <w:r>
        <w:rPr>
          <w:rFonts w:ascii="宋体" w:hAnsi="宋体" w:cs="宋体" w:eastAsia="宋体" w:hint="default"/>
        </w:rPr>
        <w:t>2</w:t>
      </w:r>
      <w:r>
        <w:rPr/>
        <w:t>）根据本公司</w:t>
      </w:r>
      <w:r>
        <w:rPr>
          <w:spacing w:val="-66"/>
        </w:rPr>
        <w:t> </w:t>
      </w:r>
      <w:r>
        <w:rPr>
          <w:rFonts w:ascii="宋体" w:hAnsi="宋体" w:cs="宋体" w:eastAsia="宋体" w:hint="default"/>
        </w:rPr>
        <w:t>2016</w:t>
      </w:r>
      <w:r>
        <w:rPr>
          <w:rFonts w:ascii="宋体" w:hAnsi="宋体" w:cs="宋体" w:eastAsia="宋体" w:hint="default"/>
          <w:spacing w:val="-66"/>
        </w:rPr>
        <w:t> </w:t>
      </w:r>
      <w:r>
        <w:rPr/>
        <w:t>年第二届董事会十四次会议决议，本公司使用汇丰银行（中国）有限公司北京 </w:t>
      </w:r>
      <w:r>
        <w:rPr>
          <w:spacing w:val="3"/>
        </w:rPr>
        <w:t>分行综合信用额度申请开立备用信用证为本公司之全资子公司香港天集有限公司在香港上海汇丰银行股</w:t>
      </w:r>
      <w:r>
        <w:rPr>
          <w:spacing w:val="-82"/>
        </w:rPr>
        <w:t> </w:t>
      </w:r>
      <w:r>
        <w:rPr>
          <w:spacing w:val="-82"/>
        </w:rPr>
      </w:r>
      <w:r>
        <w:rPr/>
        <w:t>份有限公司申请授信提供担保，金额为美元</w:t>
      </w:r>
      <w:r>
        <w:rPr>
          <w:spacing w:val="-53"/>
        </w:rPr>
        <w:t> </w:t>
      </w:r>
      <w:r>
        <w:rPr>
          <w:rFonts w:ascii="宋体" w:hAnsi="宋体" w:cs="宋体" w:eastAsia="宋体" w:hint="default"/>
        </w:rPr>
        <w:t>200</w:t>
      </w:r>
      <w:r>
        <w:rPr>
          <w:rFonts w:ascii="宋体" w:hAnsi="宋体" w:cs="宋体" w:eastAsia="宋体" w:hint="default"/>
          <w:spacing w:val="-53"/>
        </w:rPr>
        <w:t> </w:t>
      </w:r>
      <w:r>
        <w:rPr/>
        <w:t>万元整，担保期限为</w:t>
      </w:r>
      <w:r>
        <w:rPr>
          <w:spacing w:val="-54"/>
        </w:rPr>
        <w:t> </w:t>
      </w:r>
      <w:r>
        <w:rPr>
          <w:rFonts w:ascii="宋体" w:hAnsi="宋体" w:cs="宋体" w:eastAsia="宋体" w:hint="default"/>
        </w:rPr>
        <w:t>1</w:t>
      </w:r>
      <w:r>
        <w:rPr>
          <w:rFonts w:ascii="宋体" w:hAnsi="宋体" w:cs="宋体" w:eastAsia="宋体" w:hint="default"/>
          <w:spacing w:val="-54"/>
        </w:rPr>
        <w:t> </w:t>
      </w:r>
      <w:r>
        <w:rPr/>
        <w:t>年。</w:t>
      </w:r>
    </w:p>
    <w:p>
      <w:pPr>
        <w:spacing w:line="240" w:lineRule="auto" w:before="0"/>
        <w:rPr>
          <w:rFonts w:ascii="宋体" w:hAnsi="宋体" w:cs="宋体" w:eastAsia="宋体" w:hint="default"/>
          <w:sz w:val="14"/>
          <w:szCs w:val="14"/>
        </w:rPr>
      </w:pPr>
    </w:p>
    <w:p>
      <w:pPr>
        <w:pStyle w:val="BodyText"/>
        <w:spacing w:line="297" w:lineRule="auto"/>
        <w:ind w:left="214" w:right="1132" w:firstLine="420"/>
        <w:jc w:val="both"/>
      </w:pPr>
      <w:r>
        <w:rPr/>
        <w:t>（</w:t>
      </w:r>
      <w:r>
        <w:rPr>
          <w:rFonts w:ascii="宋体" w:hAnsi="宋体" w:cs="宋体" w:eastAsia="宋体" w:hint="default"/>
        </w:rPr>
        <w:t>3</w:t>
      </w:r>
      <w:r>
        <w:rPr/>
        <w:t>）根据本公司</w:t>
      </w:r>
      <w:r>
        <w:rPr>
          <w:spacing w:val="-65"/>
        </w:rPr>
        <w:t> </w:t>
      </w:r>
      <w:r>
        <w:rPr>
          <w:rFonts w:ascii="宋体" w:hAnsi="宋体" w:cs="宋体" w:eastAsia="宋体" w:hint="default"/>
        </w:rPr>
        <w:t>2016</w:t>
      </w:r>
      <w:r>
        <w:rPr>
          <w:rFonts w:ascii="宋体" w:hAnsi="宋体" w:cs="宋体" w:eastAsia="宋体" w:hint="default"/>
          <w:spacing w:val="-65"/>
        </w:rPr>
        <w:t> </w:t>
      </w:r>
      <w:r>
        <w:rPr/>
        <w:t>年第二届董事会十八次会议决议，本公司招商银行股份有限公司北京大运村支 </w:t>
      </w:r>
      <w:r>
        <w:rPr>
          <w:spacing w:val="3"/>
        </w:rPr>
        <w:t>行综合信用额度申请开立备用信用证为本公司之全资子公司香港天集有限公司在招商银行股份有限公司</w:t>
      </w:r>
      <w:r>
        <w:rPr>
          <w:spacing w:val="-82"/>
        </w:rPr>
        <w:t> </w:t>
      </w:r>
      <w:r>
        <w:rPr>
          <w:spacing w:val="-82"/>
        </w:rPr>
      </w:r>
      <w:r>
        <w:rPr/>
        <w:t>卢森堡分行申请授信提供担保，金额为欧元</w:t>
      </w:r>
      <w:r>
        <w:rPr>
          <w:spacing w:val="-52"/>
        </w:rPr>
        <w:t> </w:t>
      </w:r>
      <w:r>
        <w:rPr>
          <w:rFonts w:ascii="宋体" w:hAnsi="宋体" w:cs="宋体" w:eastAsia="宋体" w:hint="default"/>
        </w:rPr>
        <w:t>2000</w:t>
      </w:r>
      <w:r>
        <w:rPr>
          <w:rFonts w:ascii="宋体" w:hAnsi="宋体" w:cs="宋体" w:eastAsia="宋体" w:hint="default"/>
          <w:spacing w:val="-53"/>
        </w:rPr>
        <w:t> </w:t>
      </w:r>
      <w:r>
        <w:rPr/>
        <w:t>万元整。</w:t>
      </w:r>
    </w:p>
    <w:p>
      <w:pPr>
        <w:spacing w:line="240" w:lineRule="auto" w:before="0"/>
        <w:rPr>
          <w:rFonts w:ascii="宋体" w:hAnsi="宋体" w:cs="宋体" w:eastAsia="宋体" w:hint="default"/>
          <w:sz w:val="14"/>
          <w:szCs w:val="14"/>
        </w:rPr>
      </w:pPr>
    </w:p>
    <w:p>
      <w:pPr>
        <w:pStyle w:val="BodyText"/>
        <w:spacing w:line="297" w:lineRule="auto"/>
        <w:ind w:left="214" w:right="1130" w:firstLine="420"/>
        <w:jc w:val="both"/>
      </w:pPr>
      <w:r>
        <w:rPr/>
        <w:t>（</w:t>
      </w:r>
      <w:r>
        <w:rPr>
          <w:rFonts w:ascii="宋体" w:hAnsi="宋体" w:cs="宋体" w:eastAsia="宋体" w:hint="default"/>
        </w:rPr>
        <w:t>4</w:t>
      </w:r>
      <w:r>
        <w:rPr/>
        <w:t>）根据本公司下级子公司</w:t>
      </w:r>
      <w:r>
        <w:rPr>
          <w:spacing w:val="-34"/>
        </w:rPr>
        <w:t> </w:t>
      </w:r>
      <w:r>
        <w:rPr>
          <w:rFonts w:ascii="宋体" w:hAnsi="宋体" w:cs="宋体" w:eastAsia="宋体" w:hint="default"/>
        </w:rPr>
        <w:t>Thunder</w:t>
      </w:r>
      <w:r>
        <w:rPr>
          <w:rFonts w:ascii="宋体" w:hAnsi="宋体" w:cs="宋体" w:eastAsia="宋体" w:hint="default"/>
          <w:spacing w:val="-1"/>
        </w:rPr>
        <w:t> </w:t>
      </w:r>
      <w:r>
        <w:rPr>
          <w:rFonts w:ascii="宋体" w:hAnsi="宋体" w:cs="宋体" w:eastAsia="宋体" w:hint="default"/>
        </w:rPr>
        <w:t>Software</w:t>
      </w:r>
      <w:r>
        <w:rPr>
          <w:rFonts w:ascii="宋体" w:hAnsi="宋体" w:cs="宋体" w:eastAsia="宋体" w:hint="default"/>
          <w:spacing w:val="-1"/>
        </w:rPr>
        <w:t> </w:t>
      </w:r>
      <w:r>
        <w:rPr>
          <w:rFonts w:ascii="宋体" w:hAnsi="宋体" w:cs="宋体" w:eastAsia="宋体" w:hint="default"/>
        </w:rPr>
        <w:t>Technology</w:t>
      </w:r>
      <w:r>
        <w:rPr>
          <w:rFonts w:ascii="宋体" w:hAnsi="宋体" w:cs="宋体" w:eastAsia="宋体" w:hint="default"/>
          <w:spacing w:val="-1"/>
        </w:rPr>
        <w:t> </w:t>
      </w:r>
      <w:r>
        <w:rPr>
          <w:rFonts w:ascii="宋体" w:hAnsi="宋体" w:cs="宋体" w:eastAsia="宋体" w:hint="default"/>
        </w:rPr>
        <w:t>Malaysia</w:t>
      </w:r>
      <w:r>
        <w:rPr>
          <w:rFonts w:ascii="宋体" w:hAnsi="宋体" w:cs="宋体" w:eastAsia="宋体" w:hint="default"/>
          <w:spacing w:val="-1"/>
        </w:rPr>
        <w:t> </w:t>
      </w:r>
      <w:r>
        <w:rPr>
          <w:rFonts w:ascii="宋体" w:hAnsi="宋体" w:cs="宋体" w:eastAsia="宋体" w:hint="default"/>
        </w:rPr>
        <w:t>Sdn</w:t>
      </w:r>
      <w:r>
        <w:rPr>
          <w:rFonts w:ascii="宋体" w:hAnsi="宋体" w:cs="宋体" w:eastAsia="宋体" w:hint="default"/>
          <w:spacing w:val="-3"/>
        </w:rPr>
        <w:t> </w:t>
      </w:r>
      <w:r>
        <w:rPr>
          <w:rFonts w:ascii="宋体" w:hAnsi="宋体" w:cs="宋体" w:eastAsia="宋体" w:hint="default"/>
        </w:rPr>
        <w:t>Bhd</w:t>
      </w:r>
      <w:r>
        <w:rPr>
          <w:rFonts w:ascii="宋体" w:hAnsi="宋体" w:cs="宋体" w:eastAsia="宋体" w:hint="default"/>
          <w:spacing w:val="-33"/>
        </w:rPr>
        <w:t> </w:t>
      </w:r>
      <w:r>
        <w:rPr/>
        <w:t>在</w:t>
      </w:r>
      <w:r>
        <w:rPr>
          <w:spacing w:val="-36"/>
        </w:rPr>
        <w:t> </w:t>
      </w:r>
      <w:r>
        <w:rPr>
          <w:rFonts w:ascii="宋体" w:hAnsi="宋体" w:cs="宋体" w:eastAsia="宋体" w:hint="default"/>
        </w:rPr>
        <w:t>2018</w:t>
      </w:r>
      <w:r>
        <w:rPr>
          <w:rFonts w:ascii="宋体" w:hAnsi="宋体" w:cs="宋体" w:eastAsia="宋体" w:hint="default"/>
          <w:spacing w:val="-34"/>
        </w:rPr>
        <w:t> </w:t>
      </w:r>
      <w:r>
        <w:rPr/>
        <w:t>年</w:t>
      </w:r>
      <w:r>
        <w:rPr>
          <w:spacing w:val="-34"/>
        </w:rPr>
        <w:t> </w:t>
      </w:r>
      <w:r>
        <w:rPr>
          <w:rFonts w:ascii="宋体" w:hAnsi="宋体" w:cs="宋体" w:eastAsia="宋体" w:hint="default"/>
        </w:rPr>
        <w:t>10</w:t>
      </w:r>
      <w:r>
        <w:rPr>
          <w:rFonts w:ascii="宋体" w:hAnsi="宋体" w:cs="宋体" w:eastAsia="宋体" w:hint="default"/>
          <w:spacing w:val="-33"/>
        </w:rPr>
        <w:t> </w:t>
      </w:r>
      <w:r>
        <w:rPr/>
        <w:t>月</w:t>
      </w:r>
      <w:r>
        <w:rPr>
          <w:spacing w:val="-34"/>
        </w:rPr>
        <w:t> </w:t>
      </w:r>
      <w:r>
        <w:rPr>
          <w:rFonts w:ascii="宋体" w:hAnsi="宋体" w:cs="宋体" w:eastAsia="宋体" w:hint="default"/>
        </w:rPr>
        <w:t>11 </w:t>
      </w:r>
      <w:r>
        <w:rPr/>
        <w:t>日为该公司六名员工杨海螺、曹久军、金嘉</w:t>
      </w:r>
      <w:r>
        <w:rPr>
          <w:spacing w:val="69"/>
        </w:rPr>
        <w:t> </w:t>
      </w:r>
      <w:r>
        <w:rPr/>
        <w:t>、刘兴永、孙玲、王凡在马来西亚中国银行槟城支行存入出</w:t>
      </w:r>
      <w:r>
        <w:rPr>
          <w:spacing w:val="-98"/>
        </w:rPr>
        <w:t> </w:t>
      </w:r>
      <w:r>
        <w:rPr>
          <w:spacing w:val="-98"/>
        </w:rPr>
      </w:r>
      <w:r>
        <w:rPr/>
        <w:t>入境保证金</w:t>
      </w:r>
      <w:r>
        <w:rPr>
          <w:spacing w:val="-54"/>
        </w:rPr>
        <w:t> </w:t>
      </w:r>
      <w:r>
        <w:rPr>
          <w:rFonts w:ascii="宋体" w:hAnsi="宋体" w:cs="宋体" w:eastAsia="宋体" w:hint="default"/>
        </w:rPr>
        <w:t>14,831.10</w:t>
      </w:r>
      <w:r>
        <w:rPr>
          <w:rFonts w:ascii="宋体" w:hAnsi="宋体" w:cs="宋体" w:eastAsia="宋体" w:hint="default"/>
          <w:spacing w:val="-54"/>
        </w:rPr>
        <w:t> </w:t>
      </w:r>
      <w:r>
        <w:rPr/>
        <w:t>元。</w:t>
      </w:r>
    </w:p>
    <w:p>
      <w:pPr>
        <w:spacing w:line="240" w:lineRule="auto" w:before="1"/>
        <w:rPr>
          <w:rFonts w:ascii="宋体" w:hAnsi="宋体" w:cs="宋体" w:eastAsia="宋体" w:hint="default"/>
          <w:sz w:val="14"/>
          <w:szCs w:val="14"/>
        </w:rPr>
      </w:pPr>
    </w:p>
    <w:p>
      <w:pPr>
        <w:pStyle w:val="BodyText"/>
        <w:spacing w:line="297" w:lineRule="auto"/>
        <w:ind w:left="214" w:right="1130" w:firstLine="420"/>
        <w:jc w:val="both"/>
      </w:pPr>
      <w:r>
        <w:rPr/>
        <w:t>（</w:t>
      </w:r>
      <w:r>
        <w:rPr>
          <w:rFonts w:ascii="宋体" w:hAnsi="宋体" w:cs="宋体" w:eastAsia="宋体" w:hint="default"/>
        </w:rPr>
        <w:t>5</w:t>
      </w:r>
      <w:r>
        <w:rPr/>
        <w:t>）根据本公司下级子公司</w:t>
      </w:r>
      <w:r>
        <w:rPr>
          <w:spacing w:val="-34"/>
        </w:rPr>
        <w:t> </w:t>
      </w:r>
      <w:r>
        <w:rPr>
          <w:rFonts w:ascii="宋体" w:hAnsi="宋体" w:cs="宋体" w:eastAsia="宋体" w:hint="default"/>
        </w:rPr>
        <w:t>Thunder</w:t>
      </w:r>
      <w:r>
        <w:rPr>
          <w:rFonts w:ascii="宋体" w:hAnsi="宋体" w:cs="宋体" w:eastAsia="宋体" w:hint="default"/>
          <w:spacing w:val="-1"/>
        </w:rPr>
        <w:t> </w:t>
      </w:r>
      <w:r>
        <w:rPr>
          <w:rFonts w:ascii="宋体" w:hAnsi="宋体" w:cs="宋体" w:eastAsia="宋体" w:hint="default"/>
        </w:rPr>
        <w:t>Software</w:t>
      </w:r>
      <w:r>
        <w:rPr>
          <w:rFonts w:ascii="宋体" w:hAnsi="宋体" w:cs="宋体" w:eastAsia="宋体" w:hint="default"/>
          <w:spacing w:val="-1"/>
        </w:rPr>
        <w:t> </w:t>
      </w:r>
      <w:r>
        <w:rPr>
          <w:rFonts w:ascii="宋体" w:hAnsi="宋体" w:cs="宋体" w:eastAsia="宋体" w:hint="default"/>
        </w:rPr>
        <w:t>Technology</w:t>
      </w:r>
      <w:r>
        <w:rPr>
          <w:rFonts w:ascii="宋体" w:hAnsi="宋体" w:cs="宋体" w:eastAsia="宋体" w:hint="default"/>
          <w:spacing w:val="-1"/>
        </w:rPr>
        <w:t> </w:t>
      </w:r>
      <w:r>
        <w:rPr>
          <w:rFonts w:ascii="宋体" w:hAnsi="宋体" w:cs="宋体" w:eastAsia="宋体" w:hint="default"/>
        </w:rPr>
        <w:t>Malaysia</w:t>
      </w:r>
      <w:r>
        <w:rPr>
          <w:rFonts w:ascii="宋体" w:hAnsi="宋体" w:cs="宋体" w:eastAsia="宋体" w:hint="default"/>
          <w:spacing w:val="-1"/>
        </w:rPr>
        <w:t> </w:t>
      </w:r>
      <w:r>
        <w:rPr>
          <w:rFonts w:ascii="宋体" w:hAnsi="宋体" w:cs="宋体" w:eastAsia="宋体" w:hint="default"/>
        </w:rPr>
        <w:t>Sdn</w:t>
      </w:r>
      <w:r>
        <w:rPr>
          <w:rFonts w:ascii="宋体" w:hAnsi="宋体" w:cs="宋体" w:eastAsia="宋体" w:hint="default"/>
          <w:spacing w:val="-3"/>
        </w:rPr>
        <w:t> </w:t>
      </w:r>
      <w:r>
        <w:rPr>
          <w:rFonts w:ascii="宋体" w:hAnsi="宋体" w:cs="宋体" w:eastAsia="宋体" w:hint="default"/>
        </w:rPr>
        <w:t>Bhd</w:t>
      </w:r>
      <w:r>
        <w:rPr>
          <w:rFonts w:ascii="宋体" w:hAnsi="宋体" w:cs="宋体" w:eastAsia="宋体" w:hint="default"/>
          <w:spacing w:val="-32"/>
        </w:rPr>
        <w:t> </w:t>
      </w:r>
      <w:r>
        <w:rPr/>
        <w:t>在</w:t>
      </w:r>
      <w:r>
        <w:rPr>
          <w:spacing w:val="-36"/>
        </w:rPr>
        <w:t> </w:t>
      </w:r>
      <w:r>
        <w:rPr>
          <w:rFonts w:ascii="宋体" w:hAnsi="宋体" w:cs="宋体" w:eastAsia="宋体" w:hint="default"/>
        </w:rPr>
        <w:t>2018</w:t>
      </w:r>
      <w:r>
        <w:rPr>
          <w:rFonts w:ascii="宋体" w:hAnsi="宋体" w:cs="宋体" w:eastAsia="宋体" w:hint="default"/>
          <w:spacing w:val="-34"/>
        </w:rPr>
        <w:t> </w:t>
      </w:r>
      <w:r>
        <w:rPr/>
        <w:t>年</w:t>
      </w:r>
      <w:r>
        <w:rPr>
          <w:spacing w:val="-34"/>
        </w:rPr>
        <w:t> </w:t>
      </w:r>
      <w:r>
        <w:rPr>
          <w:rFonts w:ascii="宋体" w:hAnsi="宋体" w:cs="宋体" w:eastAsia="宋体" w:hint="default"/>
        </w:rPr>
        <w:t>10</w:t>
      </w:r>
      <w:r>
        <w:rPr>
          <w:rFonts w:ascii="宋体" w:hAnsi="宋体" w:cs="宋体" w:eastAsia="宋体" w:hint="default"/>
          <w:spacing w:val="-33"/>
        </w:rPr>
        <w:t> </w:t>
      </w:r>
      <w:r>
        <w:rPr/>
        <w:t>月</w:t>
      </w:r>
      <w:r>
        <w:rPr>
          <w:spacing w:val="-34"/>
        </w:rPr>
        <w:t> </w:t>
      </w:r>
      <w:r>
        <w:rPr>
          <w:rFonts w:ascii="宋体" w:hAnsi="宋体" w:cs="宋体" w:eastAsia="宋体" w:hint="default"/>
        </w:rPr>
        <w:t>22 </w:t>
      </w:r>
      <w:r>
        <w:rPr/>
        <w:t>日为该公司员工沈涛在马来西亚中国银行槟城支行存入出入境保证金</w:t>
      </w:r>
      <w:r>
        <w:rPr>
          <w:spacing w:val="-52"/>
        </w:rPr>
        <w:t> </w:t>
      </w:r>
      <w:r>
        <w:rPr>
          <w:rFonts w:ascii="宋体" w:hAnsi="宋体" w:cs="宋体" w:eastAsia="宋体" w:hint="default"/>
        </w:rPr>
        <w:t>2,471.85</w:t>
      </w:r>
      <w:r>
        <w:rPr>
          <w:rFonts w:ascii="宋体" w:hAnsi="宋体" w:cs="宋体" w:eastAsia="宋体" w:hint="default"/>
          <w:spacing w:val="-52"/>
        </w:rPr>
        <w:t> </w:t>
      </w:r>
      <w:r>
        <w:rPr/>
        <w:t>元。</w:t>
      </w:r>
    </w:p>
    <w:p>
      <w:pPr>
        <w:spacing w:line="240" w:lineRule="auto" w:before="0"/>
        <w:rPr>
          <w:rFonts w:ascii="宋体" w:hAnsi="宋体" w:cs="宋体" w:eastAsia="宋体" w:hint="default"/>
          <w:sz w:val="14"/>
          <w:szCs w:val="14"/>
        </w:rPr>
      </w:pPr>
    </w:p>
    <w:p>
      <w:pPr>
        <w:pStyle w:val="BodyText"/>
        <w:spacing w:line="240" w:lineRule="auto"/>
        <w:ind w:right="1016"/>
        <w:jc w:val="left"/>
        <w:rPr>
          <w:rFonts w:ascii="宋体" w:hAnsi="宋体" w:cs="宋体" w:eastAsia="宋体" w:hint="default"/>
        </w:rPr>
      </w:pPr>
      <w:r>
        <w:rPr/>
        <w:t>（</w:t>
      </w:r>
      <w:r>
        <w:rPr>
          <w:rFonts w:ascii="宋体" w:hAnsi="宋体" w:cs="宋体" w:eastAsia="宋体" w:hint="default"/>
        </w:rPr>
        <w:t>6</w:t>
      </w:r>
      <w:r>
        <w:rPr/>
        <w:t>）根据本公司下级子公司</w:t>
      </w:r>
      <w:r>
        <w:rPr>
          <w:spacing w:val="-34"/>
        </w:rPr>
        <w:t> </w:t>
      </w:r>
      <w:r>
        <w:rPr>
          <w:rFonts w:ascii="宋体" w:hAnsi="宋体" w:cs="宋体" w:eastAsia="宋体" w:hint="default"/>
        </w:rPr>
        <w:t>Thunder</w:t>
      </w:r>
      <w:r>
        <w:rPr>
          <w:rFonts w:ascii="宋体" w:hAnsi="宋体" w:cs="宋体" w:eastAsia="宋体" w:hint="default"/>
          <w:spacing w:val="-1"/>
        </w:rPr>
        <w:t> </w:t>
      </w:r>
      <w:r>
        <w:rPr>
          <w:rFonts w:ascii="宋体" w:hAnsi="宋体" w:cs="宋体" w:eastAsia="宋体" w:hint="default"/>
        </w:rPr>
        <w:t>Software</w:t>
      </w:r>
      <w:r>
        <w:rPr>
          <w:rFonts w:ascii="宋体" w:hAnsi="宋体" w:cs="宋体" w:eastAsia="宋体" w:hint="default"/>
          <w:spacing w:val="-1"/>
        </w:rPr>
        <w:t> </w:t>
      </w:r>
      <w:r>
        <w:rPr>
          <w:rFonts w:ascii="宋体" w:hAnsi="宋体" w:cs="宋体" w:eastAsia="宋体" w:hint="default"/>
        </w:rPr>
        <w:t>Technology</w:t>
      </w:r>
      <w:r>
        <w:rPr>
          <w:rFonts w:ascii="宋体" w:hAnsi="宋体" w:cs="宋体" w:eastAsia="宋体" w:hint="default"/>
          <w:spacing w:val="-1"/>
        </w:rPr>
        <w:t> </w:t>
      </w:r>
      <w:r>
        <w:rPr>
          <w:rFonts w:ascii="宋体" w:hAnsi="宋体" w:cs="宋体" w:eastAsia="宋体" w:hint="default"/>
        </w:rPr>
        <w:t>Malaysia</w:t>
      </w:r>
      <w:r>
        <w:rPr>
          <w:rFonts w:ascii="宋体" w:hAnsi="宋体" w:cs="宋体" w:eastAsia="宋体" w:hint="default"/>
          <w:spacing w:val="-1"/>
        </w:rPr>
        <w:t> </w:t>
      </w:r>
      <w:r>
        <w:rPr>
          <w:rFonts w:ascii="宋体" w:hAnsi="宋体" w:cs="宋体" w:eastAsia="宋体" w:hint="default"/>
        </w:rPr>
        <w:t>Sdn</w:t>
      </w:r>
      <w:r>
        <w:rPr>
          <w:rFonts w:ascii="宋体" w:hAnsi="宋体" w:cs="宋体" w:eastAsia="宋体" w:hint="default"/>
          <w:spacing w:val="-3"/>
        </w:rPr>
        <w:t> </w:t>
      </w:r>
      <w:r>
        <w:rPr>
          <w:rFonts w:ascii="宋体" w:hAnsi="宋体" w:cs="宋体" w:eastAsia="宋体" w:hint="default"/>
        </w:rPr>
        <w:t>Bhd</w:t>
      </w:r>
      <w:r>
        <w:rPr>
          <w:rFonts w:ascii="宋体" w:hAnsi="宋体" w:cs="宋体" w:eastAsia="宋体" w:hint="default"/>
          <w:spacing w:val="-33"/>
        </w:rPr>
        <w:t> </w:t>
      </w:r>
      <w:r>
        <w:rPr/>
        <w:t>在</w:t>
      </w:r>
      <w:r>
        <w:rPr>
          <w:spacing w:val="-36"/>
        </w:rPr>
        <w:t> </w:t>
      </w:r>
      <w:r>
        <w:rPr>
          <w:rFonts w:ascii="宋体" w:hAnsi="宋体" w:cs="宋体" w:eastAsia="宋体" w:hint="default"/>
        </w:rPr>
        <w:t>2018</w:t>
      </w:r>
      <w:r>
        <w:rPr>
          <w:rFonts w:ascii="宋体" w:hAnsi="宋体" w:cs="宋体" w:eastAsia="宋体" w:hint="default"/>
          <w:spacing w:val="-34"/>
        </w:rPr>
        <w:t> </w:t>
      </w:r>
      <w:r>
        <w:rPr/>
        <w:t>年</w:t>
      </w:r>
      <w:r>
        <w:rPr>
          <w:spacing w:val="-34"/>
        </w:rPr>
        <w:t> </w:t>
      </w:r>
      <w:r>
        <w:rPr>
          <w:rFonts w:ascii="宋体" w:hAnsi="宋体" w:cs="宋体" w:eastAsia="宋体" w:hint="default"/>
        </w:rPr>
        <w:t>12</w:t>
      </w:r>
      <w:r>
        <w:rPr>
          <w:rFonts w:ascii="宋体" w:hAnsi="宋体" w:cs="宋体" w:eastAsia="宋体" w:hint="default"/>
          <w:spacing w:val="-33"/>
        </w:rPr>
        <w:t> </w:t>
      </w:r>
      <w:r>
        <w:rPr/>
        <w:t>月</w:t>
      </w:r>
      <w:r>
        <w:rPr>
          <w:spacing w:val="-34"/>
        </w:rPr>
        <w:t> </w:t>
      </w:r>
      <w:r>
        <w:rPr>
          <w:rFonts w:ascii="宋体" w:hAnsi="宋体" w:cs="宋体" w:eastAsia="宋体" w:hint="default"/>
        </w:rPr>
        <w:t>26</w:t>
      </w:r>
    </w:p>
    <w:p>
      <w:pPr>
        <w:spacing w:after="0" w:line="240" w:lineRule="auto"/>
        <w:jc w:val="left"/>
        <w:rPr>
          <w:rFonts w:ascii="宋体" w:hAnsi="宋体" w:cs="宋体" w:eastAsia="宋体" w:hint="default"/>
        </w:rPr>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40" w:lineRule="auto" w:before="35"/>
        <w:ind w:left="294" w:right="0"/>
        <w:jc w:val="left"/>
      </w:pPr>
      <w:r>
        <w:rPr/>
        <w:t>日为该公司员工袁媛在马来西亚中国银行槟城支行存入出入境保证金</w:t>
      </w:r>
      <w:r>
        <w:rPr>
          <w:spacing w:val="-52"/>
        </w:rPr>
        <w:t> </w:t>
      </w:r>
      <w:r>
        <w:rPr>
          <w:rFonts w:ascii="宋体" w:hAnsi="宋体" w:cs="宋体" w:eastAsia="宋体" w:hint="default"/>
        </w:rPr>
        <w:t>2,471.85</w:t>
      </w:r>
      <w:r>
        <w:rPr>
          <w:rFonts w:ascii="宋体" w:hAnsi="宋体" w:cs="宋体" w:eastAsia="宋体" w:hint="default"/>
          <w:spacing w:val="-52"/>
        </w:rPr>
        <w:t> </w:t>
      </w:r>
      <w:r>
        <w:rPr/>
        <w:t>元。</w:t>
      </w:r>
    </w:p>
    <w:p>
      <w:pPr>
        <w:spacing w:line="240" w:lineRule="auto" w:before="12"/>
        <w:rPr>
          <w:rFonts w:ascii="宋体" w:hAnsi="宋体" w:cs="宋体" w:eastAsia="宋体" w:hint="default"/>
          <w:sz w:val="17"/>
          <w:szCs w:val="17"/>
        </w:rPr>
      </w:pPr>
    </w:p>
    <w:p>
      <w:pPr>
        <w:pStyle w:val="BodyText"/>
        <w:spacing w:line="444" w:lineRule="auto"/>
        <w:ind w:left="714" w:right="4355"/>
        <w:jc w:val="left"/>
      </w:pPr>
      <w:r>
        <w:rPr/>
        <w:t>截至</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日，本集团不存在其他应披露的或有事项。 </w:t>
      </w:r>
      <w:bookmarkStart w:name="2）公司没有需要披露的重要或有事项，也应予以说明" w:id="416"/>
      <w:bookmarkEnd w:id="416"/>
      <w:r>
        <w:rPr/>
      </w:r>
      <w:r>
        <w:rPr>
          <w:rFonts w:ascii="宋体" w:hAnsi="宋体" w:cs="宋体" w:eastAsia="宋体" w:hint="default"/>
        </w:rPr>
        <w:t>2</w:t>
      </w:r>
      <w:r>
        <w:rPr/>
        <w:t>）公司没有需要披露的重要或有事项，也应予以说明 公司不存在需要披露的重要或有事项。</w:t>
      </w:r>
    </w:p>
    <w:p>
      <w:pPr>
        <w:pStyle w:val="Heading2"/>
        <w:spacing w:line="240" w:lineRule="auto" w:before="105"/>
        <w:ind w:left="294" w:right="0"/>
        <w:jc w:val="left"/>
      </w:pPr>
      <w:bookmarkStart w:name="十五、资产负债表日后事项" w:id="417"/>
      <w:bookmarkEnd w:id="417"/>
      <w:r>
        <w:rPr/>
      </w:r>
      <w:r>
        <w:rPr/>
        <w:t>十五、资产负债表日后事项</w:t>
      </w:r>
    </w:p>
    <w:p>
      <w:pPr>
        <w:spacing w:line="240" w:lineRule="auto" w:before="9"/>
        <w:rPr>
          <w:rFonts w:ascii="微软雅黑" w:hAnsi="微软雅黑" w:cs="微软雅黑" w:eastAsia="微软雅黑" w:hint="default"/>
          <w:sz w:val="21"/>
          <w:szCs w:val="21"/>
        </w:rPr>
      </w:pPr>
    </w:p>
    <w:p>
      <w:pPr>
        <w:pStyle w:val="BodyText"/>
        <w:spacing w:line="240" w:lineRule="auto"/>
        <w:ind w:left="714" w:right="0"/>
        <w:jc w:val="left"/>
        <w:rPr>
          <w:rFonts w:ascii="微软雅黑" w:hAnsi="微软雅黑" w:cs="微软雅黑" w:eastAsia="微软雅黑" w:hint="default"/>
        </w:rPr>
      </w:pPr>
      <w:bookmarkStart w:name="1、利润分配情况" w:id="418"/>
      <w:bookmarkEnd w:id="418"/>
      <w:r>
        <w:rPr/>
      </w:r>
      <w:r>
        <w:rPr>
          <w:rFonts w:ascii="Times New Roman" w:hAnsi="Times New Roman" w:cs="Times New Roman" w:eastAsia="Times New Roman" w:hint="default"/>
        </w:rPr>
        <w:t>1</w:t>
      </w:r>
      <w:r>
        <w:rPr>
          <w:rFonts w:ascii="微软雅黑" w:hAnsi="微软雅黑" w:cs="微软雅黑" w:eastAsia="微软雅黑" w:hint="default"/>
        </w:rPr>
        <w:t>、利润分配情况</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5133"/>
        <w:gridCol w:w="4722"/>
      </w:tblGrid>
      <w:tr>
        <w:trPr>
          <w:trHeight w:val="407"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36,278,176.23</w:t>
            </w:r>
          </w:p>
        </w:tc>
      </w:tr>
      <w:tr>
        <w:trPr>
          <w:trHeight w:val="408"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36,278,176.23</w:t>
            </w:r>
          </w:p>
        </w:tc>
      </w:tr>
    </w:tbl>
    <w:p>
      <w:pPr>
        <w:spacing w:line="240" w:lineRule="auto" w:before="12"/>
        <w:rPr>
          <w:rFonts w:ascii="宋体" w:hAnsi="宋体" w:cs="宋体" w:eastAsia="宋体" w:hint="default"/>
          <w:sz w:val="8"/>
          <w:szCs w:val="8"/>
        </w:rPr>
      </w:pPr>
    </w:p>
    <w:p>
      <w:pPr>
        <w:pStyle w:val="BodyText"/>
        <w:spacing w:line="324" w:lineRule="exact"/>
        <w:ind w:left="714" w:right="0"/>
        <w:jc w:val="left"/>
        <w:rPr>
          <w:rFonts w:ascii="微软雅黑" w:hAnsi="微软雅黑" w:cs="微软雅黑" w:eastAsia="微软雅黑" w:hint="default"/>
        </w:rPr>
      </w:pPr>
      <w:bookmarkStart w:name="2、其他资产负债表日后事项说明" w:id="419"/>
      <w:bookmarkEnd w:id="419"/>
      <w:r>
        <w:rPr/>
      </w:r>
      <w:r>
        <w:rPr>
          <w:rFonts w:ascii="Times New Roman" w:hAnsi="Times New Roman" w:cs="Times New Roman" w:eastAsia="Times New Roman" w:hint="default"/>
        </w:rPr>
        <w:t>2</w:t>
      </w:r>
      <w:r>
        <w:rPr>
          <w:rFonts w:ascii="微软雅黑" w:hAnsi="微软雅黑" w:cs="微软雅黑" w:eastAsia="微软雅黑" w:hint="default"/>
        </w:rPr>
        <w:t>、其他资产负债表日后事项说明</w:t>
      </w:r>
    </w:p>
    <w:p>
      <w:pPr>
        <w:spacing w:line="240" w:lineRule="auto" w:before="7"/>
        <w:rPr>
          <w:rFonts w:ascii="微软雅黑" w:hAnsi="微软雅黑" w:cs="微软雅黑" w:eastAsia="微软雅黑" w:hint="default"/>
          <w:sz w:val="20"/>
          <w:szCs w:val="20"/>
        </w:rPr>
      </w:pPr>
    </w:p>
    <w:p>
      <w:pPr>
        <w:pStyle w:val="BodyText"/>
        <w:spacing w:line="240" w:lineRule="auto"/>
        <w:ind w:left="714" w:right="0"/>
        <w:jc w:val="left"/>
      </w:pPr>
      <w:r>
        <w:rPr/>
        <w:t>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4"/>
        </w:rPr>
        <w:t>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t>日，本公司不存在其他应披露的资产负债表日后事项。</w:t>
      </w:r>
    </w:p>
    <w:p>
      <w:pPr>
        <w:spacing w:line="240" w:lineRule="auto" w:before="6"/>
        <w:rPr>
          <w:rFonts w:ascii="宋体" w:hAnsi="宋体" w:cs="宋体" w:eastAsia="宋体" w:hint="default"/>
          <w:sz w:val="20"/>
          <w:szCs w:val="20"/>
        </w:rPr>
      </w:pPr>
    </w:p>
    <w:p>
      <w:pPr>
        <w:pStyle w:val="Heading2"/>
        <w:spacing w:line="240" w:lineRule="auto"/>
        <w:ind w:left="294" w:right="0"/>
        <w:jc w:val="left"/>
      </w:pPr>
      <w:bookmarkStart w:name="十六、其他重要事项" w:id="420"/>
      <w:bookmarkEnd w:id="420"/>
      <w:r>
        <w:rPr/>
      </w:r>
      <w:r>
        <w:rPr/>
        <w:t>十六、其他重要事项</w:t>
      </w:r>
    </w:p>
    <w:p>
      <w:pPr>
        <w:spacing w:line="240" w:lineRule="auto" w:before="0"/>
        <w:rPr>
          <w:rFonts w:ascii="微软雅黑" w:hAnsi="微软雅黑" w:cs="微软雅黑" w:eastAsia="微软雅黑" w:hint="default"/>
          <w:sz w:val="22"/>
          <w:szCs w:val="22"/>
        </w:rPr>
      </w:pPr>
    </w:p>
    <w:p>
      <w:pPr>
        <w:pStyle w:val="BodyText"/>
        <w:spacing w:line="240" w:lineRule="auto"/>
        <w:ind w:left="703" w:right="0"/>
        <w:jc w:val="left"/>
      </w:pPr>
      <w:bookmarkStart w:name="截至2019年4月25日，本公司不存在其他重要事项。" w:id="421"/>
      <w:bookmarkEnd w:id="421"/>
      <w:r>
        <w:rPr/>
      </w:r>
      <w:r>
        <w:rPr/>
        <w:t>截至</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日，本公司不存在其他重要事项。</w:t>
      </w:r>
    </w:p>
    <w:p>
      <w:pPr>
        <w:spacing w:line="240" w:lineRule="auto" w:before="7"/>
        <w:rPr>
          <w:rFonts w:ascii="宋体" w:hAnsi="宋体" w:cs="宋体" w:eastAsia="宋体" w:hint="default"/>
          <w:sz w:val="25"/>
          <w:szCs w:val="25"/>
        </w:rPr>
      </w:pPr>
    </w:p>
    <w:p>
      <w:pPr>
        <w:pStyle w:val="Heading2"/>
        <w:spacing w:line="240" w:lineRule="auto"/>
        <w:ind w:left="294" w:right="0"/>
        <w:jc w:val="left"/>
      </w:pPr>
      <w:bookmarkStart w:name="十七、母公司财务报表主要项目注释" w:id="422"/>
      <w:bookmarkEnd w:id="422"/>
      <w:r>
        <w:rPr/>
      </w:r>
      <w:r>
        <w:rPr/>
        <w:t>十七、母公司财务报表主要项目注释</w:t>
      </w:r>
    </w:p>
    <w:p>
      <w:pPr>
        <w:spacing w:line="240" w:lineRule="auto" w:before="10"/>
        <w:rPr>
          <w:rFonts w:ascii="微软雅黑" w:hAnsi="微软雅黑" w:cs="微软雅黑" w:eastAsia="微软雅黑" w:hint="default"/>
          <w:sz w:val="21"/>
          <w:szCs w:val="21"/>
        </w:rPr>
      </w:pPr>
    </w:p>
    <w:p>
      <w:pPr>
        <w:pStyle w:val="BodyText"/>
        <w:spacing w:line="240" w:lineRule="auto"/>
        <w:ind w:left="714" w:right="0"/>
        <w:jc w:val="left"/>
        <w:rPr>
          <w:rFonts w:ascii="微软雅黑" w:hAnsi="微软雅黑" w:cs="微软雅黑" w:eastAsia="微软雅黑" w:hint="default"/>
        </w:rPr>
      </w:pPr>
      <w:bookmarkStart w:name="1、应收票据及应收账款" w:id="423"/>
      <w:bookmarkEnd w:id="423"/>
      <w:r>
        <w:rPr/>
      </w:r>
      <w:r>
        <w:rPr>
          <w:rFonts w:ascii="Times New Roman" w:hAnsi="Times New Roman" w:cs="Times New Roman" w:eastAsia="Times New Roman" w:hint="default"/>
        </w:rPr>
        <w:t>1</w:t>
      </w:r>
      <w:r>
        <w:rPr>
          <w:rFonts w:ascii="微软雅黑" w:hAnsi="微软雅黑" w:cs="微软雅黑" w:eastAsia="微软雅黑" w:hint="default"/>
        </w:rPr>
        <w:t>、应收票据及应收账款</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392,415,560.19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377,739,643.67</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392,415,560.19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377,739,643.67</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35"/>
        <w:ind w:left="714" w:right="0"/>
        <w:jc w:val="left"/>
      </w:pPr>
      <w:bookmarkStart w:name="（1）应收账款" w:id="424"/>
      <w:bookmarkEnd w:id="424"/>
      <w:r>
        <w:rPr/>
      </w:r>
      <w:r>
        <w:rPr/>
        <w:t>（</w:t>
      </w:r>
      <w:r>
        <w:rPr>
          <w:rFonts w:ascii="Times New Roman" w:hAnsi="Times New Roman" w:cs="Times New Roman" w:eastAsia="Times New Roman" w:hint="default"/>
        </w:rPr>
        <w:t>1</w:t>
      </w:r>
      <w:r>
        <w:rPr/>
        <w:t>）应收账款</w:t>
      </w:r>
    </w:p>
    <w:p>
      <w:pPr>
        <w:spacing w:line="240" w:lineRule="auto" w:before="9"/>
        <w:rPr>
          <w:rFonts w:ascii="宋体" w:hAnsi="宋体" w:cs="宋体" w:eastAsia="宋体" w:hint="default"/>
          <w:sz w:val="16"/>
          <w:szCs w:val="16"/>
        </w:rPr>
      </w:pPr>
    </w:p>
    <w:p>
      <w:pPr>
        <w:pStyle w:val="BodyText"/>
        <w:spacing w:line="240" w:lineRule="auto"/>
        <w:ind w:left="714" w:right="0"/>
        <w:jc w:val="left"/>
      </w:pPr>
      <w:r>
        <w:rPr>
          <w:rFonts w:ascii="Times New Roman" w:hAnsi="Times New Roman" w:cs="Times New Roman" w:eastAsia="Times New Roman" w:hint="default"/>
        </w:rPr>
        <w:t>1</w:t>
      </w:r>
      <w:r>
        <w:rPr/>
        <w:t>）应收账款分类披露</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849"/>
        <w:gridCol w:w="1156"/>
        <w:gridCol w:w="716"/>
        <w:gridCol w:w="988"/>
        <w:gridCol w:w="550"/>
        <w:gridCol w:w="1154"/>
        <w:gridCol w:w="1158"/>
        <w:gridCol w:w="717"/>
        <w:gridCol w:w="988"/>
        <w:gridCol w:w="551"/>
        <w:gridCol w:w="1154"/>
      </w:tblGrid>
      <w:tr>
        <w:trPr>
          <w:trHeight w:val="407" w:hRule="exact"/>
        </w:trPr>
        <w:tc>
          <w:tcPr>
            <w:tcW w:w="8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pacing w:val="-12"/>
                <w:sz w:val="18"/>
                <w:szCs w:val="18"/>
              </w:rPr>
              <w:t>类别</w:t>
            </w:r>
            <w:r>
              <w:rPr>
                <w:rFonts w:ascii="宋体" w:hAnsi="宋体" w:cs="宋体" w:eastAsia="宋体" w:hint="default"/>
                <w:sz w:val="18"/>
                <w:szCs w:val="18"/>
              </w:rPr>
            </w:r>
          </w:p>
        </w:tc>
        <w:tc>
          <w:tcPr>
            <w:tcW w:w="45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12"/>
                <w:sz w:val="18"/>
                <w:szCs w:val="18"/>
              </w:rPr>
              <w:t>期末余额</w:t>
            </w:r>
            <w:r>
              <w:rPr>
                <w:rFonts w:ascii="宋体" w:hAnsi="宋体" w:cs="宋体" w:eastAsia="宋体" w:hint="default"/>
                <w:sz w:val="18"/>
                <w:szCs w:val="18"/>
              </w:rPr>
            </w:r>
          </w:p>
        </w:tc>
        <w:tc>
          <w:tcPr>
            <w:tcW w:w="45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12"/>
                <w:sz w:val="18"/>
                <w:szCs w:val="18"/>
              </w:rPr>
              <w:t>期初余额</w:t>
            </w:r>
            <w:r>
              <w:rPr>
                <w:rFonts w:ascii="宋体" w:hAnsi="宋体" w:cs="宋体" w:eastAsia="宋体" w:hint="default"/>
                <w:sz w:val="18"/>
                <w:szCs w:val="18"/>
              </w:rPr>
            </w:r>
          </w:p>
        </w:tc>
      </w:tr>
      <w:tr>
        <w:trPr>
          <w:trHeight w:val="407" w:hRule="exact"/>
        </w:trPr>
        <w:tc>
          <w:tcPr>
            <w:tcW w:w="849" w:type="dxa"/>
            <w:vMerge/>
            <w:tcBorders>
              <w:left w:val="single" w:sz="4" w:space="0" w:color="000000"/>
              <w:right w:val="single" w:sz="4" w:space="0" w:color="000000"/>
            </w:tcBorders>
            <w:shd w:val="clear" w:color="auto" w:fill="D2D2D2"/>
          </w:tcPr>
          <w:p>
            <w:pPr/>
          </w:p>
        </w:tc>
        <w:tc>
          <w:tcPr>
            <w:tcW w:w="18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pacing w:val="-12"/>
                <w:sz w:val="18"/>
                <w:szCs w:val="18"/>
              </w:rPr>
              <w:t>账面余额</w:t>
            </w:r>
            <w:r>
              <w:rPr>
                <w:rFonts w:ascii="宋体" w:hAnsi="宋体" w:cs="宋体" w:eastAsia="宋体" w:hint="default"/>
                <w:sz w:val="18"/>
                <w:szCs w:val="18"/>
              </w:rPr>
            </w:r>
          </w:p>
        </w:tc>
        <w:tc>
          <w:tcPr>
            <w:tcW w:w="1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pacing w:val="-12"/>
                <w:sz w:val="18"/>
                <w:szCs w:val="18"/>
              </w:rPr>
              <w:t>坏账准备</w:t>
            </w:r>
            <w:r>
              <w:rPr>
                <w:rFonts w:ascii="宋体" w:hAnsi="宋体" w:cs="宋体" w:eastAsia="宋体" w:hint="default"/>
                <w:sz w:val="18"/>
                <w:szCs w:val="18"/>
              </w:rPr>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pacing w:val="-12"/>
                <w:sz w:val="18"/>
                <w:szCs w:val="18"/>
              </w:rPr>
              <w:t>账面价值</w:t>
            </w:r>
            <w:r>
              <w:rPr>
                <w:rFonts w:ascii="宋体" w:hAnsi="宋体" w:cs="宋体" w:eastAsia="宋体" w:hint="default"/>
                <w:sz w:val="18"/>
                <w:szCs w:val="18"/>
              </w:rPr>
            </w:r>
          </w:p>
        </w:tc>
        <w:tc>
          <w:tcPr>
            <w:tcW w:w="1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6" w:right="0"/>
              <w:jc w:val="left"/>
              <w:rPr>
                <w:rFonts w:ascii="宋体" w:hAnsi="宋体" w:cs="宋体" w:eastAsia="宋体" w:hint="default"/>
                <w:sz w:val="18"/>
                <w:szCs w:val="18"/>
              </w:rPr>
            </w:pPr>
            <w:r>
              <w:rPr>
                <w:rFonts w:ascii="宋体" w:hAnsi="宋体" w:cs="宋体" w:eastAsia="宋体" w:hint="default"/>
                <w:spacing w:val="-12"/>
                <w:sz w:val="18"/>
                <w:szCs w:val="18"/>
              </w:rPr>
              <w:t>账面余额</w:t>
            </w:r>
            <w:r>
              <w:rPr>
                <w:rFonts w:ascii="宋体" w:hAnsi="宋体" w:cs="宋体" w:eastAsia="宋体" w:hint="default"/>
                <w:sz w:val="18"/>
                <w:szCs w:val="18"/>
              </w:rPr>
            </w:r>
          </w:p>
        </w:tc>
        <w:tc>
          <w:tcPr>
            <w:tcW w:w="1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pacing w:val="-12"/>
                <w:sz w:val="18"/>
                <w:szCs w:val="18"/>
              </w:rPr>
              <w:t>坏账准备</w:t>
            </w:r>
            <w:r>
              <w:rPr>
                <w:rFonts w:ascii="宋体" w:hAnsi="宋体" w:cs="宋体" w:eastAsia="宋体" w:hint="default"/>
                <w:sz w:val="18"/>
                <w:szCs w:val="18"/>
              </w:rPr>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pacing w:val="-12"/>
                <w:sz w:val="18"/>
                <w:szCs w:val="18"/>
              </w:rPr>
              <w:t>账面价值</w:t>
            </w:r>
            <w:r>
              <w:rPr>
                <w:rFonts w:ascii="宋体" w:hAnsi="宋体" w:cs="宋体" w:eastAsia="宋体" w:hint="default"/>
                <w:sz w:val="18"/>
                <w:szCs w:val="18"/>
              </w:rPr>
            </w:r>
          </w:p>
        </w:tc>
      </w:tr>
      <w:tr>
        <w:trPr>
          <w:trHeight w:val="478" w:hRule="exact"/>
        </w:trPr>
        <w:tc>
          <w:tcPr>
            <w:tcW w:w="849" w:type="dxa"/>
            <w:vMerge/>
            <w:tcBorders>
              <w:left w:val="single" w:sz="4" w:space="0" w:color="000000"/>
              <w:bottom w:val="single" w:sz="4" w:space="0" w:color="000000"/>
              <w:right w:val="single" w:sz="4" w:space="0" w:color="000000"/>
            </w:tcBorders>
            <w:shd w:val="clear" w:color="auto" w:fill="D2D2D2"/>
          </w:tcPr>
          <w:p>
            <w:pP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84" w:right="0"/>
              <w:jc w:val="left"/>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0" w:right="0"/>
              <w:jc w:val="left"/>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计提</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184" w:right="0"/>
              <w:jc w:val="left"/>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0" w:right="0"/>
              <w:jc w:val="left"/>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12"/>
                <w:sz w:val="18"/>
                <w:szCs w:val="18"/>
              </w:rPr>
              <w:t>计提</w:t>
            </w:r>
            <w:r>
              <w:rPr>
                <w:rFonts w:ascii="宋体" w:hAnsi="宋体" w:cs="宋体" w:eastAsia="宋体" w:hint="default"/>
                <w:sz w:val="18"/>
                <w:szCs w:val="18"/>
              </w:rPr>
            </w:r>
          </w:p>
          <w:p>
            <w:pPr>
              <w:pStyle w:val="TableParagraph"/>
              <w:spacing w:line="235" w:lineRule="exact"/>
              <w:ind w:left="101" w:right="0"/>
              <w:jc w:val="left"/>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c>
          <w:tcPr>
            <w:tcW w:w="115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01" w:footer="1007" w:top="1080" w:bottom="1200" w:left="840" w:right="0"/>
        </w:sectPr>
      </w:pPr>
    </w:p>
    <w:p>
      <w:pPr>
        <w:spacing w:line="240" w:lineRule="auto" w:before="1"/>
        <w:rPr>
          <w:rFonts w:ascii="宋体" w:hAnsi="宋体" w:cs="宋体" w:eastAsia="宋体"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850"/>
        <w:gridCol w:w="1156"/>
        <w:gridCol w:w="716"/>
        <w:gridCol w:w="988"/>
        <w:gridCol w:w="550"/>
        <w:gridCol w:w="1154"/>
        <w:gridCol w:w="1158"/>
        <w:gridCol w:w="717"/>
        <w:gridCol w:w="988"/>
        <w:gridCol w:w="551"/>
        <w:gridCol w:w="1154"/>
      </w:tblGrid>
      <w:tr>
        <w:trPr>
          <w:trHeight w:val="407" w:hRule="exact"/>
        </w:trPr>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pacing w:val="-12"/>
                <w:sz w:val="18"/>
                <w:szCs w:val="18"/>
              </w:rPr>
              <w:t>类别</w:t>
            </w:r>
            <w:r>
              <w:rPr>
                <w:rFonts w:ascii="宋体" w:hAnsi="宋体" w:cs="宋体" w:eastAsia="宋体" w:hint="default"/>
                <w:sz w:val="18"/>
                <w:szCs w:val="18"/>
              </w:rPr>
            </w:r>
          </w:p>
        </w:tc>
        <w:tc>
          <w:tcPr>
            <w:tcW w:w="45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12"/>
                <w:sz w:val="18"/>
                <w:szCs w:val="18"/>
              </w:rPr>
              <w:t>期末余额</w:t>
            </w:r>
            <w:r>
              <w:rPr>
                <w:rFonts w:ascii="宋体" w:hAnsi="宋体" w:cs="宋体" w:eastAsia="宋体" w:hint="default"/>
                <w:sz w:val="18"/>
                <w:szCs w:val="18"/>
              </w:rPr>
            </w:r>
          </w:p>
        </w:tc>
        <w:tc>
          <w:tcPr>
            <w:tcW w:w="45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12"/>
                <w:sz w:val="18"/>
                <w:szCs w:val="18"/>
              </w:rPr>
              <w:t>期初余额</w:t>
            </w:r>
            <w:r>
              <w:rPr>
                <w:rFonts w:ascii="宋体" w:hAnsi="宋体" w:cs="宋体" w:eastAsia="宋体" w:hint="default"/>
                <w:sz w:val="18"/>
                <w:szCs w:val="18"/>
              </w:rPr>
            </w:r>
          </w:p>
        </w:tc>
      </w:tr>
      <w:tr>
        <w:trPr>
          <w:trHeight w:val="363" w:hRule="exact"/>
        </w:trPr>
        <w:tc>
          <w:tcPr>
            <w:tcW w:w="850" w:type="dxa"/>
            <w:vMerge/>
            <w:tcBorders>
              <w:left w:val="single" w:sz="4" w:space="0" w:color="000000"/>
              <w:right w:val="single" w:sz="4" w:space="0" w:color="000000"/>
            </w:tcBorders>
            <w:shd w:val="clear" w:color="auto" w:fill="D2D2D2"/>
          </w:tcPr>
          <w:p>
            <w:pPr/>
          </w:p>
        </w:tc>
        <w:tc>
          <w:tcPr>
            <w:tcW w:w="18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pacing w:val="-12"/>
                <w:sz w:val="18"/>
                <w:szCs w:val="18"/>
              </w:rPr>
              <w:t>账面余额</w:t>
            </w:r>
            <w:r>
              <w:rPr>
                <w:rFonts w:ascii="宋体" w:hAnsi="宋体" w:cs="宋体" w:eastAsia="宋体" w:hint="default"/>
                <w:sz w:val="18"/>
                <w:szCs w:val="18"/>
              </w:rPr>
            </w:r>
          </w:p>
        </w:tc>
        <w:tc>
          <w:tcPr>
            <w:tcW w:w="1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pacing w:val="-12"/>
                <w:sz w:val="18"/>
                <w:szCs w:val="18"/>
              </w:rPr>
              <w:t>坏账准备</w:t>
            </w:r>
            <w:r>
              <w:rPr>
                <w:rFonts w:ascii="宋体" w:hAnsi="宋体" w:cs="宋体" w:eastAsia="宋体" w:hint="default"/>
                <w:sz w:val="18"/>
                <w:szCs w:val="18"/>
              </w:rPr>
            </w: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6" w:right="0"/>
              <w:jc w:val="left"/>
              <w:rPr>
                <w:rFonts w:ascii="宋体" w:hAnsi="宋体" w:cs="宋体" w:eastAsia="宋体" w:hint="default"/>
                <w:sz w:val="18"/>
                <w:szCs w:val="18"/>
              </w:rPr>
            </w:pPr>
            <w:r>
              <w:rPr>
                <w:rFonts w:ascii="宋体" w:hAnsi="宋体" w:cs="宋体" w:eastAsia="宋体" w:hint="default"/>
                <w:spacing w:val="-12"/>
                <w:sz w:val="18"/>
                <w:szCs w:val="18"/>
              </w:rPr>
              <w:t>账面余额</w:t>
            </w:r>
            <w:r>
              <w:rPr>
                <w:rFonts w:ascii="宋体" w:hAnsi="宋体" w:cs="宋体" w:eastAsia="宋体" w:hint="default"/>
                <w:sz w:val="18"/>
                <w:szCs w:val="18"/>
              </w:rPr>
            </w:r>
          </w:p>
        </w:tc>
        <w:tc>
          <w:tcPr>
            <w:tcW w:w="15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pacing w:val="-12"/>
                <w:sz w:val="18"/>
                <w:szCs w:val="18"/>
              </w:rPr>
              <w:t>坏账准备</w:t>
            </w:r>
            <w:r>
              <w:rPr>
                <w:rFonts w:ascii="宋体" w:hAnsi="宋体" w:cs="宋体" w:eastAsia="宋体" w:hint="default"/>
                <w:sz w:val="18"/>
                <w:szCs w:val="18"/>
              </w:rPr>
            </w: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21" w:hRule="exact"/>
        </w:trPr>
        <w:tc>
          <w:tcPr>
            <w:tcW w:w="850" w:type="dxa"/>
            <w:vMerge/>
            <w:tcBorders>
              <w:left w:val="single" w:sz="4" w:space="0" w:color="000000"/>
              <w:bottom w:val="single" w:sz="4" w:space="0" w:color="000000"/>
              <w:right w:val="single" w:sz="4" w:space="0" w:color="000000"/>
            </w:tcBorders>
            <w:shd w:val="clear" w:color="auto" w:fill="D2D2D2"/>
          </w:tcPr>
          <w:p>
            <w:pP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100" w:right="101"/>
              <w:jc w:val="left"/>
              <w:rPr>
                <w:rFonts w:ascii="宋体" w:hAnsi="宋体" w:cs="宋体" w:eastAsia="宋体" w:hint="default"/>
                <w:sz w:val="18"/>
                <w:szCs w:val="18"/>
              </w:rPr>
            </w:pPr>
            <w:r>
              <w:rPr>
                <w:rFonts w:ascii="宋体" w:hAnsi="宋体" w:cs="宋体" w:eastAsia="宋体" w:hint="default"/>
                <w:spacing w:val="-12"/>
                <w:sz w:val="18"/>
                <w:szCs w:val="18"/>
              </w:rPr>
              <w:t>计提 比例</w:t>
            </w:r>
            <w:r>
              <w:rPr>
                <w:rFonts w:ascii="宋体" w:hAnsi="宋体" w:cs="宋体" w:eastAsia="宋体" w:hint="default"/>
                <w:sz w:val="18"/>
                <w:szCs w:val="18"/>
              </w:rPr>
            </w:r>
          </w:p>
        </w:tc>
        <w:tc>
          <w:tcPr>
            <w:tcW w:w="115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7" w:lineRule="exact"/>
              <w:ind w:right="0"/>
              <w:jc w:val="center"/>
              <w:rPr>
                <w:rFonts w:ascii="宋体" w:hAnsi="宋体" w:cs="宋体" w:eastAsia="宋体" w:hint="default"/>
                <w:sz w:val="18"/>
                <w:szCs w:val="18"/>
              </w:rPr>
            </w:pPr>
            <w:r>
              <w:rPr>
                <w:rFonts w:ascii="宋体" w:hAnsi="宋体" w:cs="宋体" w:eastAsia="宋体" w:hint="default"/>
                <w:spacing w:val="-12"/>
                <w:sz w:val="18"/>
                <w:szCs w:val="18"/>
              </w:rPr>
              <w:t>账面价值</w:t>
            </w:r>
            <w:r>
              <w:rPr>
                <w:rFonts w:ascii="宋体" w:hAnsi="宋体" w:cs="宋体" w:eastAsia="宋体" w:hint="default"/>
                <w:sz w:val="18"/>
                <w:szCs w:val="18"/>
              </w:rPr>
            </w: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84" w:right="0"/>
              <w:jc w:val="left"/>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101" w:right="101"/>
              <w:jc w:val="left"/>
              <w:rPr>
                <w:rFonts w:ascii="宋体" w:hAnsi="宋体" w:cs="宋体" w:eastAsia="宋体" w:hint="default"/>
                <w:sz w:val="18"/>
                <w:szCs w:val="18"/>
              </w:rPr>
            </w:pPr>
            <w:r>
              <w:rPr>
                <w:rFonts w:ascii="宋体" w:hAnsi="宋体" w:cs="宋体" w:eastAsia="宋体" w:hint="default"/>
                <w:spacing w:val="-12"/>
                <w:sz w:val="18"/>
                <w:szCs w:val="18"/>
              </w:rPr>
              <w:t>计提 比例</w:t>
            </w:r>
            <w:r>
              <w:rPr>
                <w:rFonts w:ascii="宋体" w:hAnsi="宋体" w:cs="宋体" w:eastAsia="宋体" w:hint="default"/>
                <w:sz w:val="18"/>
                <w:szCs w:val="18"/>
              </w:rPr>
            </w:r>
          </w:p>
        </w:tc>
        <w:tc>
          <w:tcPr>
            <w:tcW w:w="115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7" w:lineRule="exact"/>
              <w:ind w:right="0"/>
              <w:jc w:val="center"/>
              <w:rPr>
                <w:rFonts w:ascii="宋体" w:hAnsi="宋体" w:cs="宋体" w:eastAsia="宋体" w:hint="default"/>
                <w:sz w:val="18"/>
                <w:szCs w:val="18"/>
              </w:rPr>
            </w:pPr>
            <w:r>
              <w:rPr>
                <w:rFonts w:ascii="宋体" w:hAnsi="宋体" w:cs="宋体" w:eastAsia="宋体" w:hint="default"/>
                <w:spacing w:val="-12"/>
                <w:sz w:val="18"/>
                <w:szCs w:val="18"/>
              </w:rPr>
              <w:t>账面价值</w:t>
            </w:r>
            <w:r>
              <w:rPr>
                <w:rFonts w:ascii="宋体" w:hAnsi="宋体" w:cs="宋体" w:eastAsia="宋体" w:hint="default"/>
                <w:sz w:val="18"/>
                <w:szCs w:val="18"/>
              </w:rPr>
            </w:r>
          </w:p>
        </w:tc>
      </w:tr>
      <w:tr>
        <w:trPr>
          <w:trHeight w:val="1178"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2" w:right="0"/>
              <w:jc w:val="both"/>
              <w:rPr>
                <w:rFonts w:ascii="宋体" w:hAnsi="宋体" w:cs="宋体" w:eastAsia="宋体" w:hint="default"/>
                <w:sz w:val="18"/>
                <w:szCs w:val="18"/>
              </w:rPr>
            </w:pPr>
            <w:r>
              <w:rPr>
                <w:rFonts w:ascii="宋体" w:hAnsi="宋体" w:cs="宋体" w:eastAsia="宋体" w:hint="default"/>
                <w:spacing w:val="-12"/>
                <w:sz w:val="18"/>
                <w:szCs w:val="18"/>
              </w:rPr>
              <w:t>按信用风</w:t>
            </w:r>
            <w:r>
              <w:rPr>
                <w:rFonts w:ascii="宋体" w:hAnsi="宋体" w:cs="宋体" w:eastAsia="宋体" w:hint="default"/>
                <w:sz w:val="18"/>
                <w:szCs w:val="18"/>
              </w:rPr>
            </w:r>
          </w:p>
          <w:p>
            <w:pPr>
              <w:pStyle w:val="TableParagraph"/>
              <w:spacing w:line="237" w:lineRule="auto" w:before="1"/>
              <w:ind w:left="52" w:right="113"/>
              <w:jc w:val="both"/>
              <w:rPr>
                <w:rFonts w:ascii="宋体" w:hAnsi="宋体" w:cs="宋体" w:eastAsia="宋体" w:hint="default"/>
                <w:sz w:val="18"/>
                <w:szCs w:val="18"/>
              </w:rPr>
            </w:pPr>
            <w:r>
              <w:rPr>
                <w:rFonts w:ascii="宋体" w:hAnsi="宋体" w:cs="宋体" w:eastAsia="宋体" w:hint="default"/>
                <w:spacing w:val="-12"/>
                <w:sz w:val="18"/>
                <w:szCs w:val="18"/>
              </w:rPr>
              <w:t>险特征组 合计提坏 账准备的 应收账款</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pacing w:val="-6"/>
                <w:sz w:val="18"/>
              </w:rPr>
              <w:t>399,049,474.90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pacing w:val="-6"/>
                <w:sz w:val="18"/>
              </w:rPr>
              <w:t>100.00%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pacing w:val="-6"/>
                <w:sz w:val="18"/>
              </w:rPr>
              <w:t>6,633,914.71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5"/>
                <w:sz w:val="18"/>
              </w:rPr>
              <w:t>1.66%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pacing w:val="-6"/>
                <w:sz w:val="18"/>
              </w:rPr>
              <w:t>392,415,560.19</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382,873,716.84</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5"/>
                <w:w w:val="95"/>
                <w:sz w:val="18"/>
              </w:rPr>
              <w:t>99.59%</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pacing w:val="-6"/>
                <w:sz w:val="18"/>
              </w:rPr>
              <w:t>5,134,073.17</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5"/>
                <w:sz w:val="18"/>
              </w:rPr>
              <w:t>1.34%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pacing w:val="-6"/>
                <w:sz w:val="18"/>
              </w:rPr>
              <w:t>377,739,643.67</w:t>
            </w:r>
          </w:p>
        </w:tc>
      </w:tr>
      <w:tr>
        <w:trPr>
          <w:trHeight w:val="1410"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2" w:right="0"/>
              <w:jc w:val="both"/>
              <w:rPr>
                <w:rFonts w:ascii="宋体" w:hAnsi="宋体" w:cs="宋体" w:eastAsia="宋体" w:hint="default"/>
                <w:sz w:val="18"/>
                <w:szCs w:val="18"/>
              </w:rPr>
            </w:pPr>
            <w:r>
              <w:rPr>
                <w:rFonts w:ascii="宋体" w:hAnsi="宋体" w:cs="宋体" w:eastAsia="宋体" w:hint="default"/>
                <w:spacing w:val="-12"/>
                <w:sz w:val="18"/>
                <w:szCs w:val="18"/>
              </w:rPr>
              <w:t>单项金额</w:t>
            </w:r>
            <w:r>
              <w:rPr>
                <w:rFonts w:ascii="宋体" w:hAnsi="宋体" w:cs="宋体" w:eastAsia="宋体" w:hint="default"/>
                <w:sz w:val="18"/>
                <w:szCs w:val="18"/>
              </w:rPr>
            </w:r>
          </w:p>
          <w:p>
            <w:pPr>
              <w:pStyle w:val="TableParagraph"/>
              <w:spacing w:line="237" w:lineRule="auto" w:before="1"/>
              <w:ind w:left="52" w:right="113"/>
              <w:jc w:val="both"/>
              <w:rPr>
                <w:rFonts w:ascii="宋体" w:hAnsi="宋体" w:cs="宋体" w:eastAsia="宋体" w:hint="default"/>
                <w:sz w:val="18"/>
                <w:szCs w:val="18"/>
              </w:rPr>
            </w:pPr>
            <w:r>
              <w:rPr>
                <w:rFonts w:ascii="宋体" w:hAnsi="宋体" w:cs="宋体" w:eastAsia="宋体" w:hint="default"/>
                <w:spacing w:val="-12"/>
                <w:sz w:val="18"/>
                <w:szCs w:val="18"/>
              </w:rPr>
              <w:t>不重大但 单独计提 坏账准备 的应收账 </w:t>
            </w:r>
            <w:r>
              <w:rPr>
                <w:rFonts w:ascii="宋体" w:hAnsi="宋体" w:cs="宋体" w:eastAsia="宋体" w:hint="default"/>
                <w:sz w:val="18"/>
                <w:szCs w:val="18"/>
              </w:rPr>
              <w:t>款</w:t>
            </w:r>
          </w:p>
        </w:tc>
        <w:tc>
          <w:tcPr>
            <w:tcW w:w="115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43"/>
              <w:jc w:val="right"/>
              <w:rPr>
                <w:rFonts w:ascii="Times New Roman" w:hAnsi="Times New Roman" w:cs="Times New Roman" w:eastAsia="Times New Roman" w:hint="default"/>
                <w:sz w:val="18"/>
                <w:szCs w:val="18"/>
              </w:rPr>
            </w:pPr>
            <w:r>
              <w:rPr>
                <w:rFonts w:ascii="Times New Roman"/>
                <w:spacing w:val="-6"/>
                <w:sz w:val="18"/>
              </w:rPr>
              <w:t>1,593,215.73</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43"/>
              <w:jc w:val="right"/>
              <w:rPr>
                <w:rFonts w:ascii="Times New Roman" w:hAnsi="Times New Roman" w:cs="Times New Roman" w:eastAsia="Times New Roman" w:hint="default"/>
                <w:sz w:val="18"/>
                <w:szCs w:val="18"/>
              </w:rPr>
            </w:pPr>
            <w:r>
              <w:rPr>
                <w:rFonts w:ascii="Times New Roman"/>
                <w:spacing w:val="-5"/>
                <w:sz w:val="18"/>
              </w:rPr>
              <w:t>0.41%</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7" w:right="0"/>
              <w:jc w:val="center"/>
              <w:rPr>
                <w:rFonts w:ascii="Times New Roman" w:hAnsi="Times New Roman" w:cs="Times New Roman" w:eastAsia="Times New Roman" w:hint="default"/>
                <w:sz w:val="18"/>
                <w:szCs w:val="18"/>
              </w:rPr>
            </w:pPr>
            <w:r>
              <w:rPr>
                <w:rFonts w:ascii="Times New Roman"/>
                <w:spacing w:val="-6"/>
                <w:sz w:val="18"/>
              </w:rPr>
              <w:t>1,593,215.73</w:t>
            </w:r>
          </w:p>
        </w:tc>
        <w:tc>
          <w:tcPr>
            <w:tcW w:w="55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pacing w:val="-12"/>
                <w:sz w:val="18"/>
                <w:szCs w:val="18"/>
              </w:rPr>
              <w:t>合计</w:t>
            </w:r>
            <w:r>
              <w:rPr>
                <w:rFonts w:ascii="宋体" w:hAnsi="宋体" w:cs="宋体" w:eastAsia="宋体" w:hint="default"/>
                <w:sz w:val="18"/>
                <w:szCs w:val="18"/>
              </w:rPr>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6"/>
                <w:sz w:val="18"/>
              </w:rPr>
              <w:t>399,049,474.90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pacing w:val="-6"/>
                <w:sz w:val="18"/>
              </w:rPr>
              <w:t>100.00%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6"/>
                <w:sz w:val="18"/>
              </w:rPr>
              <w:t>6,633,914.71</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
              <w:jc w:val="right"/>
              <w:rPr>
                <w:rFonts w:ascii="Times New Roman" w:hAnsi="Times New Roman" w:cs="Times New Roman" w:eastAsia="Times New Roman" w:hint="default"/>
                <w:sz w:val="18"/>
                <w:szCs w:val="18"/>
              </w:rPr>
            </w:pPr>
            <w:r>
              <w:rPr>
                <w:rFonts w:ascii="Times New Roman"/>
                <w:spacing w:val="-5"/>
                <w:sz w:val="18"/>
              </w:rPr>
              <w:t>1.66%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pacing w:val="-6"/>
                <w:sz w:val="18"/>
              </w:rPr>
              <w:t>392,415,560.19</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
              <w:jc w:val="right"/>
              <w:rPr>
                <w:rFonts w:ascii="Times New Roman" w:hAnsi="Times New Roman" w:cs="Times New Roman" w:eastAsia="Times New Roman" w:hint="default"/>
                <w:sz w:val="18"/>
                <w:szCs w:val="18"/>
              </w:rPr>
            </w:pPr>
            <w:r>
              <w:rPr>
                <w:rFonts w:ascii="Times New Roman"/>
                <w:spacing w:val="-6"/>
                <w:sz w:val="18"/>
              </w:rPr>
              <w:t>384,466,932.57</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
              <w:jc w:val="right"/>
              <w:rPr>
                <w:rFonts w:ascii="Times New Roman" w:hAnsi="Times New Roman" w:cs="Times New Roman" w:eastAsia="Times New Roman" w:hint="default"/>
                <w:sz w:val="18"/>
                <w:szCs w:val="18"/>
              </w:rPr>
            </w:pPr>
            <w:r>
              <w:rPr>
                <w:rFonts w:ascii="Times New Roman"/>
                <w:spacing w:val="-6"/>
                <w:sz w:val="18"/>
              </w:rPr>
              <w:t>100.00%</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pacing w:val="-6"/>
                <w:sz w:val="18"/>
              </w:rPr>
              <w:t>6,727,288.90</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3"/>
              <w:jc w:val="right"/>
              <w:rPr>
                <w:rFonts w:ascii="Times New Roman" w:hAnsi="Times New Roman" w:cs="Times New Roman" w:eastAsia="Times New Roman" w:hint="default"/>
                <w:sz w:val="18"/>
                <w:szCs w:val="18"/>
              </w:rPr>
            </w:pPr>
            <w:r>
              <w:rPr>
                <w:rFonts w:ascii="Times New Roman"/>
                <w:spacing w:val="-5"/>
                <w:sz w:val="18"/>
              </w:rPr>
              <w:t>1.75%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pacing w:val="-6"/>
                <w:sz w:val="18"/>
              </w:rPr>
              <w:t>377,739,643.67</w:t>
            </w:r>
          </w:p>
        </w:tc>
      </w:tr>
    </w:tbl>
    <w:p>
      <w:pPr>
        <w:spacing w:line="240" w:lineRule="auto" w:before="6"/>
        <w:rPr>
          <w:rFonts w:ascii="宋体" w:hAnsi="宋体" w:cs="宋体" w:eastAsia="宋体" w:hint="default"/>
          <w:sz w:val="7"/>
          <w:szCs w:val="7"/>
        </w:rPr>
      </w:pPr>
    </w:p>
    <w:p>
      <w:pPr>
        <w:pStyle w:val="BodyText"/>
        <w:spacing w:line="240" w:lineRule="auto" w:before="35"/>
        <w:ind w:left="714" w:right="0"/>
        <w:jc w:val="left"/>
      </w:pPr>
      <w:r>
        <w:rPr/>
        <w:t>期末单项金额重大并单项计提坏账准备的应收账款：</w:t>
      </w:r>
    </w:p>
    <w:p>
      <w:pPr>
        <w:spacing w:line="240" w:lineRule="auto" w:before="10"/>
        <w:rPr>
          <w:rFonts w:ascii="宋体" w:hAnsi="宋体" w:cs="宋体" w:eastAsia="宋体" w:hint="default"/>
          <w:sz w:val="17"/>
          <w:szCs w:val="17"/>
        </w:rPr>
      </w:pPr>
    </w:p>
    <w:p>
      <w:pPr>
        <w:pStyle w:val="BodyText"/>
        <w:spacing w:line="420" w:lineRule="auto"/>
        <w:ind w:left="714"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组合中，按账龄分析法计提坏账准备的应收账款：</w:t>
      </w:r>
    </w:p>
    <w:p>
      <w:pPr>
        <w:spacing w:before="8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81" w:type="dxa"/>
        <w:tblLayout w:type="fixed"/>
        <w:tblCellMar>
          <w:top w:w="0" w:type="dxa"/>
          <w:left w:w="0" w:type="dxa"/>
          <w:bottom w:w="0" w:type="dxa"/>
          <w:right w:w="0" w:type="dxa"/>
        </w:tblCellMar>
        <w:tblLook w:val="01E0"/>
      </w:tblPr>
      <w:tblGrid>
        <w:gridCol w:w="2568"/>
        <w:gridCol w:w="2364"/>
        <w:gridCol w:w="2462"/>
        <w:gridCol w:w="2461"/>
      </w:tblGrid>
      <w:tr>
        <w:trPr>
          <w:trHeight w:val="407" w:hRule="exact"/>
        </w:trPr>
        <w:tc>
          <w:tcPr>
            <w:tcW w:w="2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568" w:type="dxa"/>
            <w:vMerge/>
            <w:tcBorders>
              <w:left w:val="single" w:sz="4" w:space="0" w:color="000000"/>
              <w:bottom w:val="single" w:sz="4" w:space="0" w:color="000000"/>
              <w:right w:val="single" w:sz="4" w:space="0" w:color="000000"/>
            </w:tcBorders>
            <w:shd w:val="clear" w:color="auto" w:fill="D2D2D2"/>
          </w:tcPr>
          <w:p>
            <w:pPr/>
          </w:p>
        </w:tc>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187,162,638.95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1,871,626.38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187,162,638.95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1,871,626.38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23,006,562.74</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2,300,656.28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8"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6,305,769.38</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1,261,153.87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1,406,039.75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703,019.88</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643,154.72</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450,208.30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47,250.00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47,250.00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8"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218,571,415.54</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6,633,914.71</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3.04%</w:t>
            </w:r>
          </w:p>
        </w:tc>
      </w:tr>
    </w:tbl>
    <w:p>
      <w:pPr>
        <w:spacing w:line="240" w:lineRule="auto" w:before="6"/>
        <w:rPr>
          <w:rFonts w:ascii="宋体" w:hAnsi="宋体" w:cs="宋体" w:eastAsia="宋体" w:hint="default"/>
          <w:sz w:val="7"/>
          <w:szCs w:val="7"/>
        </w:rPr>
      </w:pPr>
    </w:p>
    <w:p>
      <w:pPr>
        <w:pStyle w:val="BodyText"/>
        <w:spacing w:line="444" w:lineRule="auto" w:before="35"/>
        <w:ind w:left="714" w:right="5292"/>
        <w:jc w:val="left"/>
      </w:pPr>
      <w:r>
        <w:rPr/>
        <w:t>确定该组合依据的说明： 组合中，按账龄分析法计提坏账的应收账款。 组合中，采用余额百分比法计提坏账准备的应收账款：</w:t>
      </w:r>
    </w:p>
    <w:p>
      <w:pPr>
        <w:pStyle w:val="BodyText"/>
        <w:spacing w:line="240" w:lineRule="auto" w:before="56"/>
        <w:ind w:left="7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16"/>
          <w:szCs w:val="16"/>
        </w:rPr>
      </w:pPr>
    </w:p>
    <w:p>
      <w:pPr>
        <w:pStyle w:val="BodyText"/>
        <w:spacing w:line="240" w:lineRule="auto"/>
        <w:ind w:left="714" w:right="0"/>
        <w:jc w:val="left"/>
      </w:pPr>
      <w:r>
        <w:rPr>
          <w:rFonts w:ascii="Times New Roman" w:hAnsi="Times New Roman" w:cs="Times New Roman" w:eastAsia="Times New Roman" w:hint="default"/>
        </w:rPr>
        <w:t>2</w:t>
      </w:r>
      <w:r>
        <w:rPr/>
        <w:t>）本期计提、收回或转回的坏账准备情况</w:t>
      </w:r>
    </w:p>
    <w:p>
      <w:pPr>
        <w:spacing w:line="240" w:lineRule="auto" w:before="9"/>
        <w:rPr>
          <w:rFonts w:ascii="宋体" w:hAnsi="宋体" w:cs="宋体" w:eastAsia="宋体" w:hint="default"/>
          <w:sz w:val="16"/>
          <w:szCs w:val="16"/>
        </w:rPr>
      </w:pPr>
    </w:p>
    <w:p>
      <w:pPr>
        <w:pStyle w:val="BodyText"/>
        <w:spacing w:line="240" w:lineRule="auto"/>
        <w:ind w:left="714" w:right="0"/>
        <w:jc w:val="left"/>
      </w:pPr>
      <w:r>
        <w:rPr/>
        <w:t>本期计提坏账准备金额</w:t>
      </w:r>
      <w:r>
        <w:rPr>
          <w:spacing w:val="-52"/>
        </w:rPr>
        <w:t> </w:t>
      </w:r>
      <w:r>
        <w:rPr>
          <w:rFonts w:ascii="Times New Roman" w:hAnsi="Times New Roman" w:cs="Times New Roman" w:eastAsia="Times New Roman" w:hint="default"/>
        </w:rPr>
        <w:t>1,989,129.09</w:t>
      </w:r>
      <w:r>
        <w:rPr>
          <w:rFonts w:ascii="Times New Roman" w:hAnsi="Times New Roman" w:cs="Times New Roman" w:eastAsia="Times New Roman" w:hint="default"/>
          <w:spacing w:val="-1"/>
        </w:rPr>
        <w:t> </w:t>
      </w:r>
      <w:r>
        <w:rPr/>
        <w:t>元；本期收回或转回坏账准备金额</w:t>
      </w:r>
      <w:r>
        <w:rPr>
          <w:spacing w:val="-52"/>
        </w:rPr>
        <w:t> </w:t>
      </w:r>
      <w:r>
        <w:rPr>
          <w:rFonts w:ascii="Times New Roman" w:hAnsi="Times New Roman" w:cs="Times New Roman" w:eastAsia="Times New Roman" w:hint="default"/>
        </w:rPr>
        <w:t>2,082,503.28</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01" w:footer="1007" w:top="1080" w:bottom="1200" w:left="840" w:right="0"/>
        </w:sectPr>
      </w:pPr>
    </w:p>
    <w:p>
      <w:pPr>
        <w:spacing w:line="240" w:lineRule="auto" w:before="9"/>
        <w:rPr>
          <w:rFonts w:ascii="宋体" w:hAnsi="宋体" w:cs="宋体" w:eastAsia="宋体" w:hint="default"/>
          <w:sz w:val="21"/>
          <w:szCs w:val="21"/>
        </w:rPr>
      </w:pPr>
    </w:p>
    <w:p>
      <w:pPr>
        <w:pStyle w:val="BodyText"/>
        <w:spacing w:line="240" w:lineRule="auto" w:before="35"/>
        <w:ind w:right="1016"/>
        <w:jc w:val="left"/>
      </w:pPr>
      <w:r>
        <w:rPr>
          <w:rFonts w:ascii="Times New Roman" w:hAnsi="Times New Roman" w:cs="Times New Roman" w:eastAsia="Times New Roman" w:hint="default"/>
        </w:rPr>
        <w:t>3</w:t>
      </w:r>
      <w:r>
        <w:rPr/>
        <w:t>）本期实际核销的应收账款情况</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33"/>
        <w:gridCol w:w="4722"/>
      </w:tblGrid>
      <w:tr>
        <w:trPr>
          <w:trHeight w:val="406" w:hRule="exact"/>
        </w:trPr>
        <w:tc>
          <w:tcPr>
            <w:tcW w:w="5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8" w:hRule="exact"/>
        </w:trPr>
        <w:tc>
          <w:tcPr>
            <w:tcW w:w="5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2,082,503.28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1016"/>
        <w:jc w:val="left"/>
      </w:pPr>
      <w:r>
        <w:rPr>
          <w:rFonts w:ascii="Times New Roman" w:hAnsi="Times New Roman" w:cs="Times New Roman" w:eastAsia="Times New Roman" w:hint="default"/>
        </w:rPr>
        <w:t>4</w:t>
      </w:r>
      <w:r>
        <w:rPr/>
        <w:t>）按欠款方归集的期末余额前五名的应收账款情况</w:t>
      </w:r>
    </w:p>
    <w:p>
      <w:pPr>
        <w:spacing w:line="240" w:lineRule="auto" w:before="9"/>
        <w:rPr>
          <w:rFonts w:ascii="宋体" w:hAnsi="宋体" w:cs="宋体" w:eastAsia="宋体" w:hint="default"/>
          <w:sz w:val="16"/>
          <w:szCs w:val="16"/>
        </w:rPr>
      </w:pPr>
    </w:p>
    <w:p>
      <w:pPr>
        <w:pStyle w:val="BodyText"/>
        <w:spacing w:line="280" w:lineRule="auto"/>
        <w:ind w:left="214" w:right="1117" w:firstLine="420"/>
        <w:jc w:val="left"/>
      </w:pPr>
      <w:r>
        <w:rPr/>
        <w:t>母公司本期按欠款方归集的期末余额前五名应收账款汇总金额</w:t>
      </w:r>
      <w:r>
        <w:rPr>
          <w:spacing w:val="-53"/>
        </w:rPr>
        <w:t> </w:t>
      </w:r>
      <w:r>
        <w:rPr>
          <w:rFonts w:ascii="Times New Roman" w:hAnsi="Times New Roman" w:cs="Times New Roman" w:eastAsia="Times New Roman" w:hint="default"/>
        </w:rPr>
        <w:t>79,273,845.92 </w:t>
      </w:r>
      <w:r>
        <w:rPr>
          <w:spacing w:val="-7"/>
        </w:rPr>
        <w:t>元，占应收账款期末余额</w:t>
      </w:r>
      <w:r>
        <w:rPr/>
        <w:t> 合计数的比例</w:t>
      </w:r>
      <w:r>
        <w:rPr>
          <w:spacing w:val="-53"/>
        </w:rPr>
        <w:t> </w:t>
      </w:r>
      <w:r>
        <w:rPr>
          <w:rFonts w:ascii="Times New Roman" w:hAnsi="Times New Roman" w:cs="Times New Roman" w:eastAsia="Times New Roman" w:hint="default"/>
        </w:rPr>
        <w:t>19.87%</w:t>
      </w:r>
      <w:r>
        <w:rPr/>
        <w:t>，相应计提的坏账准备期末余额汇总金额</w:t>
      </w:r>
      <w:r>
        <w:rPr>
          <w:spacing w:val="-53"/>
        </w:rPr>
        <w:t> </w:t>
      </w:r>
      <w:r>
        <w:rPr>
          <w:rFonts w:ascii="Times New Roman" w:hAnsi="Times New Roman" w:cs="Times New Roman" w:eastAsia="Times New Roman" w:hint="default"/>
        </w:rPr>
        <w:t>1,590,039.30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pStyle w:val="BodyText"/>
        <w:spacing w:line="240" w:lineRule="auto"/>
        <w:ind w:right="1016"/>
        <w:jc w:val="left"/>
        <w:rPr>
          <w:rFonts w:ascii="微软雅黑" w:hAnsi="微软雅黑" w:cs="微软雅黑" w:eastAsia="微软雅黑" w:hint="default"/>
        </w:rPr>
      </w:pPr>
      <w:bookmarkStart w:name="2、其他应收款" w:id="425"/>
      <w:bookmarkEnd w:id="425"/>
      <w:r>
        <w:rPr/>
      </w:r>
      <w:r>
        <w:rPr>
          <w:rFonts w:ascii="Times New Roman" w:hAnsi="Times New Roman" w:cs="Times New Roman" w:eastAsia="Times New Roman" w:hint="default"/>
        </w:rPr>
        <w:t>2</w:t>
      </w:r>
      <w:r>
        <w:rPr>
          <w:rFonts w:ascii="微软雅黑" w:hAnsi="微软雅黑" w:cs="微软雅黑" w:eastAsia="微软雅黑" w:hint="default"/>
        </w:rPr>
        <w:t>、其他应收款</w:t>
      </w:r>
    </w:p>
    <w:p>
      <w:pPr>
        <w:spacing w:line="240" w:lineRule="auto" w:before="16"/>
        <w:rPr>
          <w:rFonts w:ascii="微软雅黑" w:hAnsi="微软雅黑" w:cs="微软雅黑" w:eastAsia="微软雅黑" w:hint="default"/>
          <w:sz w:val="17"/>
          <w:szCs w:val="17"/>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5"/>
        <w:gridCol w:w="3285"/>
        <w:gridCol w:w="3286"/>
      </w:tblGrid>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3,629,429.71</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5,715,386.44</w:t>
            </w:r>
          </w:p>
        </w:tc>
      </w:tr>
      <w:tr>
        <w:trPr>
          <w:trHeight w:val="407"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38,209,461.29</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35,857,390.45</w:t>
            </w:r>
          </w:p>
        </w:tc>
      </w:tr>
      <w:tr>
        <w:trPr>
          <w:trHeight w:val="408" w:hRule="exact"/>
        </w:trPr>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41,838,891.00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41,572,776.89</w:t>
            </w:r>
          </w:p>
        </w:tc>
      </w:tr>
    </w:tbl>
    <w:p>
      <w:pPr>
        <w:spacing w:line="240" w:lineRule="auto" w:before="6"/>
        <w:rPr>
          <w:rFonts w:ascii="宋体" w:hAnsi="宋体" w:cs="宋体" w:eastAsia="宋体" w:hint="default"/>
          <w:sz w:val="7"/>
          <w:szCs w:val="7"/>
        </w:rPr>
      </w:pPr>
    </w:p>
    <w:p>
      <w:pPr>
        <w:pStyle w:val="BodyText"/>
        <w:spacing w:line="420" w:lineRule="auto" w:before="35"/>
        <w:ind w:left="844" w:right="8862" w:hanging="211"/>
        <w:jc w:val="left"/>
      </w:pPr>
      <w:bookmarkStart w:name="（1）应收利息" w:id="426"/>
      <w:bookmarkEnd w:id="426"/>
      <w:r>
        <w:rPr/>
      </w:r>
      <w:r>
        <w:rPr/>
        <w:t>（</w:t>
      </w:r>
      <w:r>
        <w:rPr>
          <w:rFonts w:ascii="Times New Roman" w:hAnsi="Times New Roman" w:cs="Times New Roman" w:eastAsia="Times New Roman" w:hint="default"/>
        </w:rPr>
        <w:t>1</w:t>
      </w:r>
      <w:r>
        <w:rPr/>
        <w:t>）应收利息 应收利息分类</w:t>
      </w:r>
    </w:p>
    <w:p>
      <w:pPr>
        <w:spacing w:before="8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286"/>
        <w:gridCol w:w="3285"/>
        <w:gridCol w:w="3285"/>
      </w:tblGrid>
      <w:tr>
        <w:trPr>
          <w:trHeight w:val="407"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协议定期存款</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3,629,429.71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5,715,386.44</w:t>
            </w:r>
          </w:p>
        </w:tc>
      </w:tr>
      <w:tr>
        <w:trPr>
          <w:trHeight w:val="408"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3,629,429.71</w:t>
            </w:r>
          </w:p>
        </w:tc>
        <w:tc>
          <w:tcPr>
            <w:tcW w:w="3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5,715,386.44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1016"/>
        <w:jc w:val="left"/>
      </w:pPr>
      <w:bookmarkStart w:name="（2）其他应收款" w:id="427"/>
      <w:bookmarkEnd w:id="427"/>
      <w:r>
        <w:rPr/>
      </w:r>
      <w:r>
        <w:rPr/>
        <w:t>（</w:t>
      </w:r>
      <w:r>
        <w:rPr>
          <w:rFonts w:ascii="Times New Roman" w:hAnsi="Times New Roman" w:cs="Times New Roman" w:eastAsia="Times New Roman" w:hint="default"/>
        </w:rPr>
        <w:t>2</w:t>
      </w:r>
      <w:r>
        <w:rPr/>
        <w:t>）其他应收款</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1</w:t>
      </w:r>
      <w:r>
        <w:rPr/>
        <w:t>）其他应收款分类披露</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1209"/>
        <w:gridCol w:w="1072"/>
        <w:gridCol w:w="716"/>
        <w:gridCol w:w="864"/>
        <w:gridCol w:w="550"/>
        <w:gridCol w:w="1070"/>
        <w:gridCol w:w="1072"/>
        <w:gridCol w:w="717"/>
        <w:gridCol w:w="864"/>
        <w:gridCol w:w="550"/>
        <w:gridCol w:w="1070"/>
      </w:tblGrid>
      <w:tr>
        <w:trPr>
          <w:trHeight w:val="407" w:hRule="exact"/>
        </w:trPr>
        <w:tc>
          <w:tcPr>
            <w:tcW w:w="12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类别</w:t>
            </w:r>
            <w:r>
              <w:rPr>
                <w:rFonts w:ascii="宋体" w:hAnsi="宋体" w:cs="宋体" w:eastAsia="宋体" w:hint="default"/>
                <w:sz w:val="18"/>
                <w:szCs w:val="18"/>
              </w:rPr>
            </w:r>
          </w:p>
        </w:tc>
        <w:tc>
          <w:tcPr>
            <w:tcW w:w="42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pacing w:val="-12"/>
                <w:sz w:val="18"/>
                <w:szCs w:val="18"/>
              </w:rPr>
              <w:t>期末余额</w:t>
            </w:r>
            <w:r>
              <w:rPr>
                <w:rFonts w:ascii="宋体" w:hAnsi="宋体" w:cs="宋体" w:eastAsia="宋体" w:hint="default"/>
                <w:sz w:val="18"/>
                <w:szCs w:val="18"/>
              </w:rPr>
            </w:r>
          </w:p>
        </w:tc>
        <w:tc>
          <w:tcPr>
            <w:tcW w:w="42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pacing w:val="-12"/>
                <w:sz w:val="18"/>
                <w:szCs w:val="18"/>
              </w:rPr>
              <w:t>期初余额</w:t>
            </w:r>
            <w:r>
              <w:rPr>
                <w:rFonts w:ascii="宋体" w:hAnsi="宋体" w:cs="宋体" w:eastAsia="宋体" w:hint="default"/>
                <w:sz w:val="18"/>
                <w:szCs w:val="18"/>
              </w:rPr>
            </w:r>
          </w:p>
        </w:tc>
      </w:tr>
      <w:tr>
        <w:trPr>
          <w:trHeight w:val="363" w:hRule="exact"/>
        </w:trPr>
        <w:tc>
          <w:tcPr>
            <w:tcW w:w="1209" w:type="dxa"/>
            <w:vMerge/>
            <w:tcBorders>
              <w:left w:val="single" w:sz="4" w:space="0" w:color="000000"/>
              <w:right w:val="single" w:sz="4" w:space="0" w:color="000000"/>
            </w:tcBorders>
            <w:shd w:val="clear" w:color="auto" w:fill="D2D2D2"/>
          </w:tcPr>
          <w:p>
            <w:pPr/>
          </w:p>
        </w:tc>
        <w:tc>
          <w:tcPr>
            <w:tcW w:w="17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pacing w:val="-12"/>
                <w:sz w:val="18"/>
                <w:szCs w:val="18"/>
              </w:rPr>
              <w:t>账面余额</w:t>
            </w:r>
            <w:r>
              <w:rPr>
                <w:rFonts w:ascii="宋体" w:hAnsi="宋体" w:cs="宋体" w:eastAsia="宋体" w:hint="default"/>
                <w:sz w:val="18"/>
                <w:szCs w:val="18"/>
              </w:rPr>
            </w:r>
          </w:p>
        </w:tc>
        <w:tc>
          <w:tcPr>
            <w:tcW w:w="14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pacing w:val="-12"/>
                <w:sz w:val="18"/>
                <w:szCs w:val="18"/>
              </w:rPr>
              <w:t>坏账准备</w:t>
            </w:r>
            <w:r>
              <w:rPr>
                <w:rFonts w:ascii="宋体" w:hAnsi="宋体" w:cs="宋体" w:eastAsia="宋体" w:hint="default"/>
                <w:sz w:val="18"/>
                <w:szCs w:val="18"/>
              </w:rPr>
            </w:r>
          </w:p>
        </w:tc>
        <w:tc>
          <w:tcPr>
            <w:tcW w:w="10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pacing w:val="-12"/>
                <w:sz w:val="18"/>
                <w:szCs w:val="18"/>
              </w:rPr>
              <w:t>账面余额</w:t>
            </w:r>
            <w:r>
              <w:rPr>
                <w:rFonts w:ascii="宋体" w:hAnsi="宋体" w:cs="宋体" w:eastAsia="宋体" w:hint="default"/>
                <w:sz w:val="18"/>
                <w:szCs w:val="18"/>
              </w:rPr>
            </w:r>
          </w:p>
        </w:tc>
        <w:tc>
          <w:tcPr>
            <w:tcW w:w="14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pacing w:val="-12"/>
                <w:sz w:val="18"/>
                <w:szCs w:val="18"/>
              </w:rPr>
              <w:t>坏账准备</w:t>
            </w:r>
            <w:r>
              <w:rPr>
                <w:rFonts w:ascii="宋体" w:hAnsi="宋体" w:cs="宋体" w:eastAsia="宋体" w:hint="default"/>
                <w:sz w:val="18"/>
                <w:szCs w:val="18"/>
              </w:rPr>
            </w:r>
          </w:p>
        </w:tc>
        <w:tc>
          <w:tcPr>
            <w:tcW w:w="107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521"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101" w:right="101"/>
              <w:jc w:val="left"/>
              <w:rPr>
                <w:rFonts w:ascii="宋体" w:hAnsi="宋体" w:cs="宋体" w:eastAsia="宋体" w:hint="default"/>
                <w:sz w:val="18"/>
                <w:szCs w:val="18"/>
              </w:rPr>
            </w:pPr>
            <w:r>
              <w:rPr>
                <w:rFonts w:ascii="宋体" w:hAnsi="宋体" w:cs="宋体" w:eastAsia="宋体" w:hint="default"/>
                <w:spacing w:val="-12"/>
                <w:sz w:val="18"/>
                <w:szCs w:val="18"/>
              </w:rPr>
              <w:t>计提 比例</w:t>
            </w:r>
            <w:r>
              <w:rPr>
                <w:rFonts w:ascii="宋体" w:hAnsi="宋体" w:cs="宋体" w:eastAsia="宋体" w:hint="default"/>
                <w:sz w:val="18"/>
                <w:szCs w:val="18"/>
              </w:rPr>
            </w:r>
          </w:p>
        </w:tc>
        <w:tc>
          <w:tcPr>
            <w:tcW w:w="10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7" w:lineRule="exact"/>
              <w:ind w:right="0"/>
              <w:jc w:val="center"/>
              <w:rPr>
                <w:rFonts w:ascii="宋体" w:hAnsi="宋体" w:cs="宋体" w:eastAsia="宋体" w:hint="default"/>
                <w:sz w:val="18"/>
                <w:szCs w:val="18"/>
              </w:rPr>
            </w:pPr>
            <w:r>
              <w:rPr>
                <w:rFonts w:ascii="宋体" w:hAnsi="宋体" w:cs="宋体" w:eastAsia="宋体" w:hint="default"/>
                <w:spacing w:val="-12"/>
                <w:sz w:val="18"/>
                <w:szCs w:val="18"/>
              </w:rPr>
              <w:t>账面价值</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1"/>
              <w:jc w:val="center"/>
              <w:rPr>
                <w:rFonts w:ascii="宋体" w:hAnsi="宋体" w:cs="宋体" w:eastAsia="宋体" w:hint="default"/>
                <w:sz w:val="18"/>
                <w:szCs w:val="18"/>
              </w:rPr>
            </w:pPr>
            <w:r>
              <w:rPr>
                <w:rFonts w:ascii="宋体" w:hAnsi="宋体" w:cs="宋体" w:eastAsia="宋体" w:hint="default"/>
                <w:spacing w:val="-12"/>
                <w:sz w:val="18"/>
                <w:szCs w:val="18"/>
              </w:rPr>
              <w:t>比例</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pacing w:val="-12"/>
                <w:sz w:val="18"/>
                <w:szCs w:val="18"/>
              </w:rPr>
              <w:t>金额</w:t>
            </w:r>
            <w:r>
              <w:rPr>
                <w:rFonts w:ascii="宋体" w:hAnsi="宋体" w:cs="宋体" w:eastAsia="宋体" w:hint="default"/>
                <w:sz w:val="18"/>
                <w:szCs w:val="18"/>
              </w:rPr>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101" w:right="101"/>
              <w:jc w:val="left"/>
              <w:rPr>
                <w:rFonts w:ascii="宋体" w:hAnsi="宋体" w:cs="宋体" w:eastAsia="宋体" w:hint="default"/>
                <w:sz w:val="18"/>
                <w:szCs w:val="18"/>
              </w:rPr>
            </w:pPr>
            <w:r>
              <w:rPr>
                <w:rFonts w:ascii="宋体" w:hAnsi="宋体" w:cs="宋体" w:eastAsia="宋体" w:hint="default"/>
                <w:spacing w:val="-12"/>
                <w:sz w:val="18"/>
                <w:szCs w:val="18"/>
              </w:rPr>
              <w:t>计提 比例</w:t>
            </w:r>
            <w:r>
              <w:rPr>
                <w:rFonts w:ascii="宋体" w:hAnsi="宋体" w:cs="宋体" w:eastAsia="宋体" w:hint="default"/>
                <w:sz w:val="18"/>
                <w:szCs w:val="18"/>
              </w:rPr>
            </w:r>
          </w:p>
        </w:tc>
        <w:tc>
          <w:tcPr>
            <w:tcW w:w="10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7" w:lineRule="exact"/>
              <w:ind w:right="0"/>
              <w:jc w:val="center"/>
              <w:rPr>
                <w:rFonts w:ascii="宋体" w:hAnsi="宋体" w:cs="宋体" w:eastAsia="宋体" w:hint="default"/>
                <w:sz w:val="18"/>
                <w:szCs w:val="18"/>
              </w:rPr>
            </w:pPr>
            <w:r>
              <w:rPr>
                <w:rFonts w:ascii="宋体" w:hAnsi="宋体" w:cs="宋体" w:eastAsia="宋体" w:hint="default"/>
                <w:spacing w:val="-12"/>
                <w:sz w:val="18"/>
                <w:szCs w:val="18"/>
              </w:rPr>
              <w:t>账面价值</w:t>
            </w:r>
            <w:r>
              <w:rPr>
                <w:rFonts w:ascii="宋体" w:hAnsi="宋体" w:cs="宋体" w:eastAsia="宋体" w:hint="default"/>
                <w:sz w:val="18"/>
                <w:szCs w:val="18"/>
              </w:rPr>
            </w:r>
          </w:p>
        </w:tc>
      </w:tr>
      <w:tr>
        <w:trPr>
          <w:trHeight w:val="94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52" w:right="0"/>
              <w:jc w:val="both"/>
              <w:rPr>
                <w:rFonts w:ascii="宋体" w:hAnsi="宋体" w:cs="宋体" w:eastAsia="宋体" w:hint="default"/>
                <w:sz w:val="18"/>
                <w:szCs w:val="18"/>
              </w:rPr>
            </w:pPr>
            <w:r>
              <w:rPr>
                <w:rFonts w:ascii="宋体" w:hAnsi="宋体" w:cs="宋体" w:eastAsia="宋体" w:hint="default"/>
                <w:spacing w:val="-12"/>
                <w:sz w:val="18"/>
                <w:szCs w:val="18"/>
              </w:rPr>
              <w:t>按信用风险特</w:t>
            </w:r>
            <w:r>
              <w:rPr>
                <w:rFonts w:ascii="宋体" w:hAnsi="宋体" w:cs="宋体" w:eastAsia="宋体" w:hint="default"/>
                <w:sz w:val="18"/>
                <w:szCs w:val="18"/>
              </w:rPr>
            </w:r>
          </w:p>
          <w:p>
            <w:pPr>
              <w:pStyle w:val="TableParagraph"/>
              <w:spacing w:line="237" w:lineRule="auto" w:before="1"/>
              <w:ind w:left="52" w:right="136"/>
              <w:jc w:val="both"/>
              <w:rPr>
                <w:rFonts w:ascii="宋体" w:hAnsi="宋体" w:cs="宋体" w:eastAsia="宋体" w:hint="default"/>
                <w:sz w:val="18"/>
                <w:szCs w:val="18"/>
              </w:rPr>
            </w:pPr>
            <w:r>
              <w:rPr>
                <w:rFonts w:ascii="宋体" w:hAnsi="宋体" w:cs="宋体" w:eastAsia="宋体" w:hint="default"/>
                <w:spacing w:val="-12"/>
                <w:sz w:val="18"/>
                <w:szCs w:val="18"/>
              </w:rPr>
              <w:t>征组合计提坏 账准备的其他 应收款</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 w:right="0"/>
              <w:jc w:val="center"/>
              <w:rPr>
                <w:rFonts w:ascii="Times New Roman" w:hAnsi="Times New Roman" w:cs="Times New Roman" w:eastAsia="Times New Roman" w:hint="default"/>
                <w:sz w:val="18"/>
                <w:szCs w:val="18"/>
              </w:rPr>
            </w:pPr>
            <w:r>
              <w:rPr>
                <w:rFonts w:ascii="Times New Roman"/>
                <w:spacing w:val="-6"/>
                <w:sz w:val="18"/>
              </w:rPr>
              <w:t>38,826,843.36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 w:right="0"/>
              <w:jc w:val="center"/>
              <w:rPr>
                <w:rFonts w:ascii="Times New Roman" w:hAnsi="Times New Roman" w:cs="Times New Roman" w:eastAsia="Times New Roman" w:hint="default"/>
                <w:sz w:val="18"/>
                <w:szCs w:val="18"/>
              </w:rPr>
            </w:pPr>
            <w:r>
              <w:rPr>
                <w:rFonts w:ascii="Times New Roman"/>
                <w:spacing w:val="-6"/>
                <w:sz w:val="18"/>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 w:right="0"/>
              <w:jc w:val="center"/>
              <w:rPr>
                <w:rFonts w:ascii="Times New Roman" w:hAnsi="Times New Roman" w:cs="Times New Roman" w:eastAsia="Times New Roman" w:hint="default"/>
                <w:sz w:val="18"/>
                <w:szCs w:val="18"/>
              </w:rPr>
            </w:pPr>
            <w:r>
              <w:rPr>
                <w:rFonts w:ascii="Times New Roman"/>
                <w:spacing w:val="-6"/>
                <w:sz w:val="18"/>
              </w:rPr>
              <w:t>617,382.07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3" w:right="0"/>
              <w:jc w:val="left"/>
              <w:rPr>
                <w:rFonts w:ascii="Times New Roman" w:hAnsi="Times New Roman" w:cs="Times New Roman" w:eastAsia="Times New Roman" w:hint="default"/>
                <w:sz w:val="18"/>
                <w:szCs w:val="18"/>
              </w:rPr>
            </w:pPr>
            <w:r>
              <w:rPr>
                <w:rFonts w:ascii="Times New Roman"/>
                <w:spacing w:val="-5"/>
                <w:sz w:val="18"/>
              </w:rPr>
              <w:t>1.59%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 w:right="0"/>
              <w:jc w:val="center"/>
              <w:rPr>
                <w:rFonts w:ascii="Times New Roman" w:hAnsi="Times New Roman" w:cs="Times New Roman" w:eastAsia="Times New Roman" w:hint="default"/>
                <w:sz w:val="18"/>
                <w:szCs w:val="18"/>
              </w:rPr>
            </w:pPr>
            <w:r>
              <w:rPr>
                <w:rFonts w:ascii="Times New Roman"/>
                <w:spacing w:val="-6"/>
                <w:sz w:val="18"/>
              </w:rPr>
              <w:t>38,209,461.29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 w:right="0"/>
              <w:jc w:val="center"/>
              <w:rPr>
                <w:rFonts w:ascii="Times New Roman" w:hAnsi="Times New Roman" w:cs="Times New Roman" w:eastAsia="Times New Roman" w:hint="default"/>
                <w:sz w:val="18"/>
                <w:szCs w:val="18"/>
              </w:rPr>
            </w:pPr>
            <w:r>
              <w:rPr>
                <w:rFonts w:ascii="Times New Roman"/>
                <w:spacing w:val="-6"/>
                <w:sz w:val="18"/>
              </w:rPr>
              <w:t>36,377,983.78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 w:right="0"/>
              <w:jc w:val="center"/>
              <w:rPr>
                <w:rFonts w:ascii="Times New Roman" w:hAnsi="Times New Roman" w:cs="Times New Roman" w:eastAsia="Times New Roman" w:hint="default"/>
                <w:sz w:val="18"/>
                <w:szCs w:val="18"/>
              </w:rPr>
            </w:pPr>
            <w:r>
              <w:rPr>
                <w:rFonts w:ascii="Times New Roman"/>
                <w:spacing w:val="-6"/>
                <w:sz w:val="18"/>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 w:right="0"/>
              <w:jc w:val="center"/>
              <w:rPr>
                <w:rFonts w:ascii="Times New Roman" w:hAnsi="Times New Roman" w:cs="Times New Roman" w:eastAsia="Times New Roman" w:hint="default"/>
                <w:sz w:val="18"/>
                <w:szCs w:val="18"/>
              </w:rPr>
            </w:pPr>
            <w:r>
              <w:rPr>
                <w:rFonts w:ascii="Times New Roman"/>
                <w:spacing w:val="-6"/>
                <w:sz w:val="18"/>
              </w:rPr>
              <w:t>520,593.33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9" w:right="0"/>
              <w:jc w:val="center"/>
              <w:rPr>
                <w:rFonts w:ascii="Times New Roman" w:hAnsi="Times New Roman" w:cs="Times New Roman" w:eastAsia="Times New Roman" w:hint="default"/>
                <w:sz w:val="18"/>
                <w:szCs w:val="18"/>
              </w:rPr>
            </w:pPr>
            <w:r>
              <w:rPr>
                <w:rFonts w:ascii="Times New Roman"/>
                <w:spacing w:val="-5"/>
                <w:sz w:val="18"/>
              </w:rPr>
              <w:t>1.43%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 w:right="0"/>
              <w:jc w:val="center"/>
              <w:rPr>
                <w:rFonts w:ascii="Times New Roman" w:hAnsi="Times New Roman" w:cs="Times New Roman" w:eastAsia="Times New Roman" w:hint="default"/>
                <w:sz w:val="18"/>
                <w:szCs w:val="18"/>
              </w:rPr>
            </w:pPr>
            <w:r>
              <w:rPr>
                <w:rFonts w:ascii="Times New Roman"/>
                <w:spacing w:val="-6"/>
                <w:sz w:val="18"/>
              </w:rPr>
              <w:t>35,857,390.45</w:t>
            </w:r>
          </w:p>
        </w:tc>
      </w:tr>
      <w:tr>
        <w:trPr>
          <w:trHeight w:val="408"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pacing w:val="-12"/>
                <w:sz w:val="18"/>
                <w:szCs w:val="18"/>
              </w:rPr>
              <w:t>合计</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pacing w:val="-6"/>
                <w:sz w:val="18"/>
              </w:rPr>
              <w:t>38,826,843.36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pacing w:val="-6"/>
                <w:sz w:val="18"/>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pacing w:val="-6"/>
                <w:sz w:val="18"/>
              </w:rPr>
              <w:t>617,382.07</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Times New Roman" w:hAnsi="Times New Roman" w:cs="Times New Roman" w:eastAsia="Times New Roman" w:hint="default"/>
                <w:sz w:val="18"/>
                <w:szCs w:val="18"/>
              </w:rPr>
            </w:pPr>
            <w:r>
              <w:rPr>
                <w:rFonts w:ascii="Times New Roman"/>
                <w:spacing w:val="-5"/>
                <w:sz w:val="18"/>
              </w:rPr>
              <w:t>1.59%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pacing w:val="-6"/>
                <w:sz w:val="18"/>
              </w:rPr>
              <w:t>38,209,461.29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pacing w:val="-6"/>
                <w:sz w:val="18"/>
              </w:rPr>
              <w:t>36,377,983.78</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pacing w:val="-6"/>
                <w:sz w:val="18"/>
              </w:rPr>
              <w:t>100.00%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pacing w:val="-6"/>
                <w:sz w:val="18"/>
              </w:rPr>
              <w:t>520,593.33</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pacing w:val="-5"/>
                <w:sz w:val="18"/>
              </w:rPr>
              <w:t>1.43%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pacing w:val="-6"/>
                <w:sz w:val="18"/>
              </w:rPr>
              <w:t>35,857,390.45</w:t>
            </w:r>
          </w:p>
        </w:tc>
      </w:tr>
    </w:tbl>
    <w:p>
      <w:pPr>
        <w:spacing w:after="0" w:line="240" w:lineRule="auto"/>
        <w:jc w:val="center"/>
        <w:rPr>
          <w:rFonts w:ascii="Times New Roman" w:hAnsi="Times New Roman" w:cs="Times New Roman" w:eastAsia="Times New Roman" w:hint="default"/>
          <w:sz w:val="18"/>
          <w:szCs w:val="18"/>
        </w:rPr>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40" w:lineRule="auto" w:before="35"/>
        <w:ind w:right="1016"/>
        <w:jc w:val="left"/>
      </w:pPr>
      <w:r>
        <w:rPr/>
        <w:t>期末单项金额重大并单项计提坏账准备的其他应收款：</w:t>
      </w:r>
    </w:p>
    <w:p>
      <w:pPr>
        <w:spacing w:line="240" w:lineRule="auto" w:before="12"/>
        <w:rPr>
          <w:rFonts w:ascii="宋体" w:hAnsi="宋体" w:cs="宋体" w:eastAsia="宋体" w:hint="default"/>
          <w:sz w:val="17"/>
          <w:szCs w:val="17"/>
        </w:rPr>
      </w:pPr>
    </w:p>
    <w:p>
      <w:pPr>
        <w:pStyle w:val="BodyText"/>
        <w:spacing w:line="420" w:lineRule="auto"/>
        <w:ind w:right="55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组合中，按账龄分析法计提坏账准备的其他应收款：</w:t>
      </w:r>
    </w:p>
    <w:p>
      <w:pPr>
        <w:spacing w:before="8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568"/>
        <w:gridCol w:w="2364"/>
        <w:gridCol w:w="2462"/>
        <w:gridCol w:w="2461"/>
      </w:tblGrid>
      <w:tr>
        <w:trPr>
          <w:trHeight w:val="407" w:hRule="exact"/>
        </w:trPr>
        <w:tc>
          <w:tcPr>
            <w:tcW w:w="2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7" w:hRule="exact"/>
        </w:trPr>
        <w:tc>
          <w:tcPr>
            <w:tcW w:w="2568" w:type="dxa"/>
            <w:vMerge/>
            <w:tcBorders>
              <w:left w:val="single" w:sz="4" w:space="0" w:color="000000"/>
              <w:bottom w:val="single" w:sz="4" w:space="0" w:color="000000"/>
              <w:right w:val="single" w:sz="4" w:space="0" w:color="000000"/>
            </w:tcBorders>
            <w:shd w:val="clear" w:color="auto" w:fill="D2D2D2"/>
          </w:tcPr>
          <w:p>
            <w:pPr/>
          </w:p>
        </w:tc>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7" w:hRule="exact"/>
        </w:trPr>
        <w:tc>
          <w:tcPr>
            <w:tcW w:w="9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5,595,580.87</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55,955.80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5,595,580.87</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55,955.80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8"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510,287.00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51,028.70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108,659.26</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21,731.85</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20.00%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151,837.42</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75,918.72</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1,900.00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1,330.00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70.00%</w:t>
            </w:r>
          </w:p>
        </w:tc>
      </w:tr>
      <w:tr>
        <w:trPr>
          <w:trHeight w:val="407"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411,417.00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411,417.00</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8" w:hRule="exact"/>
        </w:trPr>
        <w:tc>
          <w:tcPr>
            <w:tcW w:w="2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6,779,681.55</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617,382.07</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9.11%</w:t>
            </w:r>
          </w:p>
        </w:tc>
      </w:tr>
    </w:tbl>
    <w:p>
      <w:pPr>
        <w:spacing w:line="240" w:lineRule="auto" w:before="6"/>
        <w:rPr>
          <w:rFonts w:ascii="宋体" w:hAnsi="宋体" w:cs="宋体" w:eastAsia="宋体" w:hint="default"/>
          <w:sz w:val="7"/>
          <w:szCs w:val="7"/>
        </w:rPr>
      </w:pPr>
    </w:p>
    <w:p>
      <w:pPr>
        <w:pStyle w:val="BodyText"/>
        <w:spacing w:line="444" w:lineRule="auto" w:before="35"/>
        <w:ind w:right="5082"/>
        <w:jc w:val="left"/>
      </w:pPr>
      <w:r>
        <w:rPr/>
        <w:t>确定该组合依据的说明： 组合中，采用余额百分比法计提坏账准备的其他应收款：</w:t>
      </w:r>
    </w:p>
    <w:p>
      <w:pPr>
        <w:pStyle w:val="BodyText"/>
        <w:spacing w:line="420" w:lineRule="auto" w:before="55"/>
        <w:ind w:right="55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不适用 组合中，采用其他方法计提坏账准备的其他应收款：</w:t>
      </w:r>
    </w:p>
    <w:p>
      <w:pPr>
        <w:pStyle w:val="BodyText"/>
        <w:spacing w:line="240" w:lineRule="auto" w:before="76"/>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2</w:t>
      </w:r>
      <w:r>
        <w:rPr/>
        <w:t>）本期计提、收回或转回的坏账准备情况</w:t>
      </w:r>
    </w:p>
    <w:p>
      <w:pPr>
        <w:spacing w:line="240" w:lineRule="auto" w:before="9"/>
        <w:rPr>
          <w:rFonts w:ascii="宋体" w:hAnsi="宋体" w:cs="宋体" w:eastAsia="宋体" w:hint="default"/>
          <w:sz w:val="16"/>
          <w:szCs w:val="16"/>
        </w:rPr>
      </w:pPr>
    </w:p>
    <w:p>
      <w:pPr>
        <w:pStyle w:val="BodyText"/>
        <w:spacing w:line="240" w:lineRule="auto"/>
        <w:ind w:right="1016"/>
        <w:jc w:val="left"/>
      </w:pPr>
      <w:r>
        <w:rPr/>
        <w:t>本期计提坏账准备金额</w:t>
      </w:r>
      <w:r>
        <w:rPr>
          <w:spacing w:val="-53"/>
        </w:rPr>
        <w:t> </w:t>
      </w:r>
      <w:r>
        <w:rPr>
          <w:rFonts w:ascii="Times New Roman" w:hAnsi="Times New Roman" w:cs="Times New Roman" w:eastAsia="Times New Roman" w:hint="default"/>
        </w:rPr>
        <w:t>96,788.74</w:t>
      </w:r>
      <w:r>
        <w:rPr>
          <w:rFonts w:ascii="Times New Roman" w:hAnsi="Times New Roman" w:cs="Times New Roman" w:eastAsia="Times New Roman" w:hint="default"/>
          <w:spacing w:val="-1"/>
        </w:rPr>
        <w:t> </w:t>
      </w:r>
      <w:r>
        <w:rPr/>
        <w:t>元；本期收回或转回坏账准备金额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3</w:t>
      </w:r>
      <w:r>
        <w:rPr/>
        <w:t>）其他应收款按款项性质分类情况</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468"/>
        <w:gridCol w:w="3194"/>
        <w:gridCol w:w="3194"/>
      </w:tblGrid>
      <w:tr>
        <w:trPr>
          <w:trHeight w:val="407" w:hRule="exact"/>
        </w:trPr>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7"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企业内部往来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32,047,161.81</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29,561,473.81</w:t>
            </w:r>
          </w:p>
        </w:tc>
      </w:tr>
      <w:tr>
        <w:trPr>
          <w:trHeight w:val="407"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6,356,730.82</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2,179,906.16</w:t>
            </w:r>
          </w:p>
        </w:tc>
      </w:tr>
      <w:tr>
        <w:trPr>
          <w:trHeight w:val="408"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376,452.19</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90,332.97</w:t>
            </w:r>
          </w:p>
        </w:tc>
      </w:tr>
      <w:tr>
        <w:trPr>
          <w:trHeight w:val="407" w:hRule="exact"/>
        </w:trPr>
        <w:tc>
          <w:tcPr>
            <w:tcW w:w="3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46,498.54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4,546,270.84</w:t>
            </w:r>
          </w:p>
        </w:tc>
      </w:tr>
      <w:tr>
        <w:trPr>
          <w:trHeight w:val="407" w:hRule="exact"/>
        </w:trPr>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38,826,843.36</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36,377,983.78</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rFonts w:ascii="Times New Roman" w:hAnsi="Times New Roman" w:cs="Times New Roman" w:eastAsia="Times New Roman" w:hint="default"/>
        </w:rPr>
        <w:t>4</w:t>
      </w:r>
      <w:r>
        <w:rPr/>
        <w:t>）按欠款方归集的期末余额前五名的其他应收款情况</w:t>
      </w:r>
    </w:p>
    <w:p>
      <w:pPr>
        <w:spacing w:after="0" w:line="240" w:lineRule="auto"/>
        <w:jc w:val="left"/>
        <w:sectPr>
          <w:pgSz w:w="11910" w:h="16840"/>
          <w:pgMar w:header="801" w:footer="1007" w:top="1080" w:bottom="1200" w:left="920" w:right="0"/>
        </w:sectPr>
      </w:pPr>
    </w:p>
    <w:p>
      <w:pPr>
        <w:spacing w:line="240" w:lineRule="auto" w:before="5"/>
        <w:rPr>
          <w:rFonts w:ascii="宋体" w:hAnsi="宋体" w:cs="宋体" w:eastAsia="宋体" w:hint="default"/>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736"/>
        <w:gridCol w:w="1597"/>
        <w:gridCol w:w="1598"/>
        <w:gridCol w:w="1598"/>
        <w:gridCol w:w="1664"/>
        <w:gridCol w:w="1663"/>
      </w:tblGrid>
      <w:tr>
        <w:trPr>
          <w:trHeight w:val="476"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5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6"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p>
            <w:pPr>
              <w:pStyle w:val="TableParagraph"/>
              <w:spacing w:line="234" w:lineRule="exact"/>
              <w:ind w:left="106" w:right="0"/>
              <w:jc w:val="lef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10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76"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西安中科创达软件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企业内部往来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16,231,705.81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41.81%</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香港天集有限公司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企业内部往来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14,275,456.00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36.77%</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北京市海淀区欣华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农工商公司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5,921,543.00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4"/>
                <w:sz w:val="18"/>
                <w:szCs w:val="18"/>
              </w:rPr>
              <w:t>年以内、</w:t>
            </w:r>
            <w:r>
              <w:rPr>
                <w:rFonts w:ascii="Times New Roman" w:hAnsi="Times New Roman" w:cs="Times New Roman" w:eastAsia="Times New Roman" w:hint="default"/>
                <w:spacing w:val="-4"/>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15.25%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550,990.00</w:t>
            </w:r>
          </w:p>
        </w:tc>
      </w:tr>
      <w:tr>
        <w:trPr>
          <w:trHeight w:val="476"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杭州聚引投资管理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企业内部往来</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1,540,000.00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3.97%</w:t>
            </w: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王逸璇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150,000.00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1,500.00</w:t>
            </w:r>
          </w:p>
        </w:tc>
      </w:tr>
      <w:tr>
        <w:trPr>
          <w:trHeight w:val="408"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38,118,704.81</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98.19%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552,490.00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324" w:lineRule="exact"/>
        <w:ind w:right="1016"/>
        <w:jc w:val="left"/>
        <w:rPr>
          <w:rFonts w:ascii="微软雅黑" w:hAnsi="微软雅黑" w:cs="微软雅黑" w:eastAsia="微软雅黑" w:hint="default"/>
        </w:rPr>
      </w:pPr>
      <w:bookmarkStart w:name="3、长期股权投资" w:id="428"/>
      <w:bookmarkEnd w:id="428"/>
      <w:r>
        <w:rPr/>
      </w:r>
      <w:r>
        <w:rPr>
          <w:rFonts w:ascii="Times New Roman" w:hAnsi="Times New Roman" w:cs="Times New Roman" w:eastAsia="Times New Roman" w:hint="default"/>
        </w:rPr>
        <w:t>3</w:t>
      </w:r>
      <w:r>
        <w:rPr>
          <w:rFonts w:ascii="微软雅黑" w:hAnsi="微软雅黑" w:cs="微软雅黑" w:eastAsia="微软雅黑" w:hint="default"/>
        </w:rPr>
        <w:t>、长期股权投资</w:t>
      </w:r>
    </w:p>
    <w:p>
      <w:pPr>
        <w:spacing w:line="240" w:lineRule="auto" w:before="7"/>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409"/>
        <w:gridCol w:w="1409"/>
        <w:gridCol w:w="1409"/>
        <w:gridCol w:w="1406"/>
        <w:gridCol w:w="1408"/>
        <w:gridCol w:w="1407"/>
        <w:gridCol w:w="1408"/>
      </w:tblGrid>
      <w:tr>
        <w:trPr>
          <w:trHeight w:val="407" w:hRule="exact"/>
        </w:trPr>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22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409" w:type="dxa"/>
            <w:vMerge/>
            <w:tcBorders>
              <w:left w:val="single" w:sz="4" w:space="0" w:color="000000"/>
              <w:bottom w:val="single" w:sz="4" w:space="0" w:color="000000"/>
              <w:right w:val="single" w:sz="4" w:space="0" w:color="000000"/>
            </w:tcBorders>
            <w:shd w:val="clear" w:color="auto" w:fill="D2D2D2"/>
          </w:tcPr>
          <w:p>
            <w:pP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7"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835,823,778.02</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835,823,778.02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637,847,718.65</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637,847,718.65</w:t>
            </w:r>
          </w:p>
        </w:tc>
      </w:tr>
      <w:tr>
        <w:trPr>
          <w:trHeight w:val="476"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对联营、合营企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34,393,330.89</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34,393,330.89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39,677,852.85</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39,677,852.85</w:t>
            </w:r>
          </w:p>
        </w:tc>
      </w:tr>
      <w:tr>
        <w:trPr>
          <w:trHeight w:val="408" w:hRule="exact"/>
        </w:trPr>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870,217,108.91</w:t>
            </w:r>
          </w:p>
        </w:tc>
        <w:tc>
          <w:tcPr>
            <w:tcW w:w="1409"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870,217,108.91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677,525,571.50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677,525,571.50</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bookmarkStart w:name="（1）对子公司投资" w:id="429"/>
      <w:bookmarkEnd w:id="429"/>
      <w:r>
        <w:rPr/>
      </w:r>
      <w:r>
        <w:rPr/>
        <w:t>（</w:t>
      </w:r>
      <w:r>
        <w:rPr>
          <w:rFonts w:ascii="Times New Roman" w:hAnsi="Times New Roman" w:cs="Times New Roman" w:eastAsia="Times New Roman" w:hint="default"/>
        </w:rPr>
        <w:t>1</w:t>
      </w:r>
      <w:r>
        <w:rPr/>
        <w:t>）对子公司投资</w:t>
      </w:r>
    </w:p>
    <w:p>
      <w:pPr>
        <w:spacing w:line="240" w:lineRule="auto" w:before="7"/>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492"/>
        <w:gridCol w:w="1375"/>
        <w:gridCol w:w="1376"/>
        <w:gridCol w:w="1375"/>
        <w:gridCol w:w="1375"/>
        <w:gridCol w:w="1431"/>
        <w:gridCol w:w="1432"/>
      </w:tblGrid>
      <w:tr>
        <w:trPr>
          <w:trHeight w:val="476" w:hRule="exact"/>
        </w:trPr>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本期计提减值</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减值准备期末</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7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成都中科创达软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38,676,190.70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1,151,605.55</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39,827,796.25</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畅索软件科技</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17,959,322.53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4,657,367.42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22,616,689.95</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中科创达软件科</w:t>
            </w:r>
          </w:p>
          <w:p>
            <w:pPr>
              <w:pStyle w:val="TableParagraph"/>
              <w:spacing w:line="232" w:lineRule="exact" w:before="24"/>
              <w:ind w:left="103" w:right="176"/>
              <w:jc w:val="left"/>
              <w:rPr>
                <w:rFonts w:ascii="宋体" w:hAnsi="宋体" w:cs="宋体" w:eastAsia="宋体" w:hint="default"/>
                <w:sz w:val="18"/>
                <w:szCs w:val="18"/>
              </w:rPr>
            </w:pPr>
            <w:r>
              <w:rPr>
                <w:rFonts w:ascii="宋体" w:hAnsi="宋体" w:cs="宋体" w:eastAsia="宋体" w:hint="default"/>
                <w:sz w:val="18"/>
                <w:szCs w:val="18"/>
              </w:rPr>
              <w:t>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14,066,232.02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3,113,451.59</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17,179,683.61</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南京中科创达软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件科技有限公司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28,703,312.66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2,916,943.24</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31,620,255.90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北京信恒创科技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10,609,017.37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1,677,650.82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12,286,668.19</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西安中科创达软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3,027,408.94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1,165,086.71</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4,192,495.65</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大连中科创达软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1,241,309.45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582,936.59</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1,824,246.04</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沈阳中科创达软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1,285,628.14</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18,880.24</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1,304,508.38</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北京慧驰科技有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51,331,160.86</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51,331,160.86</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北京爱普新思电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子技术有限公司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7,699,639.14</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7,699,639.14</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080" w:bottom="1200" w:left="920" w:right="0"/>
        </w:sectPr>
      </w:pPr>
    </w:p>
    <w:p>
      <w:pPr>
        <w:spacing w:line="240" w:lineRule="auto" w:before="1"/>
        <w:rPr>
          <w:rFonts w:ascii="宋体" w:hAnsi="宋体" w:cs="宋体" w:eastAsia="宋体" w:hint="default"/>
          <w:sz w:val="27"/>
          <w:szCs w:val="27"/>
        </w:rPr>
      </w:pPr>
    </w:p>
    <w:tbl>
      <w:tblPr>
        <w:tblW w:w="0" w:type="auto"/>
        <w:jc w:val="left"/>
        <w:tblInd w:w="141" w:type="dxa"/>
        <w:tblLayout w:type="fixed"/>
        <w:tblCellMar>
          <w:top w:w="0" w:type="dxa"/>
          <w:left w:w="0" w:type="dxa"/>
          <w:bottom w:w="0" w:type="dxa"/>
          <w:right w:w="0" w:type="dxa"/>
        </w:tblCellMar>
        <w:tblLook w:val="01E0"/>
      </w:tblPr>
      <w:tblGrid>
        <w:gridCol w:w="1492"/>
        <w:gridCol w:w="1375"/>
        <w:gridCol w:w="1376"/>
        <w:gridCol w:w="1375"/>
        <w:gridCol w:w="1375"/>
        <w:gridCol w:w="1431"/>
        <w:gridCol w:w="1432"/>
      </w:tblGrid>
      <w:tr>
        <w:trPr>
          <w:trHeight w:val="476" w:hRule="exact"/>
        </w:trPr>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left="3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本期计提减值</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减值准备期末</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7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北京创思远达科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1,952,262.48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197,173.00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2,149,435.48</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杭州聚引投资管</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13,100,000.00</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13,100,000.00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武汉中科创达软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1,055,482.96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166,420.56</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1,221,903.52</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w:t>
            </w:r>
            <w:r>
              <w:rPr>
                <w:rFonts w:ascii="宋体" w:hAnsi="宋体" w:cs="宋体" w:eastAsia="宋体" w:hint="default"/>
                <w:spacing w:val="-75"/>
                <w:sz w:val="18"/>
                <w:szCs w:val="18"/>
              </w:rPr>
              <w:t>达</w:t>
            </w:r>
            <w:r>
              <w:rPr>
                <w:rFonts w:ascii="宋体" w:hAnsi="宋体" w:cs="宋体" w:eastAsia="宋体" w:hint="default"/>
                <w:sz w:val="18"/>
                <w:szCs w:val="18"/>
              </w:rPr>
              <w:t>（重</w:t>
            </w:r>
            <w:r>
              <w:rPr>
                <w:rFonts w:ascii="宋体" w:hAnsi="宋体" w:cs="宋体" w:eastAsia="宋体" w:hint="default"/>
                <w:spacing w:val="-2"/>
                <w:sz w:val="18"/>
                <w:szCs w:val="18"/>
              </w:rPr>
              <w:t>庆</w:t>
            </w:r>
            <w:r>
              <w:rPr>
                <w:rFonts w:ascii="宋体" w:hAnsi="宋体" w:cs="宋体" w:eastAsia="宋体" w:hint="default"/>
                <w:sz w:val="18"/>
                <w:szCs w:val="18"/>
              </w:rPr>
              <w:t>）</w:t>
            </w:r>
          </w:p>
          <w:p>
            <w:pPr>
              <w:pStyle w:val="TableParagraph"/>
              <w:spacing w:line="240" w:lineRule="auto"/>
              <w:ind w:left="103" w:right="117"/>
              <w:jc w:val="left"/>
              <w:rPr>
                <w:rFonts w:ascii="宋体" w:hAnsi="宋体" w:cs="宋体" w:eastAsia="宋体" w:hint="default"/>
                <w:sz w:val="18"/>
                <w:szCs w:val="18"/>
              </w:rPr>
            </w:pPr>
            <w:r>
              <w:rPr>
                <w:rFonts w:ascii="宋体" w:hAnsi="宋体" w:cs="宋体" w:eastAsia="宋体" w:hint="default"/>
                <w:sz w:val="18"/>
                <w:szCs w:val="18"/>
              </w:rPr>
              <w:t>汽车科技有限公 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10,019,194.41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26,491,621.43</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36,510,815.84</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重庆协同创新智</w:t>
            </w:r>
          </w:p>
          <w:p>
            <w:pPr>
              <w:pStyle w:val="TableParagraph"/>
              <w:spacing w:line="240" w:lineRule="auto"/>
              <w:ind w:left="103" w:right="117"/>
              <w:jc w:val="left"/>
              <w:rPr>
                <w:rFonts w:ascii="宋体" w:hAnsi="宋体" w:cs="宋体" w:eastAsia="宋体" w:hint="default"/>
                <w:sz w:val="18"/>
                <w:szCs w:val="18"/>
              </w:rPr>
            </w:pPr>
            <w:r>
              <w:rPr>
                <w:rFonts w:ascii="宋体" w:hAnsi="宋体" w:cs="宋体" w:eastAsia="宋体" w:hint="default"/>
                <w:sz w:val="18"/>
                <w:szCs w:val="18"/>
              </w:rPr>
              <w:t>能汽车研究院有 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重庆创通联智物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联网有限公司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5,000,000.00</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中科创达软件日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本株式会社</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14,562,718.60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-2,038,587.12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12,524,131.48</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香港天集有限公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396,110,200.00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135,148,602.31</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531,258,802.31</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重庆创通联达智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能技术有限公司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16,855,950.40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1,829,030.02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18,684,980.42</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青柠优视科技</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3,750,000.00</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3,750,000.00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南京慧行汽车科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6,343,845.29</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6,343,845.29</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中科创达美国有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1,314,599.95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w w:val="95"/>
                <w:sz w:val="18"/>
              </w:rPr>
              <w:t>-602,213.15</w:t>
            </w:r>
            <w:r>
              <w:rPr>
                <w:rFonts w:ascii="Times New Roman"/>
                <w:sz w:val="18"/>
              </w:rPr>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712,386.80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中科创达软件股</w:t>
            </w:r>
          </w:p>
          <w:p>
            <w:pPr>
              <w:pStyle w:val="TableParagraph"/>
              <w:spacing w:line="240" w:lineRule="auto"/>
              <w:ind w:left="103" w:right="117"/>
              <w:jc w:val="left"/>
              <w:rPr>
                <w:rFonts w:ascii="宋体" w:hAnsi="宋体" w:cs="宋体" w:eastAsia="宋体" w:hint="default"/>
                <w:sz w:val="18"/>
                <w:szCs w:val="18"/>
              </w:rPr>
            </w:pPr>
            <w:r>
              <w:rPr>
                <w:rFonts w:ascii="宋体" w:hAnsi="宋体" w:cs="宋体" w:eastAsia="宋体" w:hint="default"/>
                <w:sz w:val="18"/>
                <w:szCs w:val="18"/>
              </w:rPr>
              <w:t>份有限公司韩国 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2,682,960.02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-1,179,835.35</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1,503,124.67</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深圳市创达天盛</w:t>
            </w:r>
          </w:p>
          <w:p>
            <w:pPr>
              <w:pStyle w:val="TableParagraph"/>
              <w:spacing w:line="240" w:lineRule="auto"/>
              <w:ind w:left="103" w:right="117"/>
              <w:jc w:val="left"/>
              <w:rPr>
                <w:rFonts w:ascii="宋体" w:hAnsi="宋体" w:cs="宋体" w:eastAsia="宋体" w:hint="default"/>
                <w:sz w:val="18"/>
                <w:szCs w:val="18"/>
              </w:rPr>
            </w:pPr>
            <w:r>
              <w:rPr>
                <w:rFonts w:ascii="宋体" w:hAnsi="宋体" w:cs="宋体" w:eastAsia="宋体" w:hint="default"/>
                <w:sz w:val="18"/>
                <w:szCs w:val="18"/>
              </w:rPr>
              <w:t>智能科技有限公 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436,307.38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932.32</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437,239.70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台湾聚引移动有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773,884.82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w w:val="95"/>
                <w:sz w:val="18"/>
              </w:rPr>
              <w:t>-330,353.91</w:t>
            </w:r>
            <w:r>
              <w:rPr>
                <w:rFonts w:ascii="Times New Roman"/>
                <w:sz w:val="18"/>
              </w:rPr>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443,530.91</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北京润信恒达科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413,025.57</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22,419.63</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435,445.20</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南京中创盎赛软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件科技有限公司</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221,910.25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1,623,829.71</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1,845,739.96</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QuantumX</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19,252.47</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19,252.47</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637,847,718.65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197,976,059.37</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835,823,778.02</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7"/>
          <w:szCs w:val="7"/>
        </w:rPr>
      </w:pPr>
    </w:p>
    <w:p>
      <w:pPr>
        <w:pStyle w:val="BodyText"/>
        <w:spacing w:line="240" w:lineRule="auto" w:before="35"/>
        <w:ind w:left="674" w:right="4872"/>
        <w:jc w:val="left"/>
      </w:pPr>
      <w:bookmarkStart w:name="（2）对联营、合营企业投资" w:id="430"/>
      <w:bookmarkEnd w:id="430"/>
      <w:r>
        <w:rPr/>
      </w:r>
      <w:r>
        <w:rPr/>
        <w:t>（</w:t>
      </w:r>
      <w:r>
        <w:rPr>
          <w:rFonts w:ascii="Times New Roman" w:hAnsi="Times New Roman" w:cs="Times New Roman" w:eastAsia="Times New Roman" w:hint="default"/>
        </w:rPr>
        <w:t>2</w:t>
      </w:r>
      <w:r>
        <w:rPr/>
        <w:t>）对联营、合营企业投资</w:t>
      </w:r>
    </w:p>
    <w:p>
      <w:pPr>
        <w:spacing w:line="240" w:lineRule="auto" w:before="9"/>
        <w:rPr>
          <w:rFonts w:ascii="宋体" w:hAnsi="宋体" w:cs="宋体" w:eastAsia="宋体" w:hint="default"/>
          <w:sz w:val="13"/>
          <w:szCs w:val="1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826"/>
        <w:gridCol w:w="1072"/>
        <w:gridCol w:w="671"/>
        <w:gridCol w:w="988"/>
        <w:gridCol w:w="1042"/>
        <w:gridCol w:w="673"/>
        <w:gridCol w:w="866"/>
        <w:gridCol w:w="672"/>
        <w:gridCol w:w="674"/>
        <w:gridCol w:w="677"/>
        <w:gridCol w:w="1073"/>
        <w:gridCol w:w="673"/>
      </w:tblGrid>
      <w:tr>
        <w:trPr>
          <w:trHeight w:val="407" w:hRule="exact"/>
        </w:trPr>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240" w:right="238"/>
              <w:jc w:val="left"/>
              <w:rPr>
                <w:rFonts w:ascii="宋体" w:hAnsi="宋体" w:cs="宋体" w:eastAsia="宋体" w:hint="default"/>
                <w:sz w:val="18"/>
                <w:szCs w:val="18"/>
              </w:rPr>
            </w:pPr>
            <w:r>
              <w:rPr>
                <w:rFonts w:ascii="宋体" w:hAnsi="宋体" w:cs="宋体" w:eastAsia="宋体" w:hint="default"/>
                <w:spacing w:val="-12"/>
                <w:sz w:val="18"/>
                <w:szCs w:val="18"/>
              </w:rPr>
              <w:t>投资 单位</w:t>
            </w:r>
            <w:r>
              <w:rPr>
                <w:rFonts w:ascii="宋体" w:hAnsi="宋体" w:cs="宋体" w:eastAsia="宋体" w:hint="default"/>
                <w:sz w:val="18"/>
                <w:szCs w:val="18"/>
              </w:rPr>
            </w:r>
          </w:p>
        </w:tc>
        <w:tc>
          <w:tcPr>
            <w:tcW w:w="10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pacing w:val="-12"/>
                <w:sz w:val="18"/>
                <w:szCs w:val="18"/>
              </w:rPr>
              <w:t>期初余额</w:t>
            </w:r>
            <w:r>
              <w:rPr>
                <w:rFonts w:ascii="宋体" w:hAnsi="宋体" w:cs="宋体" w:eastAsia="宋体" w:hint="default"/>
                <w:sz w:val="18"/>
                <w:szCs w:val="18"/>
              </w:rPr>
            </w:r>
          </w:p>
        </w:tc>
        <w:tc>
          <w:tcPr>
            <w:tcW w:w="626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pacing w:val="-12"/>
                <w:sz w:val="18"/>
                <w:szCs w:val="18"/>
              </w:rPr>
              <w:t>本期增减变动</w:t>
            </w:r>
            <w:r>
              <w:rPr>
                <w:rFonts w:ascii="宋体" w:hAnsi="宋体" w:cs="宋体" w:eastAsia="宋体" w:hint="default"/>
                <w:sz w:val="18"/>
                <w:szCs w:val="18"/>
              </w:rPr>
            </w:r>
          </w:p>
        </w:tc>
        <w:tc>
          <w:tcPr>
            <w:tcW w:w="10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32" w:lineRule="exact"/>
              <w:ind w:left="363" w:right="361"/>
              <w:jc w:val="center"/>
              <w:rPr>
                <w:rFonts w:ascii="宋体" w:hAnsi="宋体" w:cs="宋体" w:eastAsia="宋体" w:hint="default"/>
                <w:sz w:val="18"/>
                <w:szCs w:val="18"/>
              </w:rPr>
            </w:pPr>
            <w:r>
              <w:rPr>
                <w:rFonts w:ascii="宋体" w:hAnsi="宋体" w:cs="宋体" w:eastAsia="宋体" w:hint="default"/>
                <w:spacing w:val="-12"/>
                <w:sz w:val="18"/>
                <w:szCs w:val="18"/>
              </w:rPr>
              <w:t>期末 余额</w:t>
            </w:r>
            <w:r>
              <w:rPr>
                <w:rFonts w:ascii="宋体" w:hAnsi="宋体" w:cs="宋体" w:eastAsia="宋体" w:hint="default"/>
                <w:sz w:val="18"/>
                <w:szCs w:val="18"/>
              </w:rPr>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2"/>
                <w:szCs w:val="22"/>
              </w:rPr>
            </w:pPr>
          </w:p>
          <w:p>
            <w:pPr>
              <w:pStyle w:val="TableParagraph"/>
              <w:spacing w:line="237" w:lineRule="auto"/>
              <w:ind w:left="79" w:right="77"/>
              <w:jc w:val="both"/>
              <w:rPr>
                <w:rFonts w:ascii="宋体" w:hAnsi="宋体" w:cs="宋体" w:eastAsia="宋体" w:hint="default"/>
                <w:sz w:val="18"/>
                <w:szCs w:val="18"/>
              </w:rPr>
            </w:pPr>
            <w:r>
              <w:rPr>
                <w:rFonts w:ascii="宋体" w:hAnsi="宋体" w:cs="宋体" w:eastAsia="宋体" w:hint="default"/>
                <w:spacing w:val="-12"/>
                <w:sz w:val="18"/>
                <w:szCs w:val="18"/>
              </w:rPr>
              <w:t>减值准 备期末 余额</w:t>
            </w:r>
            <w:r>
              <w:rPr>
                <w:rFonts w:ascii="宋体" w:hAnsi="宋体" w:cs="宋体" w:eastAsia="宋体" w:hint="default"/>
                <w:sz w:val="18"/>
                <w:szCs w:val="18"/>
              </w:rPr>
            </w:r>
          </w:p>
        </w:tc>
      </w:tr>
      <w:tr>
        <w:trPr>
          <w:trHeight w:val="944" w:hRule="exact"/>
        </w:trPr>
        <w:tc>
          <w:tcPr>
            <w:tcW w:w="826" w:type="dxa"/>
            <w:vMerge/>
            <w:tcBorders>
              <w:left w:val="single" w:sz="4" w:space="0" w:color="000000"/>
              <w:bottom w:val="single" w:sz="4" w:space="0" w:color="000000"/>
              <w:right w:val="single" w:sz="4" w:space="0" w:color="000000"/>
            </w:tcBorders>
            <w:shd w:val="clear" w:color="auto" w:fill="D2D2D2"/>
          </w:tcPr>
          <w:p>
            <w:pPr/>
          </w:p>
        </w:tc>
        <w:tc>
          <w:tcPr>
            <w:tcW w:w="1072" w:type="dxa"/>
            <w:vMerge/>
            <w:tcBorders>
              <w:left w:val="single" w:sz="4" w:space="0" w:color="000000"/>
              <w:bottom w:val="single" w:sz="4" w:space="0" w:color="000000"/>
              <w:right w:val="single" w:sz="4" w:space="0" w:color="000000"/>
            </w:tcBorders>
            <w:shd w:val="clear" w:color="auto" w:fill="D2D2D2"/>
          </w:tcPr>
          <w:p>
            <w:pP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63" w:right="161"/>
              <w:jc w:val="left"/>
              <w:rPr>
                <w:rFonts w:ascii="宋体" w:hAnsi="宋体" w:cs="宋体" w:eastAsia="宋体" w:hint="default"/>
                <w:sz w:val="18"/>
                <w:szCs w:val="18"/>
              </w:rPr>
            </w:pPr>
            <w:r>
              <w:rPr>
                <w:rFonts w:ascii="宋体" w:hAnsi="宋体" w:cs="宋体" w:eastAsia="宋体" w:hint="default"/>
                <w:spacing w:val="-12"/>
                <w:sz w:val="18"/>
                <w:szCs w:val="18"/>
              </w:rPr>
              <w:t>追加 投资</w:t>
            </w:r>
            <w:r>
              <w:rPr>
                <w:rFonts w:ascii="宋体" w:hAnsi="宋体" w:cs="宋体" w:eastAsia="宋体" w:hint="default"/>
                <w:sz w:val="18"/>
                <w:szCs w:val="18"/>
              </w:rPr>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pacing w:val="-12"/>
                <w:sz w:val="18"/>
                <w:szCs w:val="18"/>
              </w:rPr>
              <w:t>减少投资</w:t>
            </w:r>
            <w:r>
              <w:rPr>
                <w:rFonts w:ascii="宋体" w:hAnsi="宋体" w:cs="宋体" w:eastAsia="宋体" w:hint="default"/>
                <w:sz w:val="18"/>
                <w:szCs w:val="18"/>
              </w:rPr>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94" w:right="95"/>
              <w:jc w:val="center"/>
              <w:rPr>
                <w:rFonts w:ascii="宋体" w:hAnsi="宋体" w:cs="宋体" w:eastAsia="宋体" w:hint="default"/>
                <w:sz w:val="18"/>
                <w:szCs w:val="18"/>
              </w:rPr>
            </w:pPr>
            <w:r>
              <w:rPr>
                <w:rFonts w:ascii="宋体" w:hAnsi="宋体" w:cs="宋体" w:eastAsia="宋体" w:hint="default"/>
                <w:spacing w:val="-12"/>
                <w:sz w:val="18"/>
                <w:szCs w:val="18"/>
              </w:rPr>
              <w:t>权益法下确 认的投资损 </w:t>
            </w:r>
            <w:r>
              <w:rPr>
                <w:rFonts w:ascii="宋体" w:hAnsi="宋体" w:cs="宋体" w:eastAsia="宋体" w:hint="default"/>
                <w:sz w:val="18"/>
                <w:szCs w:val="18"/>
              </w:rPr>
              <w:t>益</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9"/>
              <w:ind w:left="80" w:right="77"/>
              <w:jc w:val="both"/>
              <w:rPr>
                <w:rFonts w:ascii="宋体" w:hAnsi="宋体" w:cs="宋体" w:eastAsia="宋体" w:hint="default"/>
                <w:sz w:val="18"/>
                <w:szCs w:val="18"/>
              </w:rPr>
            </w:pPr>
            <w:r>
              <w:rPr>
                <w:rFonts w:ascii="宋体" w:hAnsi="宋体" w:cs="宋体" w:eastAsia="宋体" w:hint="default"/>
                <w:spacing w:val="-12"/>
                <w:sz w:val="18"/>
                <w:szCs w:val="18"/>
              </w:rPr>
              <w:t>其他综 合收益 调整</w:t>
            </w:r>
            <w:r>
              <w:rPr>
                <w:rFonts w:ascii="宋体" w:hAnsi="宋体" w:cs="宋体" w:eastAsia="宋体" w:hint="default"/>
                <w:sz w:val="18"/>
                <w:szCs w:val="18"/>
              </w:rPr>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9" w:right="91" w:hanging="168"/>
              <w:jc w:val="left"/>
              <w:rPr>
                <w:rFonts w:ascii="宋体" w:hAnsi="宋体" w:cs="宋体" w:eastAsia="宋体" w:hint="default"/>
                <w:sz w:val="18"/>
                <w:szCs w:val="18"/>
              </w:rPr>
            </w:pPr>
            <w:r>
              <w:rPr>
                <w:rFonts w:ascii="宋体" w:hAnsi="宋体" w:cs="宋体" w:eastAsia="宋体" w:hint="default"/>
                <w:spacing w:val="-12"/>
                <w:sz w:val="18"/>
                <w:szCs w:val="18"/>
              </w:rPr>
              <w:t>其他权益 变动</w:t>
            </w:r>
            <w:r>
              <w:rPr>
                <w:rFonts w:ascii="宋体" w:hAnsi="宋体" w:cs="宋体" w:eastAsia="宋体" w:hint="default"/>
                <w:sz w:val="18"/>
                <w:szCs w:val="18"/>
              </w:rPr>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79" w:right="0"/>
              <w:jc w:val="both"/>
              <w:rPr>
                <w:rFonts w:ascii="宋体" w:hAnsi="宋体" w:cs="宋体" w:eastAsia="宋体" w:hint="default"/>
                <w:sz w:val="18"/>
                <w:szCs w:val="18"/>
              </w:rPr>
            </w:pPr>
            <w:r>
              <w:rPr>
                <w:rFonts w:ascii="宋体" w:hAnsi="宋体" w:cs="宋体" w:eastAsia="宋体" w:hint="default"/>
                <w:spacing w:val="-12"/>
                <w:sz w:val="18"/>
                <w:szCs w:val="18"/>
              </w:rPr>
              <w:t>宣告发</w:t>
            </w:r>
            <w:r>
              <w:rPr>
                <w:rFonts w:ascii="宋体" w:hAnsi="宋体" w:cs="宋体" w:eastAsia="宋体" w:hint="default"/>
                <w:sz w:val="18"/>
                <w:szCs w:val="18"/>
              </w:rPr>
            </w:r>
          </w:p>
          <w:p>
            <w:pPr>
              <w:pStyle w:val="TableParagraph"/>
              <w:spacing w:line="237" w:lineRule="auto"/>
              <w:ind w:left="79" w:right="77"/>
              <w:jc w:val="both"/>
              <w:rPr>
                <w:rFonts w:ascii="宋体" w:hAnsi="宋体" w:cs="宋体" w:eastAsia="宋体" w:hint="default"/>
                <w:sz w:val="18"/>
                <w:szCs w:val="18"/>
              </w:rPr>
            </w:pPr>
            <w:r>
              <w:rPr>
                <w:rFonts w:ascii="宋体" w:hAnsi="宋体" w:cs="宋体" w:eastAsia="宋体" w:hint="default"/>
                <w:spacing w:val="-12"/>
                <w:sz w:val="18"/>
                <w:szCs w:val="18"/>
              </w:rPr>
              <w:t>放现金 股利或 利润</w:t>
            </w:r>
            <w:r>
              <w:rPr>
                <w:rFonts w:ascii="宋体" w:hAnsi="宋体" w:cs="宋体" w:eastAsia="宋体" w:hint="default"/>
                <w:sz w:val="18"/>
                <w:szCs w:val="18"/>
              </w:rPr>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0" w:right="77"/>
              <w:jc w:val="left"/>
              <w:rPr>
                <w:rFonts w:ascii="宋体" w:hAnsi="宋体" w:cs="宋体" w:eastAsia="宋体" w:hint="default"/>
                <w:sz w:val="18"/>
                <w:szCs w:val="18"/>
              </w:rPr>
            </w:pPr>
            <w:r>
              <w:rPr>
                <w:rFonts w:ascii="宋体" w:hAnsi="宋体" w:cs="宋体" w:eastAsia="宋体" w:hint="default"/>
                <w:spacing w:val="-12"/>
                <w:sz w:val="18"/>
                <w:szCs w:val="18"/>
              </w:rPr>
              <w:t>计提减 值准备</w:t>
            </w:r>
            <w:r>
              <w:rPr>
                <w:rFonts w:ascii="宋体" w:hAnsi="宋体" w:cs="宋体" w:eastAsia="宋体" w:hint="default"/>
                <w:sz w:val="18"/>
                <w:szCs w:val="18"/>
              </w:rPr>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1073"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990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一、合营企业</w:t>
            </w:r>
            <w:r>
              <w:rPr>
                <w:rFonts w:ascii="宋体" w:hAnsi="宋体" w:cs="宋体" w:eastAsia="宋体" w:hint="default"/>
                <w:sz w:val="18"/>
                <w:szCs w:val="18"/>
              </w:rPr>
            </w: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中天智慧</w:t>
            </w:r>
            <w:r>
              <w:rPr>
                <w:rFonts w:ascii="宋体" w:hAnsi="宋体" w:cs="宋体" w:eastAsia="宋体" w:hint="default"/>
                <w:sz w:val="18"/>
                <w:szCs w:val="18"/>
              </w:rPr>
            </w:r>
          </w:p>
          <w:p>
            <w:pPr>
              <w:pStyle w:val="TableParagraph"/>
              <w:spacing w:line="232" w:lineRule="exact" w:before="24"/>
              <w:ind w:left="52" w:right="89"/>
              <w:jc w:val="left"/>
              <w:rPr>
                <w:rFonts w:ascii="宋体" w:hAnsi="宋体" w:cs="宋体" w:eastAsia="宋体" w:hint="default"/>
                <w:sz w:val="18"/>
                <w:szCs w:val="18"/>
              </w:rPr>
            </w:pPr>
            <w:r>
              <w:rPr>
                <w:rFonts w:ascii="宋体" w:hAnsi="宋体" w:cs="宋体" w:eastAsia="宋体" w:hint="default"/>
                <w:spacing w:val="-12"/>
                <w:sz w:val="18"/>
                <w:szCs w:val="18"/>
              </w:rPr>
              <w:t>科技有限 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pacing w:val="-6"/>
                <w:sz w:val="18"/>
              </w:rPr>
              <w:t>3,456,389.80</w:t>
            </w:r>
          </w:p>
        </w:tc>
        <w:tc>
          <w:tcPr>
            <w:tcW w:w="671"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pacing w:val="-6"/>
                <w:sz w:val="18"/>
              </w:rPr>
              <w:t>3,739,195.58</w:t>
            </w:r>
          </w:p>
        </w:tc>
        <w:tc>
          <w:tcPr>
            <w:tcW w:w="6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pacing w:val="-6"/>
                <w:sz w:val="18"/>
              </w:rPr>
              <w:t>43,767.85</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pacing w:val="-6"/>
                <w:sz w:val="18"/>
              </w:rPr>
              <w:t>7,239,353.23</w:t>
            </w: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01" w:footer="1007" w:top="1080" w:bottom="1200" w:left="880" w:right="0"/>
        </w:sectPr>
      </w:pPr>
    </w:p>
    <w:p>
      <w:pPr>
        <w:spacing w:line="240" w:lineRule="auto" w:before="1"/>
        <w:rPr>
          <w:rFonts w:ascii="宋体" w:hAnsi="宋体" w:cs="宋体" w:eastAsia="宋体"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826"/>
        <w:gridCol w:w="1072"/>
        <w:gridCol w:w="671"/>
        <w:gridCol w:w="988"/>
        <w:gridCol w:w="1042"/>
        <w:gridCol w:w="673"/>
        <w:gridCol w:w="866"/>
        <w:gridCol w:w="672"/>
        <w:gridCol w:w="674"/>
        <w:gridCol w:w="677"/>
        <w:gridCol w:w="1073"/>
        <w:gridCol w:w="673"/>
      </w:tblGrid>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北京安创</w:t>
            </w:r>
            <w:r>
              <w:rPr>
                <w:rFonts w:ascii="宋体" w:hAnsi="宋体" w:cs="宋体" w:eastAsia="宋体" w:hint="default"/>
                <w:sz w:val="18"/>
                <w:szCs w:val="18"/>
              </w:rPr>
            </w:r>
          </w:p>
          <w:p>
            <w:pPr>
              <w:pStyle w:val="TableParagraph"/>
              <w:spacing w:line="232" w:lineRule="exact" w:before="24"/>
              <w:ind w:left="52" w:right="89"/>
              <w:jc w:val="left"/>
              <w:rPr>
                <w:rFonts w:ascii="宋体" w:hAnsi="宋体" w:cs="宋体" w:eastAsia="宋体" w:hint="default"/>
                <w:sz w:val="18"/>
                <w:szCs w:val="18"/>
              </w:rPr>
            </w:pPr>
            <w:r>
              <w:rPr>
                <w:rFonts w:ascii="宋体" w:hAnsi="宋体" w:cs="宋体" w:eastAsia="宋体" w:hint="default"/>
                <w:spacing w:val="-12"/>
                <w:sz w:val="18"/>
                <w:szCs w:val="18"/>
              </w:rPr>
              <w:t>空间科技 有限公司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9,494,521.37</w:t>
            </w:r>
          </w:p>
        </w:tc>
        <w:tc>
          <w:tcPr>
            <w:tcW w:w="671"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pacing w:val="-6"/>
                <w:sz w:val="18"/>
              </w:rPr>
              <w:t>814,537.33</w:t>
            </w:r>
          </w:p>
        </w:tc>
        <w:tc>
          <w:tcPr>
            <w:tcW w:w="6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158,229.88</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10,467,288.58</w:t>
            </w:r>
          </w:p>
        </w:tc>
        <w:tc>
          <w:tcPr>
            <w:tcW w:w="67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重庆创华</w:t>
            </w:r>
            <w:r>
              <w:rPr>
                <w:rFonts w:ascii="宋体" w:hAnsi="宋体" w:cs="宋体" w:eastAsia="宋体" w:hint="default"/>
                <w:sz w:val="18"/>
                <w:szCs w:val="18"/>
              </w:rPr>
            </w:r>
          </w:p>
          <w:p>
            <w:pPr>
              <w:pStyle w:val="TableParagraph"/>
              <w:spacing w:line="234" w:lineRule="exact" w:before="22"/>
              <w:ind w:left="52" w:right="89"/>
              <w:jc w:val="left"/>
              <w:rPr>
                <w:rFonts w:ascii="宋体" w:hAnsi="宋体" w:cs="宋体" w:eastAsia="宋体" w:hint="default"/>
                <w:sz w:val="18"/>
                <w:szCs w:val="18"/>
              </w:rPr>
            </w:pPr>
            <w:r>
              <w:rPr>
                <w:rFonts w:ascii="宋体" w:hAnsi="宋体" w:cs="宋体" w:eastAsia="宋体" w:hint="default"/>
                <w:spacing w:val="-12"/>
                <w:sz w:val="18"/>
                <w:szCs w:val="18"/>
              </w:rPr>
              <w:t>科技有限 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8,477,532.70</w:t>
            </w:r>
          </w:p>
        </w:tc>
        <w:tc>
          <w:tcPr>
            <w:tcW w:w="671"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pacing w:val="-6"/>
                <w:sz w:val="18"/>
              </w:rPr>
              <w:t>8,388,480.00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3" w:right="0"/>
              <w:jc w:val="center"/>
              <w:rPr>
                <w:rFonts w:ascii="Times New Roman" w:hAnsi="Times New Roman" w:cs="Times New Roman" w:eastAsia="Times New Roman" w:hint="default"/>
                <w:sz w:val="18"/>
                <w:szCs w:val="18"/>
              </w:rPr>
            </w:pPr>
            <w:r>
              <w:rPr>
                <w:rFonts w:ascii="Times New Roman"/>
                <w:spacing w:val="-6"/>
                <w:sz w:val="18"/>
              </w:rPr>
              <w:t>-89,052.70</w:t>
            </w:r>
          </w:p>
        </w:tc>
        <w:tc>
          <w:tcPr>
            <w:tcW w:w="6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小计</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
              <w:jc w:val="right"/>
              <w:rPr>
                <w:rFonts w:ascii="Times New Roman" w:hAnsi="Times New Roman" w:cs="Times New Roman" w:eastAsia="Times New Roman" w:hint="default"/>
                <w:sz w:val="18"/>
                <w:szCs w:val="18"/>
              </w:rPr>
            </w:pPr>
            <w:r>
              <w:rPr>
                <w:rFonts w:ascii="Times New Roman"/>
                <w:spacing w:val="-6"/>
                <w:sz w:val="18"/>
              </w:rPr>
              <w:t>21,428,443.87</w:t>
            </w:r>
          </w:p>
        </w:tc>
        <w:tc>
          <w:tcPr>
            <w:tcW w:w="671"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left"/>
              <w:rPr>
                <w:rFonts w:ascii="Times New Roman" w:hAnsi="Times New Roman" w:cs="Times New Roman" w:eastAsia="Times New Roman" w:hint="default"/>
                <w:sz w:val="18"/>
                <w:szCs w:val="18"/>
              </w:rPr>
            </w:pPr>
            <w:r>
              <w:rPr>
                <w:rFonts w:ascii="Times New Roman"/>
                <w:spacing w:val="-6"/>
                <w:sz w:val="18"/>
              </w:rPr>
              <w:t>8,388,480.00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1" w:right="0"/>
              <w:jc w:val="center"/>
              <w:rPr>
                <w:rFonts w:ascii="Times New Roman" w:hAnsi="Times New Roman" w:cs="Times New Roman" w:eastAsia="Times New Roman" w:hint="default"/>
                <w:sz w:val="18"/>
                <w:szCs w:val="18"/>
              </w:rPr>
            </w:pPr>
            <w:r>
              <w:rPr>
                <w:rFonts w:ascii="Times New Roman"/>
                <w:spacing w:val="-6"/>
                <w:sz w:val="18"/>
              </w:rPr>
              <w:t>4,464,680.21</w:t>
            </w:r>
          </w:p>
        </w:tc>
        <w:tc>
          <w:tcPr>
            <w:tcW w:w="6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
              <w:jc w:val="right"/>
              <w:rPr>
                <w:rFonts w:ascii="Times New Roman" w:hAnsi="Times New Roman" w:cs="Times New Roman" w:eastAsia="Times New Roman" w:hint="default"/>
                <w:sz w:val="18"/>
                <w:szCs w:val="18"/>
              </w:rPr>
            </w:pPr>
            <w:r>
              <w:rPr>
                <w:rFonts w:ascii="Times New Roman"/>
                <w:spacing w:val="-6"/>
                <w:sz w:val="18"/>
              </w:rPr>
              <w:t>201,997.73</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
              <w:jc w:val="right"/>
              <w:rPr>
                <w:rFonts w:ascii="Times New Roman" w:hAnsi="Times New Roman" w:cs="Times New Roman" w:eastAsia="Times New Roman" w:hint="default"/>
                <w:sz w:val="18"/>
                <w:szCs w:val="18"/>
              </w:rPr>
            </w:pPr>
            <w:r>
              <w:rPr>
                <w:rFonts w:ascii="Times New Roman"/>
                <w:spacing w:val="-6"/>
                <w:sz w:val="18"/>
              </w:rPr>
              <w:t>17,706,641.81</w:t>
            </w:r>
          </w:p>
        </w:tc>
        <w:tc>
          <w:tcPr>
            <w:tcW w:w="67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990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pacing w:val="-12"/>
                <w:sz w:val="18"/>
                <w:szCs w:val="18"/>
              </w:rPr>
              <w:t>二、联营企业</w:t>
            </w:r>
            <w:r>
              <w:rPr>
                <w:rFonts w:ascii="宋体" w:hAnsi="宋体" w:cs="宋体" w:eastAsia="宋体" w:hint="default"/>
                <w:sz w:val="18"/>
                <w:szCs w:val="18"/>
              </w:rPr>
            </w:r>
          </w:p>
        </w:tc>
      </w:tr>
      <w:tr>
        <w:trPr>
          <w:trHeight w:val="9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both"/>
              <w:rPr>
                <w:rFonts w:ascii="宋体" w:hAnsi="宋体" w:cs="宋体" w:eastAsia="宋体" w:hint="default"/>
                <w:sz w:val="18"/>
                <w:szCs w:val="18"/>
              </w:rPr>
            </w:pPr>
            <w:r>
              <w:rPr>
                <w:rFonts w:ascii="宋体" w:hAnsi="宋体" w:cs="宋体" w:eastAsia="宋体" w:hint="default"/>
                <w:spacing w:val="-12"/>
                <w:sz w:val="18"/>
                <w:szCs w:val="18"/>
              </w:rPr>
              <w:t>北京云创</w:t>
            </w:r>
            <w:r>
              <w:rPr>
                <w:rFonts w:ascii="宋体" w:hAnsi="宋体" w:cs="宋体" w:eastAsia="宋体" w:hint="default"/>
                <w:sz w:val="18"/>
                <w:szCs w:val="18"/>
              </w:rPr>
            </w:r>
          </w:p>
          <w:p>
            <w:pPr>
              <w:pStyle w:val="TableParagraph"/>
              <w:spacing w:line="237" w:lineRule="auto"/>
              <w:ind w:left="52" w:right="89"/>
              <w:jc w:val="both"/>
              <w:rPr>
                <w:rFonts w:ascii="宋体" w:hAnsi="宋体" w:cs="宋体" w:eastAsia="宋体" w:hint="default"/>
                <w:sz w:val="18"/>
                <w:szCs w:val="18"/>
              </w:rPr>
            </w:pPr>
            <w:r>
              <w:rPr>
                <w:rFonts w:ascii="宋体" w:hAnsi="宋体" w:cs="宋体" w:eastAsia="宋体" w:hint="default"/>
                <w:spacing w:val="-12"/>
                <w:sz w:val="18"/>
                <w:szCs w:val="18"/>
              </w:rPr>
              <w:t>远景软件 有限责任 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3"/>
              <w:jc w:val="right"/>
              <w:rPr>
                <w:rFonts w:ascii="Times New Roman" w:hAnsi="Times New Roman" w:cs="Times New Roman" w:eastAsia="Times New Roman" w:hint="default"/>
                <w:sz w:val="18"/>
                <w:szCs w:val="18"/>
              </w:rPr>
            </w:pPr>
            <w:r>
              <w:rPr>
                <w:rFonts w:ascii="Times New Roman"/>
                <w:spacing w:val="-6"/>
                <w:sz w:val="18"/>
              </w:rPr>
              <w:t>146,399.01</w:t>
            </w:r>
          </w:p>
        </w:tc>
        <w:tc>
          <w:tcPr>
            <w:tcW w:w="671"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9" w:right="0"/>
              <w:jc w:val="center"/>
              <w:rPr>
                <w:rFonts w:ascii="Times New Roman" w:hAnsi="Times New Roman" w:cs="Times New Roman" w:eastAsia="Times New Roman" w:hint="default"/>
                <w:sz w:val="18"/>
                <w:szCs w:val="18"/>
              </w:rPr>
            </w:pPr>
            <w:r>
              <w:rPr>
                <w:rFonts w:ascii="Times New Roman"/>
                <w:spacing w:val="-6"/>
                <w:sz w:val="18"/>
              </w:rPr>
              <w:t>-149,071.07</w:t>
            </w:r>
          </w:p>
        </w:tc>
        <w:tc>
          <w:tcPr>
            <w:tcW w:w="6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43"/>
              <w:jc w:val="right"/>
              <w:rPr>
                <w:rFonts w:ascii="Times New Roman" w:hAnsi="Times New Roman" w:cs="Times New Roman" w:eastAsia="Times New Roman" w:hint="default"/>
                <w:sz w:val="18"/>
                <w:szCs w:val="18"/>
              </w:rPr>
            </w:pPr>
            <w:r>
              <w:rPr>
                <w:rFonts w:ascii="Times New Roman"/>
                <w:spacing w:val="-6"/>
                <w:sz w:val="18"/>
              </w:rPr>
              <w:t>2,672.06</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杭州格像</w:t>
            </w:r>
            <w:r>
              <w:rPr>
                <w:rFonts w:ascii="宋体" w:hAnsi="宋体" w:cs="宋体" w:eastAsia="宋体" w:hint="default"/>
                <w:sz w:val="18"/>
                <w:szCs w:val="18"/>
              </w:rPr>
            </w:r>
          </w:p>
          <w:p>
            <w:pPr>
              <w:pStyle w:val="TableParagraph"/>
              <w:spacing w:line="232" w:lineRule="exact" w:before="24"/>
              <w:ind w:left="52" w:right="89"/>
              <w:jc w:val="left"/>
              <w:rPr>
                <w:rFonts w:ascii="宋体" w:hAnsi="宋体" w:cs="宋体" w:eastAsia="宋体" w:hint="default"/>
                <w:sz w:val="18"/>
                <w:szCs w:val="18"/>
              </w:rPr>
            </w:pPr>
            <w:r>
              <w:rPr>
                <w:rFonts w:ascii="宋体" w:hAnsi="宋体" w:cs="宋体" w:eastAsia="宋体" w:hint="default"/>
                <w:spacing w:val="-12"/>
                <w:sz w:val="18"/>
                <w:szCs w:val="18"/>
              </w:rPr>
              <w:t>科技有限 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16,392,510.10</w:t>
            </w:r>
          </w:p>
        </w:tc>
        <w:tc>
          <w:tcPr>
            <w:tcW w:w="671"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pacing w:val="-6"/>
                <w:sz w:val="18"/>
              </w:rPr>
              <w:t>-1,096,963.29</w:t>
            </w:r>
          </w:p>
        </w:tc>
        <w:tc>
          <w:tcPr>
            <w:tcW w:w="6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15,295,546.81</w:t>
            </w:r>
          </w:p>
        </w:tc>
        <w:tc>
          <w:tcPr>
            <w:tcW w:w="67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18"/>
                <w:szCs w:val="18"/>
              </w:rPr>
            </w:pPr>
            <w:r>
              <w:rPr>
                <w:rFonts w:ascii="宋体" w:hAnsi="宋体" w:cs="宋体" w:eastAsia="宋体" w:hint="default"/>
                <w:spacing w:val="-12"/>
                <w:sz w:val="18"/>
                <w:szCs w:val="18"/>
              </w:rPr>
              <w:t>深圳互连</w:t>
            </w:r>
            <w:r>
              <w:rPr>
                <w:rFonts w:ascii="宋体" w:hAnsi="宋体" w:cs="宋体" w:eastAsia="宋体" w:hint="default"/>
                <w:sz w:val="18"/>
                <w:szCs w:val="18"/>
              </w:rPr>
            </w:r>
          </w:p>
          <w:p>
            <w:pPr>
              <w:pStyle w:val="TableParagraph"/>
              <w:spacing w:line="240" w:lineRule="auto"/>
              <w:ind w:left="52" w:right="89"/>
              <w:jc w:val="left"/>
              <w:rPr>
                <w:rFonts w:ascii="宋体" w:hAnsi="宋体" w:cs="宋体" w:eastAsia="宋体" w:hint="default"/>
                <w:sz w:val="18"/>
                <w:szCs w:val="18"/>
              </w:rPr>
            </w:pPr>
            <w:r>
              <w:rPr>
                <w:rFonts w:ascii="宋体" w:hAnsi="宋体" w:cs="宋体" w:eastAsia="宋体" w:hint="default"/>
                <w:spacing w:val="-12"/>
                <w:sz w:val="18"/>
                <w:szCs w:val="18"/>
              </w:rPr>
              <w:t>科技有限 公司</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1,710,499.87</w:t>
            </w:r>
          </w:p>
        </w:tc>
        <w:tc>
          <w:tcPr>
            <w:tcW w:w="671"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pacing w:val="-6"/>
                <w:sz w:val="18"/>
              </w:rPr>
              <w:t>-319,357.60</w:t>
            </w:r>
          </w:p>
        </w:tc>
        <w:tc>
          <w:tcPr>
            <w:tcW w:w="6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3"/>
              <w:jc w:val="right"/>
              <w:rPr>
                <w:rFonts w:ascii="Times New Roman" w:hAnsi="Times New Roman" w:cs="Times New Roman" w:eastAsia="Times New Roman" w:hint="default"/>
                <w:sz w:val="18"/>
                <w:szCs w:val="18"/>
              </w:rPr>
            </w:pPr>
            <w:r>
              <w:rPr>
                <w:rFonts w:ascii="Times New Roman"/>
                <w:spacing w:val="-6"/>
                <w:sz w:val="18"/>
              </w:rPr>
              <w:t>1,391,142.27</w:t>
            </w:r>
          </w:p>
        </w:tc>
        <w:tc>
          <w:tcPr>
            <w:tcW w:w="67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小计</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
              <w:jc w:val="right"/>
              <w:rPr>
                <w:rFonts w:ascii="Times New Roman" w:hAnsi="Times New Roman" w:cs="Times New Roman" w:eastAsia="Times New Roman" w:hint="default"/>
                <w:sz w:val="18"/>
                <w:szCs w:val="18"/>
              </w:rPr>
            </w:pPr>
            <w:r>
              <w:rPr>
                <w:rFonts w:ascii="Times New Roman"/>
                <w:spacing w:val="-6"/>
                <w:sz w:val="18"/>
              </w:rPr>
              <w:t>18,249,408.98</w:t>
            </w:r>
          </w:p>
        </w:tc>
        <w:tc>
          <w:tcPr>
            <w:tcW w:w="671"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 w:right="0"/>
              <w:jc w:val="center"/>
              <w:rPr>
                <w:rFonts w:ascii="Times New Roman" w:hAnsi="Times New Roman" w:cs="Times New Roman" w:eastAsia="Times New Roman" w:hint="default"/>
                <w:sz w:val="18"/>
                <w:szCs w:val="18"/>
              </w:rPr>
            </w:pPr>
            <w:r>
              <w:rPr>
                <w:rFonts w:ascii="Times New Roman"/>
                <w:spacing w:val="-6"/>
                <w:sz w:val="18"/>
              </w:rPr>
              <w:t>-1,565,391.96</w:t>
            </w:r>
          </w:p>
        </w:tc>
        <w:tc>
          <w:tcPr>
            <w:tcW w:w="6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
              <w:jc w:val="right"/>
              <w:rPr>
                <w:rFonts w:ascii="Times New Roman" w:hAnsi="Times New Roman" w:cs="Times New Roman" w:eastAsia="Times New Roman" w:hint="default"/>
                <w:sz w:val="18"/>
                <w:szCs w:val="18"/>
              </w:rPr>
            </w:pPr>
            <w:r>
              <w:rPr>
                <w:rFonts w:ascii="Times New Roman"/>
                <w:spacing w:val="-6"/>
                <w:sz w:val="18"/>
              </w:rPr>
              <w:t>2,672.06</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
              <w:jc w:val="right"/>
              <w:rPr>
                <w:rFonts w:ascii="Times New Roman" w:hAnsi="Times New Roman" w:cs="Times New Roman" w:eastAsia="Times New Roman" w:hint="default"/>
                <w:sz w:val="18"/>
                <w:szCs w:val="18"/>
              </w:rPr>
            </w:pPr>
            <w:r>
              <w:rPr>
                <w:rFonts w:ascii="Times New Roman"/>
                <w:spacing w:val="-6"/>
                <w:sz w:val="18"/>
              </w:rPr>
              <w:t>16,686,689.08</w:t>
            </w:r>
          </w:p>
        </w:tc>
        <w:tc>
          <w:tcPr>
            <w:tcW w:w="673"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pacing w:val="-12"/>
                <w:sz w:val="18"/>
                <w:szCs w:val="18"/>
              </w:rPr>
              <w:t>合计</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
              <w:jc w:val="right"/>
              <w:rPr>
                <w:rFonts w:ascii="Times New Roman" w:hAnsi="Times New Roman" w:cs="Times New Roman" w:eastAsia="Times New Roman" w:hint="default"/>
                <w:sz w:val="18"/>
                <w:szCs w:val="18"/>
              </w:rPr>
            </w:pPr>
            <w:r>
              <w:rPr>
                <w:rFonts w:ascii="Times New Roman"/>
                <w:spacing w:val="-6"/>
                <w:sz w:val="18"/>
              </w:rPr>
              <w:t>39,677,852.85</w:t>
            </w:r>
          </w:p>
        </w:tc>
        <w:tc>
          <w:tcPr>
            <w:tcW w:w="671" w:type="dxa"/>
            <w:tcBorders>
              <w:top w:val="single" w:sz="4" w:space="0" w:color="000000"/>
              <w:left w:val="single" w:sz="4" w:space="0" w:color="000000"/>
              <w:bottom w:val="single" w:sz="4" w:space="0" w:color="000000"/>
              <w:right w:val="single" w:sz="4" w:space="0" w:color="000000"/>
            </w:tcBorders>
          </w:tcPr>
          <w:p>
            <w:pP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2" w:right="0"/>
              <w:jc w:val="left"/>
              <w:rPr>
                <w:rFonts w:ascii="Times New Roman" w:hAnsi="Times New Roman" w:cs="Times New Roman" w:eastAsia="Times New Roman" w:hint="default"/>
                <w:sz w:val="18"/>
                <w:szCs w:val="18"/>
              </w:rPr>
            </w:pPr>
            <w:r>
              <w:rPr>
                <w:rFonts w:ascii="Times New Roman"/>
                <w:spacing w:val="-6"/>
                <w:sz w:val="18"/>
              </w:rPr>
              <w:t>8,388,480.00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61" w:right="0"/>
              <w:jc w:val="center"/>
              <w:rPr>
                <w:rFonts w:ascii="Times New Roman" w:hAnsi="Times New Roman" w:cs="Times New Roman" w:eastAsia="Times New Roman" w:hint="default"/>
                <w:sz w:val="18"/>
                <w:szCs w:val="18"/>
              </w:rPr>
            </w:pPr>
            <w:r>
              <w:rPr>
                <w:rFonts w:ascii="Times New Roman"/>
                <w:spacing w:val="-6"/>
                <w:sz w:val="18"/>
              </w:rPr>
              <w:t>2,899,288.25</w:t>
            </w:r>
          </w:p>
        </w:tc>
        <w:tc>
          <w:tcPr>
            <w:tcW w:w="673"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
              <w:jc w:val="right"/>
              <w:rPr>
                <w:rFonts w:ascii="Times New Roman" w:hAnsi="Times New Roman" w:cs="Times New Roman" w:eastAsia="Times New Roman" w:hint="default"/>
                <w:sz w:val="18"/>
                <w:szCs w:val="18"/>
              </w:rPr>
            </w:pPr>
            <w:r>
              <w:rPr>
                <w:rFonts w:ascii="Times New Roman"/>
                <w:spacing w:val="-6"/>
                <w:sz w:val="18"/>
              </w:rPr>
              <w:t>204,669.79</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3"/>
              <w:jc w:val="right"/>
              <w:rPr>
                <w:rFonts w:ascii="Times New Roman" w:hAnsi="Times New Roman" w:cs="Times New Roman" w:eastAsia="Times New Roman" w:hint="default"/>
                <w:sz w:val="18"/>
                <w:szCs w:val="18"/>
              </w:rPr>
            </w:pPr>
            <w:r>
              <w:rPr>
                <w:rFonts w:ascii="Times New Roman"/>
                <w:spacing w:val="-6"/>
                <w:sz w:val="18"/>
              </w:rPr>
              <w:t>34,393,330.89</w:t>
            </w: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324" w:lineRule="exact"/>
        <w:ind w:left="674" w:right="4872"/>
        <w:jc w:val="left"/>
        <w:rPr>
          <w:rFonts w:ascii="微软雅黑" w:hAnsi="微软雅黑" w:cs="微软雅黑" w:eastAsia="微软雅黑" w:hint="default"/>
        </w:rPr>
      </w:pPr>
      <w:bookmarkStart w:name="4、营业收入和营业成本" w:id="431"/>
      <w:bookmarkEnd w:id="431"/>
      <w:r>
        <w:rPr/>
      </w:r>
      <w:r>
        <w:rPr>
          <w:rFonts w:ascii="Times New Roman" w:hAnsi="Times New Roman" w:cs="Times New Roman" w:eastAsia="Times New Roman" w:hint="default"/>
        </w:rPr>
        <w:t>4</w:t>
      </w:r>
      <w:r>
        <w:rPr>
          <w:rFonts w:ascii="微软雅黑" w:hAnsi="微软雅黑" w:cs="微软雅黑" w:eastAsia="微软雅黑" w:hint="default"/>
        </w:rPr>
        <w:t>、营业收入和营业成本</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2052"/>
        <w:gridCol w:w="1893"/>
        <w:gridCol w:w="1969"/>
        <w:gridCol w:w="1971"/>
        <w:gridCol w:w="1970"/>
      </w:tblGrid>
      <w:tr>
        <w:trPr>
          <w:trHeight w:val="407" w:hRule="exact"/>
        </w:trPr>
        <w:tc>
          <w:tcPr>
            <w:tcW w:w="2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7" w:hRule="exact"/>
        </w:trPr>
        <w:tc>
          <w:tcPr>
            <w:tcW w:w="2052" w:type="dxa"/>
            <w:vMerge/>
            <w:tcBorders>
              <w:left w:val="single" w:sz="4" w:space="0" w:color="000000"/>
              <w:bottom w:val="single" w:sz="4" w:space="0" w:color="000000"/>
              <w:right w:val="single" w:sz="4" w:space="0" w:color="000000"/>
            </w:tcBorders>
            <w:shd w:val="clear" w:color="auto" w:fill="D2D2D2"/>
          </w:tcPr>
          <w:p>
            <w:pPr/>
          </w:p>
        </w:tc>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0"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7"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589,693,592.48</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393,591,424.45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590,166,154.00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33" w:right="0"/>
              <w:jc w:val="left"/>
              <w:rPr>
                <w:rFonts w:ascii="Times New Roman" w:hAnsi="Times New Roman" w:cs="Times New Roman" w:eastAsia="Times New Roman" w:hint="default"/>
                <w:sz w:val="18"/>
                <w:szCs w:val="18"/>
              </w:rPr>
            </w:pPr>
            <w:r>
              <w:rPr>
                <w:rFonts w:ascii="Times New Roman"/>
                <w:sz w:val="18"/>
              </w:rPr>
              <w:t>407,058,768.02</w:t>
            </w:r>
          </w:p>
        </w:tc>
      </w:tr>
      <w:tr>
        <w:trPr>
          <w:trHeight w:val="408" w:hRule="exact"/>
        </w:trPr>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589,693,592.48</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393,591,424.45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590,166,154.00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3" w:right="0"/>
              <w:jc w:val="left"/>
              <w:rPr>
                <w:rFonts w:ascii="Times New Roman" w:hAnsi="Times New Roman" w:cs="Times New Roman" w:eastAsia="Times New Roman" w:hint="default"/>
                <w:sz w:val="18"/>
                <w:szCs w:val="18"/>
              </w:rPr>
            </w:pPr>
            <w:r>
              <w:rPr>
                <w:rFonts w:ascii="Times New Roman"/>
                <w:sz w:val="18"/>
              </w:rPr>
              <w:t>407,058,768.02</w:t>
            </w:r>
          </w:p>
        </w:tc>
      </w:tr>
    </w:tbl>
    <w:p>
      <w:pPr>
        <w:spacing w:line="240" w:lineRule="auto" w:before="12"/>
        <w:rPr>
          <w:rFonts w:ascii="宋体" w:hAnsi="宋体" w:cs="宋体" w:eastAsia="宋体" w:hint="default"/>
          <w:sz w:val="8"/>
          <w:szCs w:val="8"/>
        </w:rPr>
      </w:pPr>
    </w:p>
    <w:p>
      <w:pPr>
        <w:pStyle w:val="BodyText"/>
        <w:spacing w:line="324" w:lineRule="exact"/>
        <w:ind w:left="674" w:right="4872"/>
        <w:jc w:val="left"/>
        <w:rPr>
          <w:rFonts w:ascii="微软雅黑" w:hAnsi="微软雅黑" w:cs="微软雅黑" w:eastAsia="微软雅黑" w:hint="default"/>
        </w:rPr>
      </w:pPr>
      <w:bookmarkStart w:name="5、投资收益" w:id="432"/>
      <w:bookmarkEnd w:id="432"/>
      <w:r>
        <w:rPr/>
      </w:r>
      <w:r>
        <w:rPr>
          <w:rFonts w:ascii="Times New Roman" w:hAnsi="Times New Roman" w:cs="Times New Roman" w:eastAsia="Times New Roman" w:hint="default"/>
        </w:rPr>
        <w:t>5</w:t>
      </w:r>
      <w:r>
        <w:rPr>
          <w:rFonts w:ascii="微软雅黑" w:hAnsi="微软雅黑" w:cs="微软雅黑" w:eastAsia="微软雅黑" w:hint="default"/>
        </w:rPr>
        <w:t>、投资收益</w:t>
      </w:r>
    </w:p>
    <w:p>
      <w:pPr>
        <w:spacing w:line="240" w:lineRule="auto" w:before="6"/>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3424"/>
        <w:gridCol w:w="3150"/>
        <w:gridCol w:w="3281"/>
      </w:tblGrid>
      <w:tr>
        <w:trPr>
          <w:trHeight w:val="406"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2,988,340.95</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1,026,619.97</w:t>
            </w:r>
          </w:p>
        </w:tc>
      </w:tr>
      <w:tr>
        <w:trPr>
          <w:trHeight w:val="476"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损益的金融资产取得的投资收益</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-2,195,249.93</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拆借款利息收入</w:t>
            </w:r>
          </w:p>
        </w:tc>
        <w:tc>
          <w:tcPr>
            <w:tcW w:w="3150" w:type="dxa"/>
            <w:tcBorders>
              <w:top w:val="single" w:sz="4" w:space="0" w:color="000000"/>
              <w:left w:val="single" w:sz="4" w:space="0" w:color="000000"/>
              <w:bottom w:val="single" w:sz="4" w:space="0" w:color="000000"/>
              <w:right w:val="single" w:sz="4" w:space="0" w:color="000000"/>
            </w:tcBorders>
          </w:tcPr>
          <w:p>
            <w:pP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379,434.28</w:t>
            </w: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793,091.02</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1,406,054.25</w:t>
            </w:r>
          </w:p>
        </w:tc>
      </w:tr>
    </w:tbl>
    <w:p>
      <w:pPr>
        <w:spacing w:after="0" w:line="240" w:lineRule="auto"/>
        <w:jc w:val="right"/>
        <w:rPr>
          <w:rFonts w:ascii="Times New Roman" w:hAnsi="Times New Roman" w:cs="Times New Roman" w:eastAsia="Times New Roman" w:hint="default"/>
          <w:sz w:val="18"/>
          <w:szCs w:val="18"/>
        </w:rPr>
        <w:sectPr>
          <w:pgSz w:w="11910" w:h="16840"/>
          <w:pgMar w:header="801" w:footer="1007" w:top="1080" w:bottom="1200" w:left="880" w:right="0"/>
        </w:sectPr>
      </w:pPr>
    </w:p>
    <w:p>
      <w:pPr>
        <w:spacing w:line="240" w:lineRule="auto" w:before="3"/>
        <w:rPr>
          <w:rFonts w:ascii="宋体" w:hAnsi="宋体" w:cs="宋体" w:eastAsia="宋体" w:hint="default"/>
          <w:sz w:val="29"/>
          <w:szCs w:val="29"/>
        </w:rPr>
      </w:pPr>
    </w:p>
    <w:p>
      <w:pPr>
        <w:pStyle w:val="Heading2"/>
        <w:spacing w:line="397" w:lineRule="exact"/>
        <w:ind w:right="1016"/>
        <w:jc w:val="left"/>
      </w:pPr>
      <w:bookmarkStart w:name="十八、补充资料" w:id="433"/>
      <w:bookmarkEnd w:id="433"/>
      <w:r>
        <w:rPr/>
      </w:r>
      <w:r>
        <w:rPr/>
        <w:t>十八、补充资料</w:t>
      </w:r>
    </w:p>
    <w:p>
      <w:pPr>
        <w:spacing w:line="240" w:lineRule="auto" w:before="9"/>
        <w:rPr>
          <w:rFonts w:ascii="微软雅黑" w:hAnsi="微软雅黑" w:cs="微软雅黑" w:eastAsia="微软雅黑" w:hint="default"/>
          <w:sz w:val="21"/>
          <w:szCs w:val="21"/>
        </w:rPr>
      </w:pPr>
    </w:p>
    <w:p>
      <w:pPr>
        <w:pStyle w:val="BodyText"/>
        <w:spacing w:line="240" w:lineRule="auto"/>
        <w:ind w:right="1016"/>
        <w:jc w:val="left"/>
        <w:rPr>
          <w:rFonts w:ascii="微软雅黑" w:hAnsi="微软雅黑" w:cs="微软雅黑" w:eastAsia="微软雅黑" w:hint="default"/>
        </w:rPr>
      </w:pPr>
      <w:bookmarkStart w:name="1、当期非经常性损益明细表" w:id="434"/>
      <w:bookmarkEnd w:id="434"/>
      <w:r>
        <w:rPr/>
      </w:r>
      <w:r>
        <w:rPr>
          <w:rFonts w:ascii="Times New Roman" w:hAnsi="Times New Roman" w:cs="Times New Roman" w:eastAsia="Times New Roman" w:hint="default"/>
        </w:rPr>
        <w:t>1</w:t>
      </w:r>
      <w:r>
        <w:rPr>
          <w:rFonts w:ascii="微软雅黑" w:hAnsi="微软雅黑" w:cs="微软雅黑" w:eastAsia="微软雅黑" w:hint="default"/>
        </w:rPr>
        <w:t>、当期非经常性损益明细表</w:t>
      </w:r>
    </w:p>
    <w:p>
      <w:pPr>
        <w:spacing w:line="240" w:lineRule="auto" w:before="8"/>
        <w:rPr>
          <w:rFonts w:ascii="微软雅黑" w:hAnsi="微软雅黑" w:cs="微软雅黑" w:eastAsia="微软雅黑" w:hint="default"/>
          <w:sz w:val="15"/>
          <w:szCs w:val="1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1"/>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3424"/>
        <w:gridCol w:w="3150"/>
        <w:gridCol w:w="3281"/>
      </w:tblGrid>
      <w:tr>
        <w:trPr>
          <w:trHeight w:val="406"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79,608.48</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2"/>
                <w:sz w:val="18"/>
                <w:szCs w:val="18"/>
              </w:rPr>
              <w:t>切相关，按照国家统一标准定额或定量享</w:t>
            </w:r>
            <w:r>
              <w:rPr>
                <w:rFonts w:ascii="宋体" w:hAnsi="宋体" w:cs="宋体" w:eastAsia="宋体" w:hint="default"/>
                <w:sz w:val="18"/>
                <w:szCs w:val="18"/>
              </w:rPr>
              <w:t> 受的政府补助除外）</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69,934,870.11</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费用等</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pacing w:val="-1"/>
                <w:sz w:val="18"/>
              </w:rPr>
              <w:t>-1,573,420.61</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出</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5"/>
                <w:sz w:val="18"/>
              </w:rPr>
              <w:t>-291,951.91</w:t>
            </w:r>
            <w:r>
              <w:rPr>
                <w:rFonts w:ascii="Times New Roman"/>
                <w:sz w:val="18"/>
              </w:rPr>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pacing w:val="-2"/>
                <w:sz w:val="18"/>
                <w:szCs w:val="18"/>
              </w:rPr>
              <w:t>损益的金融资产、金融负债和可供出售金</w:t>
            </w:r>
            <w:r>
              <w:rPr>
                <w:rFonts w:ascii="宋体" w:hAnsi="宋体" w:cs="宋体" w:eastAsia="宋体" w:hint="default"/>
                <w:sz w:val="18"/>
                <w:szCs w:val="18"/>
              </w:rPr>
              <w:t> 融资产取得的投资收益</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-886,589.19</w:t>
            </w:r>
            <w:r>
              <w:rPr>
                <w:rFonts w:ascii="Times New Roman"/>
                <w:sz w:val="18"/>
              </w:rPr>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或有对价公允价值变动</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-512,232.42</w:t>
            </w:r>
            <w:r>
              <w:rPr>
                <w:rFonts w:ascii="Times New Roman"/>
                <w:sz w:val="18"/>
              </w:rPr>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无形资产评估对外投资</w:t>
            </w:r>
          </w:p>
        </w:tc>
        <w:tc>
          <w:tcPr>
            <w:tcW w:w="3150" w:type="dxa"/>
            <w:tcBorders>
              <w:top w:val="single" w:sz="4" w:space="0" w:color="000000"/>
              <w:left w:val="single" w:sz="4" w:space="0" w:color="000000"/>
              <w:bottom w:val="single" w:sz="4" w:space="0" w:color="000000"/>
              <w:right w:val="single" w:sz="4" w:space="0" w:color="000000"/>
            </w:tcBorders>
          </w:tcPr>
          <w:p>
            <w:pP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5,335,800.63</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287,184.14</w:t>
            </w:r>
          </w:p>
        </w:tc>
        <w:tc>
          <w:tcPr>
            <w:tcW w:w="3281"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3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61,127,299.69</w:t>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7"/>
          <w:szCs w:val="7"/>
        </w:rPr>
      </w:pPr>
    </w:p>
    <w:p>
      <w:pPr>
        <w:pStyle w:val="BodyText"/>
        <w:spacing w:line="240" w:lineRule="auto" w:before="35"/>
        <w:ind w:right="1016"/>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非经常性损益》定义界定的非经常</w:t>
      </w:r>
    </w:p>
    <w:p>
      <w:pPr>
        <w:pStyle w:val="BodyText"/>
        <w:spacing w:line="280" w:lineRule="auto" w:before="50"/>
        <w:ind w:left="214" w:right="1115"/>
        <w:jc w:val="left"/>
      </w:pPr>
      <w:r>
        <w:rPr/>
        <w:t>性损益项目，以及把《公开发行证券的公司信息披露解释性公告第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 常性损益项目界定为经常性损益的项目，应说明原因。</w:t>
      </w:r>
    </w:p>
    <w:p>
      <w:pPr>
        <w:spacing w:line="240" w:lineRule="auto" w:before="1"/>
        <w:rPr>
          <w:rFonts w:ascii="宋体" w:hAnsi="宋体" w:cs="宋体" w:eastAsia="宋体" w:hint="default"/>
          <w:sz w:val="15"/>
          <w:szCs w:val="15"/>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1"/>
        <w:rPr>
          <w:rFonts w:ascii="宋体" w:hAnsi="宋体" w:cs="宋体" w:eastAsia="宋体" w:hint="default"/>
          <w:sz w:val="16"/>
          <w:szCs w:val="16"/>
        </w:rPr>
      </w:pPr>
    </w:p>
    <w:p>
      <w:pPr>
        <w:pStyle w:val="BodyText"/>
        <w:spacing w:line="240" w:lineRule="auto"/>
        <w:ind w:right="1016"/>
        <w:jc w:val="left"/>
        <w:rPr>
          <w:rFonts w:ascii="微软雅黑" w:hAnsi="微软雅黑" w:cs="微软雅黑" w:eastAsia="微软雅黑" w:hint="default"/>
        </w:rPr>
      </w:pPr>
      <w:bookmarkStart w:name="2、净资产收益率及每股收益" w:id="435"/>
      <w:bookmarkEnd w:id="435"/>
      <w:r>
        <w:rPr/>
      </w:r>
      <w:r>
        <w:rPr>
          <w:rFonts w:ascii="Times New Roman" w:hAnsi="Times New Roman" w:cs="Times New Roman" w:eastAsia="Times New Roman" w:hint="default"/>
        </w:rPr>
        <w:t>2</w:t>
      </w:r>
      <w:r>
        <w:rPr>
          <w:rFonts w:ascii="微软雅黑" w:hAnsi="微软雅黑" w:cs="微软雅黑" w:eastAsia="微软雅黑" w:hint="default"/>
        </w:rPr>
        <w:t>、净资产收益率及每股收益</w:t>
      </w:r>
    </w:p>
    <w:p>
      <w:pPr>
        <w:spacing w:line="240" w:lineRule="auto" w:before="12"/>
        <w:rPr>
          <w:rFonts w:ascii="微软雅黑" w:hAnsi="微软雅黑" w:cs="微软雅黑" w:eastAsia="微软雅黑" w:hint="default"/>
          <w:sz w:val="19"/>
          <w:szCs w:val="19"/>
        </w:rPr>
      </w:pPr>
    </w:p>
    <w:tbl>
      <w:tblPr>
        <w:tblW w:w="0" w:type="auto"/>
        <w:jc w:val="left"/>
        <w:tblInd w:w="101" w:type="dxa"/>
        <w:tblLayout w:type="fixed"/>
        <w:tblCellMar>
          <w:top w:w="0" w:type="dxa"/>
          <w:left w:w="0" w:type="dxa"/>
          <w:bottom w:w="0" w:type="dxa"/>
          <w:right w:w="0" w:type="dxa"/>
        </w:tblCellMar>
        <w:tblLook w:val="01E0"/>
      </w:tblPr>
      <w:tblGrid>
        <w:gridCol w:w="2742"/>
        <w:gridCol w:w="3172"/>
        <w:gridCol w:w="1971"/>
        <w:gridCol w:w="1970"/>
      </w:tblGrid>
      <w:tr>
        <w:trPr>
          <w:trHeight w:val="408" w:hRule="exact"/>
        </w:trPr>
        <w:tc>
          <w:tcPr>
            <w:tcW w:w="2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3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微软雅黑" w:hAnsi="微软雅黑" w:cs="微软雅黑" w:eastAsia="微软雅黑" w:hint="default"/>
                <w:sz w:val="14"/>
                <w:szCs w:val="14"/>
              </w:rPr>
            </w:pPr>
          </w:p>
          <w:p>
            <w:pPr>
              <w:pStyle w:val="TableParagraph"/>
              <w:spacing w:line="240" w:lineRule="auto"/>
              <w:ind w:left="680"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9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7" w:hRule="exact"/>
        </w:trPr>
        <w:tc>
          <w:tcPr>
            <w:tcW w:w="2742" w:type="dxa"/>
            <w:vMerge/>
            <w:tcBorders>
              <w:left w:val="single" w:sz="4" w:space="0" w:color="000000"/>
              <w:bottom w:val="single" w:sz="4" w:space="0" w:color="000000"/>
              <w:right w:val="single" w:sz="4" w:space="0" w:color="000000"/>
            </w:tcBorders>
            <w:shd w:val="clear" w:color="auto" w:fill="D2D2D2"/>
          </w:tcPr>
          <w:p>
            <w:pPr/>
          </w:p>
        </w:tc>
        <w:tc>
          <w:tcPr>
            <w:tcW w:w="3172" w:type="dxa"/>
            <w:vMerge/>
            <w:tcBorders>
              <w:left w:val="single" w:sz="4" w:space="0" w:color="000000"/>
              <w:bottom w:val="single" w:sz="4" w:space="0" w:color="000000"/>
              <w:right w:val="single" w:sz="4" w:space="0" w:color="000000"/>
            </w:tcBorders>
            <w:shd w:val="clear" w:color="auto" w:fill="D2D2D2"/>
          </w:tcPr>
          <w:p>
            <w:pP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1"/>
                <w:sz w:val="18"/>
                <w:szCs w:val="18"/>
              </w:rPr>
              <w:t>基本每股收益（元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1"/>
                <w:sz w:val="18"/>
                <w:szCs w:val="18"/>
              </w:rPr>
              <w:t>稀释每股收益（元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w:t>
            </w:r>
          </w:p>
        </w:tc>
      </w:tr>
      <w:tr>
        <w:trPr>
          <w:trHeight w:val="407"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2"/>
                <w:sz w:val="18"/>
              </w:rPr>
              <w:t>11.96%</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0.4141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0.4070</w:t>
            </w:r>
          </w:p>
        </w:tc>
      </w:tr>
      <w:tr>
        <w:trPr>
          <w:trHeight w:val="478" w:hRule="exact"/>
        </w:trPr>
        <w:tc>
          <w:tcPr>
            <w:tcW w:w="2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普通股股东的净利润</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7.51%</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0.2598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0.2556</w:t>
            </w:r>
          </w:p>
        </w:tc>
      </w:tr>
    </w:tbl>
    <w:p>
      <w:pPr>
        <w:spacing w:line="240" w:lineRule="auto" w:before="13"/>
        <w:rPr>
          <w:rFonts w:ascii="微软雅黑" w:hAnsi="微软雅黑" w:cs="微软雅黑" w:eastAsia="微软雅黑" w:hint="default"/>
          <w:sz w:val="6"/>
          <w:szCs w:val="6"/>
        </w:rPr>
      </w:pPr>
    </w:p>
    <w:p>
      <w:pPr>
        <w:pStyle w:val="BodyText"/>
        <w:spacing w:line="324" w:lineRule="exact"/>
        <w:ind w:right="1016"/>
        <w:jc w:val="left"/>
        <w:rPr>
          <w:rFonts w:ascii="微软雅黑" w:hAnsi="微软雅黑" w:cs="微软雅黑" w:eastAsia="微软雅黑" w:hint="default"/>
        </w:rPr>
      </w:pPr>
      <w:bookmarkStart w:name="3、境内外会计准则下会计数据差异" w:id="436"/>
      <w:bookmarkEnd w:id="436"/>
      <w:r>
        <w:rPr/>
      </w:r>
      <w:r>
        <w:rPr>
          <w:rFonts w:ascii="Times New Roman" w:hAnsi="Times New Roman" w:cs="Times New Roman" w:eastAsia="Times New Roman" w:hint="default"/>
        </w:rPr>
        <w:t>3</w:t>
      </w:r>
      <w:r>
        <w:rPr>
          <w:rFonts w:ascii="微软雅黑" w:hAnsi="微软雅黑" w:cs="微软雅黑" w:eastAsia="微软雅黑" w:hint="default"/>
        </w:rPr>
        <w:t>、境内外会计准则下会计数据差异</w:t>
      </w:r>
    </w:p>
    <w:p>
      <w:pPr>
        <w:spacing w:line="240" w:lineRule="auto" w:before="7"/>
        <w:rPr>
          <w:rFonts w:ascii="微软雅黑" w:hAnsi="微软雅黑" w:cs="微软雅黑" w:eastAsia="微软雅黑" w:hint="default"/>
          <w:sz w:val="20"/>
          <w:szCs w:val="20"/>
        </w:rPr>
      </w:pPr>
    </w:p>
    <w:p>
      <w:pPr>
        <w:pStyle w:val="BodyText"/>
        <w:spacing w:line="240" w:lineRule="auto"/>
        <w:ind w:right="1016"/>
        <w:jc w:val="left"/>
      </w:pPr>
      <w:bookmarkStart w:name="（1）同时按照国际会计准则与按中国会计准则披露的财务报告中净利润和净资产差异情况" w:id="437"/>
      <w:bookmarkEnd w:id="437"/>
      <w:r>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line="240" w:lineRule="auto" w:before="8"/>
        <w:rPr>
          <w:rFonts w:ascii="宋体" w:hAnsi="宋体" w:cs="宋体" w:eastAsia="宋体" w:hint="default"/>
          <w:sz w:val="16"/>
          <w:szCs w:val="16"/>
        </w:rPr>
      </w:pPr>
    </w:p>
    <w:p>
      <w:pPr>
        <w:pStyle w:val="BodyText"/>
        <w:spacing w:line="240" w:lineRule="auto"/>
        <w:ind w:right="1016"/>
        <w:jc w:val="left"/>
      </w:pPr>
      <w:bookmarkStart w:name="（2）同时按照境外会计准则与按中国会计准则披露的财务报告中净利润和净资产差异情况" w:id="438"/>
      <w:bookmarkEnd w:id="438"/>
      <w:r>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p>
    <w:p>
      <w:pPr>
        <w:spacing w:line="240" w:lineRule="auto" w:before="9"/>
        <w:rPr>
          <w:rFonts w:ascii="宋体" w:hAnsi="宋体" w:cs="宋体" w:eastAsia="宋体" w:hint="default"/>
          <w:sz w:val="16"/>
          <w:szCs w:val="16"/>
        </w:rPr>
      </w:pPr>
    </w:p>
    <w:p>
      <w:pPr>
        <w:pStyle w:val="BodyText"/>
        <w:spacing w:line="240" w:lineRule="auto"/>
        <w:ind w:right="10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不适用</w:t>
      </w:r>
    </w:p>
    <w:p>
      <w:pPr>
        <w:spacing w:after="0" w:line="240" w:lineRule="auto"/>
        <w:jc w:val="left"/>
        <w:sectPr>
          <w:pgSz w:w="11910" w:h="16840"/>
          <w:pgMar w:header="801" w:footer="1007" w:top="1080" w:bottom="1200" w:left="920" w:right="0"/>
        </w:sectPr>
      </w:pPr>
    </w:p>
    <w:p>
      <w:pPr>
        <w:spacing w:line="240" w:lineRule="auto" w:before="9"/>
        <w:rPr>
          <w:rFonts w:ascii="宋体" w:hAnsi="宋体" w:cs="宋体" w:eastAsia="宋体" w:hint="default"/>
          <w:sz w:val="21"/>
          <w:szCs w:val="21"/>
        </w:rPr>
      </w:pPr>
    </w:p>
    <w:p>
      <w:pPr>
        <w:pStyle w:val="BodyText"/>
        <w:spacing w:line="280" w:lineRule="auto" w:before="35"/>
        <w:ind w:left="154" w:right="1116" w:firstLine="420"/>
        <w:jc w:val="left"/>
      </w:pPr>
      <w:bookmarkStart w:name="（3）境内外会计准则下会计数据差异原因说明，对已经境外审计机构审计的数据进行差异" w:id="439"/>
      <w:bookmarkEnd w:id="439"/>
      <w:r>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 应注明该境外机构的名称</w:t>
      </w:r>
    </w:p>
    <w:p>
      <w:pPr>
        <w:spacing w:after="0" w:line="280" w:lineRule="auto"/>
        <w:jc w:val="left"/>
        <w:sectPr>
          <w:pgSz w:w="11910" w:h="16840"/>
          <w:pgMar w:header="801" w:footer="1007" w:top="108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441" w:lineRule="exact"/>
        <w:ind w:left="3293" w:right="1116"/>
        <w:jc w:val="left"/>
        <w:rPr>
          <w:b w:val="0"/>
          <w:bCs w:val="0"/>
        </w:rPr>
      </w:pPr>
      <w:bookmarkStart w:name="第十二节 备查文件目录" w:id="440"/>
      <w:bookmarkEnd w:id="440"/>
      <w:r>
        <w:rPr>
          <w:b w:val="0"/>
          <w:bCs w:val="0"/>
        </w:rPr>
      </w:r>
      <w:bookmarkStart w:name="_bookmark10" w:id="441"/>
      <w:bookmarkEnd w:id="441"/>
      <w:r>
        <w:rPr>
          <w:b w:val="0"/>
          <w:bCs w:val="0"/>
        </w:rPr>
      </w:r>
      <w:r>
        <w:rPr/>
        <w:t>第十二节</w:t>
      </w:r>
      <w:r>
        <w:rPr>
          <w:spacing w:val="61"/>
        </w:rPr>
        <w:t> </w:t>
      </w:r>
      <w:r>
        <w:rPr/>
        <w:t>备查文件目录</w:t>
      </w:r>
      <w:r>
        <w:rPr>
          <w:b w:val="0"/>
          <w:bCs w:val="0"/>
        </w:rPr>
      </w:r>
    </w:p>
    <w:p>
      <w:pPr>
        <w:spacing w:line="240" w:lineRule="auto" w:before="7"/>
        <w:rPr>
          <w:rFonts w:ascii="微软雅黑" w:hAnsi="微软雅黑" w:cs="微软雅黑" w:eastAsia="微软雅黑" w:hint="default"/>
          <w:b/>
          <w:bCs/>
          <w:sz w:val="45"/>
          <w:szCs w:val="45"/>
        </w:rPr>
      </w:pPr>
    </w:p>
    <w:p>
      <w:pPr>
        <w:pStyle w:val="BodyText"/>
        <w:spacing w:line="240" w:lineRule="auto"/>
        <w:ind w:left="574" w:right="1116"/>
        <w:jc w:val="left"/>
      </w:pPr>
      <w:r>
        <w:rPr/>
        <w:t>（一）公司负责人、主管会计工作负责人、会计机构负责人签名并盖章的财务报表</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（二）会计师事务所盖章、注册会计师签名并盖章的审计报告</w:t>
      </w:r>
    </w:p>
    <w:p>
      <w:pPr>
        <w:spacing w:line="240" w:lineRule="auto" w:before="12"/>
        <w:rPr>
          <w:rFonts w:ascii="宋体" w:hAnsi="宋体" w:cs="宋体" w:eastAsia="宋体" w:hint="default"/>
          <w:sz w:val="17"/>
          <w:szCs w:val="17"/>
        </w:rPr>
      </w:pPr>
    </w:p>
    <w:p>
      <w:pPr>
        <w:pStyle w:val="BodyText"/>
        <w:spacing w:line="240" w:lineRule="auto"/>
        <w:ind w:left="574" w:right="1116"/>
        <w:jc w:val="left"/>
      </w:pPr>
      <w:r>
        <w:rPr/>
        <w:t>（三）报告期内在中国证监会指定网站上公开披露过的所有公司文件的正本及公告的原稿</w:t>
      </w:r>
    </w:p>
    <w:sectPr>
      <w:pgSz w:w="11910" w:h="16840"/>
      <w:pgMar w:header="801" w:footer="1007" w:top="1080" w:bottom="120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4720"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4600" type="#_x0000_t75" stroked="false">
          <v:imagedata r:id="rId1" o:title=""/>
        </v:shape>
      </w:pict>
    </w:r>
    <w:r>
      <w:rPr/>
      <w:pict>
        <v:shape style="position:absolute;margin-left:290.420013pt;margin-top:780.570923pt;width:14.6pt;height:12.5pt;mso-position-horizontal-relative:page;mso-position-vertical-relative:page;z-index:-1024576"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4552" type="#_x0000_t75" stroked="false">
          <v:imagedata r:id="rId1" o:title=""/>
        </v:shape>
      </w:pict>
    </w:r>
    <w:r>
      <w:rPr/>
      <w:pict>
        <v:shape style="position:absolute;margin-left:288.839996pt;margin-top:780.570923pt;width:17.75pt;height:12.5pt;mso-position-horizontal-relative:page;mso-position-vertical-relative:page;z-index:-1024528" type="#_x0000_t202" filled="false" stroked="false">
          <v:textbox inset="0,0,0,0">
            <w:txbxContent>
              <w:p>
                <w:pPr>
                  <w:pStyle w:val="BodyText"/>
                  <w:spacing w:line="23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4504" type="#_x0000_t75" stroked="false">
          <v:imagedata r:id="rId1" o:title=""/>
        </v:shape>
      </w:pict>
    </w:r>
    <w:r>
      <w:rPr/>
      <w:pict>
        <v:shape style="position:absolute;margin-left:287.839996pt;margin-top:780.570923pt;width:19.75pt;height:12.5pt;mso-position-horizontal-relative:page;mso-position-vertical-relative:page;z-index:-1024480"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4456" type="#_x0000_t75" stroked="false">
          <v:imagedata r:id="rId1" o:title=""/>
        </v:shape>
      </w:pict>
    </w:r>
    <w:r>
      <w:rPr/>
      <w:pict>
        <v:shape style="position:absolute;margin-left:287.839996pt;margin-top:780.570923pt;width:19.75pt;height:12.5pt;mso-position-horizontal-relative:page;mso-position-vertical-relative:page;z-index:-1024432" type="#_x0000_t202" filled="false" stroked="false">
          <v:textbox inset="0,0,0,0">
            <w:txbxContent>
              <w:p>
                <w:pPr>
                  <w:pStyle w:val="BodyText"/>
                  <w:spacing w:line="23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pt;margin-top:40.049984pt;width:53.75pt;height:14.25pt;mso-position-horizontal-relative:page;mso-position-vertical-relative:page;z-index:-1024696" type="#_x0000_t75" stroked="false">
          <v:imagedata r:id="rId1" o:title=""/>
        </v:shape>
      </w:pict>
    </w:r>
    <w:r>
      <w:rPr/>
      <w:pict>
        <v:group style="position:absolute;margin-left:55.200001pt;margin-top:55.619984pt;width:485pt;height:.1pt;mso-position-horizontal-relative:page;mso-position-vertical-relative:page;z-index:-102467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12.419998pt;margin-top:42.865608pt;width:110pt;height:11pt;mso-position-horizontal-relative:page;mso-position-vertical-relative:page;z-index:-10246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中科创达软件股份有限公司</w:t>
                </w:r>
              </w:p>
            </w:txbxContent>
          </v:textbox>
          <w10:wrap type="none"/>
        </v:shape>
      </w:pict>
    </w:r>
    <w:r>
      <w:rPr/>
      <w:pict>
        <v:shape style="position:absolute;margin-left:454.459991pt;margin-top:42.865608pt;width:85.25pt;height:11.5pt;mso-position-horizontal-relative:page;mso-position-vertical-relative:page;z-index:-1024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8"/>
      <w:ind w:left="154"/>
    </w:pPr>
    <w:rPr>
      <w:rFonts w:ascii="宋体" w:hAnsi="宋体" w:eastAsia="宋体"/>
      <w:b/>
      <w:bCs/>
      <w:sz w:val="24"/>
      <w:szCs w:val="24"/>
    </w:rPr>
  </w:style>
  <w:style w:styleId="BodyText" w:type="paragraph">
    <w:name w:val="Body Text"/>
    <w:basedOn w:val="Normal"/>
    <w:uiPriority w:val="1"/>
    <w:qFormat/>
    <w:pPr>
      <w:ind w:left="634"/>
    </w:pPr>
    <w:rPr>
      <w:rFonts w:ascii="宋体" w:hAnsi="宋体" w:eastAsia="宋体"/>
      <w:sz w:val="21"/>
      <w:szCs w:val="21"/>
    </w:rPr>
  </w:style>
  <w:style w:styleId="Heading1" w:type="paragraph">
    <w:name w:val="Heading 1"/>
    <w:basedOn w:val="Normal"/>
    <w:uiPriority w:val="1"/>
    <w:qFormat/>
    <w:pPr>
      <w:ind w:left="2796"/>
      <w:outlineLvl w:val="1"/>
    </w:pPr>
    <w:rPr>
      <w:rFonts w:ascii="微软雅黑" w:hAnsi="微软雅黑" w:eastAsia="微软雅黑"/>
      <w:b/>
      <w:bCs/>
      <w:sz w:val="32"/>
      <w:szCs w:val="32"/>
    </w:rPr>
  </w:style>
  <w:style w:styleId="Heading2" w:type="paragraph">
    <w:name w:val="Heading 2"/>
    <w:basedOn w:val="Normal"/>
    <w:uiPriority w:val="1"/>
    <w:qFormat/>
    <w:pPr>
      <w:ind w:left="214"/>
      <w:outlineLvl w:val="2"/>
    </w:pPr>
    <w:rPr>
      <w:rFonts w:ascii="微软雅黑" w:hAnsi="微软雅黑" w:eastAsia="微软雅黑"/>
      <w:sz w:val="28"/>
      <w:szCs w:val="28"/>
    </w:rPr>
  </w:style>
  <w:style w:styleId="Heading3" w:type="paragraph">
    <w:name w:val="Heading 3"/>
    <w:basedOn w:val="Normal"/>
    <w:uiPriority w:val="1"/>
    <w:qFormat/>
    <w:pPr>
      <w:ind w:left="636"/>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thundersoft.com/" TargetMode="External"/><Relationship Id="rId10" Type="http://schemas.openxmlformats.org/officeDocument/2006/relationships/hyperlink" Target="mailto:zq@thundersoft.com" TargetMode="External"/><Relationship Id="rId11" Type="http://schemas.openxmlformats.org/officeDocument/2006/relationships/hyperlink" Target="http://www.cninfo.com.cn/"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中科创达软件股份有限公司</dc:creator>
  <dc:title>中科创达软件股份有限公司2018年年度报告全文</dc:title>
  <dcterms:created xsi:type="dcterms:W3CDTF">2020-05-05T03:05:00Z</dcterms:created>
  <dcterms:modified xsi:type="dcterms:W3CDTF">2020-05-05T03:05:00Z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