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jpeg" ContentType="image/jpeg"/>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tabs>
          <w:tab w:pos="3807" w:val="left" w:leader="none"/>
          <w:tab w:pos="7700" w:val="left" w:leader="none"/>
        </w:tabs>
        <w:spacing w:line="240" w:lineRule="auto" w:before="173"/>
        <w:ind w:right="0"/>
        <w:jc w:val="left"/>
        <w:rPr>
          <w:rFonts w:ascii="宋体" w:hAnsi="宋体" w:cs="宋体" w:eastAsia="宋体" w:hint="default"/>
        </w:rPr>
      </w:pPr>
      <w:r>
        <w:rPr/>
        <w:pict>
          <v:group style="position:absolute;margin-left:55.200001pt;margin-top:-27.31439pt;width:485pt;height:.1pt;mso-position-horizontal-relative:page;mso-position-vertical-relative:paragraph;z-index:0" coordorigin="1104,-546" coordsize="9700,2">
            <v:shape style="position:absolute;left:1104;top:-546;width:9700;height:2" coordorigin="1104,-546" coordsize="9700,0" path="m1104,-546l10804,-546e" filled="false" stroked="true" strokeweight=".72pt" strokecolor="#000000">
              <v:path arrowok="t"/>
            </v:shape>
            <w10:wrap type="none"/>
          </v:group>
        </w:pict>
      </w:r>
      <w:r>
        <w:rPr>
          <w:spacing w:val="-7"/>
        </w:rPr>
        <w:t>证券代码：</w:t>
      </w:r>
      <w:r>
        <w:rPr>
          <w:rFonts w:ascii="宋体" w:hAnsi="宋体" w:cs="宋体" w:eastAsia="宋体" w:hint="default"/>
          <w:spacing w:val="-7"/>
        </w:rPr>
        <w:t>300510</w:t>
        <w:tab/>
      </w:r>
      <w:r>
        <w:rPr>
          <w:spacing w:val="-8"/>
        </w:rPr>
        <w:t>证券简称：金冠电气</w:t>
        <w:tab/>
      </w:r>
      <w:r>
        <w:rPr>
          <w:spacing w:val="-6"/>
        </w:rPr>
        <w:t>公告编号：</w:t>
      </w:r>
      <w:r>
        <w:rPr>
          <w:rFonts w:ascii="宋体" w:hAnsi="宋体" w:cs="宋体" w:eastAsia="宋体" w:hint="default"/>
          <w:spacing w:val="-6"/>
        </w:rPr>
        <w:t>2018-036</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line="675" w:lineRule="exact"/>
        <w:ind w:left="3862" w:right="0" w:firstLine="0"/>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1410334" cy="42862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10334" cy="428625"/>
                    </a:xfrm>
                    <a:prstGeom prst="rect">
                      <a:avLst/>
                    </a:prstGeom>
                  </pic:spPr>
                </pic:pic>
              </a:graphicData>
            </a:graphic>
          </wp:inline>
        </w:drawing>
      </w:r>
      <w:r>
        <w:rPr>
          <w:rFonts w:ascii="宋体" w:hAnsi="宋体" w:cs="宋体" w:eastAsia="宋体" w:hint="default"/>
          <w:position w:val="-13"/>
          <w:sz w:val="20"/>
          <w:szCs w:val="20"/>
        </w:rPr>
      </w:r>
    </w:p>
    <w:p>
      <w:pPr>
        <w:spacing w:line="240" w:lineRule="auto" w:before="10"/>
        <w:rPr>
          <w:rFonts w:ascii="宋体" w:hAnsi="宋体" w:cs="宋体" w:eastAsia="宋体" w:hint="default"/>
          <w:sz w:val="11"/>
          <w:szCs w:val="11"/>
        </w:rPr>
      </w:pPr>
    </w:p>
    <w:p>
      <w:pPr>
        <w:spacing w:line="460" w:lineRule="exact" w:before="0"/>
        <w:ind w:left="2604" w:right="2604" w:firstLine="0"/>
        <w:jc w:val="center"/>
        <w:rPr>
          <w:rFonts w:ascii="宋体" w:hAnsi="宋体" w:cs="宋体" w:eastAsia="宋体" w:hint="default"/>
          <w:sz w:val="36"/>
          <w:szCs w:val="36"/>
        </w:rPr>
      </w:pPr>
      <w:r>
        <w:rPr>
          <w:rFonts w:ascii="宋体" w:hAnsi="宋体" w:cs="宋体" w:eastAsia="宋体" w:hint="default"/>
          <w:b/>
          <w:bCs/>
          <w:sz w:val="36"/>
          <w:szCs w:val="36"/>
        </w:rPr>
        <w:t>吉林省金冠电气股份有限公司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603" w:right="260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604" w:right="26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5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公司负责人徐海江、主管会计工作负责人文聪及会计机构负责人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侯大艳声明：保证年度报告中财务报告的真实、准确、完整。</w:t>
      </w:r>
      <w:r>
        <w:rPr>
          <w:rFonts w:ascii="宋体" w:hAnsi="宋体" w:cs="宋体" w:eastAsia="宋体" w:hint="default"/>
          <w:sz w:val="28"/>
          <w:szCs w:val="28"/>
        </w:rPr>
      </w:r>
    </w:p>
    <w:p>
      <w:pPr>
        <w:spacing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386" w:lineRule="auto" w:before="0"/>
        <w:ind w:left="154" w:right="152" w:firstLine="562"/>
        <w:jc w:val="both"/>
        <w:rPr>
          <w:rFonts w:ascii="宋体" w:hAnsi="宋体" w:cs="宋体" w:eastAsia="宋体" w:hint="default"/>
          <w:sz w:val="28"/>
          <w:szCs w:val="28"/>
        </w:rPr>
      </w:pPr>
      <w:r>
        <w:rPr>
          <w:rFonts w:ascii="宋体" w:hAnsi="宋体" w:cs="宋体" w:eastAsia="宋体" w:hint="default"/>
          <w:b/>
          <w:bCs/>
          <w:sz w:val="28"/>
          <w:szCs w:val="28"/>
        </w:rPr>
        <w:t>详细内容请见</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w:t>
      </w:r>
      <w:r>
        <w:rPr>
          <w:rFonts w:ascii="宋体" w:hAnsi="宋体" w:cs="宋体" w:eastAsia="宋体" w:hint="default"/>
          <w:b/>
          <w:bCs/>
          <w:spacing w:val="-67"/>
          <w:sz w:val="28"/>
          <w:szCs w:val="28"/>
        </w:rPr>
        <w:t> </w:t>
      </w:r>
      <w:r>
        <w:rPr>
          <w:rFonts w:ascii="宋体" w:hAnsi="宋体" w:cs="宋体" w:eastAsia="宋体" w:hint="default"/>
          <w:b/>
          <w:bCs/>
          <w:sz w:val="28"/>
          <w:szCs w:val="28"/>
        </w:rPr>
        <w:t>经营情况讨论与分析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之</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w w:val="99"/>
          <w:sz w:val="28"/>
          <w:szCs w:val="28"/>
        </w:rPr>
        <w:t> </w:t>
      </w:r>
      <w:r>
        <w:rPr>
          <w:rFonts w:ascii="宋体" w:hAnsi="宋体" w:cs="宋体" w:eastAsia="宋体" w:hint="default"/>
          <w:b/>
          <w:bCs/>
          <w:sz w:val="28"/>
          <w:szCs w:val="28"/>
        </w:rPr>
        <w:t>中公司可能面对的风险因素。</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9"/>
        <w:rPr>
          <w:rFonts w:ascii="宋体" w:hAnsi="宋体" w:cs="宋体" w:eastAsia="宋体" w:hint="default"/>
          <w:b/>
          <w:bCs/>
          <w:sz w:val="41"/>
          <w:szCs w:val="41"/>
        </w:rPr>
      </w:pPr>
    </w:p>
    <w:p>
      <w:pPr>
        <w:spacing w:before="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604" w:right="260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r>
            <w:rPr/>
            <w:t>第四节</w:t>
          </w:r>
          <w:r>
            <w:rPr>
              <w:spacing w:val="-19"/>
            </w:rPr>
            <w:t> </w:t>
          </w:r>
          <w:r>
            <w:rPr/>
            <w:t>经营情况讨论与分析</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165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175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175</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176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183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188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189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285</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980"/>
        </w:sectPr>
      </w:pPr>
    </w:p>
    <w:p>
      <w:pPr>
        <w:spacing w:before="946"/>
        <w:ind w:left="2604" w:right="260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金冠电气、公司、本公司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报告期末、本报告期末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上年同期、去年同期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会计师、审计机构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开盛电气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浙江开盛电气有限公司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华胤智能电气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深圳华胤智能电气科技有限公司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华胤文旅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深圳华胤文旅发展有限公司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华胤新材料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深圳华胤新材料有限公司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华胤新能源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深圳华胤新能源有限公司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华胤移动储能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深圳华胤移动储能有限公司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华胤集团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华胤控股集团有限公司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南京能瑞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南京能瑞自动化设备股份有限公司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湖州金冠</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湖州金冠鸿图隔膜科技有限公司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鸿图隔膜、辽源鸿图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辽源鸿图锂电隔膜科技股份有限公司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金冠投资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吉林省金冠投资有限公司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二、专业术语</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C-GIS</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Cubicle type Gas Insulated</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Switchgear</w:t>
            </w:r>
            <w:r>
              <w:rPr>
                <w:rFonts w:ascii="宋体" w:hAnsi="宋体" w:cs="宋体" w:eastAsia="宋体" w:hint="default"/>
                <w:sz w:val="18"/>
                <w:szCs w:val="18"/>
              </w:rPr>
              <w:t>，即柜式气体绝缘金属封闭开关 设备</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金属封闭开关设备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除外部连接外，全部装配完成并封闭在接地金属外壳内的开关设备</w:t>
            </w: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40.5kV </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气体绝缘金属封闭开关设备（</w:t>
            </w:r>
            <w:r>
              <w:rPr>
                <w:rFonts w:ascii="Times New Roman" w:hAnsi="Times New Roman" w:cs="Times New Roman" w:eastAsia="Times New Roman" w:hint="default"/>
                <w:spacing w:val="-4"/>
                <w:sz w:val="18"/>
                <w:szCs w:val="18"/>
              </w:rPr>
              <w:t>C-GIS</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auto" w:before="51"/>
              <w:ind w:left="27" w:right="22"/>
              <w:jc w:val="left"/>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的使用场所，所有一次带电部件都密封在充气 </w:t>
            </w:r>
            <w:r>
              <w:rPr>
                <w:rFonts w:ascii="宋体" w:hAnsi="宋体" w:cs="宋体" w:eastAsia="宋体" w:hint="default"/>
                <w:spacing w:val="-2"/>
                <w:sz w:val="18"/>
                <w:szCs w:val="18"/>
              </w:rPr>
              <w:t>隔室中的开关设备，全绝缘、全密封，进出线采用真空断路器作为开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断部件，电缆连接使用预制式内锥电缆附件与开关设备进行连接的一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种金属封闭开关设备。</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7" w:right="20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40" w:hRule="exact"/>
        </w:trPr>
        <w:tc>
          <w:tcPr>
            <w:tcW w:w="3536"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40.5kV</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气体绝缘金属封闭开关设备</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3" w:space="0" w:color="D2D2D2"/>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的风电和光伏发电领域，采用六氟化硫气体绝 </w:t>
            </w:r>
            <w:r>
              <w:rPr>
                <w:rFonts w:ascii="宋体" w:hAnsi="宋体" w:cs="宋体" w:eastAsia="宋体" w:hint="default"/>
                <w:spacing w:val="-2"/>
                <w:sz w:val="18"/>
                <w:szCs w:val="18"/>
              </w:rPr>
              <w:t>缘，全绝缘、全密封，开关设备具有负荷开关、组合电器、断路器等</w:t>
            </w:r>
          </w:p>
        </w:tc>
      </w:tr>
      <w:tr>
        <w:trPr>
          <w:trHeight w:val="392" w:hRule="exact"/>
        </w:trPr>
        <w:tc>
          <w:tcPr>
            <w:tcW w:w="3536" w:type="dxa"/>
            <w:vMerge/>
            <w:tcBorders>
              <w:left w:val="single" w:sz="4" w:space="0" w:color="000000"/>
              <w:right w:val="single" w:sz="13"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3" w:space="0" w:color="D2D2D2"/>
              <w:right w:val="single" w:sz="4" w:space="0" w:color="000000"/>
            </w:tcBorders>
          </w:tcPr>
          <w:p>
            <w:pPr/>
          </w:p>
        </w:tc>
      </w:tr>
      <w:tr>
        <w:trPr>
          <w:trHeight w:val="142" w:hRule="exact"/>
        </w:trPr>
        <w:tc>
          <w:tcPr>
            <w:tcW w:w="3536" w:type="dxa"/>
            <w:vMerge/>
            <w:tcBorders>
              <w:left w:val="single" w:sz="4" w:space="0" w:color="000000"/>
              <w:bottom w:val="single" w:sz="4" w:space="0" w:color="000000"/>
              <w:right w:val="single" w:sz="13"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3" w:space="0" w:color="D2D2D2"/>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shape style="position:absolute;margin-left:56.459999pt;margin-top:71.999985pt;width:479.25pt;height:696.7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36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功能单元的一种金属封闭开关设备。</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环保气体绝缘金属封闭开关设备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的配电领域，采用压缩空气进行绝缘，全绝缘、 </w:t>
                        </w:r>
                        <w:r>
                          <w:rPr>
                            <w:rFonts w:ascii="宋体" w:hAnsi="宋体" w:cs="宋体" w:eastAsia="宋体" w:hint="default"/>
                            <w:spacing w:val="-2"/>
                            <w:sz w:val="18"/>
                            <w:szCs w:val="18"/>
                          </w:rPr>
                          <w:t>全密封，设备整体设计、生产、装配过程中对大气无任何污染，零部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件材料并可回收再利用的一种金属封闭开关设备。</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一二次融合智能型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气体绝缘金属封闭 开关设备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的配电领域，将一次高压部件与二次控制部分完 全结合成为一体，实现一体化的供货模式的一种金属封闭开关设备。</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远程智能型金属封闭开关设备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10~24kV</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的配电领域，产品在应用配网自动化的功能基</w:t>
                        </w:r>
                        <w:r>
                          <w:rPr>
                            <w:rFonts w:ascii="宋体" w:hAnsi="宋体" w:cs="宋体" w:eastAsia="宋体" w:hint="default"/>
                            <w:sz w:val="18"/>
                            <w:szCs w:val="18"/>
                          </w:rPr>
                          <w:t> </w:t>
                        </w:r>
                        <w:r>
                          <w:rPr>
                            <w:rFonts w:ascii="宋体" w:hAnsi="宋体" w:cs="宋体" w:eastAsia="宋体" w:hint="default"/>
                            <w:spacing w:val="-2"/>
                            <w:sz w:val="18"/>
                            <w:szCs w:val="18"/>
                          </w:rPr>
                          <w:t>础上，实现设备远程控制、信号采集、故障定位、用电计量等智能化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功能的一种金属封闭开关设备。</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经济型开关柜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10~24kV</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的配电领域，产品在现有产品的金属封闭开关</w:t>
                        </w:r>
                        <w:r>
                          <w:rPr>
                            <w:rFonts w:ascii="宋体" w:hAnsi="宋体" w:cs="宋体" w:eastAsia="宋体" w:hint="default"/>
                            <w:sz w:val="18"/>
                            <w:szCs w:val="18"/>
                          </w:rPr>
                          <w:t> </w:t>
                        </w:r>
                        <w:r>
                          <w:rPr>
                            <w:rFonts w:ascii="宋体" w:hAnsi="宋体" w:cs="宋体" w:eastAsia="宋体" w:hint="default"/>
                            <w:spacing w:val="-2"/>
                            <w:sz w:val="18"/>
                            <w:szCs w:val="18"/>
                          </w:rPr>
                          <w:t>设备基础上进行结构优化，功能整合，在保证产品质量的前提下，降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低生产、维护、运行成本的一种金属封闭开关设备。</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空气绝缘环保气体灭弧金属封闭开关设备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用于额定电压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的配电领域，将开断部件安装在不锈钢密封的气 </w:t>
                        </w:r>
                        <w:r>
                          <w:rPr>
                            <w:rFonts w:ascii="宋体" w:hAnsi="宋体" w:cs="宋体" w:eastAsia="宋体" w:hint="default"/>
                            <w:spacing w:val="-2"/>
                            <w:sz w:val="18"/>
                            <w:szCs w:val="18"/>
                          </w:rPr>
                          <w:t>室内，充以环保气体作为灭弧介质，气室外部采用空气进行绝缘的一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种金属封闭开关设备。</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充电桩</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适用于新能源汽车的充电设备， 可以固定在地面或墙壁，</w:t>
                        </w:r>
                        <w:r>
                          <w:rPr>
                            <w:rFonts w:ascii="宋体" w:hAnsi="宋体" w:cs="宋体" w:eastAsia="宋体" w:hint="default"/>
                            <w:spacing w:val="-32"/>
                            <w:sz w:val="18"/>
                            <w:szCs w:val="18"/>
                          </w:rPr>
                          <w:t> </w:t>
                        </w:r>
                        <w:r>
                          <w:rPr>
                            <w:rFonts w:ascii="宋体" w:hAnsi="宋体" w:cs="宋体" w:eastAsia="宋体" w:hint="default"/>
                            <w:sz w:val="18"/>
                            <w:szCs w:val="18"/>
                          </w:rPr>
                          <w:t>安装于公</w:t>
                        </w:r>
                        <w:r>
                          <w:rPr>
                            <w:rFonts w:ascii="宋体" w:hAnsi="宋体" w:cs="宋体" w:eastAsia="宋体" w:hint="default"/>
                            <w:sz w:val="18"/>
                            <w:szCs w:val="18"/>
                          </w:rPr>
                          <w:t> </w:t>
                        </w:r>
                        <w:r>
                          <w:rPr>
                            <w:rFonts w:ascii="宋体" w:hAnsi="宋体" w:cs="宋体" w:eastAsia="宋体" w:hint="default"/>
                            <w:spacing w:val="-2"/>
                            <w:sz w:val="18"/>
                            <w:szCs w:val="18"/>
                          </w:rPr>
                          <w:t>共建筑（楼宇、商场停车位等）和居民小区停车场或充电站内，可以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根据不同的电压等级为各种型号的电动汽车充电。一般提供常规电和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快速充电两种型号的电动汽车充电方式。</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用电信息采集系统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对电力用户的用电信息进行采集、处理和实时监控的系统。实现用户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信息的自动采集、计量异常监测、用电分析和管理、相关信息发布、 分部式能源监控、智能用电设备的信息交互等功能。</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智能电表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是智能电网的智能终端，具有双向多种费率计量功能、用户端控制功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能、双向数据通信功能。</w:t>
                        </w:r>
                      </w:p>
                    </w:tc>
                  </w:tr>
                  <w:tr>
                    <w:trPr>
                      <w:trHeight w:val="196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隔膜、锂电池隔膜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是锂离子电池关键的内层组件之一，主要作用是使电池的正、负极分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隔开来，防止两极接触而短路，同时具有能使电解质离子通过的功能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其性能决定了电池的界面结构、内阻等，直接影响电池的容量、循环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以及安全性能等特性，性能优异的隔膜对提高电池综合性能具有重要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作用。其中，以聚乙烯（</w:t>
                        </w:r>
                        <w:r>
                          <w:rPr>
                            <w:rFonts w:ascii="Times New Roman" w:hAnsi="Times New Roman" w:cs="Times New Roman" w:eastAsia="Times New Roman" w:hint="default"/>
                            <w:spacing w:val="-3"/>
                            <w:sz w:val="18"/>
                            <w:szCs w:val="18"/>
                          </w:rPr>
                          <w:t>PE</w:t>
                        </w:r>
                        <w:r>
                          <w:rPr>
                            <w:rFonts w:ascii="宋体" w:hAnsi="宋体" w:cs="宋体" w:eastAsia="宋体" w:hint="default"/>
                            <w:spacing w:val="-3"/>
                            <w:sz w:val="18"/>
                            <w:szCs w:val="18"/>
                          </w:rPr>
                          <w:t>）和聚丙烯（</w:t>
                        </w:r>
                        <w:r>
                          <w:rPr>
                            <w:rFonts w:ascii="Times New Roman" w:hAnsi="Times New Roman" w:cs="Times New Roman" w:eastAsia="Times New Roman" w:hint="default"/>
                            <w:spacing w:val="-3"/>
                            <w:sz w:val="18"/>
                            <w:szCs w:val="18"/>
                          </w:rPr>
                          <w:t>PP</w:t>
                        </w:r>
                        <w:r>
                          <w:rPr>
                            <w:rFonts w:ascii="宋体" w:hAnsi="宋体" w:cs="宋体" w:eastAsia="宋体" w:hint="default"/>
                            <w:spacing w:val="-3"/>
                            <w:sz w:val="18"/>
                            <w:szCs w:val="18"/>
                          </w:rPr>
                          <w:t>）为主的聚烯烃可分为单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层、双层及多层隔膜。</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湿法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指将液态烃或一些高沸点小分子物质作为成孔剂与聚烯烃树脂混合、 </w:t>
                        </w:r>
                        <w:r>
                          <w:rPr>
                            <w:rFonts w:ascii="宋体" w:hAnsi="宋体" w:cs="宋体" w:eastAsia="宋体" w:hint="default"/>
                            <w:spacing w:val="-2"/>
                            <w:sz w:val="18"/>
                            <w:szCs w:val="18"/>
                          </w:rPr>
                          <w:t>加热熔融后形成均匀混合物，经挤出、流延、双向拉伸、萃取等工艺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制备出相互贯通的微孔膜的制备工艺。</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锂电池、锂离子电池</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一种充电电池，依靠锂离子在正极和负极之间的移动来工作，主要由</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隔膜、正极材料、负极材料和电解液组成，通常也简称为锂电池。</w:t>
                        </w:r>
                      </w:p>
                    </w:tc>
                  </w:tr>
                  <w:tr>
                    <w:trPr>
                      <w:trHeight w:val="196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充电设施运营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围绕电动汽车用户需求，运用移动互联网、物联网等技术，提出</w:t>
                        </w:r>
                        <w:r>
                          <w:rPr>
                            <w:rFonts w:ascii="Times New Roman" w:hAnsi="Times New Roman" w:cs="Times New Roman" w:eastAsia="Times New Roman" w:hint="default"/>
                            <w:sz w:val="18"/>
                            <w:szCs w:val="18"/>
                          </w:rPr>
                          <w:t>"</w:t>
                        </w:r>
                        <w:r>
                          <w:rPr>
                            <w:rFonts w:ascii="宋体" w:hAnsi="宋体" w:cs="宋体" w:eastAsia="宋体" w:hint="default"/>
                            <w:sz w:val="18"/>
                            <w:szCs w:val="18"/>
                          </w:rPr>
                          <w:t>无 人值、自助充电</w:t>
                        </w:r>
                        <w:r>
                          <w:rPr>
                            <w:rFonts w:ascii="Times New Roman" w:hAnsi="Times New Roman" w:cs="Times New Roman" w:eastAsia="Times New Roman" w:hint="default"/>
                            <w:sz w:val="18"/>
                            <w:szCs w:val="18"/>
                          </w:rPr>
                          <w:t>"</w:t>
                        </w:r>
                        <w:r>
                          <w:rPr>
                            <w:rFonts w:ascii="宋体" w:hAnsi="宋体" w:cs="宋体" w:eastAsia="宋体" w:hint="default"/>
                            <w:sz w:val="18"/>
                            <w:szCs w:val="18"/>
                          </w:rPr>
                          <w:t>创新运营模式，为用户提供用户注册、附近充电桩 </w:t>
                        </w:r>
                        <w:r>
                          <w:rPr>
                            <w:rFonts w:ascii="宋体" w:hAnsi="宋体" w:cs="宋体" w:eastAsia="宋体" w:hint="default"/>
                            <w:spacing w:val="-2"/>
                            <w:sz w:val="18"/>
                            <w:szCs w:val="18"/>
                          </w:rPr>
                          <w:t>位置和状态查询、预约充电、自助扫码充电、远程充电进度查看、自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动结算、移动支付等移动应用，提高充电服务的智能化水平，提升运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营效率和用户体验，促进电动汽车用户与充电设施运营商之间的双向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互动。</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4"/>
          <w:szCs w:val="24"/>
        </w:rPr>
      </w:pPr>
    </w:p>
    <w:p>
      <w:pPr>
        <w:pStyle w:val="BodyText"/>
        <w:spacing w:line="240" w:lineRule="auto"/>
        <w:ind w:left="0" w:right="159"/>
        <w:jc w:val="right"/>
      </w:pPr>
      <w:r>
        <w:rPr/>
        <w:t>，</w:t>
      </w:r>
    </w:p>
    <w:p>
      <w:pPr>
        <w:spacing w:after="0" w:line="240" w:lineRule="auto"/>
        <w:jc w:val="righ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2129608"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金冠电气</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300510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金冠电气</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JILIN    JINGUAN    ELECTRIC  </w:t>
            </w:r>
            <w:r>
              <w:rPr>
                <w:rFonts w:ascii="Times New Roman"/>
                <w:spacing w:val="37"/>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JGDQ</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徐海江</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长春市双阳经济开发区延寿路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130600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长春市双阳经济开发区延寿路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130600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http://www.jljgdq.cn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jilinjinguan@163.com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赵红云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张晓雪</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长春市双阳经济开发区延寿路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长春市双阳经济开发区延寿路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0431-84155588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0431-84155588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0431-84155588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0431-84155588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jilinjinguan@163.com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jilinjinguan@163.com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杭州市西溪路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齐晓丽、李灵辉</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中国（上海）自由贸易试验区 商城路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秦磊、杨志杰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中国（上海）自由贸易试验区 商城路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余越、明亚飞</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741,314,476.23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378,225,977.89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261,955,582.28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125,654,981.90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56,366,791.21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50,047,636.07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113,161,562.52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51,978,321.05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46,502,772.69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33,360,827.74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24,171,428.90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53,457,577.80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3,014,235,827.53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807,306,354.64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472,120,611.61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2,317,354,608.54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598,773,898.84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312,458,611.21</w:t>
            </w:r>
          </w:p>
        </w:tc>
      </w:tr>
    </w:tbl>
    <w:p>
      <w:pPr>
        <w:pStyle w:val="BodyText"/>
        <w:spacing w:line="319" w:lineRule="auto" w:before="51"/>
        <w:ind w:right="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62,341,996.61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143,884,039.06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194,648,072.44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340,440,368.12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4,902,479.20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27,321,145.11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39,703,118.44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53,728,239.15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4,528,540.68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26,094,509.90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32,851,805.84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49,686,706.10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-35,983,168.46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-8,538,812.87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43,017,006.11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34,865,802.96</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16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-480,953.84</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14,149,380.94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4,918,293.61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3,878,722.34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41,243.86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97,622.18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-25,192.92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-13,214.42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1,264,771.51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472,318.16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320,644.54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49,102.25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32,312.37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12,493,419.38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4,388,470.16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3,544,863.38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02" w:lineRule="auto"/>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36"/>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31" w:right="3469"/>
        <w:jc w:val="center"/>
        <w:rPr>
          <w:b w:val="0"/>
          <w:bCs w:val="0"/>
        </w:rPr>
      </w:pPr>
      <w:bookmarkStart w:name="_TOC_250008"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6752"/>
        <w:jc w:val="left"/>
      </w:pPr>
      <w:r>
        <w:rPr/>
        <w:t>公司是否需要遵守特殊行业的披露要求 否</w:t>
      </w:r>
    </w:p>
    <w:p>
      <w:pPr>
        <w:pStyle w:val="BodyText"/>
        <w:spacing w:line="302" w:lineRule="auto" w:before="85"/>
        <w:ind w:right="99" w:firstLine="369"/>
        <w:jc w:val="left"/>
      </w:pPr>
      <w:r>
        <w:rPr>
          <w:rFonts w:ascii="Times New Roman" w:hAnsi="Times New Roman" w:cs="Times New Roman" w:eastAsia="Times New Roman" w:hint="default"/>
        </w:rPr>
        <w:t>2017</w:t>
      </w:r>
      <w:r>
        <w:rPr/>
        <w:t>年公司完成整体布局</w:t>
      </w:r>
      <w:r>
        <w:rPr>
          <w:rFonts w:ascii="Times New Roman" w:hAnsi="Times New Roman" w:cs="Times New Roman" w:eastAsia="Times New Roman" w:hint="default"/>
        </w:rPr>
        <w:t>“</w:t>
      </w:r>
      <w:r>
        <w:rPr/>
        <w:t>智能电网</w:t>
      </w:r>
      <w:r>
        <w:rPr>
          <w:rFonts w:ascii="Times New Roman" w:hAnsi="Times New Roman" w:cs="Times New Roman" w:eastAsia="Times New Roman" w:hint="default"/>
        </w:rPr>
        <w:t>+</w:t>
      </w:r>
      <w:r>
        <w:rPr/>
        <w:t>新能源</w:t>
      </w:r>
      <w:r>
        <w:rPr>
          <w:rFonts w:ascii="Times New Roman" w:hAnsi="Times New Roman" w:cs="Times New Roman" w:eastAsia="Times New Roman" w:hint="default"/>
        </w:rPr>
        <w:t>”</w:t>
      </w:r>
      <w:r>
        <w:rPr/>
        <w:t>双轮驱动战略。其中金冠电气是专业从事智能电气成套开关设备及其配套 </w:t>
      </w:r>
      <w:r>
        <w:rPr>
          <w:spacing w:val="-2"/>
        </w:rPr>
        <w:t>元器件的研发、生产和销售的电气设备制造商，主要产品包括</w:t>
      </w:r>
      <w:r>
        <w:rPr>
          <w:rFonts w:ascii="Times New Roman" w:hAnsi="Times New Roman" w:cs="Times New Roman" w:eastAsia="Times New Roman" w:hint="default"/>
          <w:spacing w:val="-2"/>
        </w:rPr>
        <w:t>C-GIS</w:t>
      </w:r>
      <w:r>
        <w:rPr>
          <w:spacing w:val="-2"/>
        </w:rPr>
        <w:t>智能环网柜、智能高压开关柜及其配套的真空断路器等。</w:t>
      </w:r>
      <w:r>
        <w:rPr>
          <w:spacing w:val="-79"/>
        </w:rPr>
        <w:t> </w:t>
      </w:r>
      <w:r>
        <w:rPr>
          <w:spacing w:val="-79"/>
        </w:rPr>
      </w:r>
      <w:r>
        <w:rPr/>
        <w:t>公司具备从产品核心部件到成套开关设备的整体生产制造能力，是少数具有</w:t>
      </w:r>
      <w:r>
        <w:rPr>
          <w:rFonts w:ascii="Times New Roman" w:hAnsi="Times New Roman" w:cs="Times New Roman" w:eastAsia="Times New Roman" w:hint="default"/>
        </w:rPr>
        <w:t>C-GIS</w:t>
      </w:r>
      <w:r>
        <w:rPr/>
        <w:t>智能环网柜核心部件的生产加工能力及安 装资质的企业。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月，公司成功完成收购南京能瑞自动化设备股份有限公司（以下简称</w:t>
      </w:r>
      <w:r>
        <w:rPr>
          <w:rFonts w:ascii="Times New Roman" w:hAnsi="Times New Roman" w:cs="Times New Roman" w:eastAsia="Times New Roman" w:hint="default"/>
        </w:rPr>
        <w:t>“</w:t>
      </w:r>
      <w:r>
        <w:rPr/>
        <w:t>南京能瑞</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股权，注入 </w:t>
      </w:r>
      <w:r>
        <w:rPr>
          <w:spacing w:val="-4"/>
        </w:rPr>
        <w:t>了智能电表与充电桩业务，有利于充分发挥二者的协同作用，整合双方资源和技术优势，提升上市公司的综合竞争力。同时，</w:t>
      </w:r>
      <w:r>
        <w:rPr>
          <w:spacing w:val="-46"/>
        </w:rPr>
        <w:t> </w:t>
      </w:r>
      <w:r>
        <w:rPr>
          <w:spacing w:val="-46"/>
        </w:rPr>
      </w:r>
      <w:r>
        <w:rPr>
          <w:spacing w:val="-2"/>
        </w:rPr>
        <w:t>为增强公司</w:t>
      </w:r>
      <w:r>
        <w:rPr>
          <w:rFonts w:ascii="Times New Roman" w:hAnsi="Times New Roman" w:cs="Times New Roman" w:eastAsia="Times New Roman" w:hint="default"/>
          <w:spacing w:val="-2"/>
        </w:rPr>
        <w:t>“</w:t>
      </w:r>
      <w:r>
        <w:rPr>
          <w:spacing w:val="-2"/>
        </w:rPr>
        <w:t>智能电网</w:t>
      </w:r>
      <w:r>
        <w:rPr>
          <w:rFonts w:ascii="Times New Roman" w:hAnsi="Times New Roman" w:cs="Times New Roman" w:eastAsia="Times New Roman" w:hint="default"/>
          <w:spacing w:val="-2"/>
        </w:rPr>
        <w:t>+</w:t>
      </w:r>
      <w:r>
        <w:rPr>
          <w:spacing w:val="-2"/>
        </w:rPr>
        <w:t>新能源</w:t>
      </w:r>
      <w:r>
        <w:rPr>
          <w:rFonts w:ascii="Times New Roman" w:hAnsi="Times New Roman" w:cs="Times New Roman" w:eastAsia="Times New Roman" w:hint="default"/>
          <w:spacing w:val="-2"/>
        </w:rPr>
        <w:t>”</w:t>
      </w:r>
      <w:r>
        <w:rPr>
          <w:spacing w:val="-2"/>
        </w:rPr>
        <w:t>的战略布局力度。</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月公司出资在浙江湖州设立湖州金冠鸿图隔膜科技有限公司，</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12</w:t>
      </w:r>
      <w:r>
        <w:rPr/>
        <w:t>月公司收购辽源鸿图锂电隔膜科技股份有限公司</w:t>
      </w:r>
      <w:r>
        <w:rPr>
          <w:rFonts w:ascii="Times New Roman" w:hAnsi="Times New Roman" w:cs="Times New Roman" w:eastAsia="Times New Roman" w:hint="default"/>
        </w:rPr>
        <w:t>100%</w:t>
      </w:r>
      <w:r>
        <w:rPr/>
        <w:t>股权重大资产重组已通过中国证监会审核，促进公司在新能源产 业链布局持续深化。</w:t>
      </w:r>
    </w:p>
    <w:p>
      <w:pPr>
        <w:pStyle w:val="Heading6"/>
        <w:spacing w:line="240" w:lineRule="auto" w:before="128"/>
        <w:ind w:left="634" w:right="6752"/>
        <w:jc w:val="left"/>
        <w:rPr>
          <w:b w:val="0"/>
          <w:bCs w:val="0"/>
        </w:rPr>
      </w:pPr>
      <w:r>
        <w:rPr>
          <w:rFonts w:ascii="Times New Roman" w:hAnsi="Times New Roman" w:cs="Times New Roman" w:eastAsia="Times New Roman" w:hint="default"/>
        </w:rPr>
        <w:t>1</w:t>
      </w:r>
      <w:r>
        <w:rPr/>
        <w:t>、智能电气成套开关业务</w:t>
      </w:r>
      <w:r>
        <w:rPr>
          <w:b w:val="0"/>
          <w:bCs w:val="0"/>
        </w:rPr>
      </w:r>
    </w:p>
    <w:p>
      <w:pPr>
        <w:pStyle w:val="BodyText"/>
        <w:spacing w:line="300" w:lineRule="auto" w:before="63"/>
        <w:ind w:left="634" w:right="190"/>
        <w:jc w:val="left"/>
      </w:pPr>
      <w:r>
        <w:rPr/>
        <w:t>（</w:t>
      </w:r>
      <w:r>
        <w:rPr>
          <w:rFonts w:ascii="Times New Roman" w:hAnsi="Times New Roman" w:cs="Times New Roman" w:eastAsia="Times New Roman" w:hint="default"/>
        </w:rPr>
        <w:t>1</w:t>
      </w:r>
      <w:r>
        <w:rPr/>
        <w:t>）主要业务 公司在电气设备智能制造业务板块的主要产品有：智能环网开关产品的集成设计与研发生产，</w:t>
      </w:r>
      <w:r>
        <w:rPr>
          <w:rFonts w:ascii="Times New Roman" w:hAnsi="Times New Roman" w:cs="Times New Roman" w:eastAsia="Times New Roman" w:hint="default"/>
        </w:rPr>
        <w:t>40.5kV</w:t>
      </w:r>
      <w:r>
        <w:rPr/>
        <w:t>及以下</w:t>
      </w:r>
      <w:r>
        <w:rPr>
          <w:rFonts w:ascii="Times New Roman" w:hAnsi="Times New Roman" w:cs="Times New Roman" w:eastAsia="Times New Roman" w:hint="default"/>
        </w:rPr>
        <w:t>C-GIS</w:t>
      </w:r>
      <w:r>
        <w:rPr/>
        <w:t>智</w:t>
      </w:r>
    </w:p>
    <w:p>
      <w:pPr>
        <w:pStyle w:val="BodyText"/>
        <w:spacing w:line="307" w:lineRule="auto" w:before="13"/>
        <w:ind w:right="185"/>
        <w:jc w:val="both"/>
      </w:pPr>
      <w:r>
        <w:rPr/>
        <w:t>能气体绝缘环网开关柜、</w:t>
      </w:r>
      <w:r>
        <w:rPr>
          <w:rFonts w:ascii="Times New Roman" w:hAnsi="Times New Roman" w:cs="Times New Roman" w:eastAsia="Times New Roman" w:hint="default"/>
        </w:rPr>
        <w:t>40.5kV</w:t>
      </w:r>
      <w:r>
        <w:rPr/>
        <w:t>及以下智能环保气体绝缘环网开关柜，</w:t>
      </w:r>
      <w:r>
        <w:rPr>
          <w:rFonts w:ascii="Times New Roman" w:hAnsi="Times New Roman" w:cs="Times New Roman" w:eastAsia="Times New Roman" w:hint="default"/>
        </w:rPr>
        <w:t>10kV</w:t>
      </w:r>
      <w:r>
        <w:rPr/>
        <w:t>固体绝缘环网开关柜、</w:t>
      </w:r>
      <w:r>
        <w:rPr>
          <w:rFonts w:ascii="Times New Roman" w:hAnsi="Times New Roman" w:cs="Times New Roman" w:eastAsia="Times New Roman" w:hint="default"/>
        </w:rPr>
        <w:t>10kV</w:t>
      </w:r>
      <w:r>
        <w:rPr/>
        <w:t>空气绝缘环网开关</w:t>
      </w:r>
      <w:r>
        <w:rPr>
          <w:spacing w:val="-74"/>
        </w:rPr>
        <w:t> </w:t>
      </w:r>
      <w:r>
        <w:rPr>
          <w:spacing w:val="-74"/>
        </w:rPr>
      </w:r>
      <w:r>
        <w:rPr/>
        <w:t>柜、</w:t>
      </w:r>
      <w:r>
        <w:rPr>
          <w:rFonts w:ascii="Times New Roman" w:hAnsi="Times New Roman" w:cs="Times New Roman" w:eastAsia="Times New Roman" w:hint="default"/>
        </w:rPr>
        <w:t>40.5kV</w:t>
      </w:r>
      <w:r>
        <w:rPr/>
        <w:t>及以下</w:t>
      </w:r>
      <w:r>
        <w:rPr>
          <w:rFonts w:ascii="Times New Roman" w:hAnsi="Times New Roman" w:cs="Times New Roman" w:eastAsia="Times New Roman" w:hint="default"/>
        </w:rPr>
        <w:t>GIS</w:t>
      </w:r>
      <w:r>
        <w:rPr/>
        <w:t>轨道交通专用设备、</w:t>
      </w:r>
      <w:r>
        <w:rPr>
          <w:rFonts w:ascii="Times New Roman" w:hAnsi="Times New Roman" w:cs="Times New Roman" w:eastAsia="Times New Roman" w:hint="default"/>
        </w:rPr>
        <w:t>40.5kV-10kV</w:t>
      </w:r>
      <w:r>
        <w:rPr/>
        <w:t>智能中压开关柜、</w:t>
      </w:r>
      <w:r>
        <w:rPr>
          <w:rFonts w:ascii="Times New Roman" w:hAnsi="Times New Roman" w:cs="Times New Roman" w:eastAsia="Times New Roman" w:hint="default"/>
        </w:rPr>
        <w:t>0.4kV</w:t>
      </w:r>
      <w:r>
        <w:rPr/>
        <w:t>智能低压开关柜等，广泛应用于电力系统、 </w:t>
      </w:r>
      <w:r>
        <w:rPr>
          <w:spacing w:val="-2"/>
        </w:rPr>
        <w:t>冶金化工、轨道交通、电气化铁路、城市地铁、市政建设、港口建设、厂矿企业等方面。公司具备从产品核心部件到成套开</w:t>
      </w:r>
      <w:r>
        <w:rPr>
          <w:spacing w:val="-72"/>
        </w:rPr>
        <w:t> </w:t>
      </w:r>
      <w:r>
        <w:rPr>
          <w:spacing w:val="-72"/>
        </w:rPr>
      </w:r>
      <w:r>
        <w:rPr/>
        <w:t>关设备的整体生产制造能力。</w:t>
      </w:r>
    </w:p>
    <w:p>
      <w:pPr>
        <w:pStyle w:val="BodyText"/>
        <w:spacing w:line="240" w:lineRule="auto" w:before="26"/>
        <w:ind w:left="634" w:right="6752"/>
        <w:jc w:val="left"/>
      </w:pPr>
      <w:r>
        <w:rPr/>
        <w:t>（</w:t>
      </w:r>
      <w:r>
        <w:rPr>
          <w:rFonts w:ascii="Times New Roman" w:hAnsi="Times New Roman" w:cs="Times New Roman" w:eastAsia="Times New Roman" w:hint="default"/>
        </w:rPr>
        <w:t>2</w:t>
      </w:r>
      <w:r>
        <w:rPr/>
        <w:t>）经营模式</w:t>
      </w:r>
    </w:p>
    <w:p>
      <w:pPr>
        <w:pStyle w:val="BodyText"/>
        <w:spacing w:line="314" w:lineRule="auto" w:before="63"/>
        <w:ind w:right="191" w:firstLine="480"/>
        <w:jc w:val="both"/>
      </w:pPr>
      <w:r>
        <w:rPr>
          <w:spacing w:val="-2"/>
        </w:rPr>
        <w:t>公司销售模式以直销为主，通过投标、商务谈判方式获取订单。一般采取</w:t>
      </w:r>
      <w:r>
        <w:rPr>
          <w:rFonts w:ascii="Times New Roman" w:hAnsi="Times New Roman" w:cs="Times New Roman" w:eastAsia="Times New Roman" w:hint="default"/>
          <w:spacing w:val="-2"/>
        </w:rPr>
        <w:t>“</w:t>
      </w:r>
      <w:r>
        <w:rPr>
          <w:spacing w:val="-2"/>
        </w:rPr>
        <w:t>研发</w:t>
      </w:r>
      <w:r>
        <w:rPr>
          <w:rFonts w:ascii="Times New Roman" w:hAnsi="Times New Roman" w:cs="Times New Roman" w:eastAsia="Times New Roman" w:hint="default"/>
          <w:spacing w:val="-2"/>
        </w:rPr>
        <w:t>-</w:t>
      </w:r>
      <w:r>
        <w:rPr>
          <w:spacing w:val="-2"/>
        </w:rPr>
        <w:t>设计</w:t>
      </w:r>
      <w:r>
        <w:rPr>
          <w:rFonts w:ascii="Times New Roman" w:hAnsi="Times New Roman" w:cs="Times New Roman" w:eastAsia="Times New Roman" w:hint="default"/>
          <w:spacing w:val="-2"/>
        </w:rPr>
        <w:t>-</w:t>
      </w:r>
      <w:r>
        <w:rPr>
          <w:spacing w:val="-2"/>
        </w:rPr>
        <w:t>生产</w:t>
      </w:r>
      <w:r>
        <w:rPr>
          <w:rFonts w:ascii="Times New Roman" w:hAnsi="Times New Roman" w:cs="Times New Roman" w:eastAsia="Times New Roman" w:hint="default"/>
          <w:spacing w:val="-2"/>
        </w:rPr>
        <w:t>-</w:t>
      </w:r>
      <w:r>
        <w:rPr>
          <w:spacing w:val="-2"/>
        </w:rPr>
        <w:t>销售</w:t>
      </w:r>
      <w:r>
        <w:rPr>
          <w:rFonts w:ascii="Times New Roman" w:hAnsi="Times New Roman" w:cs="Times New Roman" w:eastAsia="Times New Roman" w:hint="default"/>
          <w:spacing w:val="-2"/>
        </w:rPr>
        <w:t>-</w:t>
      </w:r>
      <w:r>
        <w:rPr>
          <w:spacing w:val="-2"/>
        </w:rPr>
        <w:t>售后</w:t>
      </w:r>
      <w:r>
        <w:rPr>
          <w:rFonts w:ascii="Times New Roman" w:hAnsi="Times New Roman" w:cs="Times New Roman" w:eastAsia="Times New Roman" w:hint="default"/>
          <w:spacing w:val="-2"/>
        </w:rPr>
        <w:t>”</w:t>
      </w:r>
      <w:r>
        <w:rPr>
          <w:spacing w:val="-2"/>
        </w:rPr>
        <w:t>的经营模式，依</w:t>
      </w:r>
      <w:r>
        <w:rPr/>
        <w:t> </w:t>
      </w:r>
      <w:r>
        <w:rPr>
          <w:spacing w:val="-2"/>
        </w:rPr>
        <w:t>据市场需求趋势以及客户订单需求进行设计，通过客户确认后组织生产及安装，并持续提供售后服务。公司拥有独立完整的</w:t>
      </w:r>
      <w:r>
        <w:rPr>
          <w:spacing w:val="-66"/>
        </w:rPr>
        <w:t> </w:t>
      </w:r>
      <w:r>
        <w:rPr>
          <w:spacing w:val="-66"/>
        </w:rPr>
      </w:r>
      <w:r>
        <w:rPr>
          <w:spacing w:val="-2"/>
        </w:rPr>
        <w:t>研发、设计、生产和销售模式，根据市场需求及自身情况独立进行生产经营活动。公司在保持电气设备智能制造业务优势的</w:t>
      </w:r>
      <w:r>
        <w:rPr>
          <w:spacing w:val="-66"/>
        </w:rPr>
        <w:t> </w:t>
      </w:r>
      <w:r>
        <w:rPr>
          <w:spacing w:val="-66"/>
        </w:rPr>
      </w:r>
      <w:r>
        <w:rPr>
          <w:spacing w:val="-2"/>
        </w:rPr>
        <w:t>基础上，坚持自主创新的技术发展道路，多年来致力于新产品的研发和制造工艺的改良，并依靠产品创新不断进行区域及行</w:t>
      </w:r>
      <w:r>
        <w:rPr>
          <w:spacing w:val="-66"/>
        </w:rPr>
        <w:t> </w:t>
      </w:r>
      <w:r>
        <w:rPr>
          <w:spacing w:val="-66"/>
        </w:rPr>
      </w:r>
      <w:r>
        <w:rPr/>
        <w:t>业市场的资源整合，公司采用</w:t>
      </w:r>
      <w:r>
        <w:rPr>
          <w:rFonts w:ascii="Times New Roman" w:hAnsi="Times New Roman" w:cs="Times New Roman" w:eastAsia="Times New Roman" w:hint="default"/>
        </w:rPr>
        <w:t>“</w:t>
      </w:r>
      <w:r>
        <w:rPr/>
        <w:t>大客户战略</w:t>
      </w:r>
      <w:r>
        <w:rPr>
          <w:rFonts w:ascii="Times New Roman" w:hAnsi="Times New Roman" w:cs="Times New Roman" w:eastAsia="Times New Roman" w:hint="default"/>
        </w:rPr>
        <w:t>”</w:t>
      </w:r>
      <w:r>
        <w:rPr/>
        <w:t>，持续关注大客户需求的变化，加强有关客户合作的深度和广度。</w:t>
      </w:r>
    </w:p>
    <w:p>
      <w:pPr>
        <w:pStyle w:val="BodyText"/>
        <w:spacing w:line="300" w:lineRule="auto" w:before="1"/>
        <w:ind w:left="634" w:right="99"/>
        <w:jc w:val="left"/>
      </w:pPr>
      <w:r>
        <w:rPr/>
        <w:t>（</w:t>
      </w:r>
      <w:r>
        <w:rPr>
          <w:rFonts w:ascii="Times New Roman" w:hAnsi="Times New Roman" w:cs="Times New Roman" w:eastAsia="Times New Roman" w:hint="default"/>
        </w:rPr>
        <w:t>3</w:t>
      </w:r>
      <w:r>
        <w:rPr/>
        <w:t>）行业发展情况及趋势 </w:t>
      </w:r>
      <w:r>
        <w:rPr>
          <w:spacing w:val="-1"/>
        </w:rPr>
        <w:t>电气机械及器材制造业在国家经济政策和行业政策的影响下，市场前景广阔，整个行业将保持较高的增长速度，在电</w:t>
      </w:r>
    </w:p>
    <w:p>
      <w:pPr>
        <w:pStyle w:val="BodyText"/>
        <w:spacing w:line="316" w:lineRule="auto" w:before="31"/>
        <w:ind w:right="193"/>
        <w:jc w:val="both"/>
      </w:pPr>
      <w:r>
        <w:rPr>
          <w:spacing w:val="-2"/>
        </w:rPr>
        <w:t>网升级改造、轨道交通建设和公共基础设施方面，我国存在大量的电力供给需求，为电气设备制造型企业提供了发展良好机</w:t>
      </w:r>
      <w:r>
        <w:rPr>
          <w:spacing w:val="-66"/>
        </w:rPr>
        <w:t> </w:t>
      </w:r>
      <w:r>
        <w:rPr>
          <w:spacing w:val="-66"/>
        </w:rPr>
      </w:r>
      <w:r>
        <w:rPr/>
        <w:t>遇。</w:t>
      </w:r>
    </w:p>
    <w:p>
      <w:pPr>
        <w:pStyle w:val="BodyText"/>
        <w:spacing w:line="307" w:lineRule="auto" w:before="19"/>
        <w:ind w:right="128" w:firstLine="480"/>
        <w:jc w:val="right"/>
      </w:pPr>
      <w:r>
        <w:rPr>
          <w:spacing w:val="-2"/>
        </w:rPr>
        <w:t>在电网升级改造方面，国家发展和改革委员会在《国家电力发展</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规划》中，将</w:t>
      </w:r>
      <w:r>
        <w:rPr>
          <w:rFonts w:ascii="Times New Roman" w:hAnsi="Times New Roman" w:cs="Times New Roman" w:eastAsia="Times New Roman" w:hint="default"/>
          <w:spacing w:val="-2"/>
        </w:rPr>
        <w:t>“</w:t>
      </w:r>
      <w:r>
        <w:rPr>
          <w:spacing w:val="-2"/>
        </w:rPr>
        <w:t>升级改造配电网、推进智能电</w:t>
      </w:r>
      <w:r>
        <w:rPr/>
        <w:t> 网建设</w:t>
      </w:r>
      <w:r>
        <w:rPr>
          <w:rFonts w:ascii="Times New Roman" w:hAnsi="Times New Roman" w:cs="Times New Roman" w:eastAsia="Times New Roman" w:hint="default"/>
        </w:rPr>
        <w:t>”</w:t>
      </w:r>
      <w:r>
        <w:rPr/>
        <w:t>作为重点发展任务。《规划》也明确指出将实施新一轮农网改造升级工程，推进东中部地区城乡供电服务均等化进 </w:t>
      </w:r>
      <w:r>
        <w:rPr>
          <w:spacing w:val="-2"/>
        </w:rPr>
        <w:t>程，逐步提高农村电网信息化、自动化、智能化水平，同时《规划》中也提出全面建设智能变电站，推广应用在线监测、状</w:t>
      </w:r>
      <w:r>
        <w:rPr/>
        <w:t> </w:t>
      </w:r>
      <w:r>
        <w:rPr>
          <w:spacing w:val="-2"/>
        </w:rPr>
        <w:t>态诊断、智能巡检系统，建立电网对山火、冰灾、台风等各类自然灾害的安全预警体系。推进配电自动化建设，根据供电区</w:t>
      </w:r>
      <w:r>
        <w:rPr/>
        <w:t> </w:t>
      </w:r>
      <w:r>
        <w:rPr>
          <w:spacing w:val="-1"/>
          <w:w w:val="95"/>
        </w:rPr>
        <w:t>域类型差异化配置，整体覆盖率达</w:t>
      </w:r>
      <w:r>
        <w:rPr>
          <w:rFonts w:ascii="Times New Roman" w:hAnsi="Times New Roman" w:cs="Times New Roman" w:eastAsia="Times New Roman" w:hint="default"/>
          <w:spacing w:val="-1"/>
          <w:w w:val="95"/>
        </w:rPr>
        <w:t>90%</w:t>
      </w:r>
      <w:r>
        <w:rPr>
          <w:spacing w:val="-1"/>
          <w:w w:val="95"/>
        </w:rPr>
        <w:t>，实现配电网可观可控。配电网升级和智能电网建设，为电力设备制造行业的持续发</w:t>
      </w:r>
      <w:r>
        <w:rPr>
          <w:spacing w:val="67"/>
          <w:w w:val="95"/>
        </w:rPr>
        <w:t> </w:t>
      </w:r>
      <w:r>
        <w:rPr>
          <w:spacing w:val="67"/>
          <w:w w:val="95"/>
        </w:rPr>
      </w:r>
      <w:r>
        <w:rPr>
          <w:spacing w:val="-2"/>
        </w:rPr>
        <w:t>展提供了有效保障。在国家投资层面，国家能源局下发的《配电网建设改造行动计划（</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2020</w:t>
      </w:r>
      <w:r>
        <w:rPr>
          <w:spacing w:val="-2"/>
        </w:rPr>
        <w:t>年）》文件中，已经列明</w:t>
      </w:r>
      <w:r>
        <w:rPr/>
        <w:t> 配电网建设改造投资不低于</w:t>
      </w:r>
      <w:r>
        <w:rPr>
          <w:rFonts w:ascii="Times New Roman" w:hAnsi="Times New Roman" w:cs="Times New Roman" w:eastAsia="Times New Roman" w:hint="default"/>
        </w:rPr>
        <w:t>2</w:t>
      </w:r>
      <w:r>
        <w:rPr/>
        <w:t>万亿，大资金的投入为行业注射了一剂高效的强心剂，确保了电力设备制造行业的繁荣发展。 </w:t>
      </w:r>
      <w:r>
        <w:rPr>
          <w:spacing w:val="-1"/>
        </w:rPr>
        <w:t>在轨道交通建设方面，从国家宏观政策角度分析，在城市交通运输上，将大力建设以地铁、轻轨等有轨电车为代表的</w:t>
      </w:r>
      <w:r>
        <w:rPr/>
        <w:t> </w:t>
      </w:r>
      <w:r>
        <w:rPr>
          <w:spacing w:val="-2"/>
        </w:rPr>
        <w:t>零污染、低能耗的城市立体化交通体系，截止</w:t>
      </w:r>
      <w:r>
        <w:rPr>
          <w:rFonts w:ascii="Times New Roman" w:hAnsi="Times New Roman" w:cs="Times New Roman" w:eastAsia="Times New Roman" w:hint="default"/>
          <w:spacing w:val="-2"/>
        </w:rPr>
        <w:t>2017</w:t>
      </w:r>
      <w:r>
        <w:rPr>
          <w:spacing w:val="-2"/>
        </w:rPr>
        <w:t>年，全国主要城市均已在建或规划建设地铁或轻轨，超过</w:t>
      </w:r>
      <w:r>
        <w:rPr>
          <w:rFonts w:ascii="Times New Roman" w:hAnsi="Times New Roman" w:cs="Times New Roman" w:eastAsia="Times New Roman" w:hint="default"/>
          <w:spacing w:val="-2"/>
        </w:rPr>
        <w:t>58</w:t>
      </w:r>
      <w:r>
        <w:rPr>
          <w:spacing w:val="-2"/>
        </w:rPr>
        <w:t>个城市的建设</w:t>
      </w:r>
      <w:r>
        <w:rPr/>
        <w:t> 规划得到批复，同时，在政府工作报告中，多次提出以高铁为依托的</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战略，全国范围内大密度建设高速铁路网，</w:t>
      </w:r>
    </w:p>
    <w:p>
      <w:pPr>
        <w:spacing w:after="0" w:line="307" w:lineRule="auto"/>
        <w:jc w:val="righ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ind w:right="192"/>
        <w:jc w:val="both"/>
      </w:pPr>
      <w:r>
        <w:rPr>
          <w:spacing w:val="-2"/>
        </w:rPr>
        <w:t>在未来高铁将成为中国东西部和南北地区的主要交通纽带。快速开发的轨道交通产业，轻轨、地铁和高铁均以电能为驱动能</w:t>
      </w:r>
      <w:r>
        <w:rPr>
          <w:spacing w:val="-66"/>
        </w:rPr>
        <w:t> </w:t>
      </w:r>
      <w:r>
        <w:rPr>
          <w:spacing w:val="-66"/>
        </w:rPr>
      </w:r>
      <w:r>
        <w:rPr>
          <w:spacing w:val="-2"/>
        </w:rPr>
        <w:t>源，对输配电行业提出了更高地要求，同时也带来了更广阔的市场，尤其是为以配电设备为主的中高压电力开关设备行业提</w:t>
      </w:r>
      <w:r>
        <w:rPr>
          <w:spacing w:val="-66"/>
        </w:rPr>
        <w:t> </w:t>
      </w:r>
      <w:r>
        <w:rPr>
          <w:spacing w:val="-66"/>
        </w:rPr>
      </w:r>
      <w:r>
        <w:rPr/>
        <w:t>供了一片全新的市场。</w:t>
      </w:r>
    </w:p>
    <w:p>
      <w:pPr>
        <w:pStyle w:val="BodyText"/>
        <w:spacing w:line="314" w:lineRule="auto" w:before="19"/>
        <w:ind w:right="99" w:firstLine="480"/>
        <w:jc w:val="left"/>
      </w:pPr>
      <w:r>
        <w:rPr/>
        <w:t>在公共基础设施方面，尽管我国的城市化进程发展速度较快，但依旧存在诸多问题，第一，城市化进程质量不高，城 </w:t>
      </w:r>
      <w:r>
        <w:rPr>
          <w:spacing w:val="-4"/>
        </w:rPr>
        <w:t>市布局混乱，不利于输电、运水，城市基础设施薄弱，对环境破坏程度高；第二，城市化率偏低，据最近一次人口普查数据，</w:t>
      </w:r>
      <w:r>
        <w:rPr>
          <w:spacing w:val="-48"/>
        </w:rPr>
        <w:t> </w:t>
      </w:r>
      <w:r>
        <w:rPr>
          <w:spacing w:val="-48"/>
        </w:rPr>
      </w:r>
      <w:r>
        <w:rPr/>
        <w:t>中国的城市化率仅为</w:t>
      </w:r>
      <w:r>
        <w:rPr>
          <w:rFonts w:ascii="Times New Roman" w:hAnsi="Times New Roman" w:cs="Times New Roman" w:eastAsia="Times New Roman" w:hint="default"/>
        </w:rPr>
        <w:t>51.3%</w:t>
      </w:r>
      <w:r>
        <w:rPr/>
        <w:t>。这表示，国家将会在未来大力推进我国的城市化进程。城市化进程中在对城市人口政策和社会 </w:t>
      </w:r>
      <w:r>
        <w:rPr>
          <w:spacing w:val="-2"/>
        </w:rPr>
        <w:t>保障等软环境建设的同时，需大力发展对公共基础设施的建设，在城市建设的过程中，除了城市电网的扩充和改造外，还需</w:t>
      </w:r>
      <w:r>
        <w:rPr>
          <w:spacing w:val="-66"/>
        </w:rPr>
        <w:t> </w:t>
      </w:r>
      <w:r>
        <w:rPr>
          <w:spacing w:val="-66"/>
        </w:rPr>
      </w:r>
      <w:r>
        <w:rPr/>
        <w:t>要大量的临时用电设备，这对电气设备制造企业而言将成为另一个业务增长点。</w:t>
      </w:r>
    </w:p>
    <w:p>
      <w:pPr>
        <w:pStyle w:val="BodyText"/>
        <w:spacing w:line="300" w:lineRule="auto" w:before="20"/>
        <w:ind w:left="634" w:right="99"/>
        <w:jc w:val="left"/>
      </w:pPr>
      <w:r>
        <w:rPr/>
        <w:t>（</w:t>
      </w:r>
      <w:r>
        <w:rPr>
          <w:rFonts w:ascii="Times New Roman" w:hAnsi="Times New Roman" w:cs="Times New Roman" w:eastAsia="Times New Roman" w:hint="default"/>
        </w:rPr>
        <w:t>4</w:t>
      </w:r>
      <w:r>
        <w:rPr/>
        <w:t>）所处行业地位 </w:t>
      </w:r>
      <w:r>
        <w:rPr>
          <w:spacing w:val="-1"/>
        </w:rPr>
        <w:t>公司为东北地区少数具备中压气体绝缘开关制造能力的企业，以客户面临的挑战为驱动力，凭借卓越的工程技术与创</w:t>
      </w:r>
    </w:p>
    <w:p>
      <w:pPr>
        <w:pStyle w:val="BodyText"/>
        <w:spacing w:line="314" w:lineRule="auto" w:before="31"/>
        <w:ind w:right="190"/>
        <w:jc w:val="both"/>
      </w:pPr>
      <w:r>
        <w:rPr>
          <w:spacing w:val="-2"/>
        </w:rPr>
        <w:t>新能力，以领先的电气化、自动化和数字化产品及解决方案，保持着公司在行业内领先的技术研发水平。同时，公司以技术</w:t>
      </w:r>
      <w:r>
        <w:rPr>
          <w:spacing w:val="-66"/>
        </w:rPr>
        <w:t> </w:t>
      </w:r>
      <w:r>
        <w:rPr>
          <w:spacing w:val="-66"/>
        </w:rPr>
      </w:r>
      <w:r>
        <w:rPr>
          <w:spacing w:val="-2"/>
        </w:rPr>
        <w:t>能力、制造水平和营销模式为核心竞争力的企业综合实力强劲，与区域内同类企业相比，具有明显的竞争优势，且在全国范</w:t>
      </w:r>
      <w:r>
        <w:rPr>
          <w:spacing w:val="-65"/>
        </w:rPr>
        <w:t> </w:t>
      </w:r>
      <w:r>
        <w:rPr>
          <w:spacing w:val="-65"/>
        </w:rPr>
      </w:r>
      <w:r>
        <w:rPr>
          <w:spacing w:val="-2"/>
        </w:rPr>
        <w:t>围内的智能型电气开关制造型企业中排名靠前，新研发的</w:t>
      </w:r>
      <w:r>
        <w:rPr>
          <w:rFonts w:ascii="Times New Roman" w:hAnsi="Times New Roman" w:cs="Times New Roman" w:eastAsia="Times New Roman" w:hint="default"/>
          <w:spacing w:val="-2"/>
        </w:rPr>
        <w:t>40.5kV</w:t>
      </w:r>
      <w:r>
        <w:rPr>
          <w:spacing w:val="-2"/>
        </w:rPr>
        <w:t>气体绝缘开关设备在产品技术参数、制造工艺、可靠性等方</w:t>
      </w:r>
      <w:r>
        <w:rPr>
          <w:spacing w:val="-56"/>
        </w:rPr>
        <w:t> </w:t>
      </w:r>
      <w:r>
        <w:rPr>
          <w:spacing w:val="-56"/>
        </w:rPr>
      </w:r>
      <w:r>
        <w:rPr>
          <w:spacing w:val="-2"/>
        </w:rPr>
        <w:t>面，可完全替代进口产品。在电网升级改造、轨道交通建设和公共基础设施方面，公司在东北区域内，具有极大的技术优势</w:t>
      </w:r>
      <w:r>
        <w:rPr>
          <w:spacing w:val="-66"/>
        </w:rPr>
        <w:t> </w:t>
      </w:r>
      <w:r>
        <w:rPr>
          <w:spacing w:val="-66"/>
        </w:rPr>
      </w:r>
      <w:r>
        <w:rPr>
          <w:spacing w:val="-2"/>
        </w:rPr>
        <w:t>和区位优势，在全国范围，公司目前已经在江浙地区建设新的产业基地，在技术、生产、营销等方面实现协同，进一步扩大</w:t>
      </w:r>
      <w:r>
        <w:rPr>
          <w:spacing w:val="-67"/>
        </w:rPr>
        <w:t> </w:t>
      </w:r>
      <w:r>
        <w:rPr>
          <w:spacing w:val="-67"/>
        </w:rPr>
      </w:r>
      <w:r>
        <w:rPr/>
        <w:t>技术优势，减小区位因素的影响。</w:t>
      </w:r>
    </w:p>
    <w:p>
      <w:pPr>
        <w:pStyle w:val="Heading6"/>
        <w:spacing w:line="240" w:lineRule="auto" w:before="20"/>
        <w:ind w:left="634" w:right="99"/>
        <w:jc w:val="left"/>
        <w:rPr>
          <w:b w:val="0"/>
          <w:bCs w:val="0"/>
        </w:rPr>
      </w:pPr>
      <w:r>
        <w:rPr>
          <w:rFonts w:ascii="Times New Roman" w:hAnsi="Times New Roman" w:cs="Times New Roman" w:eastAsia="Times New Roman" w:hint="default"/>
        </w:rPr>
        <w:t>2</w:t>
      </w:r>
      <w:r>
        <w:rPr/>
        <w:t>、智能电表、用电信息采集及新能源充电设施业务</w:t>
      </w:r>
      <w:r>
        <w:rPr>
          <w:b w:val="0"/>
          <w:bCs w:val="0"/>
        </w:rPr>
      </w:r>
    </w:p>
    <w:p>
      <w:pPr>
        <w:pStyle w:val="BodyText"/>
        <w:spacing w:line="300" w:lineRule="auto" w:before="63"/>
        <w:ind w:left="634" w:right="99"/>
        <w:jc w:val="left"/>
      </w:pPr>
      <w:r>
        <w:rPr/>
        <w:t>（</w:t>
      </w:r>
      <w:r>
        <w:rPr>
          <w:rFonts w:ascii="Times New Roman" w:hAnsi="Times New Roman" w:cs="Times New Roman" w:eastAsia="Times New Roman" w:hint="default"/>
        </w:rPr>
        <w:t>1</w:t>
      </w:r>
      <w:r>
        <w:rPr/>
        <w:t>）主要业务 </w:t>
      </w:r>
      <w:r>
        <w:rPr>
          <w:spacing w:val="-1"/>
        </w:rPr>
        <w:t>南京能瑞经营主要围绕三大业务板块，一是电动汽车充电设施板块，是国内较早专业从事电动汽车充电设备研发、制</w:t>
      </w:r>
    </w:p>
    <w:p>
      <w:pPr>
        <w:pStyle w:val="BodyText"/>
        <w:spacing w:line="319" w:lineRule="auto" w:before="31"/>
        <w:ind w:right="99"/>
        <w:jc w:val="left"/>
      </w:pPr>
      <w:r>
        <w:rPr>
          <w:spacing w:val="-2"/>
        </w:rPr>
        <w:t>造、充电站整体解决方案、充电设施承建运营服务的高新技术企业之一、也是国内少数具备充电设施、设计、制造、电力安</w:t>
      </w:r>
      <w:r>
        <w:rPr>
          <w:spacing w:val="-67"/>
        </w:rPr>
        <w:t> </w:t>
      </w:r>
      <w:r>
        <w:rPr>
          <w:spacing w:val="-67"/>
        </w:rPr>
      </w:r>
      <w:r>
        <w:rPr>
          <w:spacing w:val="-2"/>
        </w:rPr>
        <w:t>装施工一体全资质企业，为新能源汽车制造商、新能源汽车车主、充电设施运营商提供完整的解决方案；充电桩广泛适用于</w:t>
      </w:r>
      <w:r>
        <w:rPr>
          <w:spacing w:val="-66"/>
        </w:rPr>
        <w:t> </w:t>
      </w:r>
      <w:r>
        <w:rPr>
          <w:spacing w:val="-66"/>
        </w:rPr>
      </w:r>
      <w:r>
        <w:rPr>
          <w:spacing w:val="-4"/>
        </w:rPr>
        <w:t>电动汽车充电站、公共停车场、公交场站、大型购物中心、住宅小区停车场、主机厂等。二是信息采集系统与电能计量板块，</w:t>
      </w:r>
      <w:r>
        <w:rPr>
          <w:spacing w:val="-44"/>
        </w:rPr>
        <w:t> </w:t>
      </w:r>
      <w:r>
        <w:rPr>
          <w:spacing w:val="-44"/>
        </w:rPr>
      </w:r>
      <w:r>
        <w:rPr>
          <w:spacing w:val="-2"/>
        </w:rPr>
        <w:t>广泛适用于电力行业各种用户的计量、监测、控制、管理和信息采集，达到国际同类产品的水平；三是能效监测分析与电能</w:t>
      </w:r>
      <w:r>
        <w:rPr>
          <w:spacing w:val="-66"/>
        </w:rPr>
        <w:t> </w:t>
      </w:r>
      <w:r>
        <w:rPr>
          <w:spacing w:val="-66"/>
        </w:rPr>
      </w:r>
      <w:r>
        <w:rPr/>
        <w:t>质量治理板块，为客户制定节能运行管理标准值，实现合理用能。</w:t>
      </w:r>
    </w:p>
    <w:p>
      <w:pPr>
        <w:pStyle w:val="BodyText"/>
        <w:spacing w:line="300" w:lineRule="auto" w:before="17"/>
        <w:ind w:left="634" w:right="99"/>
        <w:jc w:val="left"/>
      </w:pPr>
      <w:r>
        <w:rPr/>
        <w:t>（</w:t>
      </w:r>
      <w:r>
        <w:rPr>
          <w:rFonts w:ascii="Times New Roman" w:hAnsi="Times New Roman" w:cs="Times New Roman" w:eastAsia="Times New Roman" w:hint="default"/>
        </w:rPr>
        <w:t>2</w:t>
      </w:r>
      <w:r>
        <w:rPr/>
        <w:t>）经营模式 </w:t>
      </w:r>
      <w:r>
        <w:rPr>
          <w:spacing w:val="-1"/>
        </w:rPr>
        <w:t>智能电表、用电信息采集系统及充电设施行业的主要客户为国家电网和南方电网，行业中企业主要采用以销定产的生</w:t>
      </w:r>
    </w:p>
    <w:p>
      <w:pPr>
        <w:pStyle w:val="BodyText"/>
        <w:spacing w:line="316" w:lineRule="auto" w:before="31"/>
        <w:ind w:right="92"/>
        <w:jc w:val="left"/>
      </w:pPr>
      <w:r>
        <w:rPr/>
        <w:t>产模式。下游客户为电网各地子公司，通常以招标方式选定供应商，各设备制造商参与投标，依据评标结果确定中标厂家。 </w:t>
      </w:r>
      <w:r>
        <w:rPr>
          <w:spacing w:val="-2"/>
        </w:rPr>
        <w:t>在具体实施时，各设备制造商根据用户订单设计、生产和配置符合用户需求的产品，还需要就具体项目的有关特殊技术要求</w:t>
      </w:r>
      <w:r>
        <w:rPr>
          <w:spacing w:val="-66"/>
        </w:rPr>
        <w:t> </w:t>
      </w:r>
      <w:r>
        <w:rPr>
          <w:spacing w:val="-66"/>
        </w:rPr>
      </w:r>
      <w:r>
        <w:rPr>
          <w:spacing w:val="-2"/>
        </w:rPr>
        <w:t>签订技术协议和商务合同。各设备制造商一般对产品设有一定的质量保证期与质保金，质保期满且确认产品无质量问题，可</w:t>
      </w:r>
      <w:r>
        <w:rPr>
          <w:spacing w:val="-66"/>
        </w:rPr>
        <w:t> </w:t>
      </w:r>
      <w:r>
        <w:rPr>
          <w:spacing w:val="-66"/>
        </w:rPr>
      </w:r>
      <w:r>
        <w:rPr/>
        <w:t>收回产品质保金。新能源充电桩设备销售主要对象也是国家电网、南方电网、普天等等充电站运营企业，还向主要整车厂、 </w:t>
      </w:r>
      <w:r>
        <w:rPr>
          <w:spacing w:val="-4"/>
        </w:rPr>
        <w:t>社会充电运营商以及新能源车辆使用者提供销售和服务，收取货款和服务费；公司同时也以自建充电站并运营模式占领市场，</w:t>
      </w:r>
      <w:r>
        <w:rPr>
          <w:spacing w:val="-44"/>
        </w:rPr>
        <w:t> </w:t>
      </w:r>
      <w:r>
        <w:rPr>
          <w:spacing w:val="-44"/>
        </w:rPr>
      </w:r>
      <w:r>
        <w:rPr>
          <w:spacing w:val="-4"/>
        </w:rPr>
        <w:t>随着新能源车的普及，该业务可以贡献强劲现金流。智能用电采集产品广泛适用于居民、商业及工业的用电信息计量、采集、</w:t>
      </w:r>
      <w:r>
        <w:rPr>
          <w:spacing w:val="-46"/>
        </w:rPr>
        <w:t> </w:t>
      </w:r>
      <w:r>
        <w:rPr>
          <w:spacing w:val="-46"/>
        </w:rPr>
      </w:r>
      <w:r>
        <w:rPr/>
        <w:t>监控、分析。</w:t>
      </w:r>
    </w:p>
    <w:p>
      <w:pPr>
        <w:pStyle w:val="BodyText"/>
        <w:spacing w:line="300" w:lineRule="auto" w:before="19"/>
        <w:ind w:left="634" w:right="152"/>
        <w:jc w:val="left"/>
      </w:pPr>
      <w:r>
        <w:rPr/>
        <w:t>（</w:t>
      </w:r>
      <w:r>
        <w:rPr>
          <w:rFonts w:ascii="Times New Roman" w:hAnsi="Times New Roman" w:cs="Times New Roman" w:eastAsia="Times New Roman" w:hint="default"/>
        </w:rPr>
        <w:t>3</w:t>
      </w:r>
      <w:r>
        <w:rPr/>
        <w:t>）行业发展情况及趋势 新能源汽车产业是国家战略性新兴产业，中央及地方均有明确的的配套支持政策。根据工信部的数据显示，</w:t>
      </w:r>
      <w:r>
        <w:rPr>
          <w:rFonts w:ascii="Times New Roman" w:hAnsi="Times New Roman" w:cs="Times New Roman" w:eastAsia="Times New Roman" w:hint="default"/>
        </w:rPr>
        <w:t>2017</w:t>
      </w:r>
      <w:r>
        <w:rPr/>
        <w:t>年，</w:t>
      </w:r>
    </w:p>
    <w:p>
      <w:pPr>
        <w:pStyle w:val="BodyText"/>
        <w:spacing w:line="307" w:lineRule="auto" w:before="13"/>
        <w:ind w:right="190"/>
        <w:jc w:val="both"/>
      </w:pPr>
      <w:r>
        <w:rPr>
          <w:spacing w:val="-1"/>
        </w:rPr>
        <w:t>我国新能源汽车产销均接近</w:t>
      </w:r>
      <w:r>
        <w:rPr>
          <w:rFonts w:ascii="Times New Roman" w:hAnsi="Times New Roman" w:cs="Times New Roman" w:eastAsia="Times New Roman" w:hint="default"/>
          <w:spacing w:val="-1"/>
        </w:rPr>
        <w:t>80</w:t>
      </w:r>
      <w:r>
        <w:rPr>
          <w:spacing w:val="-1"/>
        </w:rPr>
        <w:t>万辆，产量达到</w:t>
      </w:r>
      <w:r>
        <w:rPr>
          <w:rFonts w:ascii="Times New Roman" w:hAnsi="Times New Roman" w:cs="Times New Roman" w:eastAsia="Times New Roman" w:hint="default"/>
          <w:spacing w:val="-1"/>
        </w:rPr>
        <w:t>79.4</w:t>
      </w:r>
      <w:r>
        <w:rPr>
          <w:spacing w:val="-1"/>
        </w:rPr>
        <w:t>万辆，销售达</w:t>
      </w:r>
      <w:r>
        <w:rPr>
          <w:rFonts w:ascii="Times New Roman" w:hAnsi="Times New Roman" w:cs="Times New Roman" w:eastAsia="Times New Roman" w:hint="default"/>
          <w:spacing w:val="-1"/>
        </w:rPr>
        <w:t>77.7</w:t>
      </w:r>
      <w:r>
        <w:rPr>
          <w:spacing w:val="-1"/>
        </w:rPr>
        <w:t>万辆，同比分别增长</w:t>
      </w:r>
      <w:r>
        <w:rPr>
          <w:rFonts w:ascii="Times New Roman" w:hAnsi="Times New Roman" w:cs="Times New Roman" w:eastAsia="Times New Roman" w:hint="default"/>
          <w:spacing w:val="-1"/>
        </w:rPr>
        <w:t>53.8%</w:t>
      </w:r>
      <w:r>
        <w:rPr>
          <w:spacing w:val="-1"/>
        </w:rPr>
        <w:t>和</w:t>
      </w:r>
      <w:r>
        <w:rPr>
          <w:rFonts w:ascii="Times New Roman" w:hAnsi="Times New Roman" w:cs="Times New Roman" w:eastAsia="Times New Roman" w:hint="default"/>
          <w:spacing w:val="-1"/>
        </w:rPr>
        <w:t>53.3%</w:t>
      </w:r>
      <w:r>
        <w:rPr>
          <w:spacing w:val="-1"/>
        </w:rPr>
        <w:t>，产量占比达到了汽</w:t>
      </w:r>
      <w:r>
        <w:rPr>
          <w:spacing w:val="-55"/>
        </w:rPr>
        <w:t> </w:t>
      </w:r>
      <w:r>
        <w:rPr>
          <w:spacing w:val="-55"/>
        </w:rPr>
      </w:r>
      <w:r>
        <w:rPr>
          <w:spacing w:val="-1"/>
        </w:rPr>
        <w:t>车总产量的</w:t>
      </w:r>
      <w:r>
        <w:rPr>
          <w:rFonts w:ascii="Times New Roman" w:hAnsi="Times New Roman" w:cs="Times New Roman" w:eastAsia="Times New Roman" w:hint="default"/>
          <w:spacing w:val="-1"/>
        </w:rPr>
        <w:t>2.7%</w:t>
      </w:r>
      <w:r>
        <w:rPr>
          <w:spacing w:val="-1"/>
        </w:rPr>
        <w:t>，连续三年居世界首位。截至</w:t>
      </w:r>
      <w:r>
        <w:rPr>
          <w:rFonts w:ascii="Times New Roman" w:hAnsi="Times New Roman" w:cs="Times New Roman" w:eastAsia="Times New Roman" w:hint="default"/>
          <w:spacing w:val="-1"/>
        </w:rPr>
        <w:t>2017</w:t>
      </w:r>
      <w:r>
        <w:rPr>
          <w:spacing w:val="-1"/>
        </w:rPr>
        <w:t>年末，我国新能源汽车保有量接近</w:t>
      </w:r>
      <w:r>
        <w:rPr>
          <w:rFonts w:ascii="Times New Roman" w:hAnsi="Times New Roman" w:cs="Times New Roman" w:eastAsia="Times New Roman" w:hint="default"/>
          <w:spacing w:val="-1"/>
        </w:rPr>
        <w:t>175</w:t>
      </w:r>
      <w:r>
        <w:rPr>
          <w:spacing w:val="-1"/>
        </w:rPr>
        <w:t>万辆。根据工信部、国泰君安研究</w:t>
      </w:r>
      <w:r>
        <w:rPr>
          <w:spacing w:val="-43"/>
        </w:rPr>
        <w:t> </w:t>
      </w:r>
      <w:r>
        <w:rPr>
          <w:spacing w:val="-43"/>
        </w:rPr>
      </w:r>
      <w:r>
        <w:rPr>
          <w:spacing w:val="-2"/>
        </w:rPr>
        <w:t>所对中国新能源汽车的统计与预测，</w:t>
      </w:r>
      <w:r>
        <w:rPr>
          <w:rFonts w:ascii="Times New Roman" w:hAnsi="Times New Roman" w:cs="Times New Roman" w:eastAsia="Times New Roman" w:hint="default"/>
          <w:spacing w:val="-2"/>
        </w:rPr>
        <w:t>2017</w:t>
      </w:r>
      <w:r>
        <w:rPr>
          <w:spacing w:val="-2"/>
        </w:rPr>
        <w:t>年至</w:t>
      </w:r>
      <w:r>
        <w:rPr>
          <w:rFonts w:ascii="Times New Roman" w:hAnsi="Times New Roman" w:cs="Times New Roman" w:eastAsia="Times New Roman" w:hint="default"/>
          <w:spacing w:val="-2"/>
        </w:rPr>
        <w:t>2020</w:t>
      </w:r>
      <w:r>
        <w:rPr>
          <w:spacing w:val="-2"/>
        </w:rPr>
        <w:t>年我国新能源汽车销量将持续保持较快速度的增长，预计</w:t>
      </w:r>
      <w:r>
        <w:rPr>
          <w:rFonts w:ascii="Times New Roman" w:hAnsi="Times New Roman" w:cs="Times New Roman" w:eastAsia="Times New Roman" w:hint="default"/>
          <w:spacing w:val="-2"/>
        </w:rPr>
        <w:t>2018</w:t>
      </w:r>
      <w:r>
        <w:rPr>
          <w:spacing w:val="-2"/>
        </w:rPr>
        <w:t>年新能源汽</w:t>
      </w:r>
      <w:r>
        <w:rPr>
          <w:spacing w:val="-52"/>
        </w:rPr>
        <w:t> </w:t>
      </w:r>
      <w:r>
        <w:rPr>
          <w:spacing w:val="-1"/>
        </w:rPr>
        <w:t>车销量将超过</w:t>
      </w:r>
      <w:r>
        <w:rPr>
          <w:rFonts w:ascii="Times New Roman" w:hAnsi="Times New Roman" w:cs="Times New Roman" w:eastAsia="Times New Roman" w:hint="default"/>
          <w:spacing w:val="-1"/>
        </w:rPr>
        <w:t>100</w:t>
      </w:r>
      <w:r>
        <w:rPr>
          <w:spacing w:val="-1"/>
        </w:rPr>
        <w:t>万辆。预计到</w:t>
      </w:r>
      <w:r>
        <w:rPr>
          <w:rFonts w:ascii="Times New Roman" w:hAnsi="Times New Roman" w:cs="Times New Roman" w:eastAsia="Times New Roman" w:hint="default"/>
          <w:spacing w:val="-1"/>
        </w:rPr>
        <w:t>2020</w:t>
      </w:r>
      <w:r>
        <w:rPr>
          <w:spacing w:val="-1"/>
        </w:rPr>
        <w:t>年，新能源汽车保有量将超过</w:t>
      </w:r>
      <w:r>
        <w:rPr>
          <w:rFonts w:ascii="Times New Roman" w:hAnsi="Times New Roman" w:cs="Times New Roman" w:eastAsia="Times New Roman" w:hint="default"/>
          <w:spacing w:val="-1"/>
        </w:rPr>
        <w:t>500</w:t>
      </w:r>
      <w:r>
        <w:rPr>
          <w:spacing w:val="-1"/>
        </w:rPr>
        <w:t>万辆，到</w:t>
      </w:r>
      <w:r>
        <w:rPr>
          <w:rFonts w:ascii="Times New Roman" w:hAnsi="Times New Roman" w:cs="Times New Roman" w:eastAsia="Times New Roman" w:hint="default"/>
          <w:spacing w:val="-1"/>
        </w:rPr>
        <w:t>2025</w:t>
      </w:r>
      <w:r>
        <w:rPr>
          <w:spacing w:val="-1"/>
        </w:rPr>
        <w:t>年我国新能源车占比将会超过</w:t>
      </w:r>
      <w:r>
        <w:rPr>
          <w:rFonts w:ascii="Times New Roman" w:hAnsi="Times New Roman" w:cs="Times New Roman" w:eastAsia="Times New Roman" w:hint="default"/>
          <w:spacing w:val="-1"/>
        </w:rPr>
        <w:t>20%</w:t>
      </w:r>
      <w:r>
        <w:rPr>
          <w:spacing w:val="-1"/>
        </w:rPr>
        <w:t>。新能</w:t>
      </w:r>
      <w:r>
        <w:rPr>
          <w:spacing w:val="-86"/>
        </w:rPr>
        <w:t> </w:t>
      </w:r>
      <w:r>
        <w:rPr>
          <w:spacing w:val="-86"/>
        </w:rPr>
      </w:r>
      <w:r>
        <w:rPr>
          <w:spacing w:val="-2"/>
        </w:rPr>
        <w:t>源汽车的快速增长，必然带来产业链上各个领域的高速增长，无论是整车、电机、锂电池，还是充电桩领域都蕴藏巨大投资</w:t>
      </w:r>
      <w:r>
        <w:rPr>
          <w:spacing w:val="-66"/>
        </w:rPr>
        <w:t> </w:t>
      </w:r>
      <w:r>
        <w:rPr>
          <w:spacing w:val="-66"/>
        </w:rPr>
      </w:r>
      <w:r>
        <w:rPr>
          <w:spacing w:val="-2"/>
        </w:rPr>
        <w:t>机会。其中，充电环节对新能源汽车的推广使用起至关重要的作用。新能源汽车产业的快速发展将带动新能源汽车消费者对</w:t>
      </w:r>
      <w:r>
        <w:rPr>
          <w:spacing w:val="-66"/>
        </w:rPr>
        <w:t> </w:t>
      </w:r>
      <w:r>
        <w:rPr>
          <w:spacing w:val="-66"/>
        </w:rPr>
      </w:r>
      <w:r>
        <w:rPr/>
        <w:t>充电设施需求的快速增加。</w:t>
      </w:r>
    </w:p>
    <w:p>
      <w:pPr>
        <w:pStyle w:val="BodyText"/>
        <w:spacing w:line="300" w:lineRule="auto" w:before="26"/>
        <w:ind w:left="634" w:right="152"/>
        <w:jc w:val="left"/>
      </w:pPr>
      <w:r>
        <w:rPr/>
        <w:t>（</w:t>
      </w:r>
      <w:r>
        <w:rPr>
          <w:rFonts w:ascii="Times New Roman" w:hAnsi="Times New Roman" w:cs="Times New Roman" w:eastAsia="Times New Roman" w:hint="default"/>
        </w:rPr>
        <w:t>4</w:t>
      </w:r>
      <w:r>
        <w:rPr/>
        <w:t>）所处行业地位 我国智能电表与用电信息采集系统产品的主要采购方是国家电网与南方电网，充电设施的主要采购方也是国家电网，</w:t>
      </w:r>
    </w:p>
    <w:p>
      <w:pPr>
        <w:spacing w:after="0" w:line="30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04" w:lineRule="auto"/>
        <w:ind w:right="102"/>
        <w:jc w:val="left"/>
      </w:pPr>
      <w:r>
        <w:rPr>
          <w:spacing w:val="-2"/>
        </w:rPr>
        <w:t>国家电网每年的招标结果，能够反映产品所在市场的竞争情况以及产品供应商的行业地位。根据国家电网的招标结果及中标</w:t>
      </w:r>
      <w:r>
        <w:rPr>
          <w:spacing w:val="-64"/>
        </w:rPr>
        <w:t> </w:t>
      </w:r>
      <w:r>
        <w:rPr>
          <w:spacing w:val="-64"/>
        </w:rPr>
      </w:r>
      <w:r>
        <w:rPr>
          <w:spacing w:val="-2"/>
        </w:rPr>
        <w:t>情况公告，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-2017</w:t>
      </w:r>
      <w:r>
        <w:rPr>
          <w:spacing w:val="-2"/>
        </w:rPr>
        <w:t>年，南京能瑞充电桩产品中标金额合计占国家电网招标总金额比例为</w:t>
      </w:r>
      <w:r>
        <w:rPr>
          <w:rFonts w:ascii="Times New Roman" w:hAnsi="Times New Roman" w:cs="Times New Roman" w:eastAsia="Times New Roman" w:hint="default"/>
          <w:spacing w:val="-2"/>
        </w:rPr>
        <w:t>4.51%</w:t>
      </w:r>
      <w:r>
        <w:rPr>
          <w:spacing w:val="-2"/>
        </w:rPr>
        <w:t>；总体而言，在国家电网</w:t>
      </w:r>
      <w:r>
        <w:rPr>
          <w:spacing w:val="-37"/>
        </w:rPr>
        <w:t> </w:t>
      </w:r>
      <w:r>
        <w:rPr>
          <w:spacing w:val="-37"/>
        </w:rPr>
      </w:r>
      <w:r>
        <w:rPr/>
        <w:t>组织的统一招标中，南京能瑞充电桩中标能力在行业中位居第一方阵。</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年度，在国家电网组织的统一招标中， </w:t>
      </w:r>
      <w:r>
        <w:rPr>
          <w:spacing w:val="-2"/>
        </w:rPr>
        <w:t>南京能瑞专变采集终端、集中器采集器和智能电表的中标金额占国家电网智能电表招标总额的比例分别为</w:t>
      </w:r>
      <w:r>
        <w:rPr>
          <w:rFonts w:ascii="Times New Roman" w:hAnsi="Times New Roman" w:cs="Times New Roman" w:eastAsia="Times New Roman" w:hint="default"/>
          <w:spacing w:val="-2"/>
        </w:rPr>
        <w:t>3.1%</w:t>
      </w:r>
      <w:r>
        <w:rPr>
          <w:spacing w:val="-2"/>
        </w:rPr>
        <w:t>、</w:t>
      </w:r>
      <w:r>
        <w:rPr>
          <w:rFonts w:ascii="Times New Roman" w:hAnsi="Times New Roman" w:cs="Times New Roman" w:eastAsia="Times New Roman" w:hint="default"/>
          <w:spacing w:val="-2"/>
        </w:rPr>
        <w:t>2.3%</w:t>
      </w:r>
      <w:r>
        <w:rPr>
          <w:spacing w:val="-2"/>
        </w:rPr>
        <w:t>、</w:t>
      </w:r>
      <w:r>
        <w:rPr>
          <w:rFonts w:ascii="Times New Roman" w:hAnsi="Times New Roman" w:cs="Times New Roman" w:eastAsia="Times New Roman" w:hint="default"/>
          <w:spacing w:val="-2"/>
        </w:rPr>
        <w:t>1%</w:t>
      </w:r>
      <w:r>
        <w:rPr>
          <w:spacing w:val="-2"/>
        </w:rPr>
        <w:t>。</w:t>
      </w:r>
      <w:r>
        <w:rPr>
          <w:spacing w:val="-56"/>
        </w:rPr>
        <w:t> </w:t>
      </w:r>
      <w:r>
        <w:rPr/>
        <w:t>总体而言，南京能瑞专变采集终端、集中器采集器和智能电表业务市场竞争力处于行业中上水平。</w:t>
      </w:r>
    </w:p>
    <w:p>
      <w:pPr>
        <w:pStyle w:val="BodyText"/>
        <w:spacing w:line="300" w:lineRule="auto" w:before="28"/>
        <w:ind w:right="99" w:firstLine="480"/>
        <w:jc w:val="left"/>
      </w:pPr>
      <w:r>
        <w:rPr>
          <w:spacing w:val="-4"/>
        </w:rPr>
        <w:t>报告期内，</w:t>
      </w:r>
      <w:r>
        <w:rPr>
          <w:rFonts w:ascii="Times New Roman" w:hAnsi="Times New Roman" w:cs="Times New Roman" w:eastAsia="Times New Roman" w:hint="default"/>
          <w:spacing w:val="-4"/>
        </w:rPr>
        <w:t>2017</w:t>
      </w:r>
      <w:r>
        <w:rPr>
          <w:spacing w:val="-4"/>
        </w:rPr>
        <w:t>年年度公司实现营业收入</w:t>
      </w:r>
      <w:r>
        <w:rPr>
          <w:rFonts w:ascii="Times New Roman" w:hAnsi="Times New Roman" w:cs="Times New Roman" w:eastAsia="Times New Roman" w:hint="default"/>
          <w:spacing w:val="-4"/>
        </w:rPr>
        <w:t>74,131.45</w:t>
      </w:r>
      <w:r>
        <w:rPr>
          <w:spacing w:val="-4"/>
        </w:rPr>
        <w:t>万元，同比增长</w:t>
      </w:r>
      <w:r>
        <w:rPr>
          <w:rFonts w:ascii="Times New Roman" w:hAnsi="Times New Roman" w:cs="Times New Roman" w:eastAsia="Times New Roman" w:hint="default"/>
          <w:spacing w:val="-4"/>
        </w:rPr>
        <w:t>96.00%</w:t>
      </w:r>
      <w:r>
        <w:rPr>
          <w:spacing w:val="-4"/>
        </w:rPr>
        <w:t>；营业利润</w:t>
      </w:r>
      <w:r>
        <w:rPr>
          <w:rFonts w:ascii="Times New Roman" w:hAnsi="Times New Roman" w:cs="Times New Roman" w:eastAsia="Times New Roman" w:hint="default"/>
          <w:spacing w:val="-4"/>
        </w:rPr>
        <w:t>14,997.69</w:t>
      </w:r>
      <w:r>
        <w:rPr>
          <w:spacing w:val="-4"/>
        </w:rPr>
        <w:t>万元，同比上升</w:t>
      </w:r>
      <w:r>
        <w:rPr>
          <w:rFonts w:ascii="Times New Roman" w:hAnsi="Times New Roman" w:cs="Times New Roman" w:eastAsia="Times New Roman" w:hint="default"/>
          <w:spacing w:val="-4"/>
        </w:rPr>
        <w:t>126.12%</w:t>
      </w:r>
      <w:r>
        <w:rPr>
          <w:spacing w:val="-4"/>
        </w:rPr>
        <w:t>；</w:t>
      </w:r>
      <w:r>
        <w:rPr/>
        <w:t> 利润总额</w:t>
      </w:r>
      <w:r>
        <w:rPr>
          <w:rFonts w:ascii="Times New Roman" w:hAnsi="Times New Roman" w:cs="Times New Roman" w:eastAsia="Times New Roman" w:hint="default"/>
        </w:rPr>
        <w:t>15,022.46</w:t>
      </w:r>
      <w:r>
        <w:rPr/>
        <w:t>万元，同比上升</w:t>
      </w:r>
      <w:r>
        <w:rPr>
          <w:rFonts w:ascii="Times New Roman" w:hAnsi="Times New Roman" w:cs="Times New Roman" w:eastAsia="Times New Roman" w:hint="default"/>
        </w:rPr>
        <w:t>110.93%</w:t>
      </w:r>
      <w:r>
        <w:rPr/>
        <w:t>；归属于上市公司股东的净利润</w:t>
      </w:r>
      <w:r>
        <w:rPr>
          <w:rFonts w:ascii="Times New Roman" w:hAnsi="Times New Roman" w:cs="Times New Roman" w:eastAsia="Times New Roman" w:hint="default"/>
        </w:rPr>
        <w:t>12,565.50</w:t>
      </w:r>
      <w:r>
        <w:rPr/>
        <w:t>万元，同比上升</w:t>
      </w:r>
      <w:r>
        <w:rPr>
          <w:rFonts w:ascii="Times New Roman" w:hAnsi="Times New Roman" w:cs="Times New Roman" w:eastAsia="Times New Roman" w:hint="default"/>
        </w:rPr>
        <w:t>122.92%</w:t>
      </w:r>
      <w:r>
        <w:rPr/>
        <w:t>。</w:t>
      </w:r>
    </w:p>
    <w:p>
      <w:pPr>
        <w:spacing w:line="240" w:lineRule="auto" w:before="4"/>
        <w:rPr>
          <w:rFonts w:ascii="宋体" w:hAnsi="宋体" w:cs="宋体" w:eastAsia="宋体" w:hint="default"/>
          <w:sz w:val="20"/>
          <w:szCs w:val="20"/>
        </w:rPr>
      </w:pPr>
    </w:p>
    <w:p>
      <w:pPr>
        <w:pStyle w:val="Heading2"/>
        <w:spacing w:line="240" w:lineRule="auto"/>
        <w:ind w:right="6752"/>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6752"/>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21,896.12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206.61%</w:t>
            </w:r>
            <w:r>
              <w:rPr>
                <w:rFonts w:ascii="宋体" w:hAnsi="宋体" w:cs="宋体" w:eastAsia="宋体" w:hint="default"/>
                <w:sz w:val="18"/>
                <w:szCs w:val="18"/>
              </w:rPr>
              <w:t>，主要系母公司在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年新建募投项目厂</w:t>
            </w:r>
          </w:p>
          <w:p>
            <w:pPr>
              <w:pStyle w:val="TableParagraph"/>
              <w:spacing w:line="240" w:lineRule="auto" w:before="61"/>
              <w:ind w:left="16" w:right="0"/>
              <w:jc w:val="left"/>
              <w:rPr>
                <w:rFonts w:ascii="宋体" w:hAnsi="宋体" w:cs="宋体" w:eastAsia="宋体" w:hint="default"/>
                <w:sz w:val="18"/>
                <w:szCs w:val="18"/>
              </w:rPr>
            </w:pPr>
            <w:r>
              <w:rPr>
                <w:rFonts w:ascii="宋体" w:hAnsi="宋体" w:cs="宋体" w:eastAsia="宋体" w:hint="default"/>
                <w:sz w:val="18"/>
                <w:szCs w:val="18"/>
              </w:rPr>
              <w:t>房及研发中心于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月份转固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6,272.46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万元，增加南京能瑞固定资产净额</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14,566.18 </w:t>
            </w:r>
            <w:r>
              <w:rPr>
                <w:rFonts w:ascii="宋体" w:hAnsi="宋体" w:cs="宋体" w:eastAsia="宋体" w:hint="default"/>
                <w:sz w:val="18"/>
                <w:szCs w:val="18"/>
              </w:rPr>
              <w:t>万元</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6,297.46</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万元，上升</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357.54%</w:t>
            </w:r>
            <w:r>
              <w:rPr>
                <w:rFonts w:ascii="宋体" w:hAnsi="宋体" w:cs="宋体" w:eastAsia="宋体" w:hint="default"/>
                <w:spacing w:val="-3"/>
                <w:sz w:val="18"/>
                <w:szCs w:val="18"/>
              </w:rPr>
              <w:t>，主要系增加南京能瑞无形资产净额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6,267.41</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2,675.23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42.26%</w:t>
            </w:r>
            <w:r>
              <w:rPr>
                <w:rFonts w:ascii="宋体" w:hAnsi="宋体" w:cs="宋体" w:eastAsia="宋体" w:hint="default"/>
                <w:sz w:val="18"/>
                <w:szCs w:val="18"/>
              </w:rPr>
              <w:t>，主要系母公司募投建设项目投入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2,233.47</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万元，转固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6,272.46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万元；增加南京能瑞在建工程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1,278.17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23,159.64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85.74%</w:t>
            </w:r>
            <w:r>
              <w:rPr>
                <w:rFonts w:ascii="宋体" w:hAnsi="宋体" w:cs="宋体" w:eastAsia="宋体" w:hint="default"/>
                <w:sz w:val="18"/>
                <w:szCs w:val="18"/>
              </w:rPr>
              <w:t>，主要系母公司销售回款较上年增加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5,870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万，增加南京能瑞货币资金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16,047.45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778.31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59.53%</w:t>
            </w:r>
            <w:r>
              <w:rPr>
                <w:rFonts w:ascii="宋体" w:hAnsi="宋体" w:cs="宋体" w:eastAsia="宋体" w:hint="default"/>
                <w:sz w:val="18"/>
                <w:szCs w:val="18"/>
              </w:rPr>
              <w:t>，主要系母公司较去年减少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402.76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万元，子公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司开盛电气减少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万元，增加南京能瑞应收票据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1,318.78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41,239.44</w:t>
            </w:r>
            <w:r>
              <w:rPr>
                <w:rFonts w:ascii="Times New Roman" w:hAnsi="Times New Roman" w:cs="Times New Roman" w:eastAsia="Times New Roman" w:hint="default"/>
                <w:spacing w:val="-13"/>
                <w:sz w:val="18"/>
                <w:szCs w:val="18"/>
              </w:rPr>
              <w:t> </w:t>
            </w:r>
            <w:r>
              <w:rPr>
                <w:rFonts w:ascii="宋体" w:hAnsi="宋体" w:cs="宋体" w:eastAsia="宋体" w:hint="default"/>
                <w:spacing w:val="-8"/>
                <w:sz w:val="18"/>
                <w:szCs w:val="18"/>
              </w:rPr>
              <w:t>万元，上升</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189.60%</w:t>
            </w:r>
            <w:r>
              <w:rPr>
                <w:rFonts w:ascii="宋体" w:hAnsi="宋体" w:cs="宋体" w:eastAsia="宋体" w:hint="default"/>
                <w:sz w:val="18"/>
                <w:szCs w:val="18"/>
              </w:rPr>
              <w:t>，主要系母公司营业收入增长应收账款增加 </w:t>
            </w:r>
            <w:r>
              <w:rPr>
                <w:rFonts w:ascii="Times New Roman" w:hAnsi="Times New Roman" w:cs="Times New Roman" w:eastAsia="Times New Roman" w:hint="default"/>
                <w:sz w:val="18"/>
                <w:szCs w:val="18"/>
              </w:rPr>
              <w:t>4,677.93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万元，增加南京能瑞应收账款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35,920.86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607.38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62.74%</w:t>
            </w:r>
            <w:r>
              <w:rPr>
                <w:rFonts w:ascii="宋体" w:hAnsi="宋体" w:cs="宋体" w:eastAsia="宋体" w:hint="default"/>
                <w:sz w:val="18"/>
                <w:szCs w:val="18"/>
              </w:rPr>
              <w:t>，主要系增加南京能瑞预付款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858.82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7,465.52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809.94%</w:t>
            </w:r>
            <w:r>
              <w:rPr>
                <w:rFonts w:ascii="宋体" w:hAnsi="宋体" w:cs="宋体" w:eastAsia="宋体" w:hint="default"/>
                <w:sz w:val="18"/>
                <w:szCs w:val="18"/>
              </w:rPr>
              <w:t>，主要系增加股权交易保证金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土地竞拍保证金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5,857.09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98.12%</w:t>
            </w:r>
            <w:r>
              <w:rPr>
                <w:rFonts w:ascii="宋体" w:hAnsi="宋体" w:cs="宋体" w:eastAsia="宋体" w:hint="default"/>
                <w:sz w:val="18"/>
                <w:szCs w:val="18"/>
              </w:rPr>
              <w:t>，主要系增加南京能瑞存货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6,412.55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1,936.72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万元，主要系南京能瑞银行理财产品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万元、待抵扣的进项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822.60 </w:t>
            </w:r>
            <w:r>
              <w:rPr>
                <w:rFonts w:ascii="宋体" w:hAnsi="宋体" w:cs="宋体" w:eastAsia="宋体" w:hint="default"/>
                <w:sz w:val="18"/>
                <w:szCs w:val="18"/>
              </w:rPr>
              <w:t>万</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收购南京能瑞</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股权形成商誉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111,876.56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524.85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215.92%</w:t>
            </w:r>
            <w:r>
              <w:rPr>
                <w:rFonts w:ascii="宋体" w:hAnsi="宋体" w:cs="宋体" w:eastAsia="宋体" w:hint="default"/>
                <w:sz w:val="18"/>
                <w:szCs w:val="18"/>
              </w:rPr>
              <w:t>，主要系增加南京能瑞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478.23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1,684.34</w:t>
            </w:r>
            <w:r>
              <w:rPr>
                <w:rFonts w:ascii="Times New Roman" w:hAnsi="Times New Roman" w:cs="Times New Roman" w:eastAsia="Times New Roman" w:hint="default"/>
                <w:spacing w:val="-13"/>
                <w:sz w:val="18"/>
                <w:szCs w:val="18"/>
              </w:rPr>
              <w:t> </w:t>
            </w:r>
            <w:r>
              <w:rPr>
                <w:rFonts w:ascii="宋体" w:hAnsi="宋体" w:cs="宋体" w:eastAsia="宋体" w:hint="default"/>
                <w:spacing w:val="-8"/>
                <w:sz w:val="18"/>
                <w:szCs w:val="18"/>
              </w:rPr>
              <w:t>万元，上升</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43.58%</w:t>
            </w:r>
            <w:r>
              <w:rPr>
                <w:rFonts w:ascii="宋体" w:hAnsi="宋体" w:cs="宋体" w:eastAsia="宋体" w:hint="default"/>
                <w:sz w:val="18"/>
                <w:szCs w:val="18"/>
              </w:rPr>
              <w:t>，主要系母公司增加募投建设项目预付设备款 </w:t>
            </w:r>
            <w:r>
              <w:rPr>
                <w:rFonts w:ascii="Times New Roman" w:hAnsi="Times New Roman" w:cs="Times New Roman" w:eastAsia="Times New Roman" w:hint="default"/>
                <w:sz w:val="18"/>
                <w:szCs w:val="18"/>
              </w:rPr>
              <w:t>1,504.04 </w:t>
            </w:r>
            <w:r>
              <w:rPr>
                <w:rFonts w:ascii="宋体" w:hAnsi="宋体" w:cs="宋体" w:eastAsia="宋体" w:hint="default"/>
                <w:sz w:val="18"/>
                <w:szCs w:val="18"/>
              </w:rPr>
              <w:t>万元</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0"/>
        <w:rPr>
          <w:rFonts w:ascii="宋体" w:hAnsi="宋体" w:cs="宋体" w:eastAsia="宋体" w:hint="default"/>
          <w:b/>
          <w:bCs/>
          <w:sz w:val="24"/>
          <w:szCs w:val="24"/>
        </w:rPr>
      </w:pPr>
    </w:p>
    <w:p>
      <w:pPr>
        <w:pStyle w:val="Heading4"/>
        <w:spacing w:line="240" w:lineRule="auto" w:before="35"/>
        <w:ind w:right="6752"/>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6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6752"/>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6752"/>
        <w:jc w:val="left"/>
      </w:pPr>
      <w:r>
        <w:rPr/>
        <w:t>公司是否需要遵守特殊行业的披露要求 否</w:t>
      </w:r>
    </w:p>
    <w:p>
      <w:pPr>
        <w:pStyle w:val="Heading6"/>
        <w:spacing w:line="240" w:lineRule="auto" w:before="28"/>
        <w:ind w:left="576" w:right="6752"/>
        <w:jc w:val="left"/>
        <w:rPr>
          <w:b w:val="0"/>
          <w:bCs w:val="0"/>
        </w:rPr>
      </w:pPr>
      <w:r>
        <w:rPr>
          <w:rFonts w:ascii="Times New Roman" w:hAnsi="Times New Roman" w:cs="Times New Roman" w:eastAsia="Times New Roman" w:hint="default"/>
        </w:rPr>
        <w:t>1</w:t>
      </w:r>
      <w:r>
        <w:rPr/>
        <w:t>、产品研发优势</w:t>
      </w:r>
      <w:r>
        <w:rPr>
          <w:b w:val="0"/>
          <w:bCs w:val="0"/>
        </w:rPr>
      </w:r>
    </w:p>
    <w:p>
      <w:pPr>
        <w:pStyle w:val="BodyText"/>
        <w:spacing w:line="300" w:lineRule="auto" w:before="63"/>
        <w:ind w:left="576" w:right="99" w:hanging="206"/>
        <w:jc w:val="left"/>
      </w:pPr>
      <w:r>
        <w:rPr/>
        <w:t>（</w:t>
      </w:r>
      <w:r>
        <w:rPr>
          <w:rFonts w:ascii="Times New Roman" w:hAnsi="Times New Roman" w:cs="Times New Roman" w:eastAsia="Times New Roman" w:hint="default"/>
        </w:rPr>
        <w:t>1</w:t>
      </w:r>
      <w:r>
        <w:rPr/>
        <w:t>）智能电气成套开关技术优势 公司研发中心通过与中国科学院电工研究所等国内知名科研机构和科研院校的深度融合，不断提升自身科研能力和研</w:t>
      </w:r>
    </w:p>
    <w:p>
      <w:pPr>
        <w:pStyle w:val="BodyText"/>
        <w:spacing w:line="316" w:lineRule="auto" w:before="31"/>
        <w:ind w:right="92"/>
        <w:jc w:val="left"/>
      </w:pPr>
      <w:r>
        <w:rPr>
          <w:spacing w:val="-2"/>
        </w:rPr>
        <w:t>发水平，实现开关设备行业的高端智能化，从设备诞生周期开始到设备生命周期结束，在全范围内实现智能逻辑判断、寿命</w:t>
      </w:r>
      <w:r>
        <w:rPr>
          <w:spacing w:val="-66"/>
        </w:rPr>
        <w:t> </w:t>
      </w:r>
      <w:r>
        <w:rPr>
          <w:spacing w:val="-66"/>
        </w:rPr>
      </w:r>
      <w:r>
        <w:rPr/>
        <w:t>检测、故障定位与隔离、信号的采集计算与上传等，进行有针对性的技术升级与研发，目前已经实现一二次系统高度融合、 </w:t>
      </w:r>
      <w:r>
        <w:rPr>
          <w:spacing w:val="-2"/>
        </w:rPr>
        <w:t>集约式智能化控制、即插即用技术、在线监测技术，并已开始对全生命周期寿命监测、故障预判及产品的人工智能技术、用</w:t>
      </w:r>
      <w:r>
        <w:rPr>
          <w:spacing w:val="-66"/>
        </w:rPr>
        <w:t> </w:t>
      </w:r>
      <w:r>
        <w:rPr>
          <w:spacing w:val="-66"/>
        </w:rPr>
      </w:r>
      <w:r>
        <w:rPr/>
        <w:t>户便捷式产品管理技术、大电流温升抑制技术、产品生命</w:t>
      </w:r>
      <w:r>
        <w:rPr>
          <w:rFonts w:ascii="Times New Roman" w:hAnsi="Times New Roman" w:cs="Times New Roman" w:eastAsia="Times New Roman" w:hint="default"/>
        </w:rPr>
        <w:t>DNA</w:t>
      </w:r>
      <w:r>
        <w:rPr/>
        <w:t>在线提取技术以及凝露控制等技术的应用领域探讨与实施。</w:t>
      </w:r>
    </w:p>
    <w:p>
      <w:pPr>
        <w:pStyle w:val="BodyText"/>
        <w:spacing w:line="300" w:lineRule="auto" w:before="0"/>
        <w:ind w:left="576" w:right="99"/>
        <w:jc w:val="left"/>
      </w:pPr>
      <w:r>
        <w:rPr/>
        <w:t>（</w:t>
      </w:r>
      <w:r>
        <w:rPr>
          <w:rFonts w:ascii="Times New Roman" w:hAnsi="Times New Roman" w:cs="Times New Roman" w:eastAsia="Times New Roman" w:hint="default"/>
        </w:rPr>
        <w:t>2</w:t>
      </w:r>
      <w:r>
        <w:rPr/>
        <w:t>）新能源产品技术优势 南京能瑞是专业电力需求侧产品及新能源汽车智能充电设备的研发、生产和销售的设备制造商，是国内少数具备充换</w:t>
      </w:r>
    </w:p>
    <w:p>
      <w:pPr>
        <w:pStyle w:val="BodyText"/>
        <w:spacing w:line="304" w:lineRule="auto" w:before="31"/>
        <w:ind w:right="189"/>
        <w:jc w:val="both"/>
      </w:pPr>
      <w:r>
        <w:rPr/>
        <w:t>电设备研发、制造、电力安装施工一体的全资质企业。截止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日，共申请知识产权</w:t>
      </w:r>
      <w:r>
        <w:rPr>
          <w:rFonts w:ascii="Times New Roman" w:hAnsi="Times New Roman" w:cs="Times New Roman" w:eastAsia="Times New Roman" w:hint="default"/>
        </w:rPr>
        <w:t>154</w:t>
      </w:r>
      <w:r>
        <w:rPr/>
        <w:t>项，其中专利</w:t>
      </w:r>
      <w:r>
        <w:rPr>
          <w:rFonts w:ascii="Times New Roman" w:hAnsi="Times New Roman" w:cs="Times New Roman" w:eastAsia="Times New Roman" w:hint="default"/>
        </w:rPr>
        <w:t>54</w:t>
      </w:r>
      <w:r>
        <w:rPr/>
        <w:t>项，获专</w:t>
      </w:r>
      <w:r>
        <w:rPr>
          <w:spacing w:val="-82"/>
        </w:rPr>
        <w:t> </w:t>
      </w:r>
      <w:r>
        <w:rPr/>
        <w:t>利授权</w:t>
      </w:r>
      <w:r>
        <w:rPr>
          <w:rFonts w:ascii="Times New Roman" w:hAnsi="Times New Roman" w:cs="Times New Roman" w:eastAsia="Times New Roman" w:hint="default"/>
        </w:rPr>
        <w:t>35</w:t>
      </w:r>
      <w:r>
        <w:rPr/>
        <w:t>项，其中发明专利授权</w:t>
      </w:r>
      <w:r>
        <w:rPr>
          <w:rFonts w:ascii="Times New Roman" w:hAnsi="Times New Roman" w:cs="Times New Roman" w:eastAsia="Times New Roman" w:hint="default"/>
        </w:rPr>
        <w:t>7</w:t>
      </w:r>
      <w:r>
        <w:rPr/>
        <w:t>项。南京能瑞具备大功率快充技术、柔性智能充电技术、双向整流技术、充电桩自主诊断</w:t>
      </w:r>
      <w:r>
        <w:rPr>
          <w:spacing w:val="-83"/>
        </w:rPr>
        <w:t> </w:t>
      </w:r>
      <w:r>
        <w:rPr>
          <w:spacing w:val="-83"/>
        </w:rPr>
      </w:r>
      <w:r>
        <w:rPr>
          <w:spacing w:val="-2"/>
        </w:rPr>
        <w:t>技术等核心技术体系。南京能瑞在报告期内完成了智能快速非车载直流充电机、智能交流充电桩等产品型式试验及省级新产</w:t>
      </w:r>
      <w:r>
        <w:rPr>
          <w:spacing w:val="-64"/>
        </w:rPr>
        <w:t> </w:t>
      </w:r>
      <w:r>
        <w:rPr>
          <w:spacing w:val="-64"/>
        </w:rPr>
      </w:r>
      <w:r>
        <w:rPr>
          <w:spacing w:val="-2"/>
        </w:rPr>
        <w:t>品新技术鉴定，多项技术达到国内领先水平。产品获国家重点新产品</w:t>
      </w:r>
      <w:r>
        <w:rPr>
          <w:rFonts w:ascii="Times New Roman" w:hAnsi="Times New Roman" w:cs="Times New Roman" w:eastAsia="Times New Roman" w:hint="default"/>
          <w:spacing w:val="-2"/>
        </w:rPr>
        <w:t>1</w:t>
      </w:r>
      <w:r>
        <w:rPr>
          <w:spacing w:val="-2"/>
        </w:rPr>
        <w:t>项，江苏省重点推广应用新技术新产品</w:t>
      </w:r>
      <w:r>
        <w:rPr>
          <w:rFonts w:ascii="Times New Roman" w:hAnsi="Times New Roman" w:cs="Times New Roman" w:eastAsia="Times New Roman" w:hint="default"/>
          <w:spacing w:val="-2"/>
        </w:rPr>
        <w:t>2</w:t>
      </w:r>
      <w:r>
        <w:rPr>
          <w:spacing w:val="-2"/>
        </w:rPr>
        <w:t>项，江苏省科</w:t>
      </w:r>
      <w:r>
        <w:rPr>
          <w:spacing w:val="-64"/>
        </w:rPr>
        <w:t> </w:t>
      </w:r>
      <w:r>
        <w:rPr>
          <w:spacing w:val="-64"/>
        </w:rPr>
      </w:r>
      <w:r>
        <w:rPr/>
        <w:t>技进步奖</w:t>
      </w:r>
      <w:r>
        <w:rPr>
          <w:rFonts w:ascii="Times New Roman" w:hAnsi="Times New Roman" w:cs="Times New Roman" w:eastAsia="Times New Roman" w:hint="default"/>
        </w:rPr>
        <w:t>1</w:t>
      </w:r>
      <w:r>
        <w:rPr/>
        <w:t>项，南京市科技进步奖</w:t>
      </w:r>
      <w:r>
        <w:rPr>
          <w:rFonts w:ascii="Times New Roman" w:hAnsi="Times New Roman" w:cs="Times New Roman" w:eastAsia="Times New Roman" w:hint="default"/>
        </w:rPr>
        <w:t>1</w:t>
      </w:r>
      <w:r>
        <w:rPr/>
        <w:t>项，江苏省高新技术产品</w:t>
      </w:r>
      <w:r>
        <w:rPr>
          <w:rFonts w:ascii="Times New Roman" w:hAnsi="Times New Roman" w:cs="Times New Roman" w:eastAsia="Times New Roman" w:hint="default"/>
        </w:rPr>
        <w:t>7</w:t>
      </w:r>
      <w:r>
        <w:rPr/>
        <w:t>项。</w:t>
      </w:r>
    </w:p>
    <w:p>
      <w:pPr>
        <w:pStyle w:val="BodyText"/>
        <w:spacing w:line="304" w:lineRule="auto" w:before="9"/>
        <w:ind w:right="189" w:firstLine="422"/>
        <w:jc w:val="both"/>
      </w:pPr>
      <w:r>
        <w:rPr>
          <w:spacing w:val="-1"/>
        </w:rPr>
        <w:t>南京能瑞自</w:t>
      </w:r>
      <w:r>
        <w:rPr>
          <w:rFonts w:ascii="Times New Roman" w:hAnsi="Times New Roman" w:cs="Times New Roman" w:eastAsia="Times New Roman" w:hint="default"/>
          <w:spacing w:val="-1"/>
        </w:rPr>
        <w:t>2012</w:t>
      </w:r>
      <w:r>
        <w:rPr>
          <w:spacing w:val="-1"/>
        </w:rPr>
        <w:t>年连续被认定为国家高新技术企业，</w:t>
      </w:r>
      <w:r>
        <w:rPr>
          <w:rFonts w:ascii="Times New Roman" w:hAnsi="Times New Roman" w:cs="Times New Roman" w:eastAsia="Times New Roman" w:hint="default"/>
          <w:spacing w:val="-1"/>
        </w:rPr>
        <w:t>2013</w:t>
      </w:r>
      <w:r>
        <w:rPr>
          <w:spacing w:val="-1"/>
        </w:rPr>
        <w:t>年经江苏省科技厅认定为</w:t>
      </w:r>
      <w:r>
        <w:rPr>
          <w:rFonts w:ascii="Times New Roman" w:hAnsi="Times New Roman" w:cs="Times New Roman" w:eastAsia="Times New Roman" w:hint="default"/>
          <w:spacing w:val="-1"/>
        </w:rPr>
        <w:t>“</w:t>
      </w:r>
      <w:r>
        <w:rPr>
          <w:spacing w:val="-1"/>
        </w:rPr>
        <w:t>江苏省智能电表及用电信息采集系</w:t>
      </w:r>
      <w:r>
        <w:rPr/>
        <w:t> 统工程技术研究中心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t>年经江苏省科技厅批准，与南京大学合作成立</w:t>
      </w:r>
      <w:r>
        <w:rPr>
          <w:rFonts w:ascii="Times New Roman" w:hAnsi="Times New Roman" w:cs="Times New Roman" w:eastAsia="Times New Roman" w:hint="default"/>
        </w:rPr>
        <w:t>“</w:t>
      </w:r>
      <w:r>
        <w:rPr/>
        <w:t>江苏省研究生工作站</w:t>
      </w:r>
      <w:r>
        <w:rPr>
          <w:rFonts w:ascii="Times New Roman" w:hAnsi="Times New Roman" w:cs="Times New Roman" w:eastAsia="Times New Roman" w:hint="default"/>
        </w:rPr>
        <w:t>”</w:t>
      </w:r>
      <w:r>
        <w:rPr/>
        <w:t>，并经江苏省经信委认定</w:t>
      </w:r>
      <w:r>
        <w:rPr>
          <w:spacing w:val="-55"/>
        </w:rPr>
        <w:t> </w:t>
      </w:r>
      <w:r>
        <w:rPr>
          <w:spacing w:val="-55"/>
        </w:rPr>
      </w:r>
      <w:r>
        <w:rPr>
          <w:spacing w:val="-1"/>
        </w:rPr>
        <w:t>为</w:t>
      </w:r>
      <w:r>
        <w:rPr>
          <w:rFonts w:ascii="Times New Roman" w:hAnsi="Times New Roman" w:cs="Times New Roman" w:eastAsia="Times New Roman" w:hint="default"/>
          <w:spacing w:val="-1"/>
        </w:rPr>
        <w:t>“</w:t>
      </w:r>
      <w:r>
        <w:rPr>
          <w:spacing w:val="-1"/>
        </w:rPr>
        <w:t>江苏省信息化与工业化融合转型升级示范企业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2016</w:t>
      </w:r>
      <w:r>
        <w:rPr>
          <w:spacing w:val="-1"/>
        </w:rPr>
        <w:t>年经江苏省经信委认定为</w:t>
      </w:r>
      <w:r>
        <w:rPr>
          <w:rFonts w:ascii="Times New Roman" w:hAnsi="Times New Roman" w:cs="Times New Roman" w:eastAsia="Times New Roman" w:hint="default"/>
          <w:spacing w:val="-1"/>
        </w:rPr>
        <w:t>“</w:t>
      </w:r>
      <w:r>
        <w:rPr>
          <w:spacing w:val="-1"/>
        </w:rPr>
        <w:t>江苏省认定企业技术中心</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2016</w:t>
      </w:r>
      <w:r>
        <w:rPr>
          <w:spacing w:val="-1"/>
        </w:rPr>
        <w:t>年经南</w:t>
      </w:r>
      <w:r>
        <w:rPr>
          <w:spacing w:val="-76"/>
        </w:rPr>
        <w:t> </w:t>
      </w:r>
      <w:r>
        <w:rPr>
          <w:spacing w:val="-2"/>
        </w:rPr>
        <w:t>京市发改委及南京市信用办评定为</w:t>
      </w:r>
      <w:r>
        <w:rPr>
          <w:rFonts w:ascii="Times New Roman" w:hAnsi="Times New Roman" w:cs="Times New Roman" w:eastAsia="Times New Roman" w:hint="default"/>
          <w:spacing w:val="-2"/>
        </w:rPr>
        <w:t>“</w:t>
      </w:r>
      <w:r>
        <w:rPr>
          <w:spacing w:val="-2"/>
        </w:rPr>
        <w:t>南京市信用管理示范企业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2017</w:t>
      </w:r>
      <w:r>
        <w:rPr>
          <w:spacing w:val="-2"/>
        </w:rPr>
        <w:t>年经南京市工商局评为</w:t>
      </w:r>
      <w:r>
        <w:rPr>
          <w:rFonts w:ascii="Times New Roman" w:hAnsi="Times New Roman" w:cs="Times New Roman" w:eastAsia="Times New Roman" w:hint="default"/>
          <w:spacing w:val="-2"/>
        </w:rPr>
        <w:t>“</w:t>
      </w:r>
      <w:r>
        <w:rPr>
          <w:spacing w:val="-2"/>
        </w:rPr>
        <w:t>南京市守合同重信用企业</w:t>
      </w:r>
      <w:r>
        <w:rPr>
          <w:rFonts w:ascii="Times New Roman" w:hAnsi="Times New Roman" w:cs="Times New Roman" w:eastAsia="Times New Roman" w:hint="default"/>
          <w:spacing w:val="-2"/>
        </w:rPr>
        <w:t>”</w:t>
      </w:r>
      <w:r>
        <w:rPr>
          <w:spacing w:val="-2"/>
        </w:rPr>
        <w:t>。近</w:t>
      </w:r>
      <w:r>
        <w:rPr>
          <w:spacing w:val="-39"/>
        </w:rPr>
        <w:t> </w:t>
      </w:r>
      <w:r>
        <w:rPr/>
        <w:t>年来，南京能瑞承担了</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国家重点专项课题</w:t>
      </w:r>
      <w:r>
        <w:rPr>
          <w:rFonts w:ascii="Times New Roman" w:hAnsi="Times New Roman" w:cs="Times New Roman" w:eastAsia="Times New Roman" w:hint="default"/>
        </w:rPr>
        <w:t>6.3</w:t>
      </w:r>
      <w:r>
        <w:rPr/>
        <w:t>子课题《电动汽车基础设施运行安全与互联互通技术》、江苏省战略</w:t>
      </w:r>
      <w:r>
        <w:rPr>
          <w:spacing w:val="-28"/>
        </w:rPr>
        <w:t> </w:t>
      </w:r>
      <w:r>
        <w:rPr>
          <w:spacing w:val="-28"/>
        </w:rPr>
      </w:r>
      <w:r>
        <w:rPr>
          <w:spacing w:val="-2"/>
        </w:rPr>
        <w:t>性新兴产业发展专项《大功率充电桩产业化制造项目》、江苏省重点研发计划项目（产业前瞻）《面向智能电网的电力通信</w:t>
      </w:r>
      <w:r>
        <w:rPr>
          <w:spacing w:val="-67"/>
        </w:rPr>
        <w:t> </w:t>
      </w:r>
      <w:r>
        <w:rPr>
          <w:spacing w:val="-67"/>
        </w:rPr>
      </w:r>
      <w:r>
        <w:rPr>
          <w:spacing w:val="-2"/>
        </w:rPr>
        <w:t>异构网络融合关键技术研究》，江苏省高端人才团队引进计划项目等多项国家及省部级科技计划项目。南京能瑞将持续进行</w:t>
      </w:r>
      <w:r>
        <w:rPr>
          <w:spacing w:val="-66"/>
        </w:rPr>
        <w:t> </w:t>
      </w:r>
      <w:r>
        <w:rPr>
          <w:spacing w:val="-66"/>
        </w:rPr>
      </w:r>
      <w:r>
        <w:rPr/>
        <w:t>产品的升级、创新及新产品的研发，并加大投入力度，持续保持卓越竞争力。</w:t>
      </w:r>
    </w:p>
    <w:p>
      <w:pPr>
        <w:spacing w:line="300" w:lineRule="auto" w:before="28"/>
        <w:ind w:left="576" w:right="17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加工制造与产品检测设备优势</w:t>
      </w:r>
      <w:r>
        <w:rPr>
          <w:rFonts w:ascii="宋体" w:hAnsi="宋体" w:cs="宋体" w:eastAsia="宋体" w:hint="default"/>
          <w:b/>
          <w:bCs/>
          <w:w w:val="99"/>
          <w:sz w:val="18"/>
          <w:szCs w:val="18"/>
        </w:rPr>
        <w:t> </w:t>
      </w:r>
      <w:r>
        <w:rPr>
          <w:rFonts w:ascii="宋体" w:hAnsi="宋体" w:cs="宋体" w:eastAsia="宋体" w:hint="default"/>
          <w:spacing w:val="-1"/>
          <w:sz w:val="18"/>
          <w:szCs w:val="18"/>
        </w:rPr>
        <w:t>公司在原有的加工设备及检测设备的基础上，在</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年度增建了</w:t>
      </w:r>
      <w:r>
        <w:rPr>
          <w:rFonts w:ascii="Times New Roman" w:hAnsi="Times New Roman" w:cs="Times New Roman" w:eastAsia="Times New Roman" w:hint="default"/>
          <w:spacing w:val="-1"/>
          <w:sz w:val="18"/>
          <w:szCs w:val="18"/>
        </w:rPr>
        <w:t>16000</w:t>
      </w:r>
      <w:r>
        <w:rPr>
          <w:rFonts w:ascii="宋体" w:hAnsi="宋体" w:cs="宋体" w:eastAsia="宋体" w:hint="default"/>
          <w:spacing w:val="-1"/>
          <w:sz w:val="18"/>
          <w:szCs w:val="18"/>
        </w:rPr>
        <w:t>平方米新厂房，又购置了世界先进品牌德国通快</w:t>
      </w:r>
    </w:p>
    <w:p>
      <w:pPr>
        <w:pStyle w:val="BodyText"/>
        <w:spacing w:line="312" w:lineRule="auto" w:before="13"/>
        <w:ind w:right="110"/>
        <w:jc w:val="left"/>
      </w:pPr>
      <w:r>
        <w:rPr/>
        <w:t>生产的集激光切割、数控冲、剪、折及立体料库于一身的全自动钣金加工生产线、德国通快生产的三维激光焊接加工中心、 意大利普玛宝生产的冲剪折加工中心生产线、智能</w:t>
      </w:r>
      <w:r>
        <w:rPr>
          <w:rFonts w:ascii="Times New Roman" w:hAnsi="Times New Roman" w:cs="Times New Roman" w:eastAsia="Times New Roman" w:hint="default"/>
        </w:rPr>
        <w:t>C-GIS</w:t>
      </w:r>
      <w:r>
        <w:rPr/>
        <w:t>产品制造与检验流水线、智能环保气体绝缘环网开关设备制造与检 </w:t>
      </w:r>
      <w:r>
        <w:rPr>
          <w:spacing w:val="-2"/>
        </w:rPr>
        <w:t>验流水线、智能高压开关设备制造与检测流水线、智能低压开关设备制造与检测流水线、智能低压开关设备抽屉制造与检测</w:t>
      </w:r>
      <w:r>
        <w:rPr>
          <w:spacing w:val="-66"/>
        </w:rPr>
        <w:t> </w:t>
      </w:r>
      <w:r>
        <w:rPr>
          <w:spacing w:val="-66"/>
        </w:rPr>
      </w:r>
      <w:r>
        <w:rPr/>
        <w:t>流水线、智能</w:t>
      </w:r>
      <w:r>
        <w:rPr>
          <w:rFonts w:ascii="Times New Roman" w:hAnsi="Times New Roman" w:cs="Times New Roman" w:eastAsia="Times New Roman" w:hint="default"/>
        </w:rPr>
        <w:t>C-GIS</w:t>
      </w:r>
      <w:r>
        <w:rPr/>
        <w:t>产品氦质谱气体检漏设备等制造设备；集工频耐压、局放及雷电冲击于一体的</w:t>
      </w:r>
      <w:r>
        <w:rPr>
          <w:rFonts w:ascii="Times New Roman" w:hAnsi="Times New Roman" w:cs="Times New Roman" w:eastAsia="Times New Roman" w:hint="default"/>
        </w:rPr>
        <w:t>400kV</w:t>
      </w:r>
      <w:r>
        <w:rPr/>
        <w:t>屏蔽试验室、及各</w:t>
      </w:r>
      <w:r>
        <w:rPr>
          <w:spacing w:val="-56"/>
        </w:rPr>
        <w:t> </w:t>
      </w:r>
      <w:r>
        <w:rPr>
          <w:spacing w:val="-56"/>
        </w:rPr>
      </w:r>
      <w:r>
        <w:rPr>
          <w:spacing w:val="-2"/>
        </w:rPr>
        <w:t>生产线中的工频耐压及局放高精度检测设备等。形成了加工制造与产品检验智能化数字化管理体系，大大提高了公司产品的</w:t>
      </w:r>
      <w:r>
        <w:rPr>
          <w:spacing w:val="-64"/>
        </w:rPr>
        <w:t> </w:t>
      </w:r>
      <w:r>
        <w:rPr>
          <w:spacing w:val="-64"/>
        </w:rPr>
      </w:r>
      <w:r>
        <w:rPr/>
        <w:t>加工生产效率及产品性能的稳定性和可靠性。进一步提升了公司的技术领先优势，为公司后续发展打下了牢固的基础。</w:t>
      </w:r>
    </w:p>
    <w:p>
      <w:pPr>
        <w:pStyle w:val="BodyText"/>
        <w:spacing w:line="309" w:lineRule="auto" w:before="22"/>
        <w:ind w:right="99" w:firstLine="422"/>
        <w:jc w:val="left"/>
      </w:pPr>
      <w:r>
        <w:rPr/>
        <w:t>南京能瑞具有全套</w:t>
      </w:r>
      <w:r>
        <w:rPr>
          <w:rFonts w:ascii="Times New Roman" w:hAnsi="Times New Roman" w:cs="Times New Roman" w:eastAsia="Times New Roman" w:hint="default"/>
        </w:rPr>
        <w:t>SMT</w:t>
      </w:r>
      <w:r>
        <w:rPr/>
        <w:t>生产线（全自动丝网印刷机、贴片机、热风回流焊炉等）；拥有自动化波峰焊生产线；全自动 </w:t>
      </w:r>
      <w:r>
        <w:rPr>
          <w:spacing w:val="-2"/>
        </w:rPr>
        <w:t>化三防生产线；电能表自动化检测线，具有国内一流的单相、三相电能表校验装置；电动汽车充电桩自动检测设备；拥有完</w:t>
      </w:r>
      <w:r>
        <w:rPr>
          <w:spacing w:val="-66"/>
        </w:rPr>
        <w:t> </w:t>
      </w:r>
      <w:r>
        <w:rPr>
          <w:spacing w:val="-66"/>
        </w:rPr>
      </w:r>
      <w:r>
        <w:rPr>
          <w:spacing w:val="-4"/>
        </w:rPr>
        <w:t>备的试验室，配备了先进的浪涌设备、快速瞬变脉冲群设备、静放电设备、衰减震荡波设备、电压跌落设备、时钟测试设备、</w:t>
      </w:r>
      <w:r>
        <w:rPr>
          <w:spacing w:val="-44"/>
        </w:rPr>
        <w:t> </w:t>
      </w:r>
      <w:r>
        <w:rPr>
          <w:spacing w:val="-44"/>
        </w:rPr>
      </w:r>
      <w:r>
        <w:rPr>
          <w:rFonts w:ascii="Times New Roman" w:hAnsi="Times New Roman" w:cs="Times New Roman" w:eastAsia="Times New Roman" w:hint="default"/>
        </w:rPr>
        <w:t>GPRS/CDMA/3G</w:t>
      </w:r>
      <w:r>
        <w:rPr/>
        <w:t>通信测试系统、载波通信测试系统，微功率无线通信测试系统，采集终端</w:t>
      </w:r>
      <w:r>
        <w:rPr>
          <w:rFonts w:ascii="Times New Roman" w:hAnsi="Times New Roman" w:cs="Times New Roman" w:eastAsia="Times New Roman" w:hint="default"/>
        </w:rPr>
        <w:t>ESAM</w:t>
      </w:r>
      <w:r>
        <w:rPr/>
        <w:t>模块测试设备、防尘防水</w:t>
      </w:r>
      <w:r>
        <w:rPr>
          <w:spacing w:val="-12"/>
        </w:rPr>
        <w:t> </w:t>
      </w:r>
      <w:r>
        <w:rPr>
          <w:spacing w:val="-12"/>
        </w:rPr>
      </w:r>
      <w:r>
        <w:rPr/>
        <w:t>等测试设备等。</w:t>
      </w:r>
    </w:p>
    <w:p>
      <w:pPr>
        <w:pStyle w:val="Heading6"/>
        <w:spacing w:line="240" w:lineRule="auto" w:before="24"/>
        <w:ind w:left="576" w:right="6752"/>
        <w:jc w:val="left"/>
        <w:rPr>
          <w:b w:val="0"/>
          <w:bCs w:val="0"/>
        </w:rPr>
      </w:pPr>
      <w:r>
        <w:rPr>
          <w:rFonts w:ascii="Times New Roman" w:hAnsi="Times New Roman" w:cs="Times New Roman" w:eastAsia="Times New Roman" w:hint="default"/>
        </w:rPr>
        <w:t>3.</w:t>
      </w:r>
      <w:r>
        <w:rPr/>
        <w:t>科学的生产质量管控体系优势</w:t>
      </w:r>
      <w:r>
        <w:rPr>
          <w:b w:val="0"/>
          <w:bCs w:val="0"/>
        </w:rPr>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b/>
          <w:bCs/>
          <w:sz w:val="25"/>
          <w:szCs w:val="25"/>
        </w:rPr>
      </w:pPr>
    </w:p>
    <w:p>
      <w:pPr>
        <w:pStyle w:val="BodyText"/>
        <w:spacing w:line="316" w:lineRule="auto"/>
        <w:ind w:right="99" w:firstLine="422"/>
        <w:jc w:val="left"/>
      </w:pPr>
      <w:r>
        <w:rPr/>
        <w:t>公司根据现有发展状况，为全面系统的提高产品质量的管控，将原有的模块化职能性管理体制调整为以产品系列划分 </w:t>
      </w:r>
      <w:r>
        <w:rPr>
          <w:spacing w:val="-4"/>
        </w:rPr>
        <w:t>的事业部管理体系。该体系是以各系列产品专业技术人才为核心的专业化生产队伍，进而扩充公司在产品设计、工艺、生产、</w:t>
      </w:r>
      <w:r>
        <w:rPr>
          <w:spacing w:val="-46"/>
        </w:rPr>
        <w:t> </w:t>
      </w:r>
      <w:r>
        <w:rPr>
          <w:spacing w:val="-46"/>
        </w:rPr>
      </w:r>
      <w:r>
        <w:rPr/>
        <w:t>检验等方面的技术与质量管控体制。</w:t>
      </w:r>
    </w:p>
    <w:p>
      <w:pPr>
        <w:pStyle w:val="BodyText"/>
        <w:spacing w:line="319" w:lineRule="auto" w:before="19"/>
        <w:ind w:right="193" w:firstLine="422"/>
        <w:jc w:val="both"/>
      </w:pPr>
      <w:r>
        <w:rPr/>
        <w:t>事业部管理体系的组建，充分发挥了专业技术人才在产品设计、工艺、生产及检验等整体生产环节的作用；减少了许 </w:t>
      </w:r>
      <w:r>
        <w:rPr>
          <w:spacing w:val="-2"/>
        </w:rPr>
        <w:t>多产品生产管控的中间环节；细化了每个环节的管控方法及实施流程；提高了每个环节的管控标准；大大的提高了产品的设</w:t>
      </w:r>
      <w:r>
        <w:rPr>
          <w:spacing w:val="-66"/>
        </w:rPr>
        <w:t> </w:t>
      </w:r>
      <w:r>
        <w:rPr>
          <w:spacing w:val="-66"/>
        </w:rPr>
      </w:r>
      <w:r>
        <w:rPr/>
        <w:t>计质量、生产质量及生产效率。</w:t>
      </w:r>
    </w:p>
    <w:p>
      <w:pPr>
        <w:pStyle w:val="BodyText"/>
        <w:spacing w:line="316" w:lineRule="auto" w:before="17"/>
        <w:ind w:right="192" w:firstLine="422"/>
        <w:jc w:val="both"/>
      </w:pPr>
      <w:r>
        <w:rPr/>
        <w:t>南京能瑞具有完善的管控体系，在每个管理模块内部均具有完善的管控方法及实施流程，例如对于产品质量模块中， </w:t>
      </w:r>
      <w:r>
        <w:rPr>
          <w:spacing w:val="-2"/>
        </w:rPr>
        <w:t>针对于产品质量控制具有详细的管控制度，设计到产品质量的所有部门均按照质量管控制度进行管理，采用分布式质量管理</w:t>
      </w:r>
      <w:r>
        <w:rPr>
          <w:spacing w:val="-64"/>
        </w:rPr>
        <w:t> </w:t>
      </w:r>
      <w:r>
        <w:rPr>
          <w:spacing w:val="-64"/>
        </w:rPr>
      </w:r>
      <w:r>
        <w:rPr/>
        <w:t>理念，大大的提高了产品的设计质量、生产质量。</w:t>
      </w:r>
    </w:p>
    <w:p>
      <w:pPr>
        <w:pStyle w:val="BodyText"/>
        <w:spacing w:line="300" w:lineRule="auto" w:before="19"/>
        <w:ind w:right="191" w:firstLine="422"/>
        <w:jc w:val="both"/>
      </w:pPr>
      <w:r>
        <w:rPr>
          <w:spacing w:val="-9"/>
          <w:w w:val="99"/>
        </w:rPr>
        <w:t>南京能瑞采用</w:t>
      </w:r>
      <w:r>
        <w:rPr>
          <w:rFonts w:ascii="Times New Roman" w:hAnsi="Times New Roman" w:cs="Times New Roman" w:eastAsia="Times New Roman" w:hint="default"/>
          <w:spacing w:val="-9"/>
          <w:w w:val="99"/>
        </w:rPr>
        <w:t>ERP</w:t>
      </w:r>
      <w:r>
        <w:rPr>
          <w:spacing w:val="-9"/>
          <w:w w:val="99"/>
        </w:rPr>
        <w:t>、</w:t>
      </w:r>
      <w:r>
        <w:rPr>
          <w:rFonts w:ascii="Times New Roman" w:hAnsi="Times New Roman" w:cs="Times New Roman" w:eastAsia="Times New Roman" w:hint="default"/>
          <w:spacing w:val="-9"/>
          <w:w w:val="99"/>
        </w:rPr>
        <w:t>MES</w:t>
      </w:r>
      <w:r>
        <w:rPr>
          <w:spacing w:val="-9"/>
          <w:w w:val="99"/>
        </w:rPr>
        <w:t>、</w:t>
      </w:r>
      <w:r>
        <w:rPr>
          <w:rFonts w:ascii="Times New Roman" w:hAnsi="Times New Roman" w:cs="Times New Roman" w:eastAsia="Times New Roman" w:hint="default"/>
          <w:spacing w:val="-9"/>
          <w:w w:val="99"/>
        </w:rPr>
        <w:t>RDM</w:t>
      </w:r>
      <w:r>
        <w:rPr>
          <w:spacing w:val="-9"/>
          <w:w w:val="99"/>
        </w:rPr>
        <w:t>、</w:t>
      </w:r>
      <w:r>
        <w:rPr>
          <w:rFonts w:ascii="Times New Roman" w:hAnsi="Times New Roman" w:cs="Times New Roman" w:eastAsia="Times New Roman" w:hint="default"/>
          <w:spacing w:val="-9"/>
          <w:w w:val="99"/>
        </w:rPr>
        <w:t>CRM</w:t>
      </w:r>
      <w:r>
        <w:rPr>
          <w:spacing w:val="-9"/>
          <w:w w:val="99"/>
        </w:rPr>
        <w:t>信息化管理软件对物料、信息进行管控。公司通过</w:t>
      </w:r>
      <w:r>
        <w:rPr>
          <w:rFonts w:ascii="Times New Roman" w:hAnsi="Times New Roman" w:cs="Times New Roman" w:eastAsia="Times New Roman" w:hint="default"/>
          <w:spacing w:val="-9"/>
          <w:w w:val="99"/>
        </w:rPr>
        <w:t>ISO9001</w:t>
      </w:r>
      <w:r>
        <w:rPr>
          <w:spacing w:val="-9"/>
          <w:w w:val="99"/>
        </w:rPr>
        <w:t>质量体系认证，</w:t>
      </w:r>
      <w:r>
        <w:rPr>
          <w:rFonts w:ascii="Times New Roman" w:hAnsi="Times New Roman" w:cs="Times New Roman" w:eastAsia="Times New Roman" w:hint="default"/>
          <w:spacing w:val="-9"/>
          <w:w w:val="99"/>
        </w:rPr>
        <w:t>ISO14001</w:t>
      </w:r>
      <w:r>
        <w:rPr>
          <w:rFonts w:ascii="Times New Roman" w:hAnsi="Times New Roman" w:cs="Times New Roman" w:eastAsia="Times New Roman" w:hint="default"/>
        </w:rPr>
        <w:t> </w:t>
      </w:r>
      <w:r>
        <w:rPr/>
        <w:t>环境管理体系、</w:t>
      </w:r>
      <w:r>
        <w:rPr>
          <w:rFonts w:ascii="Times New Roman" w:hAnsi="Times New Roman" w:cs="Times New Roman" w:eastAsia="Times New Roman" w:hint="default"/>
        </w:rPr>
        <w:t>OHSAS18001</w:t>
      </w:r>
      <w:r>
        <w:rPr/>
        <w:t>职业健康安全管理体系，</w:t>
      </w:r>
      <w:r>
        <w:rPr>
          <w:rFonts w:ascii="Times New Roman" w:hAnsi="Times New Roman" w:cs="Times New Roman" w:eastAsia="Times New Roman" w:hint="default"/>
        </w:rPr>
        <w:t>ISO10012</w:t>
      </w:r>
      <w:r>
        <w:rPr/>
        <w:t>测量体系认证，</w:t>
      </w:r>
      <w:r>
        <w:rPr>
          <w:rFonts w:ascii="Times New Roman" w:hAnsi="Times New Roman" w:cs="Times New Roman" w:eastAsia="Times New Roman" w:hint="default"/>
        </w:rPr>
        <w:t>TS16949</w:t>
      </w:r>
      <w:r>
        <w:rPr/>
        <w:t>质量体系认证，两化融合体系，产 品贯彻</w:t>
      </w:r>
      <w:r>
        <w:rPr>
          <w:rFonts w:ascii="Times New Roman" w:hAnsi="Times New Roman" w:cs="Times New Roman" w:eastAsia="Times New Roman" w:hint="default"/>
        </w:rPr>
        <w:t>5S</w:t>
      </w:r>
      <w:r>
        <w:rPr/>
        <w:t>管理，产品通过</w:t>
      </w:r>
      <w:r>
        <w:rPr>
          <w:rFonts w:ascii="Times New Roman" w:hAnsi="Times New Roman" w:cs="Times New Roman" w:eastAsia="Times New Roman" w:hint="default"/>
        </w:rPr>
        <w:t>CMC</w:t>
      </w:r>
      <w:r>
        <w:rPr/>
        <w:t>制造计量器具许可认证、</w:t>
      </w:r>
      <w:r>
        <w:rPr>
          <w:rFonts w:ascii="Times New Roman" w:hAnsi="Times New Roman" w:cs="Times New Roman" w:eastAsia="Times New Roman" w:hint="default"/>
        </w:rPr>
        <w:t>3C</w:t>
      </w:r>
      <w:r>
        <w:rPr/>
        <w:t>认证、</w:t>
      </w:r>
      <w:r>
        <w:rPr>
          <w:rFonts w:ascii="Times New Roman" w:hAnsi="Times New Roman" w:cs="Times New Roman" w:eastAsia="Times New Roman" w:hint="default"/>
        </w:rPr>
        <w:t>UV</w:t>
      </w:r>
      <w:r>
        <w:rPr/>
        <w:t>认证，达到国际先进国内领先水平。</w:t>
      </w:r>
    </w:p>
    <w:p>
      <w:pPr>
        <w:spacing w:line="240" w:lineRule="auto" w:before="4"/>
        <w:rPr>
          <w:rFonts w:ascii="宋体" w:hAnsi="宋体" w:cs="宋体" w:eastAsia="宋体" w:hint="default"/>
          <w:sz w:val="20"/>
          <w:szCs w:val="20"/>
        </w:rPr>
      </w:pPr>
    </w:p>
    <w:p>
      <w:pPr>
        <w:pStyle w:val="Heading2"/>
        <w:spacing w:line="468" w:lineRule="auto"/>
        <w:ind w:right="6809"/>
        <w:jc w:val="left"/>
        <w:rPr>
          <w:b w:val="0"/>
          <w:bCs w:val="0"/>
        </w:rPr>
      </w:pPr>
      <w:bookmarkStart w:name="第四节 经营情况讨论与分析" w:id="22"/>
      <w:bookmarkEnd w:id="22"/>
      <w:r>
        <w:rPr>
          <w:b w:val="0"/>
          <w:bCs w:val="0"/>
        </w:rPr>
      </w:r>
      <w:r>
        <w:rPr/>
        <w:t>第四节</w:t>
      </w:r>
      <w:r>
        <w:rPr>
          <w:spacing w:val="-9"/>
        </w:rPr>
        <w:t> </w:t>
      </w:r>
      <w:r>
        <w:rPr/>
        <w:t>经营情况讨论与分析</w:t>
      </w:r>
      <w:r>
        <w:rPr>
          <w:w w:val="99"/>
        </w:rPr>
        <w:t> </w:t>
      </w:r>
      <w:bookmarkStart w:name="一、概述" w:id="23"/>
      <w:bookmarkEnd w:id="23"/>
      <w:r>
        <w:rPr/>
        <w:t>一、概述</w:t>
      </w:r>
      <w:r>
        <w:rPr>
          <w:b w:val="0"/>
          <w:bCs w:val="0"/>
        </w:rPr>
      </w:r>
    </w:p>
    <w:p>
      <w:pPr>
        <w:pStyle w:val="BodyText"/>
        <w:spacing w:line="360" w:lineRule="auto" w:before="141"/>
        <w:ind w:right="190" w:firstLine="420"/>
        <w:jc w:val="both"/>
      </w:pPr>
      <w:r>
        <w:rPr>
          <w:rFonts w:ascii="Times New Roman" w:hAnsi="Times New Roman" w:cs="Times New Roman" w:eastAsia="Times New Roman" w:hint="default"/>
          <w:spacing w:val="-1"/>
        </w:rPr>
        <w:t>2017</w:t>
      </w:r>
      <w:r>
        <w:rPr>
          <w:spacing w:val="-1"/>
        </w:rPr>
        <w:t>年，公司以</w:t>
      </w:r>
      <w:r>
        <w:rPr>
          <w:rFonts w:ascii="Times New Roman" w:hAnsi="Times New Roman" w:cs="Times New Roman" w:eastAsia="Times New Roman" w:hint="default"/>
          <w:spacing w:val="-1"/>
        </w:rPr>
        <w:t>“</w:t>
      </w:r>
      <w:r>
        <w:rPr>
          <w:spacing w:val="-1"/>
        </w:rPr>
        <w:t>智能电网</w:t>
      </w:r>
      <w:r>
        <w:rPr>
          <w:rFonts w:ascii="Times New Roman" w:hAnsi="Times New Roman" w:cs="Times New Roman" w:eastAsia="Times New Roman" w:hint="default"/>
          <w:spacing w:val="-1"/>
        </w:rPr>
        <w:t>+</w:t>
      </w:r>
      <w:r>
        <w:rPr>
          <w:spacing w:val="-1"/>
        </w:rPr>
        <w:t>新能源</w:t>
      </w:r>
      <w:r>
        <w:rPr>
          <w:rFonts w:ascii="Times New Roman" w:hAnsi="Times New Roman" w:cs="Times New Roman" w:eastAsia="Times New Roman" w:hint="default"/>
          <w:spacing w:val="-1"/>
        </w:rPr>
        <w:t>”</w:t>
      </w:r>
      <w:r>
        <w:rPr>
          <w:spacing w:val="-1"/>
        </w:rPr>
        <w:t>为战略布局，在保持原有业务优势的同时，先后收购南京能瑞和鸿图隔膜，丰富了</w:t>
      </w:r>
      <w:r>
        <w:rPr/>
        <w:t> </w:t>
      </w:r>
      <w:r>
        <w:rPr>
          <w:spacing w:val="-2"/>
        </w:rPr>
        <w:t>上市公司的技术资源、客户资源和渠道资源，有助于上市公司的产业融合、技术互补和优势共享。因此，上市公司的整体盈</w:t>
      </w:r>
      <w:r>
        <w:rPr>
          <w:spacing w:val="-66"/>
        </w:rPr>
        <w:t> </w:t>
      </w:r>
      <w:r>
        <w:rPr>
          <w:spacing w:val="-66"/>
        </w:rPr>
      </w:r>
      <w:r>
        <w:rPr>
          <w:spacing w:val="-2"/>
        </w:rPr>
        <w:t>利能力将得到进一步提高，公司业务快速稳定发展将得到更好保障，上市公司持续经营能力得到进一步增强，公司股东价值</w:t>
      </w:r>
      <w:r>
        <w:rPr>
          <w:spacing w:val="-66"/>
        </w:rPr>
        <w:t> </w:t>
      </w:r>
      <w:r>
        <w:rPr>
          <w:spacing w:val="-66"/>
        </w:rPr>
      </w:r>
      <w:r>
        <w:rPr/>
        <w:t>也将得到更好地提升。</w:t>
      </w:r>
    </w:p>
    <w:p>
      <w:pPr>
        <w:pStyle w:val="BodyText"/>
        <w:spacing w:line="345" w:lineRule="auto" w:before="33"/>
        <w:ind w:right="190" w:firstLine="420"/>
        <w:jc w:val="both"/>
      </w:pPr>
      <w:r>
        <w:rPr/>
        <w:t>报告期内，公司实现营业总收入</w:t>
      </w:r>
      <w:r>
        <w:rPr>
          <w:rFonts w:ascii="Times New Roman" w:hAnsi="Times New Roman" w:cs="Times New Roman" w:eastAsia="Times New Roman" w:hint="default"/>
        </w:rPr>
        <w:t>74,131.45</w:t>
      </w:r>
      <w:r>
        <w:rPr/>
        <w:t>万元，较上年同期增长</w:t>
      </w:r>
      <w:r>
        <w:rPr>
          <w:rFonts w:ascii="Times New Roman" w:hAnsi="Times New Roman" w:cs="Times New Roman" w:eastAsia="Times New Roman" w:hint="default"/>
        </w:rPr>
        <w:t>96.00%</w:t>
      </w:r>
      <w:r>
        <w:rPr/>
        <w:t>；实现营业利润为</w:t>
      </w:r>
      <w:r>
        <w:rPr>
          <w:rFonts w:ascii="Times New Roman" w:hAnsi="Times New Roman" w:cs="Times New Roman" w:eastAsia="Times New Roman" w:hint="default"/>
        </w:rPr>
        <w:t>14,997.69</w:t>
      </w:r>
      <w:r>
        <w:rPr/>
        <w:t>万元，较上年同期 增长</w:t>
      </w:r>
      <w:r>
        <w:rPr>
          <w:rFonts w:ascii="Times New Roman" w:hAnsi="Times New Roman" w:cs="Times New Roman" w:eastAsia="Times New Roman" w:hint="default"/>
        </w:rPr>
        <w:t>126.12%</w:t>
      </w:r>
      <w:r>
        <w:rPr/>
        <w:t>；实现利润总额为</w:t>
      </w:r>
      <w:r>
        <w:rPr>
          <w:rFonts w:ascii="Times New Roman" w:hAnsi="Times New Roman" w:cs="Times New Roman" w:eastAsia="Times New Roman" w:hint="default"/>
        </w:rPr>
        <w:t>15,022.46</w:t>
      </w:r>
      <w:r>
        <w:rPr/>
        <w:t>万元，较上年同期增长</w:t>
      </w:r>
      <w:r>
        <w:rPr>
          <w:rFonts w:ascii="Times New Roman" w:hAnsi="Times New Roman" w:cs="Times New Roman" w:eastAsia="Times New Roman" w:hint="default"/>
        </w:rPr>
        <w:t>110.93%</w:t>
      </w:r>
      <w:r>
        <w:rPr/>
        <w:t>；实现归属于上市公司股东的净利润为</w:t>
      </w:r>
      <w:r>
        <w:rPr>
          <w:rFonts w:ascii="Times New Roman" w:hAnsi="Times New Roman" w:cs="Times New Roman" w:eastAsia="Times New Roman" w:hint="default"/>
        </w:rPr>
        <w:t>12,565.50</w:t>
      </w:r>
      <w:r>
        <w:rPr/>
        <w:t>万</w:t>
      </w:r>
      <w:r>
        <w:rPr>
          <w:spacing w:val="-33"/>
        </w:rPr>
        <w:t> </w:t>
      </w:r>
      <w:r>
        <w:rPr>
          <w:spacing w:val="-1"/>
        </w:rPr>
        <w:t>元，较上年同期增长</w:t>
      </w:r>
      <w:r>
        <w:rPr>
          <w:rFonts w:ascii="Times New Roman" w:hAnsi="Times New Roman" w:cs="Times New Roman" w:eastAsia="Times New Roman" w:hint="default"/>
          <w:spacing w:val="-1"/>
        </w:rPr>
        <w:t>122.92%</w:t>
      </w:r>
      <w:r>
        <w:rPr>
          <w:spacing w:val="-1"/>
        </w:rPr>
        <w:t>。报告期内公司收入、利润等各项指标实现较大幅度增长，主要系公司电气成套设备业务稳定</w:t>
      </w:r>
      <w:r>
        <w:rPr>
          <w:spacing w:val="-42"/>
        </w:rPr>
        <w:t> </w:t>
      </w:r>
      <w:r>
        <w:rPr>
          <w:spacing w:val="-42"/>
        </w:rPr>
      </w:r>
      <w:r>
        <w:rPr/>
        <w:t>增长以及</w:t>
      </w:r>
      <w:r>
        <w:rPr>
          <w:rFonts w:ascii="Times New Roman" w:hAnsi="Times New Roman" w:cs="Times New Roman" w:eastAsia="Times New Roman" w:hint="default"/>
        </w:rPr>
        <w:t>2017</w:t>
      </w:r>
      <w:r>
        <w:rPr/>
        <w:t>年６月份实现对南京能瑞的合并。</w:t>
      </w:r>
    </w:p>
    <w:p>
      <w:pPr>
        <w:pStyle w:val="BodyText"/>
        <w:spacing w:line="240" w:lineRule="auto" w:before="22"/>
        <w:ind w:left="574" w:right="99"/>
        <w:jc w:val="left"/>
      </w:pPr>
      <w:r>
        <w:rPr/>
        <w:t>报告期内，公司重点开展了以下工作：</w:t>
      </w:r>
    </w:p>
    <w:p>
      <w:pPr>
        <w:pStyle w:val="Heading6"/>
        <w:spacing w:line="240" w:lineRule="auto" w:before="123"/>
        <w:ind w:right="99"/>
        <w:jc w:val="left"/>
        <w:rPr>
          <w:b w:val="0"/>
          <w:bCs w:val="0"/>
        </w:rPr>
      </w:pPr>
      <w:r>
        <w:rPr>
          <w:rFonts w:ascii="Times New Roman" w:hAnsi="Times New Roman" w:cs="Times New Roman" w:eastAsia="Times New Roman" w:hint="default"/>
        </w:rPr>
        <w:t>1</w:t>
      </w:r>
      <w:r>
        <w:rPr/>
        <w:t>、布局新能源产业、实现</w:t>
      </w:r>
      <w:r>
        <w:rPr>
          <w:rFonts w:ascii="Times New Roman" w:hAnsi="Times New Roman" w:cs="Times New Roman" w:eastAsia="Times New Roman" w:hint="default"/>
        </w:rPr>
        <w:t>“</w:t>
      </w:r>
      <w:r>
        <w:rPr/>
        <w:t>智能电网</w:t>
      </w:r>
      <w:r>
        <w:rPr>
          <w:rFonts w:ascii="Times New Roman" w:hAnsi="Times New Roman" w:cs="Times New Roman" w:eastAsia="Times New Roman" w:hint="default"/>
        </w:rPr>
        <w:t>+</w:t>
      </w:r>
      <w:r>
        <w:rPr/>
        <w:t>新能源</w:t>
      </w:r>
      <w:r>
        <w:rPr>
          <w:rFonts w:ascii="Times New Roman" w:hAnsi="Times New Roman" w:cs="Times New Roman" w:eastAsia="Times New Roman" w:hint="default"/>
        </w:rPr>
        <w:t>”</w:t>
      </w:r>
      <w:r>
        <w:rPr/>
        <w:t>双轮驱动</w:t>
      </w:r>
      <w:r>
        <w:rPr>
          <w:b w:val="0"/>
          <w:bCs w:val="0"/>
        </w:rPr>
      </w:r>
    </w:p>
    <w:p>
      <w:pPr>
        <w:pStyle w:val="BodyText"/>
        <w:spacing w:line="345" w:lineRule="auto" w:before="109"/>
        <w:ind w:left="574" w:right="99"/>
        <w:jc w:val="left"/>
      </w:pPr>
      <w:r>
        <w:rPr/>
        <w:t>（</w:t>
      </w:r>
      <w:r>
        <w:rPr>
          <w:rFonts w:ascii="Times New Roman" w:hAnsi="Times New Roman" w:cs="Times New Roman" w:eastAsia="Times New Roman" w:hint="default"/>
        </w:rPr>
        <w:t>1</w:t>
      </w:r>
      <w:r>
        <w:rPr/>
        <w:t>）持续做大做强智能电气开关设备业务 在全球经济形势复杂多变、中国宏观经济复苏进程缓慢的背景下，公司董事会、管理层和全体员工面对市场竞争不断</w:t>
      </w:r>
    </w:p>
    <w:p>
      <w:pPr>
        <w:pStyle w:val="BodyText"/>
        <w:spacing w:line="355" w:lineRule="auto"/>
        <w:ind w:right="102"/>
        <w:jc w:val="left"/>
      </w:pPr>
      <w:r>
        <w:rPr>
          <w:spacing w:val="-2"/>
        </w:rPr>
        <w:t>加剧的市场形势，及时调整产品结构及行业项目市场的规划布局。齐心协力、共同努力，积极开拓市场，公司高度专注于智</w:t>
      </w:r>
      <w:r>
        <w:rPr>
          <w:spacing w:val="-66"/>
        </w:rPr>
        <w:t> </w:t>
      </w:r>
      <w:r>
        <w:rPr>
          <w:spacing w:val="-66"/>
        </w:rPr>
      </w:r>
      <w:r>
        <w:rPr/>
        <w:t>能环网开关产品的集成设计与研发生产，</w:t>
      </w:r>
      <w:r>
        <w:rPr>
          <w:rFonts w:ascii="Times New Roman" w:hAnsi="Times New Roman" w:cs="Times New Roman" w:eastAsia="Times New Roman" w:hint="default"/>
        </w:rPr>
        <w:t>40.5kV</w:t>
      </w:r>
      <w:r>
        <w:rPr/>
        <w:t>及以下</w:t>
      </w:r>
      <w:r>
        <w:rPr>
          <w:rFonts w:ascii="Times New Roman" w:hAnsi="Times New Roman" w:cs="Times New Roman" w:eastAsia="Times New Roman" w:hint="default"/>
        </w:rPr>
        <w:t>C-GIS</w:t>
      </w:r>
      <w:r>
        <w:rPr/>
        <w:t>智能气体绝缘环网开关柜、</w:t>
      </w:r>
      <w:r>
        <w:rPr>
          <w:rFonts w:ascii="Times New Roman" w:hAnsi="Times New Roman" w:cs="Times New Roman" w:eastAsia="Times New Roman" w:hint="default"/>
        </w:rPr>
        <w:t>40.5kV</w:t>
      </w:r>
      <w:r>
        <w:rPr/>
        <w:t>及以下智能环保气体绝缘环 </w:t>
      </w:r>
      <w:r>
        <w:rPr>
          <w:spacing w:val="-2"/>
        </w:rPr>
        <w:t>网开关柜，</w:t>
      </w:r>
      <w:r>
        <w:rPr>
          <w:rFonts w:ascii="Times New Roman" w:hAnsi="Times New Roman" w:cs="Times New Roman" w:eastAsia="Times New Roman" w:hint="default"/>
          <w:spacing w:val="-2"/>
        </w:rPr>
        <w:t>10kV</w:t>
      </w:r>
      <w:r>
        <w:rPr>
          <w:spacing w:val="-2"/>
        </w:rPr>
        <w:t>固体绝缘环网开关柜、</w:t>
      </w:r>
      <w:r>
        <w:rPr>
          <w:rFonts w:ascii="Times New Roman" w:hAnsi="Times New Roman" w:cs="Times New Roman" w:eastAsia="Times New Roman" w:hint="default"/>
          <w:spacing w:val="-2"/>
        </w:rPr>
        <w:t>10kV</w:t>
      </w:r>
      <w:r>
        <w:rPr>
          <w:spacing w:val="-2"/>
        </w:rPr>
        <w:t>空气绝缘环网开关柜产品优势，发挥技术优势、产品创新优势、资源整合优势，</w:t>
      </w:r>
      <w:r>
        <w:rPr>
          <w:spacing w:val="-50"/>
        </w:rPr>
        <w:t> </w:t>
      </w:r>
      <w:r>
        <w:rPr>
          <w:spacing w:val="-50"/>
        </w:rPr>
      </w:r>
      <w:r>
        <w:rPr/>
        <w:t>把握客户和市场的需求，依托高效优秀团队，发挥产品优势，加大市场开拓力度，为公司在电网市场创造新的业务增长点， 部分区域市场处于领先地位。</w:t>
      </w:r>
    </w:p>
    <w:p>
      <w:pPr>
        <w:pStyle w:val="BodyText"/>
        <w:spacing w:line="355" w:lineRule="auto" w:before="37"/>
        <w:ind w:right="192" w:firstLine="420"/>
        <w:jc w:val="both"/>
      </w:pPr>
      <w:r>
        <w:rPr>
          <w:rFonts w:ascii="Times New Roman" w:hAnsi="Times New Roman" w:cs="Times New Roman" w:eastAsia="Times New Roman" w:hint="default"/>
        </w:rPr>
        <w:t>2017</w:t>
      </w:r>
      <w:r>
        <w:rPr/>
        <w:t>年公司在轨道交通行业依然保持良好的中标态势。在项目管理过程中，制定具有高度针对性的营销方案，以精细 </w:t>
      </w:r>
      <w:r>
        <w:rPr>
          <w:spacing w:val="-2"/>
        </w:rPr>
        <w:t>的技术优化方案和对投标环节严格的把控，大幅度地提高项目中标率。公司在市场竞争压力加大的情况下，长春地铁二号线</w:t>
      </w:r>
      <w:r>
        <w:rPr>
          <w:spacing w:val="-66"/>
        </w:rPr>
        <w:t> </w:t>
      </w:r>
      <w:r>
        <w:rPr>
          <w:spacing w:val="-66"/>
        </w:rPr>
      </w:r>
      <w:r>
        <w:rPr/>
        <w:t>高低压智能电气设备中标金额共计</w:t>
      </w:r>
      <w:r>
        <w:rPr>
          <w:rFonts w:ascii="Times New Roman" w:hAnsi="Times New Roman" w:cs="Times New Roman" w:eastAsia="Times New Roman" w:hint="default"/>
        </w:rPr>
        <w:t>1.02</w:t>
      </w:r>
      <w:r>
        <w:rPr/>
        <w:t>亿元，公司取得了区域性轨道交通行业市场龙头地位。</w:t>
      </w:r>
    </w:p>
    <w:p>
      <w:pPr>
        <w:pStyle w:val="BodyText"/>
        <w:spacing w:line="345" w:lineRule="auto" w:before="14"/>
        <w:ind w:right="191" w:firstLine="300"/>
        <w:jc w:val="both"/>
      </w:pPr>
      <w:r>
        <w:rPr/>
        <w:t>东北地区是中国重要的商品粮基地、也是全国粮食增长最快、贡献最大的区域、更是中粮集团布局</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战略规划的 </w:t>
      </w:r>
      <w:r>
        <w:rPr>
          <w:spacing w:val="-1"/>
        </w:rPr>
        <w:t>重要区域。公司在</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月顺利成为中粮集团合格供应商，全年累计实现销售订单</w:t>
      </w:r>
      <w:r>
        <w:rPr>
          <w:rFonts w:ascii="Times New Roman" w:hAnsi="Times New Roman" w:cs="Times New Roman" w:eastAsia="Times New Roman" w:hint="default"/>
          <w:spacing w:val="-1"/>
        </w:rPr>
        <w:t>1944.36</w:t>
      </w:r>
      <w:r>
        <w:rPr>
          <w:spacing w:val="-1"/>
        </w:rPr>
        <w:t>万。与中粮集团的成功合作，为</w:t>
      </w:r>
      <w:r>
        <w:rPr>
          <w:spacing w:val="-70"/>
        </w:rPr>
        <w:t> </w:t>
      </w:r>
      <w:r>
        <w:rPr>
          <w:spacing w:val="-70"/>
        </w:rPr>
      </w:r>
      <w:r>
        <w:rPr/>
        <w:t>公司拓展粮食深加工项目领域奠定了基础。</w:t>
      </w:r>
    </w:p>
    <w:p>
      <w:pPr>
        <w:pStyle w:val="BodyText"/>
        <w:spacing w:line="240" w:lineRule="auto"/>
        <w:ind w:left="574" w:right="99"/>
        <w:jc w:val="left"/>
      </w:pPr>
      <w:r>
        <w:rPr/>
        <w:t>（</w:t>
      </w:r>
      <w:r>
        <w:rPr>
          <w:rFonts w:ascii="Times New Roman" w:hAnsi="Times New Roman" w:cs="Times New Roman" w:eastAsia="Times New Roman" w:hint="default"/>
        </w:rPr>
        <w:t>2</w:t>
      </w:r>
      <w:r>
        <w:rPr/>
        <w:t>）外延式发展，进入新能源产业，深化</w:t>
      </w:r>
      <w:r>
        <w:rPr>
          <w:rFonts w:ascii="Times New Roman" w:hAnsi="Times New Roman" w:cs="Times New Roman" w:eastAsia="Times New Roman" w:hint="default"/>
        </w:rPr>
        <w:t>“</w:t>
      </w:r>
      <w:r>
        <w:rPr/>
        <w:t>智能电网</w:t>
      </w:r>
      <w:r>
        <w:rPr>
          <w:rFonts w:ascii="Times New Roman" w:hAnsi="Times New Roman" w:cs="Times New Roman" w:eastAsia="Times New Roman" w:hint="default"/>
        </w:rPr>
        <w:t>+</w:t>
      </w:r>
      <w:r>
        <w:rPr/>
        <w:t>新能源</w:t>
      </w:r>
      <w:r>
        <w:rPr>
          <w:rFonts w:ascii="Times New Roman" w:hAnsi="Times New Roman" w:cs="Times New Roman" w:eastAsia="Times New Roman" w:hint="default"/>
        </w:rPr>
        <w:t>”</w:t>
      </w:r>
      <w:r>
        <w:rPr/>
        <w:t>战略布局</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7"/>
          <w:szCs w:val="27"/>
        </w:rPr>
      </w:pPr>
    </w:p>
    <w:p>
      <w:pPr>
        <w:pStyle w:val="BodyText"/>
        <w:spacing w:line="345" w:lineRule="auto"/>
        <w:ind w:right="189"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日，公司收到中国证券监督管理委员会《关于核准吉林省金冠电气股份有限公司向南京能策投资管理有限 </w:t>
      </w:r>
      <w:r>
        <w:rPr>
          <w:spacing w:val="-2"/>
        </w:rPr>
        <w:t>公司等发行股份购买资产并募集配套资金的批复》（证监许可【</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577</w:t>
      </w:r>
      <w:r>
        <w:rPr>
          <w:spacing w:val="-2"/>
        </w:rPr>
        <w:t>号），</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日，南京市工商行政管理局核</w:t>
      </w:r>
      <w:r>
        <w:rPr>
          <w:spacing w:val="-54"/>
        </w:rPr>
        <w:t> </w:t>
      </w:r>
      <w:r>
        <w:rPr>
          <w:spacing w:val="-54"/>
        </w:rPr>
      </w:r>
      <w:r>
        <w:rPr>
          <w:spacing w:val="-2"/>
        </w:rPr>
        <w:t>准了南京能瑞自动化设备有限公司（以下简称</w:t>
      </w:r>
      <w:r>
        <w:rPr>
          <w:rFonts w:ascii="Times New Roman" w:hAnsi="Times New Roman" w:cs="Times New Roman" w:eastAsia="Times New Roman" w:hint="default"/>
          <w:spacing w:val="-2"/>
        </w:rPr>
        <w:t>“</w:t>
      </w:r>
      <w:r>
        <w:rPr>
          <w:spacing w:val="-2"/>
        </w:rPr>
        <w:t>南京能瑞</w:t>
      </w:r>
      <w:r>
        <w:rPr>
          <w:rFonts w:ascii="Times New Roman" w:hAnsi="Times New Roman" w:cs="Times New Roman" w:eastAsia="Times New Roman" w:hint="default"/>
          <w:spacing w:val="-2"/>
        </w:rPr>
        <w:t>”</w:t>
      </w:r>
      <w:r>
        <w:rPr>
          <w:spacing w:val="-2"/>
        </w:rPr>
        <w:t>）的股东变更，并核发了《企业法人营业执照》（统一社会信用代</w:t>
      </w:r>
      <w:r>
        <w:rPr>
          <w:spacing w:val="-44"/>
        </w:rPr>
        <w:t> </w:t>
      </w:r>
      <w:r>
        <w:rPr>
          <w:spacing w:val="-44"/>
        </w:rPr>
      </w:r>
      <w:r>
        <w:rPr/>
        <w:t>码：</w:t>
      </w:r>
      <w:r>
        <w:rPr>
          <w:rFonts w:ascii="Times New Roman" w:hAnsi="Times New Roman" w:cs="Times New Roman" w:eastAsia="Times New Roman" w:hint="default"/>
        </w:rPr>
        <w:t>913201007712746910</w:t>
      </w:r>
      <w:r>
        <w:rPr/>
        <w:t>），本次南京能瑞股东变更完成后，公司持有南京能瑞</w:t>
      </w:r>
      <w:r>
        <w:rPr>
          <w:rFonts w:ascii="Times New Roman" w:hAnsi="Times New Roman" w:cs="Times New Roman" w:eastAsia="Times New Roman" w:hint="default"/>
        </w:rPr>
        <w:t>100%</w:t>
      </w:r>
      <w:r>
        <w:rPr/>
        <w:t>股权。同时，报告期内，公司筹划收</w:t>
      </w:r>
      <w:r>
        <w:rPr>
          <w:spacing w:val="-58"/>
        </w:rPr>
        <w:t> </w:t>
      </w:r>
      <w:r>
        <w:rPr>
          <w:spacing w:val="-58"/>
        </w:rPr>
      </w:r>
      <w:r>
        <w:rPr/>
        <w:t>购辽源鸿图锂电隔膜科技股份有限公司</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日中国证监会上市公司并购重组审核委员会召开的</w:t>
      </w:r>
      <w:r>
        <w:rPr>
          <w:rFonts w:ascii="Times New Roman" w:hAnsi="Times New Roman" w:cs="Times New Roman" w:eastAsia="Times New Roman" w:hint="default"/>
        </w:rPr>
        <w:t>2017</w:t>
      </w:r>
      <w:r>
        <w:rPr/>
        <w:t>年</w:t>
      </w:r>
      <w:r>
        <w:rPr>
          <w:spacing w:val="-83"/>
        </w:rPr>
        <w:t> </w:t>
      </w:r>
      <w:r>
        <w:rPr>
          <w:spacing w:val="-2"/>
        </w:rPr>
        <w:t>第</w:t>
      </w:r>
      <w:r>
        <w:rPr>
          <w:rFonts w:ascii="Times New Roman" w:hAnsi="Times New Roman" w:cs="Times New Roman" w:eastAsia="Times New Roman" w:hint="default"/>
          <w:spacing w:val="-2"/>
        </w:rPr>
        <w:t>76</w:t>
      </w:r>
      <w:r>
        <w:rPr>
          <w:spacing w:val="-2"/>
        </w:rPr>
        <w:t>次并购重组委工作会议审核，公司本次发行股份及支付现金购买资产并募集配套资金暨关联交易事项获得通过。此次收</w:t>
      </w:r>
      <w:r>
        <w:rPr>
          <w:spacing w:val="-62"/>
        </w:rPr>
        <w:t> </w:t>
      </w:r>
      <w:r>
        <w:rPr>
          <w:spacing w:val="-62"/>
        </w:rPr>
      </w:r>
      <w:r>
        <w:rPr/>
        <w:t>购鸿图隔膜的成功过会，加快了金冠电气在新能源领域的布局，实现了公司</w:t>
      </w:r>
      <w:r>
        <w:rPr>
          <w:rFonts w:ascii="Times New Roman" w:hAnsi="Times New Roman" w:cs="Times New Roman" w:eastAsia="Times New Roman" w:hint="default"/>
        </w:rPr>
        <w:t>“</w:t>
      </w:r>
      <w:r>
        <w:rPr/>
        <w:t>智能电网</w:t>
      </w:r>
      <w:r>
        <w:rPr>
          <w:rFonts w:ascii="Times New Roman" w:hAnsi="Times New Roman" w:cs="Times New Roman" w:eastAsia="Times New Roman" w:hint="default"/>
        </w:rPr>
        <w:t>+</w:t>
      </w:r>
      <w:r>
        <w:rPr/>
        <w:t>新能源</w:t>
      </w:r>
      <w:r>
        <w:rPr>
          <w:rFonts w:ascii="Times New Roman" w:hAnsi="Times New Roman" w:cs="Times New Roman" w:eastAsia="Times New Roman" w:hint="default"/>
        </w:rPr>
        <w:t>”</w:t>
      </w:r>
      <w:r>
        <w:rPr/>
        <w:t>的双轮驱动战略，有利于持</w:t>
      </w:r>
      <w:r>
        <w:rPr>
          <w:spacing w:val="-76"/>
        </w:rPr>
        <w:t> </w:t>
      </w:r>
      <w:r>
        <w:rPr>
          <w:spacing w:val="-76"/>
        </w:rPr>
      </w:r>
      <w:r>
        <w:rPr/>
        <w:t>续增强公司营收与股东回报。</w:t>
      </w:r>
    </w:p>
    <w:p>
      <w:pPr>
        <w:pStyle w:val="BodyText"/>
        <w:spacing w:line="360" w:lineRule="auto"/>
        <w:ind w:right="92" w:firstLine="420"/>
        <w:jc w:val="left"/>
      </w:pPr>
      <w:r>
        <w:rPr/>
        <w:t>南京能瑞的主要产品之一为充电桩，是新能源汽车配套设施之一。南京能瑞的产品优势在于大功率快速充电设备，除 了提供给国家电网和相关车企外，公司还在公交场站投资建设大型充电站，为新能源公交车辆提供充电服务并收取服务费。 </w:t>
      </w:r>
      <w:r>
        <w:rPr>
          <w:spacing w:val="-5"/>
        </w:rPr>
        <w:t>截止</w:t>
      </w:r>
      <w:r>
        <w:rPr>
          <w:rFonts w:ascii="Times New Roman" w:hAnsi="Times New Roman" w:cs="Times New Roman" w:eastAsia="Times New Roman" w:hint="default"/>
          <w:spacing w:val="-5"/>
        </w:rPr>
        <w:t>2017</w:t>
      </w:r>
      <w:r>
        <w:rPr>
          <w:spacing w:val="-5"/>
        </w:rPr>
        <w:t>年末。南京能瑞的充电桩覆盖北京、天津、山东、山西、浙江、江苏、河北等省市的多个城市，累计投建充电桩</w:t>
      </w:r>
      <w:r>
        <w:rPr>
          <w:rFonts w:ascii="Times New Roman" w:hAnsi="Times New Roman" w:cs="Times New Roman" w:eastAsia="Times New Roman" w:hint="default"/>
          <w:spacing w:val="-5"/>
        </w:rPr>
        <w:t>4500</w:t>
      </w:r>
      <w:r>
        <w:rPr>
          <w:rFonts w:ascii="Times New Roman" w:hAnsi="Times New Roman" w:cs="Times New Roman" w:eastAsia="Times New Roman" w:hint="default"/>
          <w:spacing w:val="-18"/>
        </w:rPr>
        <w:t> </w:t>
      </w:r>
      <w:r>
        <w:rPr/>
        <w:t>多个，其中公交大功率充电桩</w:t>
      </w:r>
      <w:r>
        <w:rPr>
          <w:rFonts w:ascii="Times New Roman" w:hAnsi="Times New Roman" w:cs="Times New Roman" w:eastAsia="Times New Roman" w:hint="default"/>
        </w:rPr>
        <w:t>600</w:t>
      </w:r>
      <w:r>
        <w:rPr/>
        <w:t>多个，充电网格局初步形成。</w:t>
      </w:r>
    </w:p>
    <w:p>
      <w:pPr>
        <w:pStyle w:val="BodyText"/>
        <w:spacing w:line="357" w:lineRule="auto" w:before="10"/>
        <w:ind w:right="107" w:firstLine="420"/>
        <w:jc w:val="left"/>
      </w:pPr>
      <w:r>
        <w:rPr/>
        <w:t>近三年，在国家电网组织的充电桩统一招标中，南京能瑞充电桩产品中标金额占国家电网招标总金额比例约为</w:t>
      </w:r>
      <w:r>
        <w:rPr>
          <w:rFonts w:ascii="Times New Roman" w:hAnsi="Times New Roman" w:cs="Times New Roman" w:eastAsia="Times New Roman" w:hint="default"/>
        </w:rPr>
        <w:t>4.51%</w:t>
      </w:r>
      <w:r>
        <w:rPr/>
        <w:t>。 其中标产品广泛应用保证大型国际会议会场如</w:t>
      </w:r>
      <w:r>
        <w:rPr>
          <w:rFonts w:ascii="Times New Roman" w:hAnsi="Times New Roman" w:cs="Times New Roman" w:eastAsia="Times New Roman" w:hint="default"/>
        </w:rPr>
        <w:t>APEC</w:t>
      </w:r>
      <w:r>
        <w:rPr/>
        <w:t>及</w:t>
      </w:r>
      <w:r>
        <w:rPr>
          <w:rFonts w:ascii="Times New Roman" w:hAnsi="Times New Roman" w:cs="Times New Roman" w:eastAsia="Times New Roman" w:hint="default"/>
        </w:rPr>
        <w:t>G20</w:t>
      </w:r>
      <w:r>
        <w:rPr/>
        <w:t>峰会等新能源汽车充电站建设上，受到用户好评。未来三年，南</w:t>
      </w:r>
      <w:r>
        <w:rPr>
          <w:spacing w:val="-47"/>
        </w:rPr>
        <w:t> </w:t>
      </w:r>
      <w:r>
        <w:rPr>
          <w:spacing w:val="-47"/>
        </w:rPr>
      </w:r>
      <w:r>
        <w:rPr>
          <w:spacing w:val="-2"/>
        </w:rPr>
        <w:t>京能瑞将继续发挥大功率快速充电优势，通过智能化制造规模效应及从制造到安装以及运营与云平台管理等相关全产业链布</w:t>
      </w:r>
      <w:r>
        <w:rPr>
          <w:spacing w:val="-63"/>
        </w:rPr>
        <w:t> </w:t>
      </w:r>
      <w:r>
        <w:rPr>
          <w:spacing w:val="-63"/>
        </w:rPr>
      </w:r>
      <w:r>
        <w:rPr>
          <w:spacing w:val="-2"/>
        </w:rPr>
        <w:t>局来增加产能和市场份额；通过快充加柔性的模式，为大型公交车辆及物流车辆提供安全快捷的充电服务，将充电桩制造和</w:t>
      </w:r>
      <w:r>
        <w:rPr>
          <w:spacing w:val="-66"/>
        </w:rPr>
        <w:t> </w:t>
      </w:r>
      <w:r>
        <w:rPr>
          <w:spacing w:val="-66"/>
        </w:rPr>
      </w:r>
      <w:r>
        <w:rPr/>
        <w:t>充电服务的利润占企业全部利润的比重提升至行业平均水平以上；实现从传统制造向新能源设备制造与运维的业务模式转</w:t>
      </w:r>
      <w:r>
        <w:rPr>
          <w:spacing w:val="-9"/>
        </w:rPr>
        <w:t> </w:t>
      </w:r>
      <w:r>
        <w:rPr>
          <w:spacing w:val="-9"/>
        </w:rPr>
      </w:r>
      <w:r>
        <w:rPr/>
        <w:t>变，进而向一流的新能源充电服务商转型。</w:t>
      </w:r>
    </w:p>
    <w:p>
      <w:pPr>
        <w:pStyle w:val="BodyText"/>
        <w:spacing w:line="345" w:lineRule="auto" w:before="35"/>
        <w:ind w:right="86" w:firstLine="420"/>
        <w:jc w:val="left"/>
      </w:pPr>
      <w:r>
        <w:rPr>
          <w:spacing w:val="-1"/>
        </w:rPr>
        <w:t>鸿图隔膜成立于</w:t>
      </w:r>
      <w:r>
        <w:rPr>
          <w:rFonts w:ascii="Times New Roman" w:hAnsi="Times New Roman" w:cs="Times New Roman" w:eastAsia="Times New Roman" w:hint="default"/>
          <w:spacing w:val="-1"/>
        </w:rPr>
        <w:t>2005</w:t>
      </w:r>
      <w:r>
        <w:rPr>
          <w:spacing w:val="-1"/>
        </w:rPr>
        <w:t>年，是一家集锂电池隔膜、锌锰电池隔膜（即浆层纸）研发、生产和销售为一体的高新技术企业。</w:t>
      </w:r>
      <w:r>
        <w:rPr/>
        <w:t> 随着新能源市场的蓬勃发展，鸿图隔膜逐渐将业务重心调整至锂电池隔膜产品，主要分为基膜与涂覆膜，应用于</w:t>
      </w:r>
      <w:r>
        <w:rPr>
          <w:rFonts w:ascii="Times New Roman" w:hAnsi="Times New Roman" w:cs="Times New Roman" w:eastAsia="Times New Roman" w:hint="default"/>
        </w:rPr>
        <w:t>3C</w:t>
      </w:r>
      <w:r>
        <w:rPr/>
        <w:t>设备和</w:t>
      </w:r>
      <w:r>
        <w:rPr>
          <w:spacing w:val="-26"/>
        </w:rPr>
        <w:t> </w:t>
      </w:r>
      <w:r>
        <w:rPr/>
        <w:t>新能源汽车领域。</w:t>
      </w:r>
    </w:p>
    <w:p>
      <w:pPr>
        <w:pStyle w:val="BodyText"/>
        <w:spacing w:line="362" w:lineRule="auto"/>
        <w:ind w:right="92" w:firstLine="420"/>
        <w:jc w:val="left"/>
      </w:pPr>
      <w:r>
        <w:rPr/>
        <w:t>鸿图隔膜拥有稳定的技术研发团队，专门从事生产工艺与新产品系列的研究开发，覆盖生产线设计、生产线组装、工 艺技术改良以及新产品研发的整套流程，不断提高生产效率和产品质量，以满足下游客户对锂离子电池隔膜高性能的需求。 </w:t>
      </w:r>
      <w:r>
        <w:rPr>
          <w:spacing w:val="-2"/>
        </w:rPr>
        <w:t>鸿图隔膜的主要客户为天津力神电池股份有限公司、江苏智航新能源有限公司、骆驼集团新能源电池有限公司等。鸿图隔膜</w:t>
      </w:r>
      <w:r>
        <w:rPr>
          <w:spacing w:val="-66"/>
        </w:rPr>
        <w:t> </w:t>
      </w:r>
      <w:r>
        <w:rPr>
          <w:spacing w:val="-66"/>
        </w:rPr>
      </w:r>
      <w:r>
        <w:rPr>
          <w:spacing w:val="-2"/>
        </w:rPr>
        <w:t>连续三年被国内知名锂电池制造厂商天津力神电池股份有限公司评为优秀供应商，并与其签订了战略联盟合作协议。鸿图隔</w:t>
      </w:r>
      <w:r>
        <w:rPr>
          <w:spacing w:val="-64"/>
        </w:rPr>
        <w:t> </w:t>
      </w:r>
      <w:r>
        <w:rPr>
          <w:spacing w:val="-64"/>
        </w:rPr>
      </w:r>
      <w:r>
        <w:rPr/>
        <w:t>膜产品质量优良，性能稳定，已通过日本住友化学株式会社、日本帝人株式会、韩国三星</w:t>
      </w:r>
      <w:r>
        <w:rPr>
          <w:rFonts w:ascii="Times New Roman" w:hAnsi="Times New Roman" w:cs="Times New Roman" w:eastAsia="Times New Roman" w:hint="default"/>
        </w:rPr>
        <w:t>SDI</w:t>
      </w:r>
      <w:r>
        <w:rPr/>
        <w:t>等企业、机构的检测，获得了 广大客户的认可，为鸿图隔膜带来良好的品牌效应和经济效应。</w:t>
      </w:r>
    </w:p>
    <w:p>
      <w:pPr>
        <w:pStyle w:val="BodyText"/>
        <w:spacing w:line="364" w:lineRule="auto" w:before="31"/>
        <w:ind w:right="103" w:firstLine="420"/>
        <w:jc w:val="both"/>
      </w:pPr>
      <w:r>
        <w:rPr/>
        <w:t>未来，鸿图隔膜将继续引进和优化自动化生产设备，在扩大产能的同时不断地改良工艺，提升隔膜品质，加大涂覆隔 </w:t>
      </w:r>
      <w:r>
        <w:rPr>
          <w:spacing w:val="-2"/>
        </w:rPr>
        <w:t>膜新产品的开发，满足未来动力电池发展方向对隔膜的需要，巩固国内市场并积极探索国外市场。同时，鸿图隔膜将进一步</w:t>
      </w:r>
      <w:r>
        <w:rPr>
          <w:spacing w:val="-66"/>
        </w:rPr>
        <w:t> </w:t>
      </w:r>
      <w:r>
        <w:rPr>
          <w:spacing w:val="-66"/>
        </w:rPr>
      </w:r>
      <w:r>
        <w:rPr>
          <w:spacing w:val="-4"/>
        </w:rPr>
        <w:t>增强人才引进能力，细化管理能力和企业文化建设能力的打造，提高综合竞争力，巩固鸿图隔膜在湿法隔膜领域的优势地位。</w:t>
      </w:r>
    </w:p>
    <w:p>
      <w:pPr>
        <w:pStyle w:val="BodyText"/>
        <w:spacing w:line="345" w:lineRule="auto" w:before="29"/>
        <w:ind w:right="190" w:firstLine="420"/>
        <w:jc w:val="both"/>
      </w:pP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月在浙江省湖州市设立控股子公司湖州金冠鸿图隔膜科技有限公司（下称湖州金冠），湖州金冠锂电池</w:t>
      </w:r>
      <w:r>
        <w:rPr/>
        <w:t> 隔膜项目规划总投资</w:t>
      </w:r>
      <w:r>
        <w:rPr>
          <w:rFonts w:ascii="Times New Roman" w:hAnsi="Times New Roman" w:cs="Times New Roman" w:eastAsia="Times New Roman" w:hint="default"/>
        </w:rPr>
        <w:t>12.17</w:t>
      </w:r>
      <w:r>
        <w:rPr/>
        <w:t>亿元人民币，其中</w:t>
      </w:r>
      <w:r>
        <w:rPr>
          <w:rFonts w:ascii="Times New Roman" w:hAnsi="Times New Roman" w:cs="Times New Roman" w:eastAsia="Times New Roman" w:hint="default"/>
        </w:rPr>
        <w:t>2018</w:t>
      </w:r>
      <w:r>
        <w:rPr/>
        <w:t>年计划投资约</w:t>
      </w:r>
      <w:r>
        <w:rPr>
          <w:rFonts w:ascii="Times New Roman" w:hAnsi="Times New Roman" w:cs="Times New Roman" w:eastAsia="Times New Roman" w:hint="default"/>
        </w:rPr>
        <w:t>5</w:t>
      </w:r>
      <w:r>
        <w:rPr/>
        <w:t>亿元人民币，包含部分基础建设，</w:t>
      </w:r>
      <w:r>
        <w:rPr>
          <w:rFonts w:ascii="Times New Roman" w:hAnsi="Times New Roman" w:cs="Times New Roman" w:eastAsia="Times New Roman" w:hint="default"/>
        </w:rPr>
        <w:t>2</w:t>
      </w:r>
      <w:r>
        <w:rPr/>
        <w:t>条隔膜设备产线以及多</w:t>
      </w:r>
      <w:r>
        <w:rPr>
          <w:spacing w:val="-46"/>
        </w:rPr>
        <w:t> </w:t>
      </w:r>
      <w:r>
        <w:rPr>
          <w:spacing w:val="-46"/>
        </w:rPr>
      </w:r>
      <w:r>
        <w:rPr/>
        <w:t>条涂覆设备产线。</w:t>
      </w:r>
      <w:r>
        <w:rPr>
          <w:rFonts w:ascii="Times New Roman" w:hAnsi="Times New Roman" w:cs="Times New Roman" w:eastAsia="Times New Roman" w:hint="default"/>
        </w:rPr>
        <w:t>2019-2020</w:t>
      </w:r>
      <w:r>
        <w:rPr/>
        <w:t>年计划投资约</w:t>
      </w:r>
      <w:r>
        <w:rPr>
          <w:rFonts w:ascii="Times New Roman" w:hAnsi="Times New Roman" w:cs="Times New Roman" w:eastAsia="Times New Roman" w:hint="default"/>
        </w:rPr>
        <w:t>7</w:t>
      </w:r>
      <w:r>
        <w:rPr/>
        <w:t>亿元人民币，包含部分基础建设，</w:t>
      </w:r>
      <w:r>
        <w:rPr>
          <w:rFonts w:ascii="Times New Roman" w:hAnsi="Times New Roman" w:cs="Times New Roman" w:eastAsia="Times New Roman" w:hint="default"/>
        </w:rPr>
        <w:t>4</w:t>
      </w:r>
      <w:r>
        <w:rPr/>
        <w:t>条隔膜设备产线以及多条涂覆设备产线。到</w:t>
      </w:r>
      <w:r>
        <w:rPr>
          <w:spacing w:val="-56"/>
        </w:rPr>
        <w:t> </w:t>
      </w:r>
      <w:r>
        <w:rPr>
          <w:spacing w:val="-56"/>
        </w:rPr>
      </w:r>
      <w:r>
        <w:rPr>
          <w:rFonts w:ascii="Times New Roman" w:hAnsi="Times New Roman" w:cs="Times New Roman" w:eastAsia="Times New Roman" w:hint="default"/>
          <w:spacing w:val="-2"/>
        </w:rPr>
        <w:t>2020</w:t>
      </w:r>
      <w:r>
        <w:rPr>
          <w:spacing w:val="-2"/>
        </w:rPr>
        <w:t>年，共建设</w:t>
      </w:r>
      <w:r>
        <w:rPr>
          <w:rFonts w:ascii="Times New Roman" w:hAnsi="Times New Roman" w:cs="Times New Roman" w:eastAsia="Times New Roman" w:hint="default"/>
          <w:spacing w:val="-2"/>
        </w:rPr>
        <w:t>6</w:t>
      </w:r>
      <w:r>
        <w:rPr>
          <w:spacing w:val="-2"/>
        </w:rPr>
        <w:t>条锂电池隔膜生产线，每条生产线生产能力</w:t>
      </w:r>
      <w:r>
        <w:rPr>
          <w:rFonts w:ascii="Times New Roman" w:hAnsi="Times New Roman" w:cs="Times New Roman" w:eastAsia="Times New Roman" w:hint="default"/>
          <w:spacing w:val="-2"/>
        </w:rPr>
        <w:t>4500</w:t>
      </w:r>
      <w:r>
        <w:rPr>
          <w:spacing w:val="-2"/>
        </w:rPr>
        <w:t>万平米</w:t>
      </w:r>
      <w:r>
        <w:rPr>
          <w:rFonts w:ascii="Times New Roman" w:hAnsi="Times New Roman" w:cs="Times New Roman" w:eastAsia="Times New Roman" w:hint="default"/>
          <w:spacing w:val="-2"/>
        </w:rPr>
        <w:t>/</w:t>
      </w:r>
      <w:r>
        <w:rPr>
          <w:spacing w:val="-2"/>
        </w:rPr>
        <w:t>年，达产后释放产能</w:t>
      </w:r>
      <w:r>
        <w:rPr>
          <w:rFonts w:ascii="Times New Roman" w:hAnsi="Times New Roman" w:cs="Times New Roman" w:eastAsia="Times New Roman" w:hint="default"/>
          <w:spacing w:val="-2"/>
        </w:rPr>
        <w:t>2.7</w:t>
      </w:r>
      <w:r>
        <w:rPr>
          <w:spacing w:val="-2"/>
        </w:rPr>
        <w:t>亿平方米；同时引进国际先</w:t>
      </w:r>
      <w:r>
        <w:rPr>
          <w:spacing w:val="-58"/>
        </w:rPr>
        <w:t> </w:t>
      </w:r>
      <w:r>
        <w:rPr>
          <w:spacing w:val="-58"/>
        </w:rPr>
      </w:r>
      <w:r>
        <w:rPr>
          <w:spacing w:val="-2"/>
        </w:rPr>
        <w:t>进锂电池隔膜涂覆生产线，实现多材料、多工艺的隔膜涂覆加工。湖州金冠达产后年销售额不低于</w:t>
      </w:r>
      <w:r>
        <w:rPr>
          <w:rFonts w:ascii="Times New Roman" w:hAnsi="Times New Roman" w:cs="Times New Roman" w:eastAsia="Times New Roman" w:hint="default"/>
          <w:spacing w:val="-2"/>
        </w:rPr>
        <w:t>20</w:t>
      </w:r>
      <w:r>
        <w:rPr>
          <w:spacing w:val="-2"/>
        </w:rPr>
        <w:t>亿元人民币，年净利润</w:t>
      </w:r>
      <w:r>
        <w:rPr>
          <w:spacing w:val="-63"/>
        </w:rPr>
        <w:t> </w:t>
      </w:r>
      <w:r>
        <w:rPr>
          <w:spacing w:val="-63"/>
        </w:rPr>
      </w:r>
      <w:r>
        <w:rPr/>
        <w:t>超过</w:t>
      </w:r>
      <w:r>
        <w:rPr>
          <w:rFonts w:ascii="Times New Roman" w:hAnsi="Times New Roman" w:cs="Times New Roman" w:eastAsia="Times New Roman" w:hint="default"/>
        </w:rPr>
        <w:t>2</w:t>
      </w:r>
      <w:r>
        <w:rPr/>
        <w:t>亿元人民币。</w:t>
      </w:r>
    </w:p>
    <w:p>
      <w:pPr>
        <w:pStyle w:val="Heading6"/>
        <w:spacing w:line="240" w:lineRule="auto" w:before="22"/>
        <w:ind w:right="6752"/>
        <w:jc w:val="left"/>
        <w:rPr>
          <w:b w:val="0"/>
          <w:bCs w:val="0"/>
        </w:rPr>
      </w:pPr>
      <w:r>
        <w:rPr>
          <w:rFonts w:ascii="Times New Roman" w:hAnsi="Times New Roman" w:cs="Times New Roman" w:eastAsia="Times New Roman" w:hint="default"/>
        </w:rPr>
        <w:t>2</w:t>
      </w:r>
      <w:r>
        <w:rPr/>
        <w:t>、持续加强研发创新</w:t>
      </w:r>
      <w:r>
        <w:rPr>
          <w:b w:val="0"/>
          <w:bCs w:val="0"/>
        </w:rPr>
      </w:r>
    </w:p>
    <w:p>
      <w:pPr>
        <w:pStyle w:val="BodyText"/>
        <w:spacing w:line="345" w:lineRule="auto" w:before="109"/>
        <w:ind w:right="99" w:firstLine="420"/>
        <w:jc w:val="left"/>
      </w:pPr>
      <w:r>
        <w:rPr/>
        <w:t>截止到在报告期内，公司已经完成</w:t>
      </w:r>
      <w:r>
        <w:rPr>
          <w:rFonts w:ascii="Times New Roman" w:hAnsi="Times New Roman" w:cs="Times New Roman" w:eastAsia="Times New Roman" w:hint="default"/>
        </w:rPr>
        <w:t>40.5kV/C-GIS</w:t>
      </w:r>
      <w:r>
        <w:rPr/>
        <w:t>气体绝缘金属封闭开关设备的研发，并已经通过国家认可的试验中心 全方位的试验认证，该产品主要应用于城市轨道交通牵引供电系统，产品定位以实现</w:t>
      </w:r>
      <w:r>
        <w:rPr>
          <w:rFonts w:ascii="Times New Roman" w:hAnsi="Times New Roman" w:cs="Times New Roman" w:eastAsia="Times New Roman" w:hint="default"/>
        </w:rPr>
        <w:t>100%</w:t>
      </w:r>
      <w:r>
        <w:rPr/>
        <w:t>的供电可靠性为基础，融入智能</w:t>
      </w:r>
    </w:p>
    <w:p>
      <w:pPr>
        <w:spacing w:after="0" w:line="345" w:lineRule="auto"/>
        <w:jc w:val="left"/>
        <w:sectPr>
          <w:pgSz w:w="11910" w:h="16840"/>
          <w:pgMar w:header="747" w:footer="979" w:top="1060" w:bottom="1160" w:left="980" w:right="940"/>
        </w:sectPr>
      </w:pPr>
    </w:p>
    <w:p>
      <w:pPr>
        <w:spacing w:line="240" w:lineRule="auto" w:before="8"/>
        <w:rPr>
          <w:rFonts w:ascii="宋体" w:hAnsi="宋体" w:cs="宋体" w:eastAsia="宋体" w:hint="default"/>
          <w:sz w:val="27"/>
          <w:szCs w:val="27"/>
        </w:rPr>
      </w:pPr>
    </w:p>
    <w:p>
      <w:pPr>
        <w:pStyle w:val="BodyText"/>
        <w:spacing w:line="364" w:lineRule="auto"/>
        <w:ind w:right="99"/>
        <w:jc w:val="left"/>
      </w:pPr>
      <w:r>
        <w:rPr>
          <w:spacing w:val="-2"/>
        </w:rPr>
        <w:t>检测技术、智能控制技术、故障定位与隔离技术、即插即用等技术，许多产品参数高于国内外同类产品，填补了许多该领域</w:t>
      </w:r>
      <w:r>
        <w:rPr>
          <w:spacing w:val="-66"/>
        </w:rPr>
        <w:t> </w:t>
      </w:r>
      <w:r>
        <w:rPr>
          <w:spacing w:val="-66"/>
        </w:rPr>
      </w:r>
      <w:r>
        <w:rPr/>
        <w:t>的技术空白；</w:t>
      </w:r>
    </w:p>
    <w:p>
      <w:pPr>
        <w:pStyle w:val="BodyText"/>
        <w:spacing w:line="352" w:lineRule="auto" w:before="29"/>
        <w:ind w:right="189" w:firstLine="420"/>
        <w:jc w:val="both"/>
      </w:pPr>
      <w:r>
        <w:rPr/>
        <w:t>截止在报告期内，公司已经完成</w:t>
      </w:r>
      <w:r>
        <w:rPr>
          <w:rFonts w:ascii="Times New Roman" w:hAnsi="Times New Roman" w:cs="Times New Roman" w:eastAsia="Times New Roman" w:hint="default"/>
        </w:rPr>
        <w:t>2X27.5kV/C-GIS</w:t>
      </w:r>
      <w:r>
        <w:rPr/>
        <w:t>气体绝缘金属封闭开关设备的研发，并已经通过国家认可的试验中心 全方位的试验认证，该产品主要应用于高速轨道交通牵引供电系统，产品定位以实现</w:t>
      </w:r>
      <w:r>
        <w:rPr>
          <w:rFonts w:ascii="Times New Roman" w:hAnsi="Times New Roman" w:cs="Times New Roman" w:eastAsia="Times New Roman" w:hint="default"/>
        </w:rPr>
        <w:t>100%</w:t>
      </w:r>
      <w:r>
        <w:rPr/>
        <w:t>的供电可靠性为基础，融入大电</w:t>
      </w:r>
      <w:r>
        <w:rPr>
          <w:spacing w:val="-54"/>
        </w:rPr>
        <w:t> </w:t>
      </w:r>
      <w:r>
        <w:rPr>
          <w:spacing w:val="-54"/>
        </w:rPr>
      </w:r>
      <w:r>
        <w:rPr>
          <w:spacing w:val="-2"/>
        </w:rPr>
        <w:t>流散热物理技术、智能遥感控制技术、远程监控故障定位与隔离等技术，许多产品参数高于国内外同类产品，可完全实现替</w:t>
      </w:r>
      <w:r>
        <w:rPr>
          <w:spacing w:val="-66"/>
        </w:rPr>
        <w:t> </w:t>
      </w:r>
      <w:r>
        <w:rPr>
          <w:spacing w:val="-66"/>
        </w:rPr>
      </w:r>
      <w:r>
        <w:rPr/>
        <w:t>代进口产品。</w:t>
      </w:r>
    </w:p>
    <w:p>
      <w:pPr>
        <w:pStyle w:val="BodyText"/>
        <w:spacing w:line="345" w:lineRule="auto" w:before="38"/>
        <w:ind w:left="574" w:right="99"/>
        <w:jc w:val="left"/>
      </w:pPr>
      <w:r>
        <w:rPr>
          <w:rFonts w:ascii="Times New Roman" w:hAnsi="Times New Roman" w:cs="Times New Roman" w:eastAsia="Times New Roman" w:hint="default"/>
          <w:b/>
          <w:bCs/>
        </w:rPr>
        <w:t>3</w:t>
      </w:r>
      <w:r>
        <w:rPr>
          <w:rFonts w:ascii="宋体" w:hAnsi="宋体" w:cs="宋体" w:eastAsia="宋体" w:hint="default"/>
          <w:b/>
          <w:bCs/>
        </w:rPr>
        <w:t>、积极提升渠道深度</w:t>
      </w:r>
      <w:r>
        <w:rPr>
          <w:rFonts w:ascii="宋体" w:hAnsi="宋体" w:cs="宋体" w:eastAsia="宋体" w:hint="default"/>
          <w:b/>
          <w:bCs/>
          <w:w w:val="99"/>
        </w:rPr>
        <w:t> </w:t>
      </w:r>
      <w:r>
        <w:rPr/>
        <w:t>报告期内，面对市场竞争的加剧及行业市场环境的变化，公司营销管理系统积极应对电网及行业项目招标规则与招标</w:t>
      </w:r>
    </w:p>
    <w:p>
      <w:pPr>
        <w:pStyle w:val="BodyText"/>
        <w:spacing w:line="364" w:lineRule="auto"/>
        <w:ind w:right="192"/>
        <w:jc w:val="both"/>
      </w:pPr>
      <w:r>
        <w:rPr>
          <w:spacing w:val="-2"/>
        </w:rPr>
        <w:t>价格的变化，针对招标项目成立市场投标项目管理机构。从市场实际出发，建立了一套科学、高效、富有弹性并以盈利为核</w:t>
      </w:r>
      <w:r>
        <w:rPr>
          <w:spacing w:val="-66"/>
        </w:rPr>
        <w:t> </w:t>
      </w:r>
      <w:r>
        <w:rPr>
          <w:spacing w:val="-66"/>
        </w:rPr>
      </w:r>
      <w:r>
        <w:rPr>
          <w:spacing w:val="-2"/>
        </w:rPr>
        <w:t>心的销售运营和管理体系，该体系方案具有系统性、全面性、适度超前性和切实可行性。发挥了现有营销系统的优势，规避</w:t>
      </w:r>
      <w:r>
        <w:rPr>
          <w:spacing w:val="-65"/>
        </w:rPr>
        <w:t> </w:t>
      </w:r>
      <w:r>
        <w:rPr>
          <w:spacing w:val="-65"/>
        </w:rPr>
      </w:r>
      <w:r>
        <w:rPr/>
        <w:t>各种销售风险，确保公司销售战略目标和公司总体战略目标的顺利实施。</w:t>
      </w:r>
    </w:p>
    <w:p>
      <w:pPr>
        <w:pStyle w:val="BodyText"/>
        <w:spacing w:line="362" w:lineRule="auto" w:before="29"/>
        <w:ind w:right="109" w:firstLine="420"/>
        <w:jc w:val="both"/>
      </w:pPr>
      <w:r>
        <w:rPr/>
        <w:t>针对行业市场布局完善并深耕细作五大行业市场，电网行业、能源发电行业、市政建设行业、轨道交通行业、国际合 </w:t>
      </w:r>
      <w:r>
        <w:rPr>
          <w:spacing w:val="-2"/>
        </w:rPr>
        <w:t>作一带一路央企配套。同时公司继续完善全国五大营销区域建设，并在北京设立集团的营销指挥中心，中部大区营销指挥中</w:t>
      </w:r>
      <w:r>
        <w:rPr>
          <w:spacing w:val="-66"/>
        </w:rPr>
        <w:t> </w:t>
      </w:r>
      <w:r>
        <w:rPr>
          <w:spacing w:val="-66"/>
        </w:rPr>
      </w:r>
      <w:r>
        <w:rPr>
          <w:spacing w:val="-2"/>
        </w:rPr>
        <w:t>心与各大区及各驻外办事处之间实现多层次，多项良性反馈和快速管理。运用中部大区营销指挥的地域优势及行业市场的集</w:t>
      </w:r>
      <w:r>
        <w:rPr>
          <w:spacing w:val="-64"/>
        </w:rPr>
        <w:t> </w:t>
      </w:r>
      <w:r>
        <w:rPr>
          <w:spacing w:val="-64"/>
        </w:rPr>
      </w:r>
      <w:r>
        <w:rPr>
          <w:spacing w:val="-2"/>
        </w:rPr>
        <w:t>中优势的市场资源统一部署管理，并与公司各大区及驻外办事处构成点面结合、有统有分的营销模式。形成纵横交替、星罗</w:t>
      </w:r>
      <w:r>
        <w:rPr>
          <w:spacing w:val="-66"/>
        </w:rPr>
        <w:t> </w:t>
      </w:r>
      <w:r>
        <w:rPr>
          <w:spacing w:val="-66"/>
        </w:rPr>
      </w:r>
      <w:r>
        <w:rPr>
          <w:spacing w:val="-2"/>
        </w:rPr>
        <w:t>棋布的销售渠道网络架构，同时建立了以产品线为主，由</w:t>
      </w:r>
      <w:r>
        <w:rPr>
          <w:rFonts w:ascii="Times New Roman" w:hAnsi="Times New Roman" w:cs="Times New Roman" w:eastAsia="Times New Roman" w:hint="default"/>
          <w:spacing w:val="-2"/>
        </w:rPr>
        <w:t>“</w:t>
      </w:r>
      <w:r>
        <w:rPr>
          <w:spacing w:val="-2"/>
        </w:rPr>
        <w:t>公司领导层、销售部、市场部、售后部和产品线</w:t>
      </w:r>
      <w:r>
        <w:rPr>
          <w:rFonts w:ascii="Times New Roman" w:hAnsi="Times New Roman" w:cs="Times New Roman" w:eastAsia="Times New Roman" w:hint="default"/>
          <w:spacing w:val="-2"/>
        </w:rPr>
        <w:t>”</w:t>
      </w:r>
      <w:r>
        <w:rPr>
          <w:spacing w:val="-2"/>
        </w:rPr>
        <w:t>组成的销售组织</w:t>
      </w:r>
      <w:r>
        <w:rPr>
          <w:spacing w:val="-47"/>
        </w:rPr>
        <w:t> </w:t>
      </w:r>
      <w:r>
        <w:rPr>
          <w:spacing w:val="-2"/>
        </w:rPr>
        <w:t>机构，针对目标市场锁定明确、市场反应快、专业化程度高。在市场竞争越发激烈，对市场的分析独到而准确，在巩固原有</w:t>
      </w:r>
      <w:r>
        <w:rPr>
          <w:spacing w:val="-68"/>
        </w:rPr>
        <w:t> </w:t>
      </w:r>
      <w:r>
        <w:rPr>
          <w:spacing w:val="-68"/>
        </w:rPr>
      </w:r>
      <w:r>
        <w:rPr/>
        <w:t>老客户基础上，新拓展一批有实力的大客户资源。国家电网及轨道交通销售业绩持续上升，为</w:t>
      </w:r>
      <w:r>
        <w:rPr>
          <w:rFonts w:ascii="Times New Roman" w:hAnsi="Times New Roman" w:cs="Times New Roman" w:eastAsia="Times New Roman" w:hint="default"/>
        </w:rPr>
        <w:t>2018</w:t>
      </w:r>
      <w:r>
        <w:rPr/>
        <w:t>年的销售增长打下基础。</w:t>
      </w:r>
    </w:p>
    <w:p>
      <w:pPr>
        <w:pStyle w:val="BodyText"/>
        <w:spacing w:line="240" w:lineRule="auto" w:before="8"/>
        <w:ind w:left="574" w:right="0"/>
        <w:jc w:val="left"/>
      </w:pPr>
      <w:r>
        <w:rPr/>
        <w:t>公司在深圳设立华胤控股集团，积极对接资本市场，依托在深圳的众多上市公司资源，强强联合打造创新型营销体系。</w:t>
      </w:r>
    </w:p>
    <w:p>
      <w:pPr>
        <w:spacing w:line="240" w:lineRule="auto" w:before="0"/>
        <w:rPr>
          <w:rFonts w:ascii="宋体" w:hAnsi="宋体" w:cs="宋体" w:eastAsia="宋体" w:hint="default"/>
          <w:sz w:val="18"/>
          <w:szCs w:val="18"/>
        </w:rPr>
      </w:pPr>
    </w:p>
    <w:p>
      <w:pPr>
        <w:pStyle w:val="Heading2"/>
        <w:spacing w:line="240" w:lineRule="auto" w:before="118"/>
        <w:ind w:right="6752"/>
        <w:jc w:val="left"/>
        <w:rPr>
          <w:b w:val="0"/>
          <w:bCs w:val="0"/>
        </w:rPr>
      </w:pPr>
      <w:bookmarkStart w:name="二、主营业务分析" w:id="24"/>
      <w:bookmarkEnd w:id="24"/>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5532"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6752"/>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6032"/>
        <w:jc w:val="left"/>
      </w:pPr>
      <w:r>
        <w:rPr/>
        <w:t>公司是否需要遵守光伏产业链相关业的披露要求 否</w:t>
      </w:r>
    </w:p>
    <w:p>
      <w:pPr>
        <w:pStyle w:val="BodyText"/>
        <w:spacing w:line="338" w:lineRule="auto" w:before="26"/>
        <w:ind w:right="45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63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9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72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spacing w:after="0" w:line="338"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营业收入整体情况</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741,314,476.23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378,225,977.89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96.00%</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367,078,348.50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378,225,977.89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116,038,047.38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15.65%</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128,815,477.90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129,382,602.45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智能高压开关柜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47,002,166.22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64,889,478.05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低压开关柜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55,125,643.06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45,237,864.25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智能环网柜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228,430,625.57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204,465,566.36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22,761,465.43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17,464,614.60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真空断路器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7,904,545.70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5,234,294.35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固体绝缘环网柜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5,853,902.52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19,591,255.23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充电桩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128,815,477.90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用电信息采集设备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77,446,475.05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10.45%</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38,591,572.33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主营其他产品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84,985,484.35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9,094,600.00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834.46%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44,397,118.10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12,248,305.05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262.48%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210,459,815.49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158,701,448.14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338,550,675.85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117,939,993.86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112,342,266.74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53,172,728.29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48,761,272.93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44,051,967.99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11.65%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8,462,826.59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609,655.00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1,288.13%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2,131,696.40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3,750,184.61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20,605,922.23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pStyle w:val="BodyText"/>
        <w:spacing w:line="348" w:lineRule="auto" w:before="0"/>
        <w:ind w:right="6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after="0" w:line="348"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367,078,348.50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233,236,841.40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116,038,047.38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79,590,112.22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128,815,477.90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82,747,473.98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129,382,602.45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68,637,994.98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智能环网 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228,430,625.57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135,717,503.82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充电桩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128,815,477.90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82,747,473.98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用电信息采集设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77,446,475.05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50,009,947.14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主营其他产品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84,985,484.35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48,825,792.25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875.12%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210,459,815.49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130,989,328.54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338,550,675.85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215,383,617.10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197.46%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112,342,266.74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62,379,991.36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3"/>
                <w:sz w:val="18"/>
              </w:rPr>
              <w:t>111.28%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11.85%</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18.63%</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27.67%</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29.30%</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1,486,702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1,411,514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176,380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充电桩</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spacing w:after="0" w:line="240" w:lineRule="auto"/>
        <w:jc w:val="left"/>
        <w:sectPr>
          <w:footerReference w:type="default" r:id="rId12"/>
          <w:pgSz w:w="11910" w:h="16840"/>
          <w:pgMar w:footer="979" w:header="747" w:top="1060" w:bottom="1160" w:left="980" w:right="980"/>
          <w:pgNumType w:start="18"/>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3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否</w:t>
      </w:r>
    </w:p>
    <w:p>
      <w:pPr>
        <w:pStyle w:val="BodyText"/>
        <w:spacing w:line="300" w:lineRule="auto" w:before="42"/>
        <w:ind w:right="142" w:firstLine="360"/>
        <w:jc w:val="left"/>
      </w:pPr>
      <w:r>
        <w:rPr>
          <w:spacing w:val="-1"/>
        </w:rPr>
        <w:t>截至本报告期末，长春地铁</w:t>
      </w:r>
      <w:r>
        <w:rPr>
          <w:rFonts w:ascii="Times New Roman" w:hAnsi="Times New Roman" w:cs="Times New Roman" w:eastAsia="Times New Roman" w:hint="default"/>
          <w:spacing w:val="-1"/>
        </w:rPr>
        <w:t>2</w:t>
      </w:r>
      <w:r>
        <w:rPr>
          <w:spacing w:val="-1"/>
        </w:rPr>
        <w:t>号线一期、西延线工程</w:t>
      </w:r>
      <w:r>
        <w:rPr>
          <w:rFonts w:ascii="Times New Roman" w:hAnsi="Times New Roman" w:cs="Times New Roman" w:eastAsia="Times New Roman" w:hint="default"/>
          <w:spacing w:val="-1"/>
        </w:rPr>
        <w:t>AC35KV</w:t>
      </w:r>
      <w:r>
        <w:rPr>
          <w:spacing w:val="-1"/>
        </w:rPr>
        <w:t>开关柜、交流</w:t>
      </w:r>
      <w:r>
        <w:rPr>
          <w:rFonts w:ascii="Times New Roman" w:hAnsi="Times New Roman" w:cs="Times New Roman" w:eastAsia="Times New Roman" w:hint="default"/>
          <w:spacing w:val="-1"/>
        </w:rPr>
        <w:t>35KV</w:t>
      </w:r>
      <w:r>
        <w:rPr>
          <w:spacing w:val="-1"/>
        </w:rPr>
        <w:t>开关柜继电保护装置采购项目的设备已</w:t>
      </w:r>
      <w:r>
        <w:rPr/>
        <w:t> 经供货金额达</w:t>
      </w:r>
      <w:r>
        <w:rPr>
          <w:rFonts w:ascii="Times New Roman" w:hAnsi="Times New Roman" w:cs="Times New Roman" w:eastAsia="Times New Roman" w:hint="default"/>
        </w:rPr>
        <w:t>4162.69</w:t>
      </w:r>
      <w:r>
        <w:rPr/>
        <w:t>万元，未发货金额为</w:t>
      </w:r>
      <w:r>
        <w:rPr>
          <w:rFonts w:ascii="Times New Roman" w:hAnsi="Times New Roman" w:cs="Times New Roman" w:eastAsia="Times New Roman" w:hint="default"/>
        </w:rPr>
        <w:t>1096.82</w:t>
      </w:r>
      <w:r>
        <w:rPr/>
        <w:t>万元；长春地铁</w:t>
      </w:r>
      <w:r>
        <w:rPr>
          <w:rFonts w:ascii="Times New Roman" w:hAnsi="Times New Roman" w:cs="Times New Roman" w:eastAsia="Times New Roman" w:hint="default"/>
        </w:rPr>
        <w:t>2</w:t>
      </w:r>
      <w:r>
        <w:rPr/>
        <w:t>号线一期、西延线工程</w:t>
      </w:r>
      <w:r>
        <w:rPr>
          <w:rFonts w:ascii="Times New Roman" w:hAnsi="Times New Roman" w:cs="Times New Roman" w:eastAsia="Times New Roman" w:hint="default"/>
        </w:rPr>
        <w:t>AC0.4KV</w:t>
      </w:r>
      <w:r>
        <w:rPr/>
        <w:t>开关柜及环控电控柜采 购项目的设备已经供货金额达</w:t>
      </w:r>
      <w:r>
        <w:rPr>
          <w:rFonts w:ascii="Times New Roman" w:hAnsi="Times New Roman" w:cs="Times New Roman" w:eastAsia="Times New Roman" w:hint="default"/>
        </w:rPr>
        <w:t>1570.83</w:t>
      </w:r>
      <w:r>
        <w:rPr/>
        <w:t>万元，未发货金额为</w:t>
      </w:r>
      <w:r>
        <w:rPr>
          <w:rFonts w:ascii="Times New Roman" w:hAnsi="Times New Roman" w:cs="Times New Roman" w:eastAsia="Times New Roman" w:hint="default"/>
        </w:rPr>
        <w:t>3370.90</w:t>
      </w:r>
      <w:r>
        <w:rPr/>
        <w:t>万元。目前，还有部分设备正在按长春地铁要求有序的生 产加工，并按长春地铁要求及时供货。</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行业分类</w:t>
      </w:r>
    </w:p>
    <w:p>
      <w:pPr>
        <w:pStyle w:val="BodyText"/>
        <w:spacing w:line="240" w:lineRule="auto" w:before="116"/>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210,310,926.28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207,684,995.60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11,733,056.68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12,473,616.35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11,192,858.44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16,899,778.01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72,710,774.93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3,537,505.18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3,341,832.11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69,699,384.64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7,721,696.66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充电桩制造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5,326,392.68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68,637,994.98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月在广东省深圳市南山区设立全资子公司华胤控股集团有限公司；</w:t>
      </w:r>
    </w:p>
    <w:p>
      <w:pPr>
        <w:pStyle w:val="BodyText"/>
        <w:spacing w:line="240" w:lineRule="auto" w:before="103"/>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月收购南京能瑞自动化设备股份有限公司</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6</w:t>
      </w:r>
      <w:r>
        <w:rPr/>
        <w:t>月份纳入合并范围；</w:t>
      </w:r>
    </w:p>
    <w:p>
      <w:pPr>
        <w:pStyle w:val="BodyText"/>
        <w:spacing w:line="240" w:lineRule="auto" w:before="102"/>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月在浙江省湖州市经济技术开发区与金冠投资共同设立湖州金冠鸿图隔膜科技有限公司，公司持股</w:t>
      </w:r>
      <w:r>
        <w:rPr>
          <w:rFonts w:ascii="Times New Roman" w:hAnsi="Times New Roman" w:cs="Times New Roman" w:eastAsia="Times New Roman" w:hint="default"/>
        </w:rPr>
        <w:t>51%</w:t>
      </w:r>
      <w:r>
        <w:rPr/>
        <w:t>；</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563" w:right="0" w:hanging="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报告期内，公司发行股票及支付现金购买南京能瑞</w:t>
      </w:r>
      <w:r>
        <w:rPr>
          <w:rFonts w:ascii="Times New Roman" w:hAnsi="Times New Roman" w:cs="Times New Roman" w:eastAsia="Times New Roman" w:hint="default"/>
          <w:spacing w:val="-1"/>
        </w:rPr>
        <w:t>100%</w:t>
      </w:r>
      <w:r>
        <w:rPr>
          <w:spacing w:val="-1"/>
        </w:rPr>
        <w:t>股权并募集配套资金，于</w:t>
      </w:r>
      <w:r>
        <w:rPr>
          <w:rFonts w:ascii="Times New Roman" w:hAnsi="Times New Roman" w:cs="Times New Roman" w:eastAsia="Times New Roman" w:hint="default"/>
          <w:spacing w:val="-1"/>
        </w:rPr>
        <w:t>2017</w:t>
      </w:r>
      <w:r>
        <w:rPr>
          <w:spacing w:val="-1"/>
        </w:rPr>
        <w:t>年中期使南京能瑞并表。南京能</w:t>
      </w:r>
    </w:p>
    <w:p>
      <w:pPr>
        <w:pStyle w:val="BodyText"/>
        <w:spacing w:line="364" w:lineRule="auto" w:before="10"/>
        <w:ind w:right="151"/>
        <w:jc w:val="both"/>
      </w:pPr>
      <w:r>
        <w:rPr>
          <w:spacing w:val="-2"/>
        </w:rPr>
        <w:t>瑞经营主要围绕三大业务板块，一是电动汽车充电设施板块，是国内较早专业从事电动汽车充电设备研发、制造、充电站整</w:t>
      </w:r>
      <w:r>
        <w:rPr>
          <w:spacing w:val="-66"/>
        </w:rPr>
        <w:t> </w:t>
      </w:r>
      <w:r>
        <w:rPr>
          <w:spacing w:val="-66"/>
        </w:rPr>
      </w:r>
      <w:r>
        <w:rPr>
          <w:spacing w:val="-2"/>
        </w:rPr>
        <w:t>体解决方案、充电设施承建运营服务的高新技术企业之一、也是国内少数具备充电设施、设计、制造、电力安装施工一体全</w:t>
      </w:r>
      <w:r>
        <w:rPr>
          <w:spacing w:val="-66"/>
        </w:rPr>
        <w:t> </w:t>
      </w:r>
      <w:r>
        <w:rPr>
          <w:spacing w:val="-66"/>
        </w:rPr>
      </w:r>
      <w:r>
        <w:rPr>
          <w:spacing w:val="-2"/>
        </w:rPr>
        <w:t>资质企业，为新能源汽车制造商、新能源汽车车主、充电设施运营商提供完整的解决方案；充电桩广泛适用于电动汽车充电</w:t>
      </w:r>
      <w:r>
        <w:rPr>
          <w:spacing w:val="-66"/>
        </w:rPr>
        <w:t> </w:t>
      </w:r>
      <w:r>
        <w:rPr>
          <w:spacing w:val="-66"/>
        </w:rPr>
      </w:r>
      <w:r>
        <w:rPr>
          <w:spacing w:val="-2"/>
        </w:rPr>
        <w:t>站、公共停车场、公交场站、大型购物中心、住宅小区停车场、主机厂等。二是信息采集系统与电能计量板块，广泛适用于</w:t>
      </w:r>
      <w:r>
        <w:rPr>
          <w:spacing w:val="-72"/>
        </w:rPr>
        <w:t> </w:t>
      </w:r>
      <w:r>
        <w:rPr>
          <w:spacing w:val="-72"/>
        </w:rPr>
      </w:r>
      <w:r>
        <w:rPr>
          <w:spacing w:val="-2"/>
        </w:rPr>
        <w:t>电力行业各种用户的计量、监测、控制、管理和信息采集，达到国际同类产品的水平；三是能效监测分析与电能质量治理板</w:t>
      </w:r>
      <w:r>
        <w:rPr>
          <w:spacing w:val="-66"/>
        </w:rPr>
        <w:t> </w:t>
      </w:r>
      <w:r>
        <w:rPr>
          <w:spacing w:val="-66"/>
        </w:rPr>
      </w:r>
      <w:r>
        <w:rPr/>
        <w:t>块，为客户制定节能运行管理标准值，实现合理用能。南京能瑞的并表对公司经营及业绩产生积极影响。</w:t>
      </w:r>
    </w:p>
    <w:p>
      <w:pPr>
        <w:spacing w:line="240" w:lineRule="auto" w:before="8"/>
        <w:rPr>
          <w:rFonts w:ascii="宋体" w:hAnsi="宋体" w:cs="宋体" w:eastAsia="宋体" w:hint="default"/>
          <w:sz w:val="21"/>
          <w:szCs w:val="21"/>
        </w:rPr>
      </w:pPr>
    </w:p>
    <w:p>
      <w:pPr>
        <w:pStyle w:val="Heading4"/>
        <w:spacing w:line="240" w:lineRule="auto"/>
        <w:ind w:right="0"/>
        <w:jc w:val="both"/>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220,073,268.78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29.69%</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69,732,159.69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57,774,830.74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40,329,383.82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30,084,108.56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22,152,785.97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220,073,268.78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29.69%</w:t>
            </w:r>
          </w:p>
        </w:tc>
      </w:tr>
    </w:tbl>
    <w:p>
      <w:pPr>
        <w:pStyle w:val="BodyText"/>
        <w:spacing w:line="240" w:lineRule="auto" w:before="51"/>
        <w:ind w:right="0"/>
        <w:jc w:val="left"/>
      </w:pPr>
      <w:r>
        <w:rPr/>
        <w:t>主要客户其他情况说明</w:t>
      </w:r>
    </w:p>
    <w:p>
      <w:pPr>
        <w:pStyle w:val="BodyText"/>
        <w:spacing w:line="338" w:lineRule="auto" w:before="117"/>
        <w:ind w:right="8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73,031,277.71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12.58%</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19,252,747.85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14,918,847.22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14,077,179.65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13,506,017.03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11,276,485.96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73,031,277.71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12.58%</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12"/>
              <w:jc w:val="righ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69" w:right="0"/>
              <w:jc w:val="left"/>
              <w:rPr>
                <w:rFonts w:ascii="Times New Roman" w:hAnsi="Times New Roman" w:cs="Times New Roman" w:eastAsia="Times New Roman" w:hint="default"/>
                <w:sz w:val="18"/>
                <w:szCs w:val="18"/>
              </w:rPr>
            </w:pPr>
            <w:r>
              <w:rPr>
                <w:rFonts w:ascii="Times New Roman"/>
                <w:sz w:val="18"/>
              </w:rPr>
              <w:t>40,525,966.79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22,166,832.64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03"/>
              <w:jc w:val="right"/>
              <w:rPr>
                <w:rFonts w:ascii="宋体" w:hAnsi="宋体" w:cs="宋体" w:eastAsia="宋体" w:hint="default"/>
                <w:sz w:val="18"/>
                <w:szCs w:val="18"/>
              </w:rPr>
            </w:pPr>
            <w:r>
              <w:rPr>
                <w:rFonts w:ascii="宋体" w:hAnsi="宋体" w:cs="宋体" w:eastAsia="宋体" w:hint="default"/>
                <w:sz w:val="18"/>
                <w:szCs w:val="18"/>
              </w:rPr>
              <w:t>主要系增加南京能瑞费用</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69" w:right="0"/>
              <w:jc w:val="left"/>
              <w:rPr>
                <w:rFonts w:ascii="Times New Roman" w:hAnsi="Times New Roman" w:cs="Times New Roman" w:eastAsia="Times New Roman" w:hint="default"/>
                <w:sz w:val="18"/>
                <w:szCs w:val="18"/>
              </w:rPr>
            </w:pPr>
            <w:r>
              <w:rPr>
                <w:rFonts w:ascii="Times New Roman"/>
                <w:sz w:val="18"/>
              </w:rPr>
              <w:t>83,525,190.30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45,886,324.67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03"/>
              <w:jc w:val="right"/>
              <w:rPr>
                <w:rFonts w:ascii="宋体" w:hAnsi="宋体" w:cs="宋体" w:eastAsia="宋体" w:hint="default"/>
                <w:sz w:val="18"/>
                <w:szCs w:val="18"/>
              </w:rPr>
            </w:pPr>
            <w:r>
              <w:rPr>
                <w:rFonts w:ascii="宋体" w:hAnsi="宋体" w:cs="宋体" w:eastAsia="宋体" w:hint="default"/>
                <w:sz w:val="18"/>
                <w:szCs w:val="18"/>
              </w:rPr>
              <w:t>主要系增加南京能瑞费用</w:t>
            </w:r>
          </w:p>
        </w:tc>
      </w:tr>
      <w:tr>
        <w:trPr>
          <w:trHeight w:val="318"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989,292.04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-1,855,073.24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153.33%</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短期借款期末较期初增加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16,453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2"/>
                <w:sz w:val="18"/>
                <w:szCs w:val="18"/>
              </w:rPr>
              <w:t>元导致利息费用增加，以及增加南京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能瑞费用</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8"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299" w:right="0" w:hanging="146"/>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本报告期内，公司研发投入</w:t>
      </w:r>
      <w:r>
        <w:rPr>
          <w:rFonts w:ascii="Times New Roman" w:hAnsi="Times New Roman" w:cs="Times New Roman" w:eastAsia="Times New Roman" w:hint="default"/>
          <w:spacing w:val="-1"/>
        </w:rPr>
        <w:t>3,334.52</w:t>
      </w:r>
      <w:r>
        <w:rPr>
          <w:spacing w:val="-1"/>
        </w:rPr>
        <w:t>万元，</w:t>
      </w:r>
      <w:r>
        <w:rPr>
          <w:rFonts w:ascii="Times New Roman" w:hAnsi="Times New Roman" w:cs="Times New Roman" w:eastAsia="Times New Roman" w:hint="default"/>
          <w:spacing w:val="-1"/>
        </w:rPr>
        <w:t>2017</w:t>
      </w:r>
      <w:r>
        <w:rPr>
          <w:spacing w:val="-1"/>
        </w:rPr>
        <w:t>年公司研发立项共</w:t>
      </w:r>
      <w:r>
        <w:rPr>
          <w:rFonts w:ascii="Times New Roman" w:hAnsi="Times New Roman" w:cs="Times New Roman" w:eastAsia="Times New Roman" w:hint="default"/>
          <w:spacing w:val="-1"/>
        </w:rPr>
        <w:t>36</w:t>
      </w:r>
      <w:r>
        <w:rPr>
          <w:spacing w:val="-1"/>
        </w:rPr>
        <w:t>项，完成</w:t>
      </w:r>
      <w:r>
        <w:rPr>
          <w:rFonts w:ascii="Times New Roman" w:hAnsi="Times New Roman" w:cs="Times New Roman" w:eastAsia="Times New Roman" w:hint="default"/>
          <w:spacing w:val="-1"/>
        </w:rPr>
        <w:t>31</w:t>
      </w:r>
      <w:r>
        <w:rPr>
          <w:spacing w:val="-1"/>
        </w:rPr>
        <w:t>项，顺延研发项目</w:t>
      </w:r>
      <w:r>
        <w:rPr>
          <w:rFonts w:ascii="Times New Roman" w:hAnsi="Times New Roman" w:cs="Times New Roman" w:eastAsia="Times New Roman" w:hint="default"/>
          <w:spacing w:val="-1"/>
        </w:rPr>
        <w:t>5</w:t>
      </w:r>
      <w:r>
        <w:rPr>
          <w:spacing w:val="-1"/>
        </w:rPr>
        <w:t>项。截止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p>
    <w:p>
      <w:pPr>
        <w:pStyle w:val="BodyText"/>
        <w:spacing w:line="230" w:lineRule="exact" w:before="0"/>
        <w:ind w:right="0"/>
        <w:jc w:val="left"/>
      </w:pPr>
      <w:r>
        <w:rPr/>
        <w:t>日，吉林省金冠电气股份有限公司及其子公司共申请专利</w:t>
      </w:r>
      <w:r>
        <w:rPr>
          <w:rFonts w:ascii="Times New Roman" w:hAnsi="Times New Roman" w:cs="Times New Roman" w:eastAsia="Times New Roman" w:hint="default"/>
        </w:rPr>
        <w:t>122</w:t>
      </w:r>
      <w:r>
        <w:rPr/>
        <w:t>项，获得专利授权</w:t>
      </w:r>
      <w:r>
        <w:rPr>
          <w:rFonts w:ascii="Times New Roman" w:hAnsi="Times New Roman" w:cs="Times New Roman" w:eastAsia="Times New Roman" w:hint="default"/>
        </w:rPr>
        <w:t>85</w:t>
      </w:r>
      <w:r>
        <w:rPr/>
        <w:t>项，其中发明</w:t>
      </w:r>
      <w:r>
        <w:rPr>
          <w:rFonts w:ascii="Times New Roman" w:hAnsi="Times New Roman" w:cs="Times New Roman" w:eastAsia="Times New Roman" w:hint="default"/>
        </w:rPr>
        <w:t>15</w:t>
      </w:r>
      <w:r>
        <w:rPr/>
        <w:t>项，实用新型</w:t>
      </w:r>
      <w:r>
        <w:rPr>
          <w:rFonts w:ascii="Times New Roman" w:hAnsi="Times New Roman" w:cs="Times New Roman" w:eastAsia="Times New Roman" w:hint="default"/>
        </w:rPr>
        <w:t>70</w:t>
      </w:r>
      <w:r>
        <w:rPr/>
        <w:t>项，受理</w:t>
      </w:r>
    </w:p>
    <w:p>
      <w:pPr>
        <w:pStyle w:val="BodyText"/>
        <w:spacing w:line="240" w:lineRule="auto" w:before="63"/>
        <w:ind w:right="0"/>
        <w:jc w:val="left"/>
      </w:pPr>
      <w:r>
        <w:rPr/>
        <w:t>中</w:t>
      </w:r>
      <w:r>
        <w:rPr>
          <w:rFonts w:ascii="Times New Roman" w:hAnsi="Times New Roman" w:cs="Times New Roman" w:eastAsia="Times New Roman" w:hint="default"/>
        </w:rPr>
        <w:t>37</w:t>
      </w:r>
      <w:r>
        <w:rPr/>
        <w:t>项。</w:t>
      </w:r>
    </w:p>
    <w:p>
      <w:pPr>
        <w:pStyle w:val="BodyText"/>
        <w:spacing w:line="314" w:lineRule="auto" w:before="63"/>
        <w:ind w:right="150" w:firstLine="290"/>
        <w:jc w:val="both"/>
      </w:pPr>
      <w:r>
        <w:rPr>
          <w:spacing w:val="-1"/>
        </w:rPr>
        <w:t>公司研发方向包括故障保护技术、故障载荷分流技术、母线插接技术、固体绝缘局放技术、气体绝缘密封散热技术、电</w:t>
      </w:r>
      <w:r>
        <w:rPr/>
        <w:t> </w:t>
      </w:r>
      <w:r>
        <w:rPr>
          <w:spacing w:val="-2"/>
        </w:rPr>
        <w:t>场屏蔽技术、控制终端、运行数据参量在线监测技术、电力需求侧管理响应技术、大功率快充技术、新型液冷充电技术、充</w:t>
      </w:r>
      <w:r>
        <w:rPr>
          <w:spacing w:val="-67"/>
        </w:rPr>
        <w:t> </w:t>
      </w:r>
      <w:r>
        <w:rPr>
          <w:spacing w:val="-67"/>
        </w:rPr>
      </w:r>
      <w:r>
        <w:rPr/>
        <w:t>电安全智能保护控制技术、互联网</w:t>
      </w:r>
      <w:r>
        <w:rPr>
          <w:rFonts w:ascii="Times New Roman" w:hAnsi="Times New Roman" w:cs="Times New Roman" w:eastAsia="Times New Roman" w:hint="default"/>
        </w:rPr>
        <w:t>+</w:t>
      </w:r>
      <w:r>
        <w:rPr/>
        <w:t>智能充电技术等。未来研发领域涵盖：城市轨道交通牵引网供电设备、高速轨道交通牵 </w:t>
      </w:r>
      <w:r>
        <w:rPr>
          <w:spacing w:val="-2"/>
        </w:rPr>
        <w:t>引网供电设备及辅助供电系统贯通线和自闭线供电设备、直流计量技术、直流绝缘检测技术、电动汽车基础设施互通优化与</w:t>
      </w:r>
      <w:r>
        <w:rPr>
          <w:spacing w:val="-66"/>
        </w:rPr>
        <w:t> </w:t>
      </w:r>
      <w:r>
        <w:rPr>
          <w:spacing w:val="-66"/>
        </w:rPr>
      </w:r>
      <w:r>
        <w:rPr/>
        <w:t>集成技术、充电功率智能分配调节技术、无线充电技术等。</w:t>
      </w:r>
    </w:p>
    <w:p>
      <w:pPr>
        <w:pStyle w:val="BodyText"/>
        <w:spacing w:line="316" w:lineRule="auto" w:before="20"/>
        <w:ind w:right="153" w:firstLine="300"/>
        <w:jc w:val="both"/>
      </w:pPr>
      <w:r>
        <w:rPr>
          <w:spacing w:val="-1"/>
        </w:rPr>
        <w:t>公司通过学习行业最新先进技术自主研发、同行业国际品牌公司及国内知名大专院校、研究院联合开发等研发方式，不</w:t>
      </w:r>
      <w:r>
        <w:rPr/>
        <w:t> </w:t>
      </w:r>
      <w:r>
        <w:rPr>
          <w:spacing w:val="-2"/>
        </w:rPr>
        <w:t>断解决和攻克产品新课题，不断提升现有产品的综合性能，不断扩大研发产品应用的新领域，为进一步提升公司产品市场占</w:t>
      </w:r>
      <w:r>
        <w:rPr>
          <w:spacing w:val="-66"/>
        </w:rPr>
        <w:t> </w:t>
      </w:r>
      <w:r>
        <w:rPr>
          <w:spacing w:val="-66"/>
        </w:rPr>
      </w:r>
      <w:r>
        <w:rPr/>
        <w:t>有率和发展空间，提供了可靠的保障。</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33,345,218.14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19,384,996.38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13,900,114.84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663,406,626.25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324,389,766.69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104.51%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630,045,798.51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300,218,337.79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109.86%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33,360,827.74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24,171,428.90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125,899,081.95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4,096.64%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716,175,279.50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124,983,739.42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473.01%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-590,276,197.55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-121,983,739.42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-383.90%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830,723,033.72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281,292,300.00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239,680,834.47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44,130,015.73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443.12%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591,042,199.25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237,162,284.27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149.21%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34,093,853.22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139,349,973.75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-75.53%</w:t>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w:t>
      </w:r>
      <w:r>
        <w:rPr>
          <w:rFonts w:ascii="Times New Roman" w:hAnsi="Times New Roman" w:cs="Times New Roman" w:eastAsia="Times New Roman" w:hint="default"/>
        </w:rPr>
        <w:t>1</w:t>
      </w:r>
      <w:r>
        <w:rPr/>
        <w:t>）经营活动现金流入同比增加</w:t>
      </w:r>
      <w:r>
        <w:rPr>
          <w:rFonts w:ascii="Times New Roman" w:hAnsi="Times New Roman" w:cs="Times New Roman" w:eastAsia="Times New Roman" w:hint="default"/>
        </w:rPr>
        <w:t>33,901.69</w:t>
      </w:r>
      <w:r>
        <w:rPr/>
        <w:t>万元，上升</w:t>
      </w:r>
      <w:r>
        <w:rPr>
          <w:rFonts w:ascii="Times New Roman" w:hAnsi="Times New Roman" w:cs="Times New Roman" w:eastAsia="Times New Roman" w:hint="default"/>
        </w:rPr>
        <w:t>104.51%</w:t>
      </w:r>
      <w:r>
        <w:rPr/>
        <w:t>，主要系增加南京能瑞</w:t>
      </w:r>
      <w:r>
        <w:rPr>
          <w:rFonts w:ascii="Times New Roman" w:hAnsi="Times New Roman" w:cs="Times New Roman" w:eastAsia="Times New Roman" w:hint="default"/>
        </w:rPr>
        <w:t>29,785.71</w:t>
      </w:r>
      <w:r>
        <w:rPr/>
        <w:t>万元；</w:t>
      </w:r>
    </w:p>
    <w:p>
      <w:pPr>
        <w:pStyle w:val="BodyText"/>
        <w:spacing w:line="240" w:lineRule="auto" w:before="63"/>
        <w:ind w:right="0"/>
        <w:jc w:val="left"/>
      </w:pPr>
      <w:r>
        <w:rPr/>
        <w:t>（</w:t>
      </w:r>
      <w:r>
        <w:rPr>
          <w:rFonts w:ascii="Times New Roman" w:hAnsi="Times New Roman" w:cs="Times New Roman" w:eastAsia="Times New Roman" w:hint="default"/>
        </w:rPr>
        <w:t>2</w:t>
      </w:r>
      <w:r>
        <w:rPr/>
        <w:t>）经营活动现金流出同比增加</w:t>
      </w:r>
      <w:r>
        <w:rPr>
          <w:rFonts w:ascii="Times New Roman" w:hAnsi="Times New Roman" w:cs="Times New Roman" w:eastAsia="Times New Roman" w:hint="default"/>
        </w:rPr>
        <w:t>32,982.75</w:t>
      </w:r>
      <w:r>
        <w:rPr/>
        <w:t>万元，上升</w:t>
      </w:r>
      <w:r>
        <w:rPr>
          <w:rFonts w:ascii="Times New Roman" w:hAnsi="Times New Roman" w:cs="Times New Roman" w:eastAsia="Times New Roman" w:hint="default"/>
        </w:rPr>
        <w:t>109.86%</w:t>
      </w:r>
      <w:r>
        <w:rPr/>
        <w:t>，主要系增加南京能瑞</w:t>
      </w:r>
      <w:r>
        <w:rPr>
          <w:rFonts w:ascii="Times New Roman" w:hAnsi="Times New Roman" w:cs="Times New Roman" w:eastAsia="Times New Roman" w:hint="default"/>
        </w:rPr>
        <w:t>30,586.04</w:t>
      </w:r>
      <w:r>
        <w:rPr/>
        <w:t>万元；</w:t>
      </w:r>
    </w:p>
    <w:p>
      <w:pPr>
        <w:pStyle w:val="BodyText"/>
        <w:spacing w:line="300" w:lineRule="auto" w:before="63"/>
        <w:ind w:right="150"/>
        <w:jc w:val="left"/>
      </w:pPr>
      <w:r>
        <w:rPr>
          <w:spacing w:val="-1"/>
        </w:rPr>
        <w:t>（</w:t>
      </w:r>
      <w:r>
        <w:rPr>
          <w:rFonts w:ascii="Times New Roman" w:hAnsi="Times New Roman" w:cs="Times New Roman" w:eastAsia="Times New Roman" w:hint="default"/>
          <w:spacing w:val="-1"/>
        </w:rPr>
        <w:t>3</w:t>
      </w:r>
      <w:r>
        <w:rPr>
          <w:spacing w:val="-1"/>
        </w:rPr>
        <w:t>）经营活动产生的现金流量净额同比增加</w:t>
      </w:r>
      <w:r>
        <w:rPr>
          <w:rFonts w:ascii="Times New Roman" w:hAnsi="Times New Roman" w:cs="Times New Roman" w:eastAsia="Times New Roman" w:hint="default"/>
          <w:spacing w:val="-1"/>
        </w:rPr>
        <w:t>918.94</w:t>
      </w:r>
      <w:r>
        <w:rPr>
          <w:spacing w:val="-1"/>
        </w:rPr>
        <w:t>万元，上升</w:t>
      </w:r>
      <w:r>
        <w:rPr>
          <w:rFonts w:ascii="Times New Roman" w:hAnsi="Times New Roman" w:cs="Times New Roman" w:eastAsia="Times New Roman" w:hint="default"/>
          <w:spacing w:val="-1"/>
        </w:rPr>
        <w:t>38.02%</w:t>
      </w:r>
      <w:r>
        <w:rPr>
          <w:spacing w:val="-1"/>
        </w:rPr>
        <w:t>，主要系母公司较上年增加</w:t>
      </w:r>
      <w:r>
        <w:rPr>
          <w:rFonts w:ascii="Times New Roman" w:hAnsi="Times New Roman" w:cs="Times New Roman" w:eastAsia="Times New Roman" w:hint="default"/>
          <w:spacing w:val="-1"/>
        </w:rPr>
        <w:t>1,567.41</w:t>
      </w:r>
      <w:r>
        <w:rPr>
          <w:spacing w:val="-1"/>
        </w:rPr>
        <w:t>万元，合并南京能</w:t>
      </w:r>
      <w:r>
        <w:rPr>
          <w:spacing w:val="-85"/>
        </w:rPr>
        <w:t> </w:t>
      </w:r>
      <w:r>
        <w:rPr>
          <w:spacing w:val="-85"/>
        </w:rPr>
      </w:r>
      <w:r>
        <w:rPr/>
        <w:t>瑞</w:t>
      </w:r>
      <w:r>
        <w:rPr>
          <w:rFonts w:ascii="Times New Roman" w:hAnsi="Times New Roman" w:cs="Times New Roman" w:eastAsia="Times New Roman" w:hint="default"/>
        </w:rPr>
        <w:t>-800.33</w:t>
      </w:r>
      <w:r>
        <w:rPr/>
        <w:t>万元；</w:t>
      </w:r>
    </w:p>
    <w:p>
      <w:pPr>
        <w:pStyle w:val="BodyText"/>
        <w:spacing w:line="300" w:lineRule="auto" w:before="13"/>
        <w:ind w:right="262"/>
        <w:jc w:val="left"/>
      </w:pPr>
      <w:r>
        <w:rPr/>
        <w:t>（</w:t>
      </w:r>
      <w:r>
        <w:rPr>
          <w:rFonts w:ascii="Times New Roman" w:hAnsi="Times New Roman" w:cs="Times New Roman" w:eastAsia="Times New Roman" w:hint="default"/>
        </w:rPr>
        <w:t>4</w:t>
      </w:r>
      <w:r>
        <w:rPr/>
        <w:t>）投资活动现金流入同比增加</w:t>
      </w:r>
      <w:r>
        <w:rPr>
          <w:rFonts w:ascii="Times New Roman" w:hAnsi="Times New Roman" w:cs="Times New Roman" w:eastAsia="Times New Roman" w:hint="default"/>
        </w:rPr>
        <w:t>12,289.91</w:t>
      </w:r>
      <w:r>
        <w:rPr/>
        <w:t>万元，上升</w:t>
      </w:r>
      <w:r>
        <w:rPr>
          <w:rFonts w:ascii="Times New Roman" w:hAnsi="Times New Roman" w:cs="Times New Roman" w:eastAsia="Times New Roman" w:hint="default"/>
        </w:rPr>
        <w:t>4,096.64%</w:t>
      </w:r>
      <w:r>
        <w:rPr/>
        <w:t>，主要系母公司增加</w:t>
      </w:r>
      <w:r>
        <w:rPr>
          <w:rFonts w:ascii="Times New Roman" w:hAnsi="Times New Roman" w:cs="Times New Roman" w:eastAsia="Times New Roman" w:hint="default"/>
        </w:rPr>
        <w:t>6,770.63</w:t>
      </w:r>
      <w:r>
        <w:rPr/>
        <w:t>万元，增加南京能瑞</w:t>
      </w:r>
      <w:r>
        <w:rPr>
          <w:rFonts w:ascii="Times New Roman" w:hAnsi="Times New Roman" w:cs="Times New Roman" w:eastAsia="Times New Roman" w:hint="default"/>
        </w:rPr>
        <w:t>5,614.14 </w:t>
      </w:r>
      <w:r>
        <w:rPr/>
        <w:t>万元；</w:t>
      </w:r>
    </w:p>
    <w:p>
      <w:pPr>
        <w:pStyle w:val="BodyText"/>
        <w:spacing w:line="300" w:lineRule="auto" w:before="31"/>
        <w:ind w:right="0"/>
        <w:jc w:val="left"/>
      </w:pPr>
      <w:r>
        <w:rPr>
          <w:spacing w:val="-2"/>
        </w:rPr>
        <w:t>（</w:t>
      </w:r>
      <w:r>
        <w:rPr>
          <w:rFonts w:ascii="Times New Roman" w:hAnsi="Times New Roman" w:cs="Times New Roman" w:eastAsia="Times New Roman" w:hint="default"/>
          <w:spacing w:val="-2"/>
        </w:rPr>
        <w:t>5</w:t>
      </w:r>
      <w:r>
        <w:rPr>
          <w:spacing w:val="-2"/>
        </w:rPr>
        <w:t>）投资活动现金流出同比增加</w:t>
      </w:r>
      <w:r>
        <w:rPr>
          <w:rFonts w:ascii="Times New Roman" w:hAnsi="Times New Roman" w:cs="Times New Roman" w:eastAsia="Times New Roman" w:hint="default"/>
          <w:spacing w:val="-2"/>
        </w:rPr>
        <w:t>59,119.15</w:t>
      </w:r>
      <w:r>
        <w:rPr>
          <w:spacing w:val="-2"/>
        </w:rPr>
        <w:t>万元，上升</w:t>
      </w:r>
      <w:r>
        <w:rPr>
          <w:rFonts w:ascii="Times New Roman" w:hAnsi="Times New Roman" w:cs="Times New Roman" w:eastAsia="Times New Roman" w:hint="default"/>
          <w:spacing w:val="-2"/>
        </w:rPr>
        <w:t>473.01%</w:t>
      </w:r>
      <w:r>
        <w:rPr>
          <w:spacing w:val="-2"/>
        </w:rPr>
        <w:t>，主要系母公司因并购南京能瑞、对子公司投资增加</w:t>
      </w:r>
      <w:r>
        <w:rPr>
          <w:rFonts w:ascii="Times New Roman" w:hAnsi="Times New Roman" w:cs="Times New Roman" w:eastAsia="Times New Roman" w:hint="default"/>
          <w:spacing w:val="-2"/>
        </w:rPr>
        <w:t>59,696.01</w:t>
      </w:r>
      <w:r>
        <w:rPr>
          <w:rFonts w:ascii="Times New Roman" w:hAnsi="Times New Roman" w:cs="Times New Roman" w:eastAsia="Times New Roman" w:hint="default"/>
          <w:spacing w:val="-7"/>
        </w:rPr>
        <w:t> </w:t>
      </w:r>
      <w:r>
        <w:rPr/>
        <w:t>万元；</w:t>
      </w:r>
    </w:p>
    <w:p>
      <w:pPr>
        <w:pStyle w:val="BodyText"/>
        <w:spacing w:line="309" w:lineRule="auto" w:before="31"/>
        <w:ind w:right="0"/>
        <w:jc w:val="left"/>
      </w:pPr>
      <w:r>
        <w:rPr>
          <w:spacing w:val="-1"/>
        </w:rPr>
        <w:t>（</w:t>
      </w:r>
      <w:r>
        <w:rPr>
          <w:rFonts w:ascii="Times New Roman" w:hAnsi="Times New Roman" w:cs="Times New Roman" w:eastAsia="Times New Roman" w:hint="default"/>
          <w:spacing w:val="-1"/>
        </w:rPr>
        <w:t>6</w:t>
      </w:r>
      <w:r>
        <w:rPr>
          <w:spacing w:val="-1"/>
        </w:rPr>
        <w:t>）投资活动产生的现金流量净额同比减少</w:t>
      </w:r>
      <w:r>
        <w:rPr>
          <w:rFonts w:ascii="Times New Roman" w:hAnsi="Times New Roman" w:cs="Times New Roman" w:eastAsia="Times New Roman" w:hint="default"/>
          <w:spacing w:val="-1"/>
        </w:rPr>
        <w:t>46,829.25</w:t>
      </w:r>
      <w:r>
        <w:rPr>
          <w:spacing w:val="-1"/>
        </w:rPr>
        <w:t>万元，下降</w:t>
      </w:r>
      <w:r>
        <w:rPr>
          <w:rFonts w:ascii="Times New Roman" w:hAnsi="Times New Roman" w:cs="Times New Roman" w:eastAsia="Times New Roman" w:hint="default"/>
          <w:spacing w:val="-1"/>
        </w:rPr>
        <w:t>383.9%</w:t>
      </w:r>
      <w:r>
        <w:rPr>
          <w:spacing w:val="-1"/>
        </w:rPr>
        <w:t>，主要系母公司因并购南京能瑞、对子公司投资增</w:t>
      </w:r>
      <w:r>
        <w:rPr>
          <w:spacing w:val="-42"/>
        </w:rPr>
        <w:t> </w:t>
      </w:r>
      <w:r>
        <w:rPr>
          <w:spacing w:val="-42"/>
        </w:rPr>
      </w:r>
      <w:r>
        <w:rPr/>
        <w:t>加所致； </w:t>
      </w:r>
      <w:r>
        <w:rPr>
          <w:rFonts w:ascii="Times New Roman" w:hAnsi="Times New Roman" w:cs="Times New Roman" w:eastAsia="Times New Roman" w:hint="default"/>
        </w:rPr>
        <w:t>7.</w:t>
      </w:r>
      <w:r>
        <w:rPr/>
        <w:t>筹资活动现金流入同比增加</w:t>
      </w:r>
      <w:r>
        <w:rPr>
          <w:rFonts w:ascii="Times New Roman" w:hAnsi="Times New Roman" w:cs="Times New Roman" w:eastAsia="Times New Roman" w:hint="default"/>
        </w:rPr>
        <w:t>54,943.07</w:t>
      </w:r>
      <w:r>
        <w:rPr/>
        <w:t>万元，上升</w:t>
      </w:r>
      <w:r>
        <w:rPr>
          <w:rFonts w:ascii="Times New Roman" w:hAnsi="Times New Roman" w:cs="Times New Roman" w:eastAsia="Times New Roman" w:hint="default"/>
        </w:rPr>
        <w:t>195.32%</w:t>
      </w:r>
      <w:r>
        <w:rPr/>
        <w:t>，主要系募集资金较上年增加</w:t>
      </w:r>
      <w:r>
        <w:rPr>
          <w:rFonts w:ascii="Times New Roman" w:hAnsi="Times New Roman" w:cs="Times New Roman" w:eastAsia="Times New Roman" w:hint="default"/>
        </w:rPr>
        <w:t>23,523.22</w:t>
      </w:r>
      <w:r>
        <w:rPr/>
        <w:t>万元，借款较上年增加</w:t>
      </w:r>
    </w:p>
    <w:p>
      <w:pPr>
        <w:pStyle w:val="BodyText"/>
        <w:spacing w:line="240" w:lineRule="auto" w:before="5"/>
        <w:ind w:right="0"/>
        <w:jc w:val="left"/>
      </w:pPr>
      <w:r>
        <w:rPr>
          <w:rFonts w:ascii="Times New Roman" w:hAnsi="Times New Roman" w:cs="Times New Roman" w:eastAsia="Times New Roman" w:hint="default"/>
        </w:rPr>
        <w:t>25,341</w:t>
      </w:r>
      <w:r>
        <w:rPr/>
        <w:t>万元；</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ind w:right="99"/>
        <w:jc w:val="left"/>
      </w:pPr>
      <w:r>
        <w:rPr>
          <w:spacing w:val="-2"/>
        </w:rPr>
        <w:t>（</w:t>
      </w:r>
      <w:r>
        <w:rPr>
          <w:rFonts w:ascii="Times New Roman" w:hAnsi="Times New Roman" w:cs="Times New Roman" w:eastAsia="Times New Roman" w:hint="default"/>
          <w:spacing w:val="-2"/>
        </w:rPr>
        <w:t>8</w:t>
      </w:r>
      <w:r>
        <w:rPr>
          <w:spacing w:val="-2"/>
        </w:rPr>
        <w:t>）筹资活动现金流出同比增加</w:t>
      </w:r>
      <w:r>
        <w:rPr>
          <w:rFonts w:ascii="Times New Roman" w:hAnsi="Times New Roman" w:cs="Times New Roman" w:eastAsia="Times New Roman" w:hint="default"/>
          <w:spacing w:val="-2"/>
        </w:rPr>
        <w:t>19,555.08</w:t>
      </w:r>
      <w:r>
        <w:rPr>
          <w:spacing w:val="-2"/>
        </w:rPr>
        <w:t>万元，上升</w:t>
      </w:r>
      <w:r>
        <w:rPr>
          <w:rFonts w:ascii="Times New Roman" w:hAnsi="Times New Roman" w:cs="Times New Roman" w:eastAsia="Times New Roman" w:hint="default"/>
          <w:spacing w:val="-2"/>
        </w:rPr>
        <w:t>443.12%</w:t>
      </w:r>
      <w:r>
        <w:rPr>
          <w:spacing w:val="-2"/>
        </w:rPr>
        <w:t>，主要系母公司增加</w:t>
      </w:r>
      <w:r>
        <w:rPr>
          <w:rFonts w:ascii="Times New Roman" w:hAnsi="Times New Roman" w:cs="Times New Roman" w:eastAsia="Times New Roman" w:hint="default"/>
          <w:spacing w:val="-2"/>
        </w:rPr>
        <w:t>10,433.1</w:t>
      </w:r>
      <w:r>
        <w:rPr>
          <w:spacing w:val="-2"/>
        </w:rPr>
        <w:t>万元，主要是偿还贷款增加所致；</w:t>
      </w:r>
    </w:p>
    <w:p>
      <w:pPr>
        <w:pStyle w:val="BodyText"/>
        <w:spacing w:line="240" w:lineRule="auto" w:before="103"/>
        <w:ind w:right="99"/>
        <w:jc w:val="left"/>
      </w:pPr>
      <w:r>
        <w:rPr/>
        <w:t>（</w:t>
      </w:r>
      <w:r>
        <w:rPr>
          <w:rFonts w:ascii="Times New Roman" w:hAnsi="Times New Roman" w:cs="Times New Roman" w:eastAsia="Times New Roman" w:hint="default"/>
        </w:rPr>
        <w:t>9</w:t>
      </w:r>
      <w:r>
        <w:rPr/>
        <w:t>）筹资活动产生的现金流量净额同比增加</w:t>
      </w:r>
      <w:r>
        <w:rPr>
          <w:rFonts w:ascii="Times New Roman" w:hAnsi="Times New Roman" w:cs="Times New Roman" w:eastAsia="Times New Roman" w:hint="default"/>
        </w:rPr>
        <w:t>35,387.99</w:t>
      </w:r>
      <w:r>
        <w:rPr/>
        <w:t>万元，上升</w:t>
      </w:r>
      <w:r>
        <w:rPr>
          <w:rFonts w:ascii="Times New Roman" w:hAnsi="Times New Roman" w:cs="Times New Roman" w:eastAsia="Times New Roman" w:hint="default"/>
        </w:rPr>
        <w:t>149.21%</w:t>
      </w:r>
      <w:r>
        <w:rPr/>
        <w:t>，主要系母公司本年增加募集资金所致；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before="0"/>
        <w:ind w:right="99"/>
        <w:jc w:val="left"/>
      </w:pPr>
      <w:r>
        <w:rPr/>
        <w:t>报告期内公司经营活动产生的现金净流量与本年度净利润存在重大差异的原因说明</w:t>
      </w:r>
    </w:p>
    <w:p>
      <w:pPr>
        <w:pStyle w:val="BodyText"/>
        <w:spacing w:line="240" w:lineRule="auto" w:before="116"/>
        <w:ind w:right="6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6752"/>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6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6752"/>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6752"/>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9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0"/>
        <w:ind w:left="0" w:right="196"/>
        <w:jc w:val="right"/>
      </w:pPr>
      <w:r>
        <w:rPr/>
        <w:pict>
          <v:shape style="position:absolute;margin-left:57.029999pt;margin-top:-424.588257pt;width:478.65pt;height:455.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501,704,155.2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16.64%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270,107,748.10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33.46%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-16.82%</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23,159.64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万元，上升 </w:t>
                        </w:r>
                        <w:r>
                          <w:rPr>
                            <w:rFonts w:ascii="Times New Roman" w:hAnsi="Times New Roman" w:cs="Times New Roman" w:eastAsia="Times New Roman" w:hint="default"/>
                            <w:spacing w:val="-2"/>
                            <w:sz w:val="18"/>
                            <w:szCs w:val="18"/>
                          </w:rPr>
                          <w:t>85.74%</w:t>
                        </w:r>
                        <w:r>
                          <w:rPr>
                            <w:rFonts w:ascii="宋体" w:hAnsi="宋体" w:cs="宋体" w:eastAsia="宋体" w:hint="default"/>
                            <w:spacing w:val="-2"/>
                            <w:sz w:val="18"/>
                            <w:szCs w:val="18"/>
                          </w:rPr>
                          <w:t>，主要系母公司销售回款较上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万，增加南京能瑞货币</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16,047.45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629,897,641.3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20.90%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217,503,194.58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26.94%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-6.04%</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41,239.44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万元，上升 </w:t>
                        </w:r>
                        <w:r>
                          <w:rPr>
                            <w:rFonts w:ascii="Times New Roman" w:hAnsi="Times New Roman" w:cs="Times New Roman" w:eastAsia="Times New Roman" w:hint="default"/>
                            <w:sz w:val="18"/>
                            <w:szCs w:val="18"/>
                          </w:rPr>
                          <w:t>189.60%</w:t>
                        </w:r>
                        <w:r>
                          <w:rPr>
                            <w:rFonts w:ascii="宋体" w:hAnsi="宋体" w:cs="宋体" w:eastAsia="宋体" w:hint="default"/>
                            <w:sz w:val="18"/>
                            <w:szCs w:val="18"/>
                          </w:rPr>
                          <w:t>，主要系母公司营业收入增 长应收账款增加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4,677.93 </w:t>
                        </w:r>
                        <w:r>
                          <w:rPr>
                            <w:rFonts w:ascii="宋体" w:hAnsi="宋体" w:cs="宋体" w:eastAsia="宋体" w:hint="default"/>
                            <w:spacing w:val="-4"/>
                            <w:sz w:val="18"/>
                            <w:szCs w:val="18"/>
                          </w:rPr>
                          <w:t>万元，增加</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南京能瑞应收账款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35,920.86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118,265,411.1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3.92%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59,694,511.47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7.39%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-3.47%</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5,857.09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万元，上升</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98.12%</w:t>
                        </w:r>
                        <w:r>
                          <w:rPr>
                            <w:rFonts w:ascii="宋体" w:hAnsi="宋体" w:cs="宋体" w:eastAsia="宋体" w:hint="default"/>
                            <w:sz w:val="18"/>
                            <w:szCs w:val="18"/>
                          </w:rPr>
                          <w:t>，主要系增加南京能瑞存货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6,412.55 </w:t>
                        </w:r>
                        <w:r>
                          <w:rPr>
                            <w:rFonts w:ascii="宋体" w:hAnsi="宋体" w:cs="宋体" w:eastAsia="宋体" w:hint="default"/>
                            <w:sz w:val="18"/>
                            <w:szCs w:val="18"/>
                          </w:rPr>
                          <w:t>万元</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8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324,938,114.7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10.78%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105,976,952.38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13.13%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-2.35%</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21,896.12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万元，上升</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206.61%</w:t>
                        </w:r>
                        <w:r>
                          <w:rPr>
                            <w:rFonts w:ascii="宋体" w:hAnsi="宋体" w:cs="宋体" w:eastAsia="宋体" w:hint="default"/>
                            <w:spacing w:val="-3"/>
                            <w:sz w:val="18"/>
                            <w:szCs w:val="18"/>
                          </w:rPr>
                          <w:t>，主要系母公司在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年新</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建募投项目厂房及研发中心于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月份转固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6,272.46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万元，增加</w:t>
                        </w:r>
                      </w:p>
                      <w:p>
                        <w:pPr>
                          <w:pStyle w:val="TableParagraph"/>
                          <w:spacing w:line="302" w:lineRule="auto" w:before="63"/>
                          <w:ind w:left="22" w:right="92"/>
                          <w:jc w:val="left"/>
                          <w:rPr>
                            <w:rFonts w:ascii="宋体" w:hAnsi="宋体" w:cs="宋体" w:eastAsia="宋体" w:hint="default"/>
                            <w:sz w:val="18"/>
                            <w:szCs w:val="18"/>
                          </w:rPr>
                        </w:pPr>
                        <w:r>
                          <w:rPr>
                            <w:rFonts w:ascii="宋体" w:hAnsi="宋体" w:cs="宋体" w:eastAsia="宋体" w:hint="default"/>
                            <w:sz w:val="18"/>
                            <w:szCs w:val="18"/>
                          </w:rPr>
                          <w:t>南京能瑞固定资产净额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14,566.18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78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62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36,552,225.52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1.21%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63,304,553.66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7.84%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-6.63%</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同比减少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2,675.23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万元，下降 </w:t>
                        </w:r>
                        <w:r>
                          <w:rPr>
                            <w:rFonts w:ascii="Times New Roman" w:hAnsi="Times New Roman" w:cs="Times New Roman" w:eastAsia="Times New Roman" w:hint="default"/>
                            <w:spacing w:val="-2"/>
                            <w:sz w:val="18"/>
                            <w:szCs w:val="18"/>
                          </w:rPr>
                          <w:t>42.26%</w:t>
                        </w:r>
                        <w:r>
                          <w:rPr>
                            <w:rFonts w:ascii="宋体" w:hAnsi="宋体" w:cs="宋体" w:eastAsia="宋体" w:hint="default"/>
                            <w:spacing w:val="-2"/>
                            <w:sz w:val="18"/>
                            <w:szCs w:val="18"/>
                          </w:rPr>
                          <w:t>，主要系母公司募投建设项目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2,233.47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万元，转固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6,272.46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1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元；增加南京能瑞在建工程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1,278.17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40"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13"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184,530,000.0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6.12%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2.48%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3.64%</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同比增加</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16,453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上升</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2.65%</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主要系母公司较去年增加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13"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4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13"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footerReference w:type="default" r:id="rId13"/>
          <w:pgSz w:w="11910" w:h="16840"/>
          <w:pgMar w:footer="979" w:header="747" w:top="1060" w:bottom="1160" w:left="980" w:right="940"/>
          <w:pgNumType w:start="2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ind w:left="0" w:right="156"/>
        <w:jc w:val="right"/>
      </w:pPr>
      <w:r>
        <w:rPr/>
        <w:pict>
          <v:shape style="position:absolute;margin-left:56.459999pt;margin-top:-34.568268pt;width:479.25pt;height:152.45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48"/>
                          <w:jc w:val="left"/>
                          <w:rPr>
                            <w:rFonts w:ascii="宋体" w:hAnsi="宋体" w:cs="宋体" w:eastAsia="宋体" w:hint="default"/>
                            <w:sz w:val="18"/>
                            <w:szCs w:val="18"/>
                          </w:rPr>
                        </w:pPr>
                        <w:r>
                          <w:rPr>
                            <w:rFonts w:ascii="宋体" w:hAnsi="宋体" w:cs="宋体" w:eastAsia="宋体" w:hint="default"/>
                            <w:sz w:val="18"/>
                            <w:szCs w:val="18"/>
                          </w:rPr>
                          <w:t>元，增加南京能瑞短期借款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20,857,768.97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13,074,633.94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778.31 </w:t>
                        </w:r>
                        <w:r>
                          <w:rPr>
                            <w:rFonts w:ascii="宋体" w:hAnsi="宋体" w:cs="宋体" w:eastAsia="宋体" w:hint="default"/>
                            <w:spacing w:val="-7"/>
                            <w:sz w:val="18"/>
                            <w:szCs w:val="18"/>
                          </w:rPr>
                          <w:t>万元，上升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59.53%</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主要系母公司较去年减少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402.76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元，子公司开盛减少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加南京能瑞应收票据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1,318.78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80,587,846.55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17,613,278.88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6,297.46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万元，上升 </w:t>
                        </w:r>
                        <w:r>
                          <w:rPr>
                            <w:rFonts w:ascii="Times New Roman" w:hAnsi="Times New Roman" w:cs="Times New Roman" w:eastAsia="Times New Roman" w:hint="default"/>
                            <w:sz w:val="18"/>
                            <w:szCs w:val="18"/>
                          </w:rPr>
                          <w:t>357.54%</w:t>
                        </w:r>
                        <w:r>
                          <w:rPr>
                            <w:rFonts w:ascii="宋体" w:hAnsi="宋体" w:cs="宋体" w:eastAsia="宋体" w:hint="default"/>
                            <w:sz w:val="18"/>
                            <w:szCs w:val="18"/>
                          </w:rPr>
                          <w:t>，主要系增加南京能瑞无形 资产净额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6,267.41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35"/>
        <w:ind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line="975" w:lineRule="exact"/>
        <w:ind w:left="154" w:right="0" w:firstLine="0"/>
        <w:rPr>
          <w:rFonts w:ascii="宋体" w:hAnsi="宋体" w:cs="宋体" w:eastAsia="宋体" w:hint="default"/>
          <w:sz w:val="20"/>
          <w:szCs w:val="20"/>
        </w:rPr>
      </w:pPr>
      <w:r>
        <w:rPr>
          <w:rFonts w:ascii="宋体" w:hAnsi="宋体" w:cs="宋体" w:eastAsia="宋体" w:hint="default"/>
          <w:position w:val="-19"/>
          <w:sz w:val="20"/>
          <w:szCs w:val="20"/>
        </w:rPr>
        <w:drawing>
          <wp:inline distT="0" distB="0" distL="0" distR="0">
            <wp:extent cx="3406456" cy="6191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3406456" cy="619125"/>
                    </a:xfrm>
                    <a:prstGeom prst="rect">
                      <a:avLst/>
                    </a:prstGeom>
                  </pic:spPr>
                </pic:pic>
              </a:graphicData>
            </a:graphic>
          </wp:inline>
        </w:drawing>
      </w:r>
      <w:r>
        <w:rPr>
          <w:rFonts w:ascii="宋体" w:hAnsi="宋体" w:cs="宋体" w:eastAsia="宋体" w:hint="default"/>
          <w:position w:val="-19"/>
          <w:sz w:val="20"/>
          <w:szCs w:val="20"/>
        </w:rPr>
      </w:r>
    </w:p>
    <w:p>
      <w:pPr>
        <w:spacing w:line="240" w:lineRule="auto" w:before="9"/>
        <w:rPr>
          <w:rFonts w:ascii="宋体" w:hAnsi="宋体" w:cs="宋体" w:eastAsia="宋体" w:hint="default"/>
          <w:b/>
          <w:bCs/>
          <w:sz w:val="28"/>
          <w:szCs w:val="28"/>
        </w:rPr>
      </w:pPr>
    </w:p>
    <w:p>
      <w:pPr>
        <w:pStyle w:val="Heading2"/>
        <w:spacing w:line="240" w:lineRule="auto" w:before="26"/>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1,613,447,254.41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pict>
          <v:group style="position:absolute;margin-left:126.32pt;margin-top:73.931709pt;width:32.6pt;height:95.6pt;mso-position-horizontal-relative:page;mso-position-vertical-relative:paragraph;z-index:-2129560" coordorigin="2526,1479" coordsize="652,1912">
            <v:group style="position:absolute;left:2526;top:1479;width:652;height:760" coordorigin="2526,1479" coordsize="652,760">
              <v:shape style="position:absolute;left:2526;top:1479;width:652;height:760" coordorigin="2526,1479" coordsize="652,760" path="m2526,2238l3178,2238,3178,1479,2526,1479,2526,2238xe" filled="true" fillcolor="#ffffff" stroked="false">
                <v:path arrowok="t"/>
                <v:fill type="solid"/>
              </v:shape>
            </v:group>
            <v:group style="position:absolute;left:2538;top:2238;width:2;height:393" coordorigin="2538,2238" coordsize="2,393">
              <v:shape style="position:absolute;left:2538;top:2238;width:2;height:393" coordorigin="2538,2238" coordsize="0,393" path="m2538,2238l2538,2631e" filled="false" stroked="true" strokeweight="1.140pt" strokecolor="#ffffff">
                <v:path arrowok="t"/>
              </v:shape>
            </v:group>
            <v:group style="position:absolute;left:2526;top:2631;width:652;height:760" coordorigin="2526,2631" coordsize="652,760">
              <v:shape style="position:absolute;left:2526;top:2631;width:652;height:760" coordorigin="2526,2631" coordsize="652,760" path="m2526,3391l3178,3391,3178,2631,2526,2631,2526,3391xe" filled="true" fillcolor="#ffffff" stroked="false">
                <v:path arrowok="t"/>
                <v:fill type="solid"/>
              </v:shape>
            </v:group>
            <v:group style="position:absolute;left:2549;top:2238;width:606;height:393" coordorigin="2549,2238" coordsize="606,393">
              <v:shape style="position:absolute;left:2549;top:2238;width:606;height:393" coordorigin="2549,2238" coordsize="606,393" path="m2549,2631l3155,2631,3155,2238,2549,2238,2549,2631xe" filled="true" fillcolor="#ffffff" stroked="false">
                <v:path arrowok="t"/>
                <v:fill type="solid"/>
              </v:shape>
            </v:group>
            <w10:wrap type="none"/>
          </v:group>
        </w:pict>
      </w: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23"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南京能 瑞自动 化设备 股份有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电力电 子设备 测量仪 器仪表 配电自 动化设</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4"/>
              <w:ind w:right="0"/>
              <w:jc w:val="left"/>
              <w:rPr>
                <w:rFonts w:ascii="宋体" w:hAnsi="宋体" w:cs="宋体" w:eastAsia="宋体" w:hint="default"/>
                <w:sz w:val="16"/>
                <w:szCs w:val="16"/>
              </w:rPr>
            </w:pPr>
          </w:p>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205"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47,254.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88"/>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62" w:lineRule="auto"/>
              <w:ind w:left="23" w:right="45"/>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bl>
    <w:p>
      <w:pPr>
        <w:spacing w:after="0" w:line="362" w:lineRule="auto"/>
        <w:jc w:val="both"/>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6.32pt;margin-top:72.47998pt;width:32.6pt;height:610.5pt;mso-position-horizontal-relative:page;mso-position-vertical-relative:page;z-index:-2129512" coordorigin="2526,1450" coordsize="652,12210">
            <v:shape style="position:absolute;left:2526;top:1450;width:652;height:12210" coordorigin="2526,1450" coordsize="652,12210" path="m2526,13659l3178,13659,3178,1450,2526,1450,2526,1365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2219"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备研制 </w:t>
            </w:r>
            <w:r>
              <w:rPr>
                <w:rFonts w:ascii="宋体" w:hAnsi="宋体" w:cs="宋体" w:eastAsia="宋体" w:hint="default"/>
                <w:spacing w:val="-21"/>
                <w:sz w:val="18"/>
                <w:szCs w:val="18"/>
              </w:rPr>
              <w:t>开发、生</w:t>
            </w:r>
            <w:r>
              <w:rPr>
                <w:rFonts w:ascii="宋体" w:hAnsi="宋体" w:cs="宋体" w:eastAsia="宋体" w:hint="default"/>
                <w:sz w:val="18"/>
                <w:szCs w:val="18"/>
              </w:rPr>
              <w:t> </w:t>
            </w:r>
            <w:r>
              <w:rPr>
                <w:rFonts w:ascii="宋体" w:hAnsi="宋体" w:cs="宋体" w:eastAsia="宋体" w:hint="default"/>
                <w:spacing w:val="-21"/>
                <w:sz w:val="18"/>
                <w:szCs w:val="18"/>
              </w:rPr>
              <w:t>产、销售</w:t>
            </w:r>
            <w:r>
              <w:rPr>
                <w:rFonts w:ascii="宋体" w:hAnsi="宋体" w:cs="宋体" w:eastAsia="宋体" w:hint="default"/>
                <w:sz w:val="18"/>
                <w:szCs w:val="18"/>
              </w:rPr>
              <w:t> 及技术 咨询服 </w:t>
            </w:r>
            <w:r>
              <w:rPr>
                <w:rFonts w:ascii="宋体" w:hAnsi="宋体" w:cs="宋体" w:eastAsia="宋体" w:hint="default"/>
                <w:spacing w:val="-21"/>
                <w:sz w:val="18"/>
                <w:szCs w:val="18"/>
              </w:rPr>
              <w:t>务；自动</w:t>
            </w:r>
            <w:r>
              <w:rPr>
                <w:rFonts w:ascii="宋体" w:hAnsi="宋体" w:cs="宋体" w:eastAsia="宋体" w:hint="default"/>
                <w:sz w:val="18"/>
                <w:szCs w:val="18"/>
              </w:rPr>
              <w:t> 化系统 集成销 </w:t>
            </w:r>
            <w:r>
              <w:rPr>
                <w:rFonts w:ascii="宋体" w:hAnsi="宋体" w:cs="宋体" w:eastAsia="宋体" w:hint="default"/>
                <w:spacing w:val="-21"/>
                <w:sz w:val="18"/>
                <w:szCs w:val="18"/>
              </w:rPr>
              <w:t>售；自营</w:t>
            </w:r>
            <w:r>
              <w:rPr>
                <w:rFonts w:ascii="宋体" w:hAnsi="宋体" w:cs="宋体" w:eastAsia="宋体" w:hint="default"/>
                <w:sz w:val="18"/>
                <w:szCs w:val="18"/>
              </w:rPr>
              <w:t> 和代理 各类商 品及技 术的进 出口业 </w:t>
            </w:r>
            <w:r>
              <w:rPr>
                <w:rFonts w:ascii="宋体" w:hAnsi="宋体" w:cs="宋体" w:eastAsia="宋体" w:hint="default"/>
                <w:spacing w:val="-21"/>
                <w:sz w:val="18"/>
                <w:szCs w:val="18"/>
              </w:rPr>
              <w:t>务（国家</w:t>
            </w:r>
            <w:r>
              <w:rPr>
                <w:rFonts w:ascii="宋体" w:hAnsi="宋体" w:cs="宋体" w:eastAsia="宋体" w:hint="default"/>
                <w:sz w:val="18"/>
                <w:szCs w:val="18"/>
              </w:rPr>
              <w:t> 限定公 司经营 和禁止 进出口 的商品 和技术 </w:t>
            </w:r>
            <w:r>
              <w:rPr>
                <w:rFonts w:ascii="宋体" w:hAnsi="宋体" w:cs="宋体" w:eastAsia="宋体" w:hint="default"/>
                <w:spacing w:val="-23"/>
                <w:sz w:val="18"/>
                <w:szCs w:val="18"/>
              </w:rPr>
              <w:t>除外）；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新能源 汽车充 电设施 </w:t>
            </w:r>
            <w:r>
              <w:rPr>
                <w:rFonts w:ascii="宋体" w:hAnsi="宋体" w:cs="宋体" w:eastAsia="宋体" w:hint="default"/>
                <w:spacing w:val="-21"/>
                <w:sz w:val="18"/>
                <w:szCs w:val="18"/>
              </w:rPr>
              <w:t>研发、生</w:t>
            </w:r>
            <w:r>
              <w:rPr>
                <w:rFonts w:ascii="宋体" w:hAnsi="宋体" w:cs="宋体" w:eastAsia="宋体" w:hint="default"/>
                <w:sz w:val="18"/>
                <w:szCs w:val="18"/>
              </w:rPr>
              <w:t> 产、销 </w:t>
            </w:r>
            <w:r>
              <w:rPr>
                <w:rFonts w:ascii="宋体" w:hAnsi="宋体" w:cs="宋体" w:eastAsia="宋体" w:hint="default"/>
                <w:spacing w:val="-21"/>
                <w:sz w:val="18"/>
                <w:szCs w:val="18"/>
              </w:rPr>
              <w:t>售、技术</w:t>
            </w:r>
            <w:r>
              <w:rPr>
                <w:rFonts w:ascii="宋体" w:hAnsi="宋体" w:cs="宋体" w:eastAsia="宋体" w:hint="default"/>
                <w:sz w:val="18"/>
                <w:szCs w:val="18"/>
              </w:rPr>
              <w:t> 服务及 维护管 </w:t>
            </w:r>
            <w:r>
              <w:rPr>
                <w:rFonts w:ascii="宋体" w:hAnsi="宋体" w:cs="宋体" w:eastAsia="宋体" w:hint="default"/>
                <w:spacing w:val="-21"/>
                <w:sz w:val="18"/>
                <w:szCs w:val="18"/>
              </w:rPr>
              <w:t>理；充电</w:t>
            </w:r>
            <w:r>
              <w:rPr>
                <w:rFonts w:ascii="宋体" w:hAnsi="宋体" w:cs="宋体" w:eastAsia="宋体" w:hint="default"/>
                <w:sz w:val="18"/>
                <w:szCs w:val="18"/>
              </w:rPr>
              <w:t> 站建设 新能源 汽车充 电服务 市区包 车客运 汽车租 赁。</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湖州金 冠鸿图 隔膜科 技有限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20"/>
              <w:jc w:val="left"/>
              <w:rPr>
                <w:rFonts w:ascii="宋体" w:hAnsi="宋体" w:cs="宋体" w:eastAsia="宋体" w:hint="default"/>
                <w:sz w:val="18"/>
                <w:szCs w:val="18"/>
              </w:rPr>
            </w:pPr>
            <w:r>
              <w:rPr>
                <w:rFonts w:ascii="宋体" w:hAnsi="宋体" w:cs="宋体" w:eastAsia="宋体" w:hint="default"/>
                <w:sz w:val="18"/>
                <w:szCs w:val="18"/>
              </w:rPr>
              <w:t>锂离子 电池隔 </w:t>
            </w:r>
            <w:r>
              <w:rPr>
                <w:rFonts w:ascii="宋体" w:hAnsi="宋体" w:cs="宋体" w:eastAsia="宋体" w:hint="default"/>
                <w:spacing w:val="-21"/>
                <w:sz w:val="18"/>
                <w:szCs w:val="18"/>
              </w:rPr>
              <w:t>膜、普通</w:t>
            </w:r>
            <w:r>
              <w:rPr>
                <w:rFonts w:ascii="宋体" w:hAnsi="宋体" w:cs="宋体" w:eastAsia="宋体" w:hint="default"/>
                <w:sz w:val="18"/>
                <w:szCs w:val="18"/>
              </w:rPr>
              <w:t> 锌锰电 池隔膜</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吉林省 金冠投 资有限 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83"/>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45"/>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bl>
    <w:p>
      <w:pPr>
        <w:spacing w:after="0" w:line="362" w:lineRule="auto"/>
        <w:jc w:val="both"/>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06"/>
        <w:gridCol w:w="682"/>
        <w:gridCol w:w="662"/>
        <w:gridCol w:w="661"/>
        <w:gridCol w:w="662"/>
        <w:gridCol w:w="663"/>
        <w:gridCol w:w="658"/>
        <w:gridCol w:w="655"/>
        <w:gridCol w:w="658"/>
        <w:gridCol w:w="629"/>
        <w:gridCol w:w="740"/>
        <w:gridCol w:w="734"/>
        <w:gridCol w:w="733"/>
        <w:gridCol w:w="724"/>
      </w:tblGrid>
      <w:tr>
        <w:trPr>
          <w:trHeight w:val="986" w:hRule="exact"/>
        </w:trPr>
        <w:tc>
          <w:tcPr>
            <w:tcW w:w="70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1" w:right="20"/>
              <w:jc w:val="left"/>
              <w:rPr>
                <w:rFonts w:ascii="宋体" w:hAnsi="宋体" w:cs="宋体" w:eastAsia="宋体" w:hint="default"/>
                <w:sz w:val="18"/>
                <w:szCs w:val="18"/>
              </w:rPr>
            </w:pPr>
            <w:r>
              <w:rPr>
                <w:rFonts w:ascii="宋体" w:hAnsi="宋体" w:cs="宋体" w:eastAsia="宋体" w:hint="default"/>
                <w:sz w:val="18"/>
                <w:szCs w:val="18"/>
              </w:rPr>
              <w:t>的研发 </w:t>
            </w:r>
            <w:r>
              <w:rPr>
                <w:rFonts w:ascii="宋体" w:hAnsi="宋体" w:cs="宋体" w:eastAsia="宋体" w:hint="default"/>
                <w:spacing w:val="-21"/>
                <w:sz w:val="18"/>
                <w:szCs w:val="18"/>
              </w:rPr>
              <w:t>生产、销</w:t>
            </w:r>
            <w:r>
              <w:rPr>
                <w:rFonts w:ascii="宋体" w:hAnsi="宋体" w:cs="宋体" w:eastAsia="宋体" w:hint="default"/>
                <w:sz w:val="18"/>
                <w:szCs w:val="18"/>
              </w:rPr>
              <w:t> 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8203" w:hRule="exact"/>
        </w:trPr>
        <w:tc>
          <w:tcPr>
            <w:tcW w:w="70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54"/>
              <w:jc w:val="left"/>
              <w:rPr>
                <w:rFonts w:ascii="宋体" w:hAnsi="宋体" w:cs="宋体" w:eastAsia="宋体" w:hint="default"/>
                <w:sz w:val="18"/>
                <w:szCs w:val="18"/>
              </w:rPr>
            </w:pPr>
            <w:r>
              <w:rPr>
                <w:rFonts w:ascii="宋体" w:hAnsi="宋体" w:cs="宋体" w:eastAsia="宋体" w:hint="default"/>
                <w:sz w:val="18"/>
                <w:szCs w:val="18"/>
              </w:rPr>
              <w:t>华胤控 股集团 有限公 </w:t>
            </w:r>
            <w:r>
              <w:rPr>
                <w:rFonts w:ascii="宋体" w:hAnsi="宋体" w:cs="宋体" w:eastAsia="宋体" w:hint="default"/>
                <w:spacing w:val="-21"/>
                <w:sz w:val="18"/>
                <w:szCs w:val="18"/>
              </w:rPr>
              <w:t>司（历史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1"/>
                <w:sz w:val="18"/>
                <w:szCs w:val="18"/>
              </w:rPr>
              <w:t>名称：深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圳市华 胤投资 有限公 </w:t>
            </w:r>
            <w:r>
              <w:rPr>
                <w:rFonts w:ascii="宋体" w:hAnsi="宋体" w:cs="宋体" w:eastAsia="宋体" w:hint="default"/>
                <w:spacing w:val="-21"/>
                <w:sz w:val="18"/>
                <w:szCs w:val="18"/>
              </w:rPr>
              <w:t>司、华胤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控股有 限公司）</w:t>
            </w:r>
          </w:p>
        </w:tc>
        <w:tc>
          <w:tcPr>
            <w:tcW w:w="682" w:type="dxa"/>
            <w:tcBorders>
              <w:top w:val="single" w:sz="4" w:space="0" w:color="000000"/>
              <w:left w:val="single" w:sz="10" w:space="0" w:color="FFFFFF"/>
              <w:bottom w:val="single" w:sz="4" w:space="0" w:color="000000"/>
              <w:right w:val="single" w:sz="9" w:space="0" w:color="FFFFFF"/>
            </w:tcBorders>
          </w:tcPr>
          <w:p>
            <w:pPr>
              <w:pStyle w:val="TableParagraph"/>
              <w:spacing w:line="316" w:lineRule="auto" w:before="51"/>
              <w:ind w:left="4" w:right="111"/>
              <w:jc w:val="left"/>
              <w:rPr>
                <w:rFonts w:ascii="宋体" w:hAnsi="宋体" w:cs="宋体" w:eastAsia="宋体" w:hint="default"/>
                <w:sz w:val="18"/>
                <w:szCs w:val="18"/>
              </w:rPr>
            </w:pPr>
            <w:r>
              <w:rPr>
                <w:rFonts w:ascii="宋体" w:hAnsi="宋体" w:cs="宋体" w:eastAsia="宋体" w:hint="default"/>
                <w:sz w:val="18"/>
                <w:szCs w:val="18"/>
              </w:rPr>
              <w:t>投资兴 办实业</w:t>
            </w:r>
          </w:p>
          <w:p>
            <w:pPr>
              <w:pStyle w:val="TableParagraph"/>
              <w:spacing w:line="316" w:lineRule="auto" w:before="19"/>
              <w:ind w:left="4" w:right="14"/>
              <w:jc w:val="left"/>
              <w:rPr>
                <w:rFonts w:ascii="宋体" w:hAnsi="宋体" w:cs="宋体" w:eastAsia="宋体" w:hint="default"/>
                <w:sz w:val="18"/>
                <w:szCs w:val="18"/>
              </w:rPr>
            </w:pPr>
            <w:r>
              <w:rPr>
                <w:rFonts w:ascii="宋体" w:hAnsi="宋体" w:cs="宋体" w:eastAsia="宋体" w:hint="default"/>
                <w:sz w:val="18"/>
                <w:szCs w:val="18"/>
              </w:rPr>
              <w:t>（具体 项目另 行申 </w:t>
            </w:r>
            <w:r>
              <w:rPr>
                <w:rFonts w:ascii="宋体" w:hAnsi="宋体" w:cs="宋体" w:eastAsia="宋体" w:hint="default"/>
                <w:spacing w:val="-23"/>
                <w:sz w:val="18"/>
                <w:szCs w:val="18"/>
              </w:rPr>
              <w:t>报）；市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场营销 </w:t>
            </w:r>
            <w:r>
              <w:rPr>
                <w:rFonts w:ascii="宋体" w:hAnsi="宋体" w:cs="宋体" w:eastAsia="宋体" w:hint="default"/>
                <w:spacing w:val="-21"/>
                <w:sz w:val="18"/>
                <w:szCs w:val="18"/>
              </w:rPr>
              <w:t>策划、经</w:t>
            </w:r>
            <w:r>
              <w:rPr>
                <w:rFonts w:ascii="宋体" w:hAnsi="宋体" w:cs="宋体" w:eastAsia="宋体" w:hint="default"/>
                <w:sz w:val="18"/>
                <w:szCs w:val="18"/>
              </w:rPr>
              <w:t> 济信息 </w:t>
            </w:r>
            <w:r>
              <w:rPr>
                <w:rFonts w:ascii="宋体" w:hAnsi="宋体" w:cs="宋体" w:eastAsia="宋体" w:hint="default"/>
                <w:spacing w:val="-21"/>
                <w:sz w:val="18"/>
                <w:szCs w:val="18"/>
              </w:rPr>
              <w:t>咨询；国</w:t>
            </w:r>
            <w:r>
              <w:rPr>
                <w:rFonts w:ascii="宋体" w:hAnsi="宋体" w:cs="宋体" w:eastAsia="宋体" w:hint="default"/>
                <w:sz w:val="18"/>
                <w:szCs w:val="18"/>
              </w:rPr>
              <w:t> 内贸易</w:t>
            </w:r>
          </w:p>
          <w:p>
            <w:pPr>
              <w:pStyle w:val="TableParagraph"/>
              <w:spacing w:line="319" w:lineRule="auto" w:before="19"/>
              <w:ind w:left="4" w:right="14"/>
              <w:jc w:val="left"/>
              <w:rPr>
                <w:rFonts w:ascii="宋体" w:hAnsi="宋体" w:cs="宋体" w:eastAsia="宋体" w:hint="default"/>
                <w:sz w:val="18"/>
                <w:szCs w:val="18"/>
              </w:rPr>
            </w:pPr>
            <w:r>
              <w:rPr>
                <w:rFonts w:ascii="宋体" w:hAnsi="宋体" w:cs="宋体" w:eastAsia="宋体" w:hint="default"/>
                <w:sz w:val="18"/>
                <w:szCs w:val="18"/>
              </w:rPr>
              <w:t>（以上 </w:t>
            </w:r>
            <w:r>
              <w:rPr>
                <w:rFonts w:ascii="宋体" w:hAnsi="宋体" w:cs="宋体" w:eastAsia="宋体" w:hint="default"/>
                <w:spacing w:val="-21"/>
                <w:sz w:val="18"/>
                <w:szCs w:val="18"/>
              </w:rPr>
              <w:t>法律、行</w:t>
            </w:r>
            <w:r>
              <w:rPr>
                <w:rFonts w:ascii="宋体" w:hAnsi="宋体" w:cs="宋体" w:eastAsia="宋体" w:hint="default"/>
                <w:sz w:val="18"/>
                <w:szCs w:val="18"/>
              </w:rPr>
              <w:t> 政法规 国务院 决定规 定在登 记前须 经批准 的项目 </w:t>
            </w:r>
            <w:r>
              <w:rPr>
                <w:rFonts w:ascii="宋体" w:hAnsi="宋体" w:cs="宋体" w:eastAsia="宋体" w:hint="default"/>
                <w:spacing w:val="-21"/>
                <w:sz w:val="18"/>
                <w:szCs w:val="18"/>
              </w:rPr>
              <w:t>除外，限</w:t>
            </w:r>
            <w:r>
              <w:rPr>
                <w:rFonts w:ascii="宋体" w:hAnsi="宋体" w:cs="宋体" w:eastAsia="宋体" w:hint="default"/>
                <w:sz w:val="18"/>
                <w:szCs w:val="18"/>
              </w:rPr>
              <w:t> 制的项 目须取 得许可 后方可 经营）</w:t>
            </w:r>
          </w:p>
        </w:tc>
        <w:tc>
          <w:tcPr>
            <w:tcW w:w="6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5" w:lineRule="exact" w:before="131"/>
              <w:ind w:left="16" w:right="0"/>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195"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66"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全资公 司</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61"/>
              <w:ind w:left="23" w:right="45"/>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r>
        <w:trPr>
          <w:trHeight w:val="1026" w:hRule="exact"/>
        </w:trPr>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1,613,4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47,254.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pict>
          <v:group style="position:absolute;margin-left:92.839996pt;margin-top:-523.326294pt;width:66.1pt;height:459pt;mso-position-horizontal-relative:page;mso-position-vertical-relative:paragraph;z-index:-2129488" coordorigin="1857,-10467" coordsize="1322,9180">
            <v:group style="position:absolute;left:2526;top:-10467;width:652;height:977" coordorigin="2526,-10467" coordsize="652,977">
              <v:shape style="position:absolute;left:2526;top:-10467;width:652;height:977" coordorigin="2526,-10467" coordsize="652,977" path="m2526,-9490l3178,-9490,3178,-10467,2526,-10467,2526,-9490xe" filled="true" fillcolor="#ffffff" stroked="false">
                <v:path arrowok="t"/>
                <v:fill type="solid"/>
              </v:shape>
            </v:group>
            <v:group style="position:absolute;left:2526;top:-9480;width:652;height:3901" coordorigin="2526,-9480" coordsize="652,3901">
              <v:shape style="position:absolute;left:2526;top:-9480;width:652;height:3901" coordorigin="2526,-9480" coordsize="652,3901" path="m2526,-5580l3178,-5580,3178,-9480,2526,-9480,2526,-5580xe" filled="true" fillcolor="#ffffff" stroked="false">
                <v:path arrowok="t"/>
                <v:fill type="solid"/>
              </v:shape>
            </v:group>
            <v:group style="position:absolute;left:1857;top:-4136;width:636;height:312" coordorigin="1857,-4136" coordsize="636,312">
              <v:shape style="position:absolute;left:1857;top:-4136;width:636;height:312" coordorigin="1857,-4136" coordsize="636,312" path="m1857,-3824l2493,-3824,2493,-4136,1857,-4136,1857,-3824xe" filled="true" fillcolor="#ffffff" stroked="false">
                <v:path arrowok="t"/>
                <v:fill type="solid"/>
              </v:shape>
            </v:group>
            <v:group style="position:absolute;left:1857;top:-3824;width:636;height:312" coordorigin="1857,-3824" coordsize="636,312">
              <v:shape style="position:absolute;left:1857;top:-3824;width:636;height:312" coordorigin="1857,-3824" coordsize="636,312" path="m1857,-3512l2493,-3512,2493,-3824,1857,-3824,1857,-3512xe" filled="true" fillcolor="#ffffff" stroked="false">
                <v:path arrowok="t"/>
                <v:fill type="solid"/>
              </v:shape>
            </v:group>
            <v:group style="position:absolute;left:2526;top:-5187;width:652;height:3901" coordorigin="2526,-5187" coordsize="652,3901">
              <v:shape style="position:absolute;left:2526;top:-5187;width:652;height:3901" coordorigin="2526,-5187" coordsize="652,3901" path="m2526,-1287l3178,-1287,3178,-5187,2526,-5187,2526,-1287xe" filled="true" fillcolor="#ffffff" stroked="false">
                <v:path arrowok="t"/>
                <v:fill type="solid"/>
              </v:shape>
            </v:group>
            <v:group style="position:absolute;left:2549;top:-5580;width:606;height:393" coordorigin="2549,-5580" coordsize="606,393">
              <v:shape style="position:absolute;left:2549;top:-5580;width:606;height:393" coordorigin="2549,-5580" coordsize="606,393" path="m2549,-5187l3155,-5187,3155,-5580,2549,-5580,2549,-5187xe" filled="true" fillcolor="#ffffff" stroked="false">
                <v:path arrowok="t"/>
                <v:fill type="solid"/>
              </v:shape>
            </v:group>
            <w10:wrap type="none"/>
          </v:group>
        </w:pict>
      </w: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63"/>
        <w:gridCol w:w="784"/>
        <w:gridCol w:w="781"/>
        <w:gridCol w:w="781"/>
        <w:gridCol w:w="717"/>
        <w:gridCol w:w="716"/>
        <w:gridCol w:w="715"/>
        <w:gridCol w:w="653"/>
        <w:gridCol w:w="652"/>
        <w:gridCol w:w="652"/>
        <w:gridCol w:w="653"/>
        <w:gridCol w:w="652"/>
        <w:gridCol w:w="652"/>
      </w:tblGrid>
      <w:tr>
        <w:trPr>
          <w:trHeight w:val="1650"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4"/>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2" w:right="82"/>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2" w:right="8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 w:right="49"/>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 w:right="50"/>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0" w:right="4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0" w:right="4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02"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智能型</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输配电及</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left"/>
              <w:rPr>
                <w:rFonts w:ascii="Times New Roman" w:hAnsi="Times New Roman" w:cs="Times New Roman" w:eastAsia="Times New Roman" w:hint="default"/>
                <w:sz w:val="18"/>
                <w:szCs w:val="18"/>
              </w:rPr>
            </w:pPr>
            <w:r>
              <w:rPr>
                <w:rFonts w:ascii="Times New Roman"/>
                <w:sz w:val="18"/>
              </w:rPr>
              <w:t>61,432,9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left"/>
              <w:rPr>
                <w:rFonts w:ascii="Times New Roman" w:hAnsi="Times New Roman" w:cs="Times New Roman" w:eastAsia="Times New Roman" w:hint="default"/>
                <w:sz w:val="18"/>
                <w:szCs w:val="18"/>
              </w:rPr>
            </w:pPr>
            <w:r>
              <w:rPr>
                <w:rFonts w:ascii="Times New Roman"/>
                <w:sz w:val="18"/>
              </w:rPr>
              <w:t>133,372,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86.55%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5"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pacing w:val="-3"/>
                <w:sz w:val="18"/>
              </w:rPr>
              <w:t>www.cn</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63"/>
        <w:gridCol w:w="784"/>
        <w:gridCol w:w="781"/>
        <w:gridCol w:w="781"/>
        <w:gridCol w:w="717"/>
        <w:gridCol w:w="716"/>
        <w:gridCol w:w="715"/>
        <w:gridCol w:w="653"/>
        <w:gridCol w:w="652"/>
        <w:gridCol w:w="652"/>
        <w:gridCol w:w="653"/>
        <w:gridCol w:w="652"/>
        <w:gridCol w:w="652"/>
      </w:tblGrid>
      <w:tr>
        <w:trPr>
          <w:trHeight w:val="674"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8"/>
              <w:jc w:val="left"/>
              <w:rPr>
                <w:rFonts w:ascii="宋体" w:hAnsi="宋体" w:cs="宋体" w:eastAsia="宋体" w:hint="default"/>
                <w:sz w:val="18"/>
                <w:szCs w:val="18"/>
              </w:rPr>
            </w:pPr>
            <w:r>
              <w:rPr>
                <w:rFonts w:ascii="宋体" w:hAnsi="宋体" w:cs="宋体" w:eastAsia="宋体" w:hint="default"/>
                <w:sz w:val="18"/>
                <w:szCs w:val="18"/>
              </w:rPr>
              <w:t>环网开关设备 建设项目</w:t>
            </w:r>
          </w:p>
        </w:tc>
        <w:tc>
          <w:tcPr>
            <w:tcW w:w="784"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控制设备</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21.81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609.41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53"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111"/>
              <w:jc w:val="left"/>
              <w:rPr>
                <w:rFonts w:ascii="Times New Roman" w:hAnsi="Times New Roman" w:cs="Times New Roman" w:eastAsia="Times New Roman" w:hint="default"/>
                <w:sz w:val="18"/>
                <w:szCs w:val="18"/>
              </w:rPr>
            </w:pPr>
            <w:r>
              <w:rPr>
                <w:rFonts w:ascii="Times New Roman"/>
                <w:sz w:val="18"/>
              </w:rPr>
              <w:t>info.co</w:t>
            </w:r>
            <w:r>
              <w:rPr>
                <w:rFonts w:ascii="Times New Roman"/>
                <w:w w:val="99"/>
                <w:sz w:val="18"/>
              </w:rPr>
              <w:t> </w:t>
            </w:r>
            <w:r>
              <w:rPr>
                <w:rFonts w:ascii="Times New Roman"/>
                <w:sz w:val="18"/>
              </w:rPr>
              <w:t>m.cn</w:t>
            </w:r>
          </w:p>
        </w:tc>
      </w:tr>
      <w:tr>
        <w:trPr>
          <w:trHeight w:val="1026"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智能型高压开 关控制系统技 改项目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9"/>
              <w:jc w:val="righ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5"/>
              <w:jc w:val="left"/>
              <w:rPr>
                <w:rFonts w:ascii="宋体" w:hAnsi="宋体" w:cs="宋体" w:eastAsia="宋体" w:hint="default"/>
                <w:sz w:val="18"/>
                <w:szCs w:val="18"/>
              </w:rPr>
            </w:pPr>
            <w:r>
              <w:rPr>
                <w:rFonts w:ascii="宋体" w:hAnsi="宋体" w:cs="宋体" w:eastAsia="宋体" w:hint="default"/>
                <w:sz w:val="18"/>
                <w:szCs w:val="18"/>
              </w:rPr>
              <w:t>输配电及 控制设备</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8,903,72</w:t>
            </w:r>
          </w:p>
          <w:p>
            <w:pPr>
              <w:pStyle w:val="TableParagraph"/>
              <w:spacing w:line="240" w:lineRule="auto" w:before="105"/>
              <w:ind w:left="368" w:right="0"/>
              <w:jc w:val="left"/>
              <w:rPr>
                <w:rFonts w:ascii="Times New Roman" w:hAnsi="Times New Roman" w:cs="Times New Roman" w:eastAsia="Times New Roman" w:hint="default"/>
                <w:sz w:val="18"/>
                <w:szCs w:val="18"/>
              </w:rPr>
            </w:pPr>
            <w:r>
              <w:rPr>
                <w:rFonts w:ascii="Times New Roman"/>
                <w:sz w:val="18"/>
              </w:rPr>
              <w:t>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26,533,2</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20.00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0"/>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2"/>
                <w:sz w:val="18"/>
              </w:rPr>
              <w:t> </w:t>
            </w:r>
            <w:r>
              <w:rPr>
                <w:rFonts w:ascii="Times New Roman"/>
                <w:spacing w:val="-42"/>
                <w:sz w:val="18"/>
              </w:rPr>
            </w:r>
            <w:r>
              <w:rPr>
                <w:rFonts w:ascii="Times New Roman"/>
                <w:sz w:val="18"/>
              </w:rPr>
              <w:t>info.co m.cn</w:t>
            </w:r>
          </w:p>
        </w:tc>
      </w:tr>
      <w:tr>
        <w:trPr>
          <w:trHeight w:val="1026"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研发中心升级 项目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9"/>
              <w:jc w:val="righ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5"/>
              <w:jc w:val="left"/>
              <w:rPr>
                <w:rFonts w:ascii="宋体" w:hAnsi="宋体" w:cs="宋体" w:eastAsia="宋体" w:hint="default"/>
                <w:sz w:val="18"/>
                <w:szCs w:val="18"/>
              </w:rPr>
            </w:pPr>
            <w:r>
              <w:rPr>
                <w:rFonts w:ascii="宋体" w:hAnsi="宋体" w:cs="宋体" w:eastAsia="宋体" w:hint="default"/>
                <w:sz w:val="18"/>
                <w:szCs w:val="18"/>
              </w:rPr>
              <w:t>输配电及 控制设备</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3,855,21</w:t>
            </w:r>
          </w:p>
          <w:p>
            <w:pPr>
              <w:pStyle w:val="TableParagraph"/>
              <w:spacing w:line="240" w:lineRule="auto" w:before="105"/>
              <w:ind w:left="368" w:right="0"/>
              <w:jc w:val="left"/>
              <w:rPr>
                <w:rFonts w:ascii="Times New Roman" w:hAnsi="Times New Roman" w:cs="Times New Roman" w:eastAsia="Times New Roman" w:hint="default"/>
                <w:sz w:val="18"/>
                <w:szCs w:val="18"/>
              </w:rPr>
            </w:pPr>
            <w:r>
              <w:rPr>
                <w:rFonts w:ascii="Times New Roman"/>
                <w:sz w:val="18"/>
              </w:rPr>
              <w:t>5.65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24,759,3</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63.00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0"/>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2"/>
                <w:sz w:val="18"/>
              </w:rPr>
              <w:t> </w:t>
            </w:r>
            <w:r>
              <w:rPr>
                <w:rFonts w:ascii="Times New Roman"/>
                <w:spacing w:val="-42"/>
                <w:sz w:val="18"/>
              </w:rPr>
            </w:r>
            <w:r>
              <w:rPr>
                <w:rFonts w:ascii="Times New Roman"/>
                <w:sz w:val="18"/>
              </w:rPr>
              <w:t>info.co m.cn</w:t>
            </w:r>
          </w:p>
        </w:tc>
      </w:tr>
      <w:tr>
        <w:trPr>
          <w:trHeight w:val="1026"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充电桩产业化 制造项目（一 期）</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9"/>
              <w:jc w:val="righ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5"/>
              <w:jc w:val="left"/>
              <w:rPr>
                <w:rFonts w:ascii="宋体" w:hAnsi="宋体" w:cs="宋体" w:eastAsia="宋体" w:hint="default"/>
                <w:sz w:val="18"/>
                <w:szCs w:val="18"/>
              </w:rPr>
            </w:pPr>
            <w:r>
              <w:rPr>
                <w:rFonts w:ascii="宋体" w:hAnsi="宋体" w:cs="宋体" w:eastAsia="宋体" w:hint="default"/>
                <w:sz w:val="18"/>
                <w:szCs w:val="18"/>
              </w:rPr>
              <w:t>充电桩制 造</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256,385.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256,385.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0"/>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2"/>
                <w:sz w:val="18"/>
              </w:rPr>
              <w:t> </w:t>
            </w:r>
            <w:r>
              <w:rPr>
                <w:rFonts w:ascii="Times New Roman"/>
                <w:spacing w:val="-42"/>
                <w:sz w:val="18"/>
              </w:rPr>
            </w:r>
            <w:r>
              <w:rPr>
                <w:rFonts w:ascii="Times New Roman"/>
                <w:sz w:val="18"/>
              </w:rPr>
              <w:t>info.co m.cn</w:t>
            </w:r>
          </w:p>
        </w:tc>
      </w:tr>
      <w:tr>
        <w:trPr>
          <w:trHeight w:val="1026"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湖州金冠锂电 池隔膜生产基 地建设项目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9"/>
              <w:jc w:val="righ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5"/>
              <w:jc w:val="left"/>
              <w:rPr>
                <w:rFonts w:ascii="宋体" w:hAnsi="宋体" w:cs="宋体" w:eastAsia="宋体" w:hint="default"/>
                <w:sz w:val="18"/>
                <w:szCs w:val="18"/>
              </w:rPr>
            </w:pPr>
            <w:r>
              <w:rPr>
                <w:rFonts w:ascii="宋体" w:hAnsi="宋体" w:cs="宋体" w:eastAsia="宋体" w:hint="default"/>
                <w:sz w:val="18"/>
                <w:szCs w:val="18"/>
              </w:rPr>
              <w:t>锂电池隔 膜生产</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0"/>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
              <w:jc w:val="left"/>
              <w:rPr>
                <w:rFonts w:ascii="Times New Roman" w:hAnsi="Times New Roman" w:cs="Times New Roman" w:eastAsia="Times New Roman" w:hint="default"/>
                <w:sz w:val="18"/>
                <w:szCs w:val="18"/>
              </w:rPr>
            </w:pPr>
            <w:r>
              <w:rPr>
                <w:rFonts w:ascii="Times New Roman"/>
                <w:spacing w:val="-3"/>
                <w:sz w:val="18"/>
              </w:rPr>
              <w:t>www.cn</w:t>
            </w:r>
            <w:r>
              <w:rPr>
                <w:rFonts w:ascii="Times New Roman"/>
                <w:spacing w:val="-42"/>
                <w:sz w:val="18"/>
              </w:rPr>
              <w:t> </w:t>
            </w:r>
            <w:r>
              <w:rPr>
                <w:rFonts w:ascii="Times New Roman"/>
                <w:spacing w:val="-42"/>
                <w:sz w:val="18"/>
              </w:rPr>
            </w:r>
            <w:r>
              <w:rPr>
                <w:rFonts w:ascii="Times New Roman"/>
                <w:sz w:val="18"/>
              </w:rPr>
              <w:t>info.co m.cn</w:t>
            </w:r>
          </w:p>
        </w:tc>
      </w:tr>
      <w:tr>
        <w:trPr>
          <w:trHeight w:val="714"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5"/>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74,448,2</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42.96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184,921,</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577.91</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6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7,419.18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20,850.51</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3,258.47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金均存放 在公司募 集资金专 项账户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非公开发 行股份募 集配套资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49,747.4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93" w:right="0"/>
              <w:jc w:val="center"/>
              <w:rPr>
                <w:rFonts w:ascii="Times New Roman" w:hAnsi="Times New Roman" w:cs="Times New Roman" w:eastAsia="Times New Roman" w:hint="default"/>
                <w:sz w:val="18"/>
                <w:szCs w:val="18"/>
              </w:rPr>
            </w:pPr>
            <w:r>
              <w:rPr>
                <w:rFonts w:ascii="Times New Roman"/>
                <w:sz w:val="18"/>
              </w:rPr>
              <w:t>40,088.09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92" w:right="0"/>
              <w:jc w:val="center"/>
              <w:rPr>
                <w:rFonts w:ascii="Times New Roman" w:hAnsi="Times New Roman" w:cs="Times New Roman" w:eastAsia="Times New Roman" w:hint="default"/>
                <w:sz w:val="18"/>
                <w:szCs w:val="18"/>
              </w:rPr>
            </w:pPr>
            <w:r>
              <w:rPr>
                <w:rFonts w:ascii="Times New Roman"/>
                <w:sz w:val="18"/>
              </w:rPr>
              <w:t>40,088.09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9,682.78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金均存放</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before="0"/>
        <w:ind w:left="0" w:right="164"/>
        <w:jc w:val="right"/>
      </w:pPr>
      <w:r>
        <w:rPr/>
        <w:pict>
          <v:shape style="position:absolute;margin-left:56.459999pt;margin-top:-279.728302pt;width:478.95pt;height:422.1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986" w:hRule="exact"/>
                    </w:trPr>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5"/>
                          <w:jc w:val="both"/>
                          <w:rPr>
                            <w:rFonts w:ascii="宋体" w:hAnsi="宋体" w:cs="宋体" w:eastAsia="宋体" w:hint="default"/>
                            <w:sz w:val="18"/>
                            <w:szCs w:val="18"/>
                          </w:rPr>
                        </w:pPr>
                        <w:r>
                          <w:rPr>
                            <w:rFonts w:ascii="宋体" w:hAnsi="宋体" w:cs="宋体" w:eastAsia="宋体" w:hint="default"/>
                            <w:sz w:val="18"/>
                            <w:szCs w:val="18"/>
                          </w:rPr>
                          <w:t>在公司募 集资金专 项账户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73,621.4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47,507.27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60,938.6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12,941.25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64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 </w:t>
                        </w:r>
                        <w:r>
                          <w:rPr>
                            <w:rFonts w:ascii="宋体" w:hAnsi="宋体" w:cs="宋体" w:eastAsia="宋体" w:hint="default"/>
                            <w:sz w:val="18"/>
                            <w:szCs w:val="18"/>
                          </w:rPr>
                          <w:t>实际募集资金金额和资金到账时间经中国证券监督管理委员会证监许可〔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7090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号文核准，并经深圳市证券交</w:t>
                        </w:r>
                        <w:r>
                          <w:rPr>
                            <w:rFonts w:ascii="宋体" w:hAnsi="宋体" w:cs="宋体" w:eastAsia="宋体" w:hint="default"/>
                            <w:w w:val="99"/>
                            <w:sz w:val="18"/>
                            <w:szCs w:val="18"/>
                          </w:rPr>
                          <w:t> </w:t>
                        </w:r>
                        <w:r>
                          <w:rPr>
                            <w:rFonts w:ascii="宋体" w:hAnsi="宋体" w:cs="宋体" w:eastAsia="宋体" w:hint="default"/>
                            <w:sz w:val="18"/>
                            <w:szCs w:val="18"/>
                          </w:rPr>
                          <w:t>易所同意，本公司由主承销商兴业证券股份有限公司采用余额包销的方式，向社会公众公开发行人民币普通股（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股）股</w:t>
                        </w:r>
                        <w:r>
                          <w:rPr>
                            <w:rFonts w:ascii="宋体" w:hAnsi="宋体" w:cs="宋体" w:eastAsia="宋体" w:hint="default"/>
                            <w:sz w:val="18"/>
                            <w:szCs w:val="18"/>
                          </w:rPr>
                          <w:t> 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21,800,000.00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股，发行价为每股人民币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元，共计募集资金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268,140,000.00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元，扣除承销和保荐费用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19,847,700.00</w:t>
                        </w:r>
                      </w:p>
                      <w:p>
                        <w:pPr>
                          <w:pStyle w:val="TableParagraph"/>
                          <w:spacing w:line="304" w:lineRule="auto" w:before="13"/>
                          <w:ind w:left="22" w:right="20"/>
                          <w:jc w:val="both"/>
                          <w:rPr>
                            <w:rFonts w:ascii="宋体" w:hAnsi="宋体" w:cs="宋体" w:eastAsia="宋体" w:hint="default"/>
                            <w:sz w:val="18"/>
                            <w:szCs w:val="18"/>
                          </w:rPr>
                        </w:pPr>
                        <w:r>
                          <w:rPr>
                            <w:rFonts w:ascii="宋体" w:hAnsi="宋体" w:cs="宋体" w:eastAsia="宋体" w:hint="default"/>
                            <w:spacing w:val="-4"/>
                            <w:sz w:val="18"/>
                            <w:szCs w:val="18"/>
                          </w:rPr>
                          <w:t>元（含增值税）后的募集资金为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248,292,300.00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元，已由主承销商兴业证券股份有限公司于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日汇入本公司募 </w:t>
                        </w:r>
                        <w:r>
                          <w:rPr>
                            <w:rFonts w:ascii="宋体" w:hAnsi="宋体" w:cs="宋体" w:eastAsia="宋体" w:hint="default"/>
                            <w:spacing w:val="-1"/>
                            <w:sz w:val="18"/>
                            <w:szCs w:val="18"/>
                          </w:rPr>
                          <w:t>集资金监管账户。另减除上网发行费、招股说明书印刷费、申报会计师费、律师费、评估费等与发行权益性证券直接相关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的新增外部费用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9,552,328.30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元（含增值税）后，公司本次募集资金净额为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238,739,971.70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元。上述募集资金到位情况业 </w:t>
                        </w:r>
                        <w:r>
                          <w:rPr>
                            <w:rFonts w:ascii="宋体" w:hAnsi="宋体" w:cs="宋体" w:eastAsia="宋体" w:hint="default"/>
                            <w:spacing w:val="-3"/>
                            <w:sz w:val="18"/>
                            <w:szCs w:val="18"/>
                          </w:rPr>
                          <w:t>经天健会计师事务所（特殊普通合伙）验证，并由其出具《验资报告》（天健验〔</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7-42</w:t>
                        </w:r>
                        <w:r>
                          <w:rPr>
                            <w:rFonts w:ascii="Times New Roman" w:hAnsi="Times New Roman" w:cs="Times New Roman" w:eastAsia="Times New Roman" w:hint="default"/>
                            <w:spacing w:val="7"/>
                            <w:sz w:val="18"/>
                            <w:szCs w:val="18"/>
                          </w:rPr>
                          <w:t> </w:t>
                        </w:r>
                        <w:r>
                          <w:rPr>
                            <w:rFonts w:ascii="宋体" w:hAnsi="宋体" w:cs="宋体" w:eastAsia="宋体" w:hint="default"/>
                            <w:spacing w:val="-8"/>
                            <w:sz w:val="18"/>
                            <w:szCs w:val="18"/>
                          </w:rPr>
                          <w:t>号）。经中国证券监督管理委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员会证监许可〔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577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号核准，并经深圳证券交易所同意，本公司由主承销商国泰君安证券股份有限公司公司采用非 公开发行方式，向特定对象非公开发行人民币普通股（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21,433,606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股，发行价为每股人民币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元，共计募</w:t>
                        </w:r>
                      </w:p>
                      <w:p>
                        <w:pPr>
                          <w:pStyle w:val="TableParagraph"/>
                          <w:spacing w:line="240" w:lineRule="auto" w:before="9"/>
                          <w:ind w:left="22" w:right="0"/>
                          <w:jc w:val="both"/>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497,473,995.26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元，扣除承销费用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14,449,479.91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元（含增值税）后的募集资金为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483,024,515.35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元，已由主承销商</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国泰君安证券股份有限公司公司于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日汇入本公司募集资金监管账户。减除承销费、验资费、登记费等与发</w:t>
                        </w:r>
                      </w:p>
                      <w:p>
                        <w:pPr>
                          <w:pStyle w:val="TableParagraph"/>
                          <w:spacing w:line="300" w:lineRule="auto" w:before="63"/>
                          <w:ind w:left="22" w:right="-9"/>
                          <w:jc w:val="left"/>
                          <w:rPr>
                            <w:rFonts w:ascii="宋体" w:hAnsi="宋体" w:cs="宋体" w:eastAsia="宋体" w:hint="default"/>
                            <w:sz w:val="18"/>
                            <w:szCs w:val="18"/>
                          </w:rPr>
                        </w:pPr>
                        <w:r>
                          <w:rPr>
                            <w:rFonts w:ascii="宋体" w:hAnsi="宋体" w:cs="宋体" w:eastAsia="宋体" w:hint="default"/>
                            <w:sz w:val="18"/>
                            <w:szCs w:val="18"/>
                          </w:rPr>
                          <w:t>行权益性证券直接相关的新增外部费用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13,964,314.77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元（不含增值税）后，公司本次募集资金净额为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483,509,680.49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w:t>
                        </w:r>
                        <w:r>
                          <w:rPr>
                            <w:rFonts w:ascii="宋体" w:hAnsi="宋体" w:cs="宋体" w:eastAsia="宋体" w:hint="default"/>
                            <w:spacing w:val="-5"/>
                            <w:sz w:val="18"/>
                            <w:szCs w:val="18"/>
                          </w:rPr>
                          <w:t>上述募集资金到位情况业经天健会计师事务所（特殊普通合伙）验证，并由其出具《验资报告》（天健验〔</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7-73</w:t>
                        </w:r>
                        <w:r>
                          <w:rPr>
                            <w:rFonts w:ascii="Times New Roman" w:hAnsi="Times New Roman" w:cs="Times New Roman" w:eastAsia="Times New Roman" w:hint="default"/>
                            <w:spacing w:val="10"/>
                            <w:sz w:val="18"/>
                            <w:szCs w:val="18"/>
                          </w:rPr>
                          <w:t> </w:t>
                        </w:r>
                        <w:r>
                          <w:rPr>
                            <w:rFonts w:ascii="宋体" w:hAnsi="宋体" w:cs="宋体" w:eastAsia="宋体" w:hint="default"/>
                            <w:spacing w:val="-45"/>
                            <w:sz w:val="18"/>
                            <w:szCs w:val="18"/>
                          </w:rPr>
                          <w:t>号）</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  </w:t>
                        </w:r>
                        <w:r>
                          <w:rPr>
                            <w:rFonts w:ascii="宋体" w:hAnsi="宋体" w:cs="宋体" w:eastAsia="宋体" w:hint="default"/>
                            <w:sz w:val="18"/>
                            <w:szCs w:val="18"/>
                          </w:rPr>
                          <w:t>募集资金使用和结余情况对于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月首次公开发行股份募集资金，本公司以前年度已使用募集资金</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134,313,330.00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元，以前年度收到的银行存款利息扣除银行手续费等的净额为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1,485,475.51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年度实际使用募集资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74,191,857.46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年度收到的银行存款利息扣除银行手续费等的净额为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864,385.37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元；累计已使用募集资金</w:t>
                        </w:r>
                      </w:p>
                      <w:p>
                        <w:pPr>
                          <w:pStyle w:val="TableParagraph"/>
                          <w:spacing w:line="300" w:lineRule="auto" w:before="63"/>
                          <w:ind w:left="22" w:right="2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208,505,187.46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元，累计收到的银行存款利息扣除银行手续费等的净额为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2,349,860.88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元。对于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月非公开发行股 </w:t>
                        </w:r>
                        <w:r>
                          <w:rPr>
                            <w:rFonts w:ascii="宋体" w:hAnsi="宋体" w:cs="宋体" w:eastAsia="宋体" w:hint="default"/>
                            <w:spacing w:val="-4"/>
                            <w:sz w:val="18"/>
                            <w:szCs w:val="18"/>
                          </w:rPr>
                          <w:t>份募集配套资金，</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400,880,865.41</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年度收到的银行存款利息扣除银行手续费等的净额 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234,704.19</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元；累计已使用募集资金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400,880,865.41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元，累计收到的银行存款利息扣除银行手续费等的净额为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234,704.19</w:t>
                        </w:r>
                      </w:p>
                      <w:p>
                        <w:pPr>
                          <w:pStyle w:val="TableParagraph"/>
                          <w:spacing w:line="302" w:lineRule="auto" w:before="13"/>
                          <w:ind w:left="22" w:right="22"/>
                          <w:jc w:val="both"/>
                          <w:rPr>
                            <w:rFonts w:ascii="宋体" w:hAnsi="宋体" w:cs="宋体" w:eastAsia="宋体" w:hint="default"/>
                            <w:sz w:val="18"/>
                            <w:szCs w:val="18"/>
                          </w:rPr>
                        </w:pPr>
                        <w:r>
                          <w:rPr>
                            <w:rFonts w:ascii="宋体" w:hAnsi="宋体" w:cs="宋体" w:eastAsia="宋体" w:hint="default"/>
                            <w:spacing w:val="-7"/>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日，募集资金余额为人民币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129,412,479.16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元（包括累计收到的银行存款利息扣除银行手续费等 </w:t>
                        </w:r>
                        <w:r>
                          <w:rPr>
                            <w:rFonts w:ascii="宋体" w:hAnsi="宋体" w:cs="宋体" w:eastAsia="宋体" w:hint="default"/>
                            <w:spacing w:val="-18"/>
                            <w:sz w:val="18"/>
                            <w:szCs w:val="18"/>
                          </w:rPr>
                          <w:t>的净额）。</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4"/>
        <w:spacing w:line="240" w:lineRule="auto" w:before="35"/>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1.C-GIS</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智能型环网开 关设备建设项目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15,410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6,143.29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13,337.26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智能型高压开关控 制系统技改项目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2,653.32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研发中心升级项目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2,475.93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补充公司流动资金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2,384</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支付并购重组交易 现金对价</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支付中介机构服务 等交易费用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1,662.45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1,662.45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85.25%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充电桩产业化制造 项目（一期）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9,397.4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73,621.4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73,621.4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47,507.27</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60,938.6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73,621.4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73,621.4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47,507.27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60,938.6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9"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6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8"/>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7" w:lineRule="auto" w:before="94"/>
              <w:ind w:left="16" w:right="23"/>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日第四届董事会第五次会议决议，公司同意将募投建设项目：</w:t>
            </w: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智能型环 网开关设备建设项目、研发中心升级项目的建设地点变更为延寿路以东，甲一路以南，长青公路以 </w:t>
            </w:r>
            <w:r>
              <w:rPr>
                <w:rFonts w:ascii="宋体" w:hAnsi="宋体" w:cs="宋体" w:eastAsia="宋体" w:hint="default"/>
                <w:spacing w:val="-3"/>
                <w:sz w:val="18"/>
                <w:szCs w:val="18"/>
              </w:rPr>
              <w:t>西，公司现厂区南面新取得的土地上。以上变更情况及相关公告已于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日在巨潮资 讯网等中国证监会指定信息披露网站披露。</w:t>
            </w:r>
          </w:p>
        </w:tc>
      </w:tr>
      <w:tr>
        <w:trPr>
          <w:trHeight w:val="71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28"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日第四届董事会第五次会议决议，公司决定置换已预付发行费用的自筹资金人</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228.42</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万元，上述情况业经天健会计师事务所（特殊普通合伙）鉴证，并由其出具鉴证报告（天</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健审〔</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7-455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日第四</w:t>
            </w:r>
            <w:r>
              <w:rPr>
                <w:rFonts w:ascii="宋体" w:hAnsi="宋体" w:cs="宋体" w:eastAsia="宋体" w:hint="default"/>
                <w:spacing w:val="1"/>
                <w:sz w:val="18"/>
                <w:szCs w:val="18"/>
              </w:rPr>
              <w:t>届</w:t>
            </w:r>
            <w:r>
              <w:rPr>
                <w:rFonts w:ascii="宋体" w:hAnsi="宋体" w:cs="宋体" w:eastAsia="宋体" w:hint="default"/>
                <w:sz w:val="18"/>
                <w:szCs w:val="18"/>
              </w:rPr>
              <w:t>董事会第三十次决议，公司决定置换已预</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先支付中介机构服务等交易费用的自筹资金人民币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290.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上述情况业经天健会计师事务</w:t>
            </w:r>
            <w:r>
              <w:rPr>
                <w:rFonts w:ascii="宋体" w:hAnsi="宋体" w:cs="宋体" w:eastAsia="宋体" w:hint="default"/>
                <w:spacing w:val="-90"/>
                <w:sz w:val="18"/>
                <w:szCs w:val="18"/>
              </w:rPr>
              <w:t>所</w:t>
            </w:r>
            <w:r>
              <w:rPr>
                <w:rFonts w:ascii="宋体" w:hAnsi="宋体" w:cs="宋体" w:eastAsia="宋体" w:hint="default"/>
                <w:sz w:val="18"/>
                <w:szCs w:val="18"/>
              </w:rPr>
              <w:t>（特</w:t>
            </w:r>
          </w:p>
          <w:p>
            <w:pPr>
              <w:pStyle w:val="TableParagraph"/>
              <w:spacing w:line="302" w:lineRule="auto" w:before="63"/>
              <w:ind w:left="16" w:right="101"/>
              <w:jc w:val="left"/>
              <w:rPr>
                <w:rFonts w:ascii="宋体" w:hAnsi="宋体" w:cs="宋体" w:eastAsia="宋体" w:hint="default"/>
                <w:sz w:val="18"/>
                <w:szCs w:val="18"/>
              </w:rPr>
            </w:pPr>
            <w:r>
              <w:rPr>
                <w:rFonts w:ascii="宋体" w:hAnsi="宋体" w:cs="宋体" w:eastAsia="宋体" w:hint="default"/>
                <w:sz w:val="18"/>
                <w:szCs w:val="18"/>
              </w:rPr>
              <w:t>殊普通合伙）鉴证，并由其出具鉴证报告（天健审〔</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7-588</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号）。截止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此次以募集资金置换自筹资金事项暂未完成。</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vMerge/>
            <w:tcBorders>
              <w:left w:val="single" w:sz="9" w:space="0" w:color="D2D2D2"/>
              <w:right w:val="single" w:sz="4" w:space="0" w:color="000000"/>
            </w:tcBorders>
          </w:tcPr>
          <w:p>
            <w:pPr/>
          </w:p>
        </w:tc>
      </w:tr>
      <w:tr>
        <w:trPr>
          <w:trHeight w:val="830"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日第四届董事会第五次会议决议</w:t>
            </w:r>
            <w:r>
              <w:rPr>
                <w:rFonts w:ascii="Times New Roman" w:hAnsi="Times New Roman" w:cs="Times New Roman" w:eastAsia="Times New Roman" w:hint="default"/>
                <w:sz w:val="18"/>
                <w:szCs w:val="18"/>
              </w:rPr>
              <w:t>,</w:t>
            </w:r>
            <w:r>
              <w:rPr>
                <w:rFonts w:ascii="宋体" w:hAnsi="宋体" w:cs="宋体" w:eastAsia="宋体" w:hint="default"/>
                <w:sz w:val="18"/>
                <w:szCs w:val="18"/>
              </w:rPr>
              <w:t>公司将闲置的募集资金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万元，用于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暂时补充流动资金，使用期限自董事会审批之日起不超过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个月，到期将归还至公司募集资金专</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户。截至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日，已归还至募集资金专户。</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项目尚未完工，故存在募集资金结余。</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尚未使用的募集资金均存放在公司募集资金专项账户。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6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24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980"/>
          <w:cols w:num="2" w:equalWidth="0">
            <w:col w:w="4849" w:space="4070"/>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96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南京能瑞自 动化设备股 份有限公司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both"/>
              <w:rPr>
                <w:rFonts w:ascii="宋体" w:hAnsi="宋体" w:cs="宋体" w:eastAsia="宋体" w:hint="default"/>
                <w:sz w:val="18"/>
                <w:szCs w:val="18"/>
              </w:rPr>
            </w:pPr>
            <w:r>
              <w:rPr>
                <w:rFonts w:ascii="宋体" w:hAnsi="宋体" w:cs="宋体" w:eastAsia="宋体" w:hint="default"/>
                <w:sz w:val="18"/>
                <w:szCs w:val="18"/>
              </w:rPr>
              <w:t>智能用电采 集、新能源 汽车充电设 备等产品的 研发、生产 与销售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48581.9 </w:t>
            </w:r>
            <w:r>
              <w:rPr>
                <w:rFonts w:ascii="宋体" w:hAnsi="宋体" w:cs="宋体" w:eastAsia="宋体" w:hint="default"/>
                <w:sz w:val="18"/>
                <w:szCs w:val="18"/>
              </w:rPr>
              <w:t>万元 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860,500,682.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554,684,396.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329,817,126.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86,863,070.9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75,322,183.2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报告期内取得和处置子公司的情况</w:t>
      </w:r>
    </w:p>
    <w:p>
      <w:pPr>
        <w:spacing w:after="0" w:line="240" w:lineRule="auto"/>
        <w:jc w:val="left"/>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南京能瑞自动化设备股份有限公司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公司的产业链结合更为紧密，主营业务 构成更为丰富，开拓智能电网设备领域 的市场空间，对公司业绩贡献产生积极 的影响。</w:t>
            </w:r>
          </w:p>
        </w:tc>
      </w:tr>
      <w:tr>
        <w:trPr>
          <w:trHeight w:val="165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华胤控股集团有限公司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利于公司积极对接资本市场，依托在深 圳的众多上市公司资源，强强联合打造 创新型营销体系，有助于公司获得更大 市场份额。截止报告期末，尚未实现营 业收入。</w:t>
            </w:r>
          </w:p>
        </w:tc>
      </w:tr>
      <w:tr>
        <w:trPr>
          <w:trHeight w:val="165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湖州金冠鸿图隔膜科技有限公司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扩大公司锂离子电池膈膜的生产规模， 提升公司的规模化制造水平和生产效 率，有助于实现公司在新能源领域做大 做强的战略目标。截止报告期末，项目 正在筹建中，尚未实现营业收入。</w:t>
            </w:r>
          </w:p>
        </w:tc>
      </w:tr>
    </w:tbl>
    <w:p>
      <w:pPr>
        <w:pStyle w:val="BodyText"/>
        <w:spacing w:line="240" w:lineRule="auto" w:before="51"/>
        <w:ind w:right="0"/>
        <w:jc w:val="both"/>
      </w:pPr>
      <w:r>
        <w:rPr/>
        <w:t>主要控股参股公司情况说明</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4"/>
        <w:rPr>
          <w:rFonts w:ascii="宋体" w:hAnsi="宋体" w:cs="宋体" w:eastAsia="宋体" w:hint="default"/>
          <w:b/>
          <w:bCs/>
          <w:sz w:val="28"/>
          <w:szCs w:val="28"/>
        </w:rPr>
      </w:pPr>
    </w:p>
    <w:p>
      <w:pPr>
        <w:pStyle w:val="BodyText"/>
        <w:spacing w:line="364" w:lineRule="auto" w:before="0"/>
        <w:ind w:left="714" w:right="131" w:firstLine="1"/>
        <w:jc w:val="left"/>
      </w:pPr>
      <w:r>
        <w:rPr>
          <w:rFonts w:ascii="宋体" w:hAnsi="宋体" w:cs="宋体" w:eastAsia="宋体" w:hint="default"/>
          <w:b/>
          <w:bCs/>
        </w:rPr>
        <w:t>（一）公司发展战略规划</w:t>
      </w:r>
      <w:r>
        <w:rPr>
          <w:rFonts w:ascii="宋体" w:hAnsi="宋体" w:cs="宋体" w:eastAsia="宋体" w:hint="default"/>
          <w:b/>
          <w:bCs/>
          <w:w w:val="99"/>
        </w:rPr>
        <w:t> </w:t>
      </w:r>
      <w:r>
        <w:rPr/>
        <w:t>公司将继续坚持</w:t>
      </w:r>
      <w:r>
        <w:rPr>
          <w:rFonts w:ascii="Times New Roman" w:hAnsi="Times New Roman" w:cs="Times New Roman" w:eastAsia="Times New Roman" w:hint="default"/>
        </w:rPr>
        <w:t>“</w:t>
      </w:r>
      <w:r>
        <w:rPr/>
        <w:t>智能电网</w:t>
      </w:r>
      <w:r>
        <w:rPr>
          <w:rFonts w:ascii="Times New Roman" w:hAnsi="Times New Roman" w:cs="Times New Roman" w:eastAsia="Times New Roman" w:hint="default"/>
        </w:rPr>
        <w:t>+</w:t>
      </w:r>
      <w:r>
        <w:rPr/>
        <w:t>新能源</w:t>
      </w:r>
      <w:r>
        <w:rPr>
          <w:rFonts w:ascii="Times New Roman" w:hAnsi="Times New Roman" w:cs="Times New Roman" w:eastAsia="Times New Roman" w:hint="default"/>
        </w:rPr>
        <w:t>”</w:t>
      </w:r>
      <w:r>
        <w:rPr/>
        <w:t>的总体发展战略，以开拓电力产品新格局、专注新能源产业发展、服务绿色城市</w:t>
      </w:r>
    </w:p>
    <w:p>
      <w:pPr>
        <w:pStyle w:val="BodyText"/>
        <w:spacing w:line="345" w:lineRule="auto" w:before="6"/>
        <w:ind w:right="151"/>
        <w:jc w:val="both"/>
      </w:pPr>
      <w:r>
        <w:rPr/>
        <w:t>生活为指导思想。坚持以市场为导向从实际出发，建立科学、高效、富有弹性的经营体系，全面实施</w:t>
      </w:r>
      <w:r>
        <w:rPr>
          <w:rFonts w:ascii="Times New Roman" w:hAnsi="Times New Roman" w:cs="Times New Roman" w:eastAsia="Times New Roman" w:hint="default"/>
        </w:rPr>
        <w:t>“</w:t>
      </w:r>
      <w:r>
        <w:rPr/>
        <w:t>销售、生产、质量、</w:t>
      </w:r>
      <w:r>
        <w:rPr>
          <w:spacing w:val="-75"/>
        </w:rPr>
        <w:t> </w:t>
      </w:r>
      <w:r>
        <w:rPr>
          <w:spacing w:val="-75"/>
        </w:rPr>
      </w:r>
      <w:r>
        <w:rPr/>
        <w:t>服务、信息、创新</w:t>
      </w:r>
      <w:r>
        <w:rPr>
          <w:rFonts w:ascii="Times New Roman" w:hAnsi="Times New Roman" w:cs="Times New Roman" w:eastAsia="Times New Roman" w:hint="default"/>
        </w:rPr>
        <w:t>”</w:t>
      </w:r>
      <w:r>
        <w:rPr/>
        <w:t>六位一体的经营管理目标。通过不断创新和完善，推进标准化管理，推动促进公司持续、稳定、快速、</w:t>
      </w:r>
      <w:r>
        <w:rPr>
          <w:spacing w:val="-75"/>
        </w:rPr>
        <w:t> </w:t>
      </w:r>
      <w:r>
        <w:rPr>
          <w:spacing w:val="-75"/>
        </w:rPr>
      </w:r>
      <w:r>
        <w:rPr/>
        <w:t>健康发展。</w:t>
      </w:r>
    </w:p>
    <w:p>
      <w:pPr>
        <w:pStyle w:val="BodyText"/>
        <w:spacing w:line="345" w:lineRule="auto"/>
        <w:ind w:right="156" w:firstLine="560"/>
        <w:jc w:val="both"/>
      </w:pPr>
      <w:r>
        <w:rPr>
          <w:rFonts w:ascii="Times New Roman" w:hAnsi="Times New Roman" w:cs="Times New Roman" w:eastAsia="Times New Roman" w:hint="default"/>
        </w:rPr>
        <w:t>1</w:t>
      </w:r>
      <w:r>
        <w:rPr/>
        <w:t>、公司依托智能</w:t>
      </w:r>
      <w:r>
        <w:rPr>
          <w:rFonts w:ascii="Times New Roman" w:hAnsi="Times New Roman" w:cs="Times New Roman" w:eastAsia="Times New Roman" w:hint="default"/>
        </w:rPr>
        <w:t>C-GIS</w:t>
      </w:r>
      <w:r>
        <w:rPr/>
        <w:t>环网开关产品差异化创新、技术创新和智能制造方面的核心优势，力争打造全国最大的环网 开关设备研发生产基地。</w:t>
      </w:r>
    </w:p>
    <w:p>
      <w:pPr>
        <w:pStyle w:val="BodyText"/>
        <w:spacing w:line="360" w:lineRule="auto"/>
        <w:ind w:right="150" w:firstLine="560"/>
        <w:jc w:val="both"/>
      </w:pPr>
      <w:r>
        <w:rPr>
          <w:rFonts w:ascii="Times New Roman" w:hAnsi="Times New Roman" w:cs="Times New Roman" w:eastAsia="Times New Roman" w:hint="default"/>
          <w:spacing w:val="-1"/>
        </w:rPr>
        <w:t>2</w:t>
      </w:r>
      <w:r>
        <w:rPr>
          <w:spacing w:val="-1"/>
        </w:rPr>
        <w:t>、南京能瑞对智能新能源汽车充电领域的研发不断的深化，南京能瑞具有全套</w:t>
      </w:r>
      <w:r>
        <w:rPr>
          <w:rFonts w:ascii="Times New Roman" w:hAnsi="Times New Roman" w:cs="Times New Roman" w:eastAsia="Times New Roman" w:hint="default"/>
          <w:spacing w:val="-1"/>
        </w:rPr>
        <w:t>SMT</w:t>
      </w:r>
      <w:r>
        <w:rPr>
          <w:spacing w:val="-1"/>
        </w:rPr>
        <w:t>生产线、拥有自动化波峰焊生产</w:t>
      </w:r>
      <w:r>
        <w:rPr/>
        <w:t> </w:t>
      </w:r>
      <w:r>
        <w:rPr>
          <w:spacing w:val="-2"/>
        </w:rPr>
        <w:t>线、全自动化三防生产线、电能表自动化检测线，具有国内一流的单相、三相电能表校验装置；电动汽车充电桩自动检测设</w:t>
      </w:r>
      <w:r>
        <w:rPr>
          <w:spacing w:val="-66"/>
        </w:rPr>
        <w:t> </w:t>
      </w:r>
      <w:r>
        <w:rPr>
          <w:spacing w:val="-66"/>
        </w:rPr>
      </w:r>
      <w:r>
        <w:rPr>
          <w:spacing w:val="-2"/>
        </w:rPr>
        <w:t>备；拥有完备的试验室，配备了先进的浪涌设备、快速瞬变脉冲群设备、静放电设备、衰减震荡波设备、电压跌落设备、时</w:t>
      </w:r>
      <w:r>
        <w:rPr>
          <w:spacing w:val="-71"/>
        </w:rPr>
        <w:t> </w:t>
      </w:r>
      <w:r>
        <w:rPr>
          <w:spacing w:val="-71"/>
        </w:rPr>
      </w:r>
      <w:r>
        <w:rPr/>
        <w:t>钟测试设备、</w:t>
      </w:r>
      <w:r>
        <w:rPr>
          <w:rFonts w:ascii="Times New Roman" w:hAnsi="Times New Roman" w:cs="Times New Roman" w:eastAsia="Times New Roman" w:hint="default"/>
        </w:rPr>
        <w:t>GPRS/CDMA/3G</w:t>
      </w:r>
      <w:r>
        <w:rPr/>
        <w:t>通信测试系统、载波通信测试系统，微功率无线通信测试系统，采集终端</w:t>
      </w:r>
      <w:r>
        <w:rPr>
          <w:rFonts w:ascii="Times New Roman" w:hAnsi="Times New Roman" w:cs="Times New Roman" w:eastAsia="Times New Roman" w:hint="default"/>
        </w:rPr>
        <w:t>ESAM</w:t>
      </w:r>
      <w:r>
        <w:rPr/>
        <w:t>模块测试设</w:t>
      </w:r>
      <w:r>
        <w:rPr>
          <w:spacing w:val="-13"/>
        </w:rPr>
        <w:t> </w:t>
      </w:r>
      <w:r>
        <w:rPr>
          <w:spacing w:val="-13"/>
        </w:rPr>
      </w:r>
      <w:r>
        <w:rPr>
          <w:spacing w:val="-2"/>
        </w:rPr>
        <w:t>备、防尘防水等测试设备等。南京能瑞智能化的加工制造与产品检验体系极大提高了公司产品的稳定性和可靠性，在新能源</w:t>
      </w:r>
      <w:r>
        <w:rPr>
          <w:spacing w:val="-66"/>
        </w:rPr>
        <w:t> </w:t>
      </w:r>
      <w:r>
        <w:rPr>
          <w:spacing w:val="-66"/>
        </w:rPr>
      </w:r>
      <w:r>
        <w:rPr>
          <w:spacing w:val="-2"/>
        </w:rPr>
        <w:t>汽车充电设备领域保持行业领先位置。南京能瑞在保持原有市场和产品优势的基础上，将着力推进大功率充电桩的智能化制</w:t>
      </w:r>
      <w:r>
        <w:rPr>
          <w:spacing w:val="-64"/>
        </w:rPr>
        <w:t> </w:t>
      </w:r>
      <w:r>
        <w:rPr>
          <w:spacing w:val="-64"/>
        </w:rPr>
      </w:r>
      <w:r>
        <w:rPr/>
        <w:t>造，并将安全高效的快速充电技术推向新能源公交场站，进一步扩大充电服务收益在公司利润中的占比。</w:t>
      </w:r>
    </w:p>
    <w:p>
      <w:pPr>
        <w:pStyle w:val="BodyText"/>
        <w:spacing w:line="345" w:lineRule="auto" w:before="33"/>
        <w:ind w:right="151" w:firstLine="560"/>
        <w:jc w:val="both"/>
      </w:pPr>
      <w:r>
        <w:rPr>
          <w:rFonts w:ascii="Times New Roman" w:hAnsi="Times New Roman" w:cs="Times New Roman" w:eastAsia="Times New Roman" w:hint="default"/>
          <w:spacing w:val="-1"/>
        </w:rPr>
        <w:t>3</w:t>
      </w:r>
      <w:r>
        <w:rPr>
          <w:spacing w:val="-1"/>
        </w:rPr>
        <w:t>、鸿图隔膜是从事锂电池隔膜、锌锰电池隔膜研发、生产和销售为一体的高新技术企业。随着新能源市场的蓬勃发</w:t>
      </w:r>
      <w:r>
        <w:rPr/>
        <w:t> 展，鸿图隔膜逐渐将业务重心调整至锂电池隔膜产品，主要分为基膜与涂覆膜，应用于</w:t>
      </w:r>
      <w:r>
        <w:rPr>
          <w:rFonts w:ascii="Times New Roman" w:hAnsi="Times New Roman" w:cs="Times New Roman" w:eastAsia="Times New Roman" w:hint="default"/>
        </w:rPr>
        <w:t>3C</w:t>
      </w:r>
      <w:r>
        <w:rPr/>
        <w:t>设备和新能源汽车领域，通过多</w:t>
      </w:r>
    </w:p>
    <w:p>
      <w:pPr>
        <w:spacing w:after="0" w:line="345" w:lineRule="auto"/>
        <w:jc w:val="both"/>
        <w:sectPr>
          <w:footerReference w:type="default" r:id="rId15"/>
          <w:pgSz w:w="11910" w:h="16840"/>
          <w:pgMar w:footer="1475" w:header="747" w:top="1060" w:bottom="1660" w:left="980" w:right="980"/>
          <w:pgNumType w:start="31"/>
        </w:sectPr>
      </w:pPr>
    </w:p>
    <w:p>
      <w:pPr>
        <w:spacing w:line="240" w:lineRule="auto" w:before="8"/>
        <w:rPr>
          <w:rFonts w:ascii="宋体" w:hAnsi="宋体" w:cs="宋体" w:eastAsia="宋体" w:hint="default"/>
          <w:sz w:val="27"/>
          <w:szCs w:val="27"/>
        </w:rPr>
      </w:pPr>
    </w:p>
    <w:p>
      <w:pPr>
        <w:pStyle w:val="BodyText"/>
        <w:spacing w:line="360" w:lineRule="auto"/>
        <w:ind w:right="92"/>
        <w:jc w:val="left"/>
      </w:pPr>
      <w:r>
        <w:rPr>
          <w:spacing w:val="-2"/>
        </w:rPr>
        <w:t>并具备可持续、可为客户定制规格型号的研发能力；开发出</w:t>
      </w:r>
      <w:r>
        <w:rPr>
          <w:rFonts w:ascii="Times New Roman" w:hAnsi="Times New Roman" w:cs="Times New Roman" w:eastAsia="Times New Roman" w:hint="default"/>
          <w:spacing w:val="-2"/>
        </w:rPr>
        <w:t>10</w:t>
      </w:r>
      <w:r>
        <w:rPr>
          <w:spacing w:val="-2"/>
        </w:rPr>
        <w:t>多种涂覆隔膜型号，涂覆方式覆盖单面涂覆、双面涂覆，及多</w:t>
      </w:r>
      <w:r>
        <w:rPr>
          <w:spacing w:val="-64"/>
        </w:rPr>
        <w:t> </w:t>
      </w:r>
      <w:r>
        <w:rPr>
          <w:spacing w:val="-64"/>
        </w:rPr>
      </w:r>
      <w:r>
        <w:rPr/>
        <w:t>种涂覆浆料的涂覆产品，并可根据客户工艺的要求研发出相应的涂覆隔膜产品。未来，公司将持续引进生产线，完成</w:t>
      </w:r>
      <w:r>
        <w:rPr>
          <w:rFonts w:ascii="Times New Roman" w:hAnsi="Times New Roman" w:cs="Times New Roman" w:eastAsia="Times New Roman" w:hint="default"/>
        </w:rPr>
        <w:t>9000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万平方米</w:t>
      </w:r>
      <w:r>
        <w:rPr>
          <w:rFonts w:ascii="Times New Roman" w:hAnsi="Times New Roman" w:cs="Times New Roman" w:eastAsia="Times New Roman" w:hint="default"/>
        </w:rPr>
        <w:t>/</w:t>
      </w:r>
      <w:r>
        <w:rPr/>
        <w:t>年锂离子电池隔膜三期工程项目的建设，实现公司</w:t>
      </w:r>
      <w:r>
        <w:rPr>
          <w:rFonts w:ascii="Times New Roman" w:hAnsi="Times New Roman" w:cs="Times New Roman" w:eastAsia="Times New Roman" w:hint="default"/>
        </w:rPr>
        <w:t>2</w:t>
      </w:r>
      <w:r>
        <w:rPr/>
        <w:t>亿平方米的锂离子电池隔膜生产能力，为配套大型动力电池生 产商打下良好的基础，并不断优化和改良自动化生产设备，在保证质量的前提下，提高设备利用率；加大新产品研发力度， </w:t>
      </w:r>
      <w:r>
        <w:rPr>
          <w:spacing w:val="-2"/>
        </w:rPr>
        <w:t>利用目前合作的东北师范大学等科研院校的技术力量，持续开发耐高温隔膜、多层复合隔膜等新产品，提高隔膜在电池中的</w:t>
      </w:r>
      <w:r>
        <w:rPr>
          <w:spacing w:val="-66"/>
        </w:rPr>
        <w:t> </w:t>
      </w:r>
      <w:r>
        <w:rPr>
          <w:spacing w:val="-66"/>
        </w:rPr>
      </w:r>
      <w:r>
        <w:rPr>
          <w:spacing w:val="-2"/>
        </w:rPr>
        <w:t>电化学性能，满足国家对新能源汽车要求的需要；继续扩大涂覆隔膜的生产能力实现涂覆隔膜全覆盖的局面，全力研发新的</w:t>
      </w:r>
      <w:r>
        <w:rPr>
          <w:spacing w:val="-66"/>
        </w:rPr>
        <w:t> </w:t>
      </w:r>
      <w:r>
        <w:rPr>
          <w:spacing w:val="-66"/>
        </w:rPr>
      </w:r>
      <w:r>
        <w:rPr>
          <w:spacing w:val="-2"/>
        </w:rPr>
        <w:t>涂覆隔膜生产工艺技术，适应新的动力电池发展需求，努力实现国内最大最高端的锂离子电池隔膜生产基地。鸿图隔膜将继</w:t>
      </w:r>
      <w:r>
        <w:rPr>
          <w:spacing w:val="-66"/>
        </w:rPr>
        <w:t> </w:t>
      </w:r>
      <w:r>
        <w:rPr>
          <w:spacing w:val="-66"/>
        </w:rPr>
      </w:r>
      <w:r>
        <w:rPr>
          <w:spacing w:val="-2"/>
        </w:rPr>
        <w:t>续引进和优化自动化生产设备，在扩大产能的同时不断地改良工艺，提升隔膜品质，巩固国内市场并积极探索国外市场。同</w:t>
      </w:r>
      <w:r>
        <w:rPr>
          <w:spacing w:val="-66"/>
        </w:rPr>
        <w:t> </w:t>
      </w:r>
      <w:r>
        <w:rPr>
          <w:spacing w:val="-66"/>
        </w:rPr>
      </w:r>
      <w:r>
        <w:rPr>
          <w:spacing w:val="-2"/>
        </w:rPr>
        <w:t>时，鸿图隔膜将进一步增强人才引进能力，细化管理能力和企业文化建设能力的打造，提高综合竞争力，巩固鸿图隔膜在湿</w:t>
      </w:r>
      <w:r>
        <w:rPr>
          <w:spacing w:val="-66"/>
        </w:rPr>
        <w:t> </w:t>
      </w:r>
      <w:r>
        <w:rPr>
          <w:spacing w:val="-66"/>
        </w:rPr>
      </w:r>
      <w:r>
        <w:rPr/>
        <w:t>法隔膜领域的优势地位。</w:t>
      </w:r>
    </w:p>
    <w:p>
      <w:pPr>
        <w:pStyle w:val="BodyText"/>
        <w:spacing w:line="345" w:lineRule="auto" w:before="33"/>
        <w:ind w:left="574" w:right="177" w:firstLine="140"/>
        <w:jc w:val="left"/>
      </w:pPr>
      <w:r>
        <w:rPr>
          <w:rFonts w:ascii="Times New Roman" w:hAnsi="Times New Roman" w:cs="Times New Roman" w:eastAsia="Times New Roman" w:hint="default"/>
        </w:rPr>
        <w:t>4.</w:t>
      </w:r>
      <w:r>
        <w:rPr/>
        <w:t>湖州金冠</w:t>
      </w:r>
      <w:r>
        <w:rPr>
          <w:rFonts w:ascii="Times New Roman" w:hAnsi="Times New Roman" w:cs="Times New Roman" w:eastAsia="Times New Roman" w:hint="default"/>
        </w:rPr>
        <w:t>2017</w:t>
      </w:r>
      <w:r>
        <w:rPr/>
        <w:t>年建设情况及未来发展规划 </w:t>
      </w:r>
      <w:r>
        <w:rPr>
          <w:spacing w:val="-1"/>
        </w:rPr>
        <w:t>湖州金冠鸿图隔膜科技有限公司（下称湖州金冠）注册于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日，位于浙江省湖州市吴兴区康山街道，由公司</w:t>
      </w:r>
    </w:p>
    <w:p>
      <w:pPr>
        <w:pStyle w:val="BodyText"/>
        <w:spacing w:line="345" w:lineRule="auto" w:before="22"/>
        <w:ind w:right="99"/>
        <w:jc w:val="left"/>
      </w:pPr>
      <w:r>
        <w:rPr>
          <w:spacing w:val="-1"/>
        </w:rPr>
        <w:t>与吉林省金冠投资有限公司（下称金冠投资）共同出资成立，注册资金</w:t>
      </w:r>
      <w:r>
        <w:rPr>
          <w:rFonts w:ascii="Times New Roman" w:hAnsi="Times New Roman" w:cs="Times New Roman" w:eastAsia="Times New Roman" w:hint="default"/>
          <w:spacing w:val="-1"/>
        </w:rPr>
        <w:t>5000</w:t>
      </w:r>
      <w:r>
        <w:rPr>
          <w:spacing w:val="-1"/>
        </w:rPr>
        <w:t>万，占地</w:t>
      </w:r>
      <w:r>
        <w:rPr>
          <w:rFonts w:ascii="Times New Roman" w:hAnsi="Times New Roman" w:cs="Times New Roman" w:eastAsia="Times New Roman" w:hint="default"/>
          <w:spacing w:val="-1"/>
        </w:rPr>
        <w:t>250.199</w:t>
      </w:r>
      <w:r>
        <w:rPr>
          <w:spacing w:val="-1"/>
        </w:rPr>
        <w:t>亩。其中金冠电气占</w:t>
      </w:r>
      <w:r>
        <w:rPr>
          <w:rFonts w:ascii="Times New Roman" w:hAnsi="Times New Roman" w:cs="Times New Roman" w:eastAsia="Times New Roman" w:hint="default"/>
          <w:spacing w:val="-1"/>
        </w:rPr>
        <w:t>51%</w:t>
      </w:r>
      <w:r>
        <w:rPr>
          <w:spacing w:val="-1"/>
        </w:rPr>
        <w:t>份额，</w:t>
      </w:r>
      <w:r>
        <w:rPr>
          <w:spacing w:val="-41"/>
        </w:rPr>
        <w:t> </w:t>
      </w:r>
      <w:r>
        <w:rPr/>
        <w:t>金冠投资占</w:t>
      </w:r>
      <w:r>
        <w:rPr>
          <w:rFonts w:ascii="Times New Roman" w:hAnsi="Times New Roman" w:cs="Times New Roman" w:eastAsia="Times New Roman" w:hint="default"/>
        </w:rPr>
        <w:t>49%</w:t>
      </w:r>
      <w:r>
        <w:rPr/>
        <w:t>份额。湖州金冠主要从事业务包括锂离子电池隔膜的研发、生产、销售。</w:t>
      </w:r>
    </w:p>
    <w:p>
      <w:pPr>
        <w:pStyle w:val="BodyText"/>
        <w:spacing w:line="345" w:lineRule="auto" w:before="22"/>
        <w:ind w:right="189" w:firstLine="420"/>
        <w:jc w:val="both"/>
      </w:pPr>
      <w:r>
        <w:rPr>
          <w:spacing w:val="-1"/>
        </w:rPr>
        <w:t>湖州金冠锂电池隔膜项目规划总投资</w:t>
      </w:r>
      <w:r>
        <w:rPr>
          <w:rFonts w:ascii="Times New Roman" w:hAnsi="Times New Roman" w:cs="Times New Roman" w:eastAsia="Times New Roman" w:hint="default"/>
          <w:spacing w:val="-1"/>
        </w:rPr>
        <w:t>12.17</w:t>
      </w:r>
      <w:r>
        <w:rPr>
          <w:spacing w:val="-1"/>
        </w:rPr>
        <w:t>亿元人民币，其中</w:t>
      </w:r>
      <w:r>
        <w:rPr>
          <w:rFonts w:ascii="Times New Roman" w:hAnsi="Times New Roman" w:cs="Times New Roman" w:eastAsia="Times New Roman" w:hint="default"/>
          <w:spacing w:val="-1"/>
        </w:rPr>
        <w:t>2018</w:t>
      </w:r>
      <w:r>
        <w:rPr>
          <w:spacing w:val="-1"/>
        </w:rPr>
        <w:t>年计划投资约</w:t>
      </w:r>
      <w:r>
        <w:rPr>
          <w:rFonts w:ascii="Times New Roman" w:hAnsi="Times New Roman" w:cs="Times New Roman" w:eastAsia="Times New Roman" w:hint="default"/>
          <w:spacing w:val="-1"/>
        </w:rPr>
        <w:t>5</w:t>
      </w:r>
      <w:r>
        <w:rPr>
          <w:spacing w:val="-1"/>
        </w:rPr>
        <w:t>亿元人民币，包含部分基础建设，</w:t>
      </w:r>
      <w:r>
        <w:rPr>
          <w:rFonts w:ascii="Times New Roman" w:hAnsi="Times New Roman" w:cs="Times New Roman" w:eastAsia="Times New Roman" w:hint="default"/>
          <w:spacing w:val="-1"/>
        </w:rPr>
        <w:t>2</w:t>
      </w:r>
      <w:r>
        <w:rPr>
          <w:spacing w:val="-1"/>
        </w:rPr>
        <w:t>条</w:t>
      </w:r>
      <w:r>
        <w:rPr/>
        <w:t> 隔膜设备产线以及多条涂覆设备产线；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年计划投资约</w:t>
      </w:r>
      <w:r>
        <w:rPr>
          <w:rFonts w:ascii="Times New Roman" w:hAnsi="Times New Roman" w:cs="Times New Roman" w:eastAsia="Times New Roman" w:hint="default"/>
        </w:rPr>
        <w:t>7</w:t>
      </w:r>
      <w:r>
        <w:rPr/>
        <w:t>亿元人民币，包含部分基础建设，</w:t>
      </w:r>
      <w:r>
        <w:rPr>
          <w:rFonts w:ascii="Times New Roman" w:hAnsi="Times New Roman" w:cs="Times New Roman" w:eastAsia="Times New Roman" w:hint="default"/>
        </w:rPr>
        <w:t>4</w:t>
      </w:r>
      <w:r>
        <w:rPr/>
        <w:t>条隔膜设备产线以及</w:t>
      </w:r>
      <w:r>
        <w:rPr>
          <w:spacing w:val="-57"/>
        </w:rPr>
        <w:t> </w:t>
      </w:r>
      <w:r>
        <w:rPr>
          <w:spacing w:val="-57"/>
        </w:rPr>
      </w:r>
      <w:r>
        <w:rPr>
          <w:spacing w:val="-2"/>
        </w:rPr>
        <w:t>多条涂覆设备产线；到</w:t>
      </w:r>
      <w:r>
        <w:rPr>
          <w:rFonts w:ascii="Times New Roman" w:hAnsi="Times New Roman" w:cs="Times New Roman" w:eastAsia="Times New Roman" w:hint="default"/>
          <w:spacing w:val="-2"/>
        </w:rPr>
        <w:t>2020</w:t>
      </w:r>
      <w:r>
        <w:rPr>
          <w:spacing w:val="-2"/>
        </w:rPr>
        <w:t>年，共建设</w:t>
      </w:r>
      <w:r>
        <w:rPr>
          <w:rFonts w:ascii="Times New Roman" w:hAnsi="Times New Roman" w:cs="Times New Roman" w:eastAsia="Times New Roman" w:hint="default"/>
          <w:spacing w:val="-2"/>
        </w:rPr>
        <w:t>6</w:t>
      </w:r>
      <w:r>
        <w:rPr>
          <w:spacing w:val="-2"/>
        </w:rPr>
        <w:t>条锂电池隔膜生产线，每条生产线生产能力</w:t>
      </w:r>
      <w:r>
        <w:rPr>
          <w:rFonts w:ascii="Times New Roman" w:hAnsi="Times New Roman" w:cs="Times New Roman" w:eastAsia="Times New Roman" w:hint="default"/>
          <w:spacing w:val="-2"/>
        </w:rPr>
        <w:t>4500</w:t>
      </w:r>
      <w:r>
        <w:rPr>
          <w:spacing w:val="-2"/>
        </w:rPr>
        <w:t>万平米</w:t>
      </w:r>
      <w:r>
        <w:rPr>
          <w:rFonts w:ascii="Times New Roman" w:hAnsi="Times New Roman" w:cs="Times New Roman" w:eastAsia="Times New Roman" w:hint="default"/>
          <w:spacing w:val="-2"/>
        </w:rPr>
        <w:t>/</w:t>
      </w:r>
      <w:r>
        <w:rPr>
          <w:spacing w:val="-2"/>
        </w:rPr>
        <w:t>年，达产后释放产能</w:t>
      </w:r>
      <w:r>
        <w:rPr>
          <w:rFonts w:ascii="Times New Roman" w:hAnsi="Times New Roman" w:cs="Times New Roman" w:eastAsia="Times New Roman" w:hint="default"/>
          <w:spacing w:val="-2"/>
        </w:rPr>
        <w:t>2.7</w:t>
      </w:r>
      <w:r>
        <w:rPr>
          <w:spacing w:val="-2"/>
        </w:rPr>
        <w:t>亿平</w:t>
      </w:r>
      <w:r>
        <w:rPr>
          <w:spacing w:val="-56"/>
        </w:rPr>
        <w:t> </w:t>
      </w:r>
      <w:r>
        <w:rPr>
          <w:spacing w:val="-2"/>
        </w:rPr>
        <w:t>方米；同时引进国际先进锂电池隔膜涂覆生产线，实现多材料、多工艺的隔膜涂覆加工。湖州金冠达产后年销售额不低于</w:t>
      </w:r>
      <w:r>
        <w:rPr>
          <w:rFonts w:ascii="Times New Roman" w:hAnsi="Times New Roman" w:cs="Times New Roman" w:eastAsia="Times New Roman" w:hint="default"/>
          <w:spacing w:val="-2"/>
        </w:rPr>
        <w:t>20</w:t>
      </w:r>
      <w:r>
        <w:rPr>
          <w:rFonts w:ascii="Times New Roman" w:hAnsi="Times New Roman" w:cs="Times New Roman" w:eastAsia="Times New Roman" w:hint="default"/>
          <w:spacing w:val="-19"/>
        </w:rPr>
        <w:t> </w:t>
      </w:r>
      <w:r>
        <w:rPr/>
        <w:t>亿元人民币，利税超过</w:t>
      </w:r>
      <w:r>
        <w:rPr>
          <w:rFonts w:ascii="Times New Roman" w:hAnsi="Times New Roman" w:cs="Times New Roman" w:eastAsia="Times New Roman" w:hint="default"/>
        </w:rPr>
        <w:t>2</w:t>
      </w:r>
      <w:r>
        <w:rPr/>
        <w:t>亿元人民币。</w:t>
      </w:r>
    </w:p>
    <w:p>
      <w:pPr>
        <w:pStyle w:val="BodyText"/>
        <w:spacing w:line="364" w:lineRule="auto" w:before="22"/>
        <w:ind w:right="193" w:firstLine="420"/>
        <w:jc w:val="both"/>
      </w:pPr>
      <w:r>
        <w:rPr/>
        <w:t>湖州金冠坐落于浙江省湖州市，位于长三角区域绝对中心位置。湖州金冠周边拥有众多新能源上下游企业，包括微宏 </w:t>
      </w:r>
      <w:r>
        <w:rPr>
          <w:spacing w:val="-2"/>
        </w:rPr>
        <w:t>动力、超威集团、天能电池、遨优动力等锂电池企业，以及众泰、吉利、游侠等新能源汽车品牌。对于湖州市乃至长三角区</w:t>
      </w:r>
      <w:r>
        <w:rPr>
          <w:spacing w:val="-72"/>
        </w:rPr>
        <w:t> </w:t>
      </w:r>
      <w:r>
        <w:rPr>
          <w:spacing w:val="-72"/>
        </w:rPr>
      </w:r>
      <w:r>
        <w:rPr>
          <w:spacing w:val="-2"/>
        </w:rPr>
        <w:t>域而言，湖州金冠隔膜项目的落地补全了该区域在新能源产业链的缺口，为实现该地区新能源产业集群，新能源汽车配套做</w:t>
      </w:r>
      <w:r>
        <w:rPr>
          <w:spacing w:val="-66"/>
        </w:rPr>
        <w:t> </w:t>
      </w:r>
      <w:r>
        <w:rPr>
          <w:spacing w:val="-66"/>
        </w:rPr>
      </w:r>
      <w:r>
        <w:rPr/>
        <w:t>出巨大贡献。</w:t>
      </w:r>
    </w:p>
    <w:p>
      <w:pPr>
        <w:pStyle w:val="BodyText"/>
        <w:spacing w:line="362" w:lineRule="auto" w:before="29"/>
        <w:ind w:right="190" w:firstLine="560"/>
        <w:jc w:val="both"/>
      </w:pPr>
      <w:r>
        <w:rPr/>
        <w:t>并购南京能瑞、鸿图隔膜有利于增强上市公司新能源业务板块，深化上市公司</w:t>
      </w:r>
      <w:r>
        <w:rPr>
          <w:rFonts w:ascii="Times New Roman" w:hAnsi="Times New Roman" w:cs="Times New Roman" w:eastAsia="Times New Roman" w:hint="default"/>
        </w:rPr>
        <w:t>“</w:t>
      </w:r>
      <w:r>
        <w:rPr/>
        <w:t>智能电网</w:t>
      </w:r>
      <w:r>
        <w:rPr>
          <w:rFonts w:ascii="Times New Roman" w:hAnsi="Times New Roman" w:cs="Times New Roman" w:eastAsia="Times New Roman" w:hint="default"/>
        </w:rPr>
        <w:t>+</w:t>
      </w:r>
      <w:r>
        <w:rPr/>
        <w:t>新能源</w:t>
      </w:r>
      <w:r>
        <w:rPr>
          <w:rFonts w:ascii="Times New Roman" w:hAnsi="Times New Roman" w:cs="Times New Roman" w:eastAsia="Times New Roman" w:hint="default"/>
        </w:rPr>
        <w:t>”</w:t>
      </w:r>
      <w:r>
        <w:rPr/>
        <w:t>的战略布局，丰富 </w:t>
      </w:r>
      <w:r>
        <w:rPr>
          <w:spacing w:val="-2"/>
        </w:rPr>
        <w:t>上市公司的技术资源、客户资源和渠道资源，有助于上市公司的产业融合、技术互补和优势共享。上市公司将通过企业文化</w:t>
      </w:r>
      <w:r>
        <w:rPr>
          <w:spacing w:val="-66"/>
        </w:rPr>
        <w:t> </w:t>
      </w:r>
      <w:r>
        <w:rPr>
          <w:spacing w:val="-66"/>
        </w:rPr>
      </w:r>
      <w:r>
        <w:rPr>
          <w:spacing w:val="-2"/>
        </w:rPr>
        <w:t>与管理团队的融合与合作，结合两家子公司业务特点，形成有效的业务管理、财务管理、人员管理体系，与上市公司建立有</w:t>
      </w:r>
      <w:r>
        <w:rPr>
          <w:spacing w:val="-66"/>
        </w:rPr>
        <w:t> </w:t>
      </w:r>
      <w:r>
        <w:rPr>
          <w:spacing w:val="-66"/>
        </w:rPr>
      </w:r>
      <w:r>
        <w:rPr>
          <w:spacing w:val="-2"/>
        </w:rPr>
        <w:t>效衔接，并推动优化资源配置等制度建设；同时设立完善的激励措施，作为推进整合及促进两家子公司进一步发展的有益补</w:t>
      </w:r>
      <w:r>
        <w:rPr>
          <w:spacing w:val="-66"/>
        </w:rPr>
        <w:t> </w:t>
      </w:r>
      <w:r>
        <w:rPr>
          <w:spacing w:val="-66"/>
        </w:rPr>
      </w:r>
      <w:r>
        <w:rPr>
          <w:spacing w:val="-2"/>
        </w:rPr>
        <w:t>充。力争通过有效整合，进一步提升上市公司的竞争优势，加强优势互补，充分发挥并购的协同效应，为股东创造持续稳定</w:t>
      </w:r>
      <w:r>
        <w:rPr>
          <w:spacing w:val="-66"/>
        </w:rPr>
        <w:t> </w:t>
      </w:r>
      <w:r>
        <w:rPr>
          <w:spacing w:val="-66"/>
        </w:rPr>
      </w:r>
      <w:r>
        <w:rPr/>
        <w:t>的业绩回报。</w:t>
      </w:r>
    </w:p>
    <w:p>
      <w:pPr>
        <w:pStyle w:val="Heading6"/>
        <w:spacing w:line="240" w:lineRule="auto" w:before="31"/>
        <w:ind w:left="716" w:right="6752"/>
        <w:jc w:val="left"/>
        <w:rPr>
          <w:b w:val="0"/>
          <w:bCs w:val="0"/>
        </w:rPr>
      </w:pPr>
      <w:r>
        <w:rPr/>
        <w:t>（二）行业格局和趋势</w:t>
      </w:r>
      <w:r>
        <w:rPr>
          <w:b w:val="0"/>
          <w:bCs w:val="0"/>
        </w:rPr>
      </w:r>
    </w:p>
    <w:p>
      <w:pPr>
        <w:pStyle w:val="BodyText"/>
        <w:spacing w:line="345" w:lineRule="auto" w:before="123"/>
        <w:ind w:left="580" w:right="99"/>
        <w:jc w:val="left"/>
      </w:pPr>
      <w:r>
        <w:rPr>
          <w:rFonts w:ascii="Times New Roman" w:hAnsi="Times New Roman" w:cs="Times New Roman" w:eastAsia="Times New Roman" w:hint="default"/>
        </w:rPr>
        <w:t>1</w:t>
      </w:r>
      <w:r>
        <w:rPr/>
        <w:t>、智能电气设备行业 电气机械及器材制造业在国家经济政策和行业政策的影响下，市场前景广阔，整个行业将保持较高的增长速度，在电</w:t>
      </w:r>
    </w:p>
    <w:p>
      <w:pPr>
        <w:pStyle w:val="BodyText"/>
        <w:spacing w:line="364" w:lineRule="auto"/>
        <w:ind w:right="99"/>
        <w:jc w:val="left"/>
      </w:pPr>
      <w:r>
        <w:rPr>
          <w:spacing w:val="-2"/>
        </w:rPr>
        <w:t>网升级改造、轨道交通建设和公共基础设施方面，我国存在大量的电力供给需求，为电气设备制造型企业提供了发展良好机</w:t>
      </w:r>
      <w:r>
        <w:rPr>
          <w:spacing w:val="-66"/>
        </w:rPr>
        <w:t> </w:t>
      </w:r>
      <w:r>
        <w:rPr>
          <w:spacing w:val="-66"/>
        </w:rPr>
      </w:r>
      <w:r>
        <w:rPr/>
        <w:t>遇。</w:t>
      </w:r>
    </w:p>
    <w:p>
      <w:pPr>
        <w:pStyle w:val="BodyText"/>
        <w:spacing w:line="355" w:lineRule="auto" w:before="29"/>
        <w:ind w:right="189" w:firstLine="480"/>
        <w:jc w:val="both"/>
      </w:pPr>
      <w:r>
        <w:rPr>
          <w:spacing w:val="-2"/>
        </w:rPr>
        <w:t>在电网升级改造方面，国家发展和改革委员会在《国家电力发展</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规划》中，将</w:t>
      </w:r>
      <w:r>
        <w:rPr>
          <w:rFonts w:ascii="Times New Roman" w:hAnsi="Times New Roman" w:cs="Times New Roman" w:eastAsia="Times New Roman" w:hint="default"/>
          <w:spacing w:val="-2"/>
        </w:rPr>
        <w:t>“</w:t>
      </w:r>
      <w:r>
        <w:rPr>
          <w:spacing w:val="-2"/>
        </w:rPr>
        <w:t>升级改造配电网、推进智能电</w:t>
      </w:r>
      <w:r>
        <w:rPr/>
        <w:t> 网建设</w:t>
      </w:r>
      <w:r>
        <w:rPr>
          <w:rFonts w:ascii="Times New Roman" w:hAnsi="Times New Roman" w:cs="Times New Roman" w:eastAsia="Times New Roman" w:hint="default"/>
        </w:rPr>
        <w:t>”</w:t>
      </w:r>
      <w:r>
        <w:rPr/>
        <w:t>作为重点发展任务。《规划》也明确指出将实施新一轮农网改造升级工程，推进东中部地区城乡供电服务均等化进</w:t>
      </w:r>
      <w:r>
        <w:rPr>
          <w:spacing w:val="-77"/>
        </w:rPr>
        <w:t> </w:t>
      </w:r>
      <w:r>
        <w:rPr>
          <w:spacing w:val="-77"/>
        </w:rPr>
      </w:r>
      <w:r>
        <w:rPr>
          <w:spacing w:val="-2"/>
        </w:rPr>
        <w:t>程，逐步提高农村电网信息化、自动化、智能化水平，同时《规划》中也提出全面建设智能变电站，推广应用在线监测、状</w:t>
      </w:r>
      <w:r>
        <w:rPr>
          <w:spacing w:val="-67"/>
        </w:rPr>
        <w:t> </w:t>
      </w:r>
      <w:r>
        <w:rPr>
          <w:spacing w:val="-67"/>
        </w:rPr>
      </w:r>
      <w:r>
        <w:rPr>
          <w:spacing w:val="-2"/>
        </w:rPr>
        <w:t>态诊断、智能巡检系统，建立电网对山火、冰灾、台风等各类自然灾害的安全预警体系。推进配电自动化建设，根据供电区</w:t>
      </w:r>
      <w:r>
        <w:rPr>
          <w:spacing w:val="-67"/>
        </w:rPr>
        <w:t> </w:t>
      </w:r>
      <w:r>
        <w:rPr>
          <w:spacing w:val="-67"/>
        </w:rPr>
      </w:r>
      <w:r>
        <w:rPr/>
        <w:t>域类型差异化配置，整体覆盖率达</w:t>
      </w:r>
      <w:r>
        <w:rPr>
          <w:spacing w:val="29"/>
        </w:rPr>
        <w:t> </w:t>
      </w:r>
      <w:r>
        <w:rPr>
          <w:rFonts w:ascii="Times New Roman" w:hAnsi="Times New Roman" w:cs="Times New Roman" w:eastAsia="Times New Roman" w:hint="default"/>
        </w:rPr>
        <w:t>90%</w:t>
      </w:r>
      <w:r>
        <w:rPr/>
        <w:t>，实现配电网可观可控。配电网升级和智能电网建设，为电力设备制造行业的持续</w:t>
      </w:r>
    </w:p>
    <w:p>
      <w:pPr>
        <w:spacing w:after="0" w:line="355" w:lineRule="auto"/>
        <w:jc w:val="both"/>
        <w:sectPr>
          <w:footerReference w:type="default" r:id="rId16"/>
          <w:pgSz w:w="11910" w:h="16840"/>
          <w:pgMar w:footer="979" w:header="747" w:top="1060" w:bottom="1160" w:left="980" w:right="940"/>
          <w:pgNumType w:start="32"/>
        </w:sectPr>
      </w:pPr>
    </w:p>
    <w:p>
      <w:pPr>
        <w:spacing w:line="240" w:lineRule="auto" w:before="8"/>
        <w:rPr>
          <w:rFonts w:ascii="宋体" w:hAnsi="宋体" w:cs="宋体" w:eastAsia="宋体" w:hint="default"/>
          <w:sz w:val="27"/>
          <w:szCs w:val="27"/>
        </w:rPr>
      </w:pPr>
    </w:p>
    <w:p>
      <w:pPr>
        <w:pStyle w:val="BodyText"/>
        <w:spacing w:line="345" w:lineRule="auto"/>
        <w:ind w:right="101"/>
        <w:jc w:val="both"/>
      </w:pPr>
      <w:r>
        <w:rPr>
          <w:spacing w:val="-2"/>
        </w:rPr>
        <w:t>发展提供了有效保障。在国家投资层面，国家能源局下发的《配电网建设改造行动计划（</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2020</w:t>
      </w:r>
      <w:r>
        <w:rPr>
          <w:spacing w:val="-2"/>
        </w:rPr>
        <w:t>年）》文件中，已经列</w:t>
      </w:r>
      <w:r>
        <w:rPr>
          <w:spacing w:val="-63"/>
        </w:rPr>
        <w:t> </w:t>
      </w:r>
      <w:r>
        <w:rPr>
          <w:spacing w:val="-63"/>
        </w:rPr>
      </w:r>
      <w:r>
        <w:rPr>
          <w:spacing w:val="-2"/>
        </w:rPr>
        <w:t>明配电网建设改造投资不低于</w:t>
      </w:r>
      <w:r>
        <w:rPr>
          <w:rFonts w:ascii="Times New Roman" w:hAnsi="Times New Roman" w:cs="Times New Roman" w:eastAsia="Times New Roman" w:hint="default"/>
          <w:spacing w:val="-2"/>
        </w:rPr>
        <w:t>2</w:t>
      </w:r>
      <w:r>
        <w:rPr>
          <w:spacing w:val="-2"/>
        </w:rPr>
        <w:t>万亿，大资金的投入为行业注射了一剂高效的强心剂，确保了电力设备制造行业的繁荣发展。</w:t>
      </w:r>
    </w:p>
    <w:p>
      <w:pPr>
        <w:pStyle w:val="BodyText"/>
        <w:spacing w:line="357" w:lineRule="auto" w:before="22"/>
        <w:ind w:right="112" w:firstLine="426"/>
        <w:jc w:val="left"/>
      </w:pPr>
      <w:r>
        <w:rPr/>
        <w:t>在轨道交通建设方面，从国家宏观政策角度分析，在城市交通运输上，将大力建设以地铁、轻轨等有轨电车为代表的 </w:t>
      </w:r>
      <w:r>
        <w:rPr>
          <w:spacing w:val="-2"/>
        </w:rPr>
        <w:t>零污染、低能耗的城市立体化交通体系，截止</w:t>
      </w:r>
      <w:r>
        <w:rPr>
          <w:rFonts w:ascii="Times New Roman" w:hAnsi="Times New Roman" w:cs="Times New Roman" w:eastAsia="Times New Roman" w:hint="default"/>
          <w:spacing w:val="-2"/>
        </w:rPr>
        <w:t>2017</w:t>
      </w:r>
      <w:r>
        <w:rPr>
          <w:spacing w:val="-2"/>
        </w:rPr>
        <w:t>年，全国主要城市均已在建或规划建设地铁或轻轨，超过</w:t>
      </w:r>
      <w:r>
        <w:rPr>
          <w:rFonts w:ascii="Times New Roman" w:hAnsi="Times New Roman" w:cs="Times New Roman" w:eastAsia="Times New Roman" w:hint="default"/>
          <w:spacing w:val="-2"/>
        </w:rPr>
        <w:t>58</w:t>
      </w:r>
      <w:r>
        <w:rPr>
          <w:spacing w:val="-2"/>
        </w:rPr>
        <w:t>个城市的建设</w:t>
      </w:r>
      <w:r>
        <w:rPr>
          <w:spacing w:val="-60"/>
        </w:rPr>
        <w:t> </w:t>
      </w:r>
      <w:r>
        <w:rPr/>
        <w:t>规划得到批复，同时，在政府工作报告中，多次提出以高铁为依托的</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战略，全国范围内大密度建设高速铁路网， </w:t>
      </w:r>
      <w:r>
        <w:rPr>
          <w:spacing w:val="-2"/>
        </w:rPr>
        <w:t>在未来高铁将成为中国东西部和南北地区的主要交通纽带。快速开发的轨道交通产业，轻轨、地铁和高铁均已电能为驱动能</w:t>
      </w:r>
      <w:r>
        <w:rPr>
          <w:spacing w:val="-66"/>
        </w:rPr>
        <w:t> </w:t>
      </w:r>
      <w:r>
        <w:rPr>
          <w:spacing w:val="-66"/>
        </w:rPr>
      </w:r>
      <w:r>
        <w:rPr>
          <w:spacing w:val="-2"/>
        </w:rPr>
        <w:t>源，对输配电行业提出了更高地要求，同时也带来了更广阔的市场，尤其是为以配电设备为主的中高压电力开关设备行业提</w:t>
      </w:r>
      <w:r>
        <w:rPr>
          <w:spacing w:val="-66"/>
        </w:rPr>
        <w:t> </w:t>
      </w:r>
      <w:r>
        <w:rPr>
          <w:spacing w:val="-66"/>
        </w:rPr>
      </w:r>
      <w:r>
        <w:rPr/>
        <w:t>供了一片全新的市场。</w:t>
      </w:r>
    </w:p>
    <w:p>
      <w:pPr>
        <w:pStyle w:val="BodyText"/>
        <w:spacing w:line="360" w:lineRule="auto" w:before="35"/>
        <w:ind w:right="99" w:firstLine="426"/>
        <w:jc w:val="left"/>
      </w:pPr>
      <w:r>
        <w:rPr/>
        <w:t>在公共基础设施方面，尽管我国的城市化进程发展速度较快，但依旧存在诸多问题，第一，城市化进程质量不高，城 </w:t>
      </w:r>
      <w:r>
        <w:rPr>
          <w:spacing w:val="-4"/>
        </w:rPr>
        <w:t>市布局混乱，不利于输电、运水，城市基础设施薄弱，对环境破坏程度高；第二，城市化率偏低，据最近一次人口普查数据，</w:t>
      </w:r>
      <w:r>
        <w:rPr>
          <w:spacing w:val="-48"/>
        </w:rPr>
        <w:t> </w:t>
      </w:r>
      <w:r>
        <w:rPr>
          <w:spacing w:val="-48"/>
        </w:rPr>
      </w:r>
      <w:r>
        <w:rPr/>
        <w:t>中国的城市化率仅为</w:t>
      </w:r>
      <w:r>
        <w:rPr>
          <w:rFonts w:ascii="Times New Roman" w:hAnsi="Times New Roman" w:cs="Times New Roman" w:eastAsia="Times New Roman" w:hint="default"/>
        </w:rPr>
        <w:t>51.3%</w:t>
      </w:r>
      <w:r>
        <w:rPr/>
        <w:t>。这表示，国家将会在未来大力推进我国的城市化进程。城市化进在对城市人口政策和社会保障 </w:t>
      </w:r>
      <w:r>
        <w:rPr>
          <w:spacing w:val="-2"/>
        </w:rPr>
        <w:t>等软环境建设的同时，需大力发展对公共基础设施的建设，在城市建设的过程中，除了城市电网的扩充和改造外，还需要大</w:t>
      </w:r>
      <w:r>
        <w:rPr>
          <w:spacing w:val="-66"/>
        </w:rPr>
        <w:t> </w:t>
      </w:r>
      <w:r>
        <w:rPr>
          <w:spacing w:val="-66"/>
        </w:rPr>
      </w:r>
      <w:r>
        <w:rPr/>
        <w:t>量的临时用电设备，这对电气设备制造企业而言将成为有一个经济增长点。</w:t>
      </w:r>
    </w:p>
    <w:p>
      <w:pPr>
        <w:pStyle w:val="BodyText"/>
        <w:spacing w:line="345" w:lineRule="auto" w:before="33"/>
        <w:ind w:left="580" w:right="99"/>
        <w:jc w:val="left"/>
      </w:pPr>
      <w:r>
        <w:rPr>
          <w:rFonts w:ascii="Times New Roman" w:hAnsi="Times New Roman" w:cs="Times New Roman" w:eastAsia="Times New Roman" w:hint="default"/>
        </w:rPr>
        <w:t>2</w:t>
      </w:r>
      <w:r>
        <w:rPr/>
        <w:t>、新能源汽车充电桩行业 新能源汽车产业是国家战略性新兴产业，中央及地方的配套支持政策确定。根据工信部的数据显示，</w:t>
      </w:r>
      <w:r>
        <w:rPr>
          <w:rFonts w:ascii="Times New Roman" w:hAnsi="Times New Roman" w:cs="Times New Roman" w:eastAsia="Times New Roman" w:hint="default"/>
        </w:rPr>
        <w:t>2017</w:t>
      </w:r>
      <w:r>
        <w:rPr/>
        <w:t>年，我国新</w:t>
      </w:r>
    </w:p>
    <w:p>
      <w:pPr>
        <w:pStyle w:val="BodyText"/>
        <w:spacing w:line="352" w:lineRule="auto" w:before="22"/>
        <w:ind w:right="99"/>
        <w:jc w:val="left"/>
      </w:pPr>
      <w:r>
        <w:rPr/>
        <w:t>能源汽车产销均接近</w:t>
      </w:r>
      <w:r>
        <w:rPr>
          <w:rFonts w:ascii="Times New Roman" w:hAnsi="Times New Roman" w:cs="Times New Roman" w:eastAsia="Times New Roman" w:hint="default"/>
        </w:rPr>
        <w:t>80</w:t>
      </w:r>
      <w:r>
        <w:rPr/>
        <w:t>万辆，产量达到</w:t>
      </w:r>
      <w:r>
        <w:rPr>
          <w:rFonts w:ascii="Times New Roman" w:hAnsi="Times New Roman" w:cs="Times New Roman" w:eastAsia="Times New Roman" w:hint="default"/>
        </w:rPr>
        <w:t>79.4</w:t>
      </w:r>
      <w:r>
        <w:rPr/>
        <w:t>万辆，销售达</w:t>
      </w:r>
      <w:r>
        <w:rPr>
          <w:rFonts w:ascii="Times New Roman" w:hAnsi="Times New Roman" w:cs="Times New Roman" w:eastAsia="Times New Roman" w:hint="default"/>
        </w:rPr>
        <w:t>77.7</w:t>
      </w:r>
      <w:r>
        <w:rPr/>
        <w:t>万辆，同比分别增长</w:t>
      </w:r>
      <w:r>
        <w:rPr>
          <w:rFonts w:ascii="Times New Roman" w:hAnsi="Times New Roman" w:cs="Times New Roman" w:eastAsia="Times New Roman" w:hint="default"/>
        </w:rPr>
        <w:t>53.8%</w:t>
      </w:r>
      <w:r>
        <w:rPr/>
        <w:t>和</w:t>
      </w:r>
      <w:r>
        <w:rPr>
          <w:rFonts w:ascii="Times New Roman" w:hAnsi="Times New Roman" w:cs="Times New Roman" w:eastAsia="Times New Roman" w:hint="default"/>
        </w:rPr>
        <w:t>53.3%</w:t>
      </w:r>
      <w:r>
        <w:rPr/>
        <w:t>，产量占比达到了汽车总产 量的</w:t>
      </w:r>
      <w:r>
        <w:rPr>
          <w:rFonts w:ascii="Times New Roman" w:hAnsi="Times New Roman" w:cs="Times New Roman" w:eastAsia="Times New Roman" w:hint="default"/>
        </w:rPr>
        <w:t>2.7%</w:t>
      </w:r>
      <w:r>
        <w:rPr/>
        <w:t>，连续三年居世界首位。根据工信部、国泰君安研究所对中国新能源汽车的统计与预测，</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2020</w:t>
      </w:r>
      <w:r>
        <w:rPr/>
        <w:t>年我国新</w:t>
      </w:r>
      <w:r>
        <w:rPr>
          <w:spacing w:val="-17"/>
        </w:rPr>
        <w:t> </w:t>
      </w:r>
      <w:r>
        <w:rPr>
          <w:spacing w:val="-17"/>
        </w:rPr>
      </w:r>
      <w:r>
        <w:rPr>
          <w:spacing w:val="-2"/>
        </w:rPr>
        <w:t>能源汽车销量将持续保持较快速度的增长，预计</w:t>
      </w:r>
      <w:r>
        <w:rPr>
          <w:rFonts w:ascii="Times New Roman" w:hAnsi="Times New Roman" w:cs="Times New Roman" w:eastAsia="Times New Roman" w:hint="default"/>
          <w:spacing w:val="-2"/>
        </w:rPr>
        <w:t>2018</w:t>
      </w:r>
      <w:r>
        <w:rPr>
          <w:spacing w:val="-2"/>
        </w:rPr>
        <w:t>年销售量突破</w:t>
      </w:r>
      <w:r>
        <w:rPr>
          <w:rFonts w:ascii="Times New Roman" w:hAnsi="Times New Roman" w:cs="Times New Roman" w:eastAsia="Times New Roman" w:hint="default"/>
          <w:spacing w:val="-2"/>
        </w:rPr>
        <w:t>100</w:t>
      </w:r>
      <w:r>
        <w:rPr>
          <w:spacing w:val="-2"/>
        </w:rPr>
        <w:t>万辆，</w:t>
      </w:r>
      <w:r>
        <w:rPr>
          <w:rFonts w:ascii="Times New Roman" w:hAnsi="Times New Roman" w:cs="Times New Roman" w:eastAsia="Times New Roman" w:hint="default"/>
          <w:spacing w:val="-2"/>
        </w:rPr>
        <w:t>2020</w:t>
      </w:r>
      <w:r>
        <w:rPr>
          <w:spacing w:val="-2"/>
        </w:rPr>
        <w:t>年销售量有望达到</w:t>
      </w:r>
      <w:r>
        <w:rPr>
          <w:rFonts w:ascii="Times New Roman" w:hAnsi="Times New Roman" w:cs="Times New Roman" w:eastAsia="Times New Roman" w:hint="default"/>
          <w:spacing w:val="-2"/>
        </w:rPr>
        <w:t>200</w:t>
      </w:r>
      <w:r>
        <w:rPr>
          <w:spacing w:val="-2"/>
        </w:rPr>
        <w:t>万辆以上。新能源汽</w:t>
      </w:r>
      <w:r>
        <w:rPr>
          <w:spacing w:val="-52"/>
        </w:rPr>
        <w:t> </w:t>
      </w:r>
      <w:r>
        <w:rPr>
          <w:spacing w:val="-52"/>
        </w:rPr>
      </w:r>
      <w:r>
        <w:rPr>
          <w:spacing w:val="-4"/>
        </w:rPr>
        <w:t>车的快速增长，必然带来产业链上各个领域的高速增长，无论是整车、电机、锂电池，还是充电桩领域都蕴藏巨大投资机会。</w:t>
      </w:r>
      <w:r>
        <w:rPr>
          <w:spacing w:val="-43"/>
        </w:rPr>
        <w:t> </w:t>
      </w:r>
      <w:r>
        <w:rPr>
          <w:spacing w:val="-43"/>
        </w:rPr>
      </w:r>
      <w:r>
        <w:rPr>
          <w:spacing w:val="-2"/>
        </w:rPr>
        <w:t>其中，充电环节对新能源汽车的推广使用起至关重要的作用。新能源汽车产业的快速发展将带动新能源汽车消费者对充电设</w:t>
      </w:r>
      <w:r>
        <w:rPr>
          <w:spacing w:val="-64"/>
        </w:rPr>
        <w:t> </w:t>
      </w:r>
      <w:r>
        <w:rPr>
          <w:spacing w:val="-64"/>
        </w:rPr>
      </w:r>
      <w:r>
        <w:rPr/>
        <w:t>施需求的快速增加。</w:t>
      </w:r>
    </w:p>
    <w:p>
      <w:pPr>
        <w:pStyle w:val="BodyText"/>
        <w:spacing w:line="345" w:lineRule="auto" w:before="38"/>
        <w:ind w:left="580" w:right="176"/>
        <w:jc w:val="left"/>
      </w:pPr>
      <w:r>
        <w:rPr>
          <w:rFonts w:ascii="Times New Roman" w:hAnsi="Times New Roman" w:cs="Times New Roman" w:eastAsia="Times New Roman" w:hint="default"/>
        </w:rPr>
        <w:t>3</w:t>
      </w:r>
      <w:r>
        <w:rPr/>
        <w:t>、锂电池隔膜行业 锂电池隔膜作为锂电池四大原材料之一，广泛运用于</w:t>
      </w:r>
      <w:r>
        <w:rPr>
          <w:rFonts w:ascii="Times New Roman" w:hAnsi="Times New Roman" w:cs="Times New Roman" w:eastAsia="Times New Roman" w:hint="default"/>
        </w:rPr>
        <w:t>3C</w:t>
      </w:r>
      <w:r>
        <w:rPr/>
        <w:t>电子消费品、新能源汽车及储能电站领域，发展前景广阔。随</w:t>
      </w:r>
    </w:p>
    <w:p>
      <w:pPr>
        <w:pStyle w:val="BodyText"/>
        <w:spacing w:line="352" w:lineRule="auto" w:before="22"/>
        <w:ind w:right="189"/>
        <w:jc w:val="both"/>
      </w:pPr>
      <w:r>
        <w:rPr>
          <w:spacing w:val="-2"/>
        </w:rPr>
        <w:t>着新能源汽车行业的爆发，资本竞相争逐上下游相关企业，中低端隔膜产能迅速扩张，国内企业也开始进入高端膜市场。行</w:t>
      </w:r>
      <w:r>
        <w:rPr>
          <w:spacing w:val="-66"/>
        </w:rPr>
        <w:t> </w:t>
      </w:r>
      <w:r>
        <w:rPr>
          <w:spacing w:val="-66"/>
        </w:rPr>
      </w:r>
      <w:r>
        <w:rPr>
          <w:spacing w:val="-1"/>
        </w:rPr>
        <w:t>业的高景气度带动了上市公司及机构投资者对新能源汽车相关行业的关注和合作，</w:t>
      </w:r>
      <w:r>
        <w:rPr>
          <w:rFonts w:ascii="Times New Roman" w:hAnsi="Times New Roman" w:cs="Times New Roman" w:eastAsia="Times New Roman" w:hint="default"/>
          <w:spacing w:val="-1"/>
        </w:rPr>
        <w:t>2015</w:t>
      </w:r>
      <w:r>
        <w:rPr>
          <w:spacing w:val="-1"/>
        </w:rPr>
        <w:t>年以来，多家</w:t>
      </w:r>
      <w:r>
        <w:rPr>
          <w:rFonts w:ascii="Times New Roman" w:hAnsi="Times New Roman" w:cs="Times New Roman" w:eastAsia="Times New Roman" w:hint="default"/>
          <w:spacing w:val="-1"/>
        </w:rPr>
        <w:t>A</w:t>
      </w:r>
      <w:r>
        <w:rPr>
          <w:spacing w:val="-1"/>
        </w:rPr>
        <w:t>股上市公司以参股或</w:t>
      </w:r>
      <w:r>
        <w:rPr>
          <w:spacing w:val="-67"/>
        </w:rPr>
        <w:t> </w:t>
      </w:r>
      <w:r>
        <w:rPr>
          <w:spacing w:val="-2"/>
        </w:rPr>
        <w:t>收购的方式与新能源汽车相关行业的相关标的展开合作，富临精工（</w:t>
      </w:r>
      <w:r>
        <w:rPr>
          <w:rFonts w:ascii="Times New Roman" w:hAnsi="Times New Roman" w:cs="Times New Roman" w:eastAsia="Times New Roman" w:hint="default"/>
          <w:spacing w:val="-2"/>
        </w:rPr>
        <w:t>300432</w:t>
      </w:r>
      <w:r>
        <w:rPr>
          <w:spacing w:val="-2"/>
        </w:rPr>
        <w:t>）收购升华科技、创新股份（</w:t>
      </w:r>
      <w:r>
        <w:rPr>
          <w:rFonts w:ascii="Times New Roman" w:hAnsi="Times New Roman" w:cs="Times New Roman" w:eastAsia="Times New Roman" w:hint="default"/>
          <w:spacing w:val="-2"/>
        </w:rPr>
        <w:t>002812</w:t>
      </w:r>
      <w:r>
        <w:rPr>
          <w:spacing w:val="-2"/>
        </w:rPr>
        <w:t>）收购上海</w:t>
      </w:r>
      <w:r>
        <w:rPr>
          <w:spacing w:val="-56"/>
        </w:rPr>
        <w:t> </w:t>
      </w:r>
      <w:r>
        <w:rPr>
          <w:spacing w:val="-56"/>
        </w:rPr>
      </w:r>
      <w:r>
        <w:rPr/>
        <w:t>恩捷等，目前锂电池隔膜行业已成为一个高度市场化的行业。</w:t>
      </w:r>
    </w:p>
    <w:p>
      <w:pPr>
        <w:pStyle w:val="BodyText"/>
        <w:spacing w:line="240" w:lineRule="auto" w:before="38"/>
        <w:ind w:left="580" w:right="6752"/>
        <w:jc w:val="left"/>
      </w:pPr>
      <w:r>
        <w:rPr/>
        <w:t>我国锂电池隔膜行业发展趋势</w:t>
      </w:r>
    </w:p>
    <w:p>
      <w:pPr>
        <w:pStyle w:val="BodyText"/>
        <w:spacing w:line="345" w:lineRule="auto" w:before="123"/>
        <w:ind w:left="580" w:right="99"/>
        <w:jc w:val="left"/>
      </w:pPr>
      <w:r>
        <w:rPr/>
        <w:t>（</w:t>
      </w:r>
      <w:r>
        <w:rPr>
          <w:rFonts w:ascii="Times New Roman" w:hAnsi="Times New Roman" w:cs="Times New Roman" w:eastAsia="Times New Roman" w:hint="default"/>
        </w:rPr>
        <w:t>1</w:t>
      </w:r>
      <w:r>
        <w:rPr/>
        <w:t>）国产替代进口趋势明显 目前，国际大厂商在国内中高端锂电隔膜市场中仍占有明显优势，但随着中科科技、星源材质、沧州明珠等国内锂电</w:t>
      </w:r>
    </w:p>
    <w:p>
      <w:pPr>
        <w:pStyle w:val="BodyText"/>
        <w:spacing w:line="364" w:lineRule="auto"/>
        <w:ind w:right="191"/>
        <w:jc w:val="both"/>
      </w:pPr>
      <w:r>
        <w:rPr>
          <w:spacing w:val="-2"/>
        </w:rPr>
        <w:t>隔膜企业的成长，依靠本土生产成本等优势，不仅占领国内锂电池隔膜市场，更是开始向国际锂电池企业供货。在中高端隔</w:t>
      </w:r>
      <w:r>
        <w:rPr>
          <w:spacing w:val="-66"/>
        </w:rPr>
        <w:t> </w:t>
      </w:r>
      <w:r>
        <w:rPr>
          <w:spacing w:val="-66"/>
        </w:rPr>
      </w:r>
      <w:r>
        <w:rPr/>
        <w:t>膜供不应求的市场环境下，各大生产商陆续新建项目扩大产能。国内已经实现量产有十多家企业。</w:t>
      </w:r>
    </w:p>
    <w:p>
      <w:pPr>
        <w:pStyle w:val="BodyText"/>
        <w:spacing w:line="345" w:lineRule="auto" w:before="29"/>
        <w:ind w:left="580" w:right="176"/>
        <w:jc w:val="left"/>
      </w:pPr>
      <w:r>
        <w:rPr/>
        <w:t>（</w:t>
      </w:r>
      <w:r>
        <w:rPr>
          <w:rFonts w:ascii="Times New Roman" w:hAnsi="Times New Roman" w:cs="Times New Roman" w:eastAsia="Times New Roman" w:hint="default"/>
        </w:rPr>
        <w:t>2</w:t>
      </w:r>
      <w:r>
        <w:rPr/>
        <w:t>）锂电池行业快速发展带动锂电池隔膜行业持续增长 锂电池的市场需求量直接影响锂电池隔膜行业的发展，而锂电池的销量取决于终端应用市场。随着</w:t>
      </w:r>
      <w:r>
        <w:rPr>
          <w:rFonts w:ascii="Times New Roman" w:hAnsi="Times New Roman" w:cs="Times New Roman" w:eastAsia="Times New Roman" w:hint="default"/>
        </w:rPr>
        <w:t>3C</w:t>
      </w:r>
      <w:r>
        <w:rPr/>
        <w:t>类电子消费品的</w:t>
      </w:r>
    </w:p>
    <w:p>
      <w:pPr>
        <w:pStyle w:val="BodyText"/>
        <w:spacing w:line="364" w:lineRule="auto" w:before="22"/>
        <w:ind w:right="191"/>
        <w:jc w:val="both"/>
      </w:pPr>
      <w:r>
        <w:rPr>
          <w:spacing w:val="-2"/>
        </w:rPr>
        <w:t>普及和储能电站的逐步发展，锂电池在这些领域的需求将进一步提升；另一方面，由于科技的发展以及环保概念的兴起，各</w:t>
      </w:r>
      <w:r>
        <w:rPr>
          <w:spacing w:val="-66"/>
        </w:rPr>
        <w:t> </w:t>
      </w:r>
      <w:r>
        <w:rPr>
          <w:spacing w:val="-66"/>
        </w:rPr>
      </w:r>
      <w:r>
        <w:rPr>
          <w:spacing w:val="-2"/>
        </w:rPr>
        <w:t>政府对锂电池行业的激励政策纷纷落地，未来较长的一段时间将是动力锂电池的黄金发展期，这也给处于上游产业的锂电池</w:t>
      </w:r>
      <w:r>
        <w:rPr>
          <w:spacing w:val="-64"/>
        </w:rPr>
        <w:t> </w:t>
      </w:r>
      <w:r>
        <w:rPr>
          <w:spacing w:val="-64"/>
        </w:rPr>
      </w:r>
      <w:r>
        <w:rPr/>
        <w:t>隔膜行业带来巨大的发展机遇。</w:t>
      </w:r>
    </w:p>
    <w:p>
      <w:pPr>
        <w:pStyle w:val="BodyText"/>
        <w:spacing w:line="345" w:lineRule="auto" w:before="29"/>
        <w:ind w:left="580" w:right="99"/>
        <w:jc w:val="left"/>
      </w:pPr>
      <w:r>
        <w:rPr/>
        <w:t>（</w:t>
      </w:r>
      <w:r>
        <w:rPr>
          <w:rFonts w:ascii="Times New Roman" w:hAnsi="Times New Roman" w:cs="Times New Roman" w:eastAsia="Times New Roman" w:hint="default"/>
        </w:rPr>
        <w:t>3</w:t>
      </w:r>
      <w:r>
        <w:rPr/>
        <w:t>）低端隔膜过剩，技术与成本决定龙头企业 过去几年里，锂电隔膜的高毛利率吸引了大量新进入者，造成了低端产品供过于求的局面，量产批次均匀性、稳定性</w:t>
      </w:r>
    </w:p>
    <w:p>
      <w:pPr>
        <w:spacing w:after="0" w:line="345" w:lineRule="auto"/>
        <w:jc w:val="left"/>
        <w:sectPr>
          <w:footerReference w:type="default" r:id="rId17"/>
          <w:pgSz w:w="11910" w:h="16840"/>
          <w:pgMar w:footer="979" w:header="747" w:top="1060" w:bottom="1160" w:left="980" w:right="940"/>
          <w:pgNumType w:start="33"/>
        </w:sectPr>
      </w:pPr>
    </w:p>
    <w:p>
      <w:pPr>
        <w:spacing w:line="240" w:lineRule="auto" w:before="8"/>
        <w:rPr>
          <w:rFonts w:ascii="宋体" w:hAnsi="宋体" w:cs="宋体" w:eastAsia="宋体" w:hint="default"/>
          <w:sz w:val="27"/>
          <w:szCs w:val="27"/>
        </w:rPr>
      </w:pPr>
    </w:p>
    <w:p>
      <w:pPr>
        <w:pStyle w:val="BodyText"/>
        <w:spacing w:line="364" w:lineRule="auto"/>
        <w:ind w:right="191"/>
        <w:jc w:val="both"/>
      </w:pPr>
      <w:r>
        <w:rPr>
          <w:spacing w:val="-2"/>
        </w:rPr>
        <w:t>较差，在质量上难以有效应用到动力锂电池上。随着技术的革新，低端锂电池隔膜市场将逐渐萎缩，只剩下依靠质量和成本</w:t>
      </w:r>
      <w:r>
        <w:rPr>
          <w:spacing w:val="-66"/>
        </w:rPr>
        <w:t> </w:t>
      </w:r>
      <w:r>
        <w:rPr>
          <w:spacing w:val="-66"/>
        </w:rPr>
      </w:r>
      <w:r>
        <w:rPr/>
        <w:t>优势并持续研发创新的龙头企业。</w:t>
      </w:r>
    </w:p>
    <w:p>
      <w:pPr>
        <w:pStyle w:val="Heading6"/>
        <w:spacing w:line="240" w:lineRule="auto"/>
        <w:ind w:left="580" w:right="6752"/>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公司</w:t>
      </w:r>
      <w:r>
        <w:rPr>
          <w:rFonts w:ascii="Times New Roman" w:hAnsi="Times New Roman" w:cs="Times New Roman" w:eastAsia="Times New Roman" w:hint="default"/>
        </w:rPr>
        <w:t>2018</w:t>
      </w:r>
      <w:r>
        <w:rPr/>
        <w:t>年运营计划</w:t>
      </w:r>
      <w:r>
        <w:rPr>
          <w:b w:val="0"/>
          <w:bCs w:val="0"/>
        </w:rPr>
      </w:r>
    </w:p>
    <w:p>
      <w:pPr>
        <w:pStyle w:val="BodyText"/>
        <w:spacing w:line="355" w:lineRule="auto" w:before="109"/>
        <w:ind w:right="192" w:firstLine="499"/>
        <w:jc w:val="both"/>
      </w:pPr>
      <w:r>
        <w:rPr>
          <w:rFonts w:ascii="Times New Roman" w:hAnsi="Times New Roman" w:cs="Times New Roman" w:eastAsia="Times New Roman" w:hint="default"/>
        </w:rPr>
        <w:t>2018</w:t>
      </w:r>
      <w:r>
        <w:rPr/>
        <w:t>年是公司产业转型升级阶段的关键之年，公司将紧密围绕</w:t>
      </w:r>
      <w:r>
        <w:rPr>
          <w:rFonts w:ascii="Times New Roman" w:hAnsi="Times New Roman" w:cs="Times New Roman" w:eastAsia="Times New Roman" w:hint="default"/>
        </w:rPr>
        <w:t>“</w:t>
      </w:r>
      <w:r>
        <w:rPr/>
        <w:t>智能电网</w:t>
      </w:r>
      <w:r>
        <w:rPr>
          <w:rFonts w:ascii="Times New Roman" w:hAnsi="Times New Roman" w:cs="Times New Roman" w:eastAsia="Times New Roman" w:hint="default"/>
        </w:rPr>
        <w:t>+</w:t>
      </w:r>
      <w:r>
        <w:rPr/>
        <w:t>新能源</w:t>
      </w:r>
      <w:r>
        <w:rPr>
          <w:rFonts w:ascii="Times New Roman" w:hAnsi="Times New Roman" w:cs="Times New Roman" w:eastAsia="Times New Roman" w:hint="default"/>
        </w:rPr>
        <w:t>”</w:t>
      </w:r>
      <w:r>
        <w:rPr/>
        <w:t>的战略布局，继续提升认知、强化 </w:t>
      </w:r>
      <w:r>
        <w:rPr>
          <w:spacing w:val="-2"/>
        </w:rPr>
        <w:t>管理、把控风险，保障公司转型升级、驶入新能源轨道，使公司每一位员工及投资者能够拥有获得感，与公司一起迈入新的</w:t>
      </w:r>
      <w:r>
        <w:rPr>
          <w:spacing w:val="-66"/>
        </w:rPr>
        <w:t> </w:t>
      </w:r>
      <w:r>
        <w:rPr>
          <w:spacing w:val="-66"/>
        </w:rPr>
      </w:r>
      <w:r>
        <w:rPr/>
        <w:t>产业领域，公司上下将不忘初心、砥砺前行、结成牢不可破的命运共同体。</w:t>
      </w:r>
    </w:p>
    <w:p>
      <w:pPr>
        <w:pStyle w:val="BodyText"/>
        <w:spacing w:line="240" w:lineRule="auto" w:before="37"/>
        <w:ind w:left="514" w:right="99"/>
        <w:jc w:val="left"/>
      </w:pPr>
      <w:r>
        <w:rPr/>
        <w:t>１、推动智能电气设备稳定增长，大力发展新能源领域业务</w:t>
      </w:r>
    </w:p>
    <w:p>
      <w:pPr>
        <w:pStyle w:val="BodyText"/>
        <w:spacing w:line="352" w:lineRule="auto" w:before="123"/>
        <w:ind w:right="99" w:firstLine="360"/>
        <w:jc w:val="left"/>
      </w:pPr>
      <w:r>
        <w:rPr>
          <w:spacing w:val="-2"/>
        </w:rPr>
        <w:t>一是稳步推动</w:t>
      </w:r>
      <w:r>
        <w:rPr>
          <w:rFonts w:ascii="Times New Roman" w:hAnsi="Times New Roman" w:cs="Times New Roman" w:eastAsia="Times New Roman" w:hint="default"/>
          <w:spacing w:val="-2"/>
        </w:rPr>
        <w:t>C-GIS</w:t>
      </w:r>
      <w:r>
        <w:rPr>
          <w:spacing w:val="-2"/>
        </w:rPr>
        <w:t>智能环网开关、</w:t>
      </w:r>
      <w:r>
        <w:rPr>
          <w:rFonts w:ascii="Times New Roman" w:hAnsi="Times New Roman" w:cs="Times New Roman" w:eastAsia="Times New Roman" w:hint="default"/>
          <w:spacing w:val="-2"/>
        </w:rPr>
        <w:t>40.5</w:t>
      </w:r>
      <w:r>
        <w:rPr>
          <w:spacing w:val="-2"/>
        </w:rPr>
        <w:t>地铁专用</w:t>
      </w:r>
      <w:r>
        <w:rPr>
          <w:rFonts w:ascii="Times New Roman" w:hAnsi="Times New Roman" w:cs="Times New Roman" w:eastAsia="Times New Roman" w:hint="default"/>
          <w:spacing w:val="-2"/>
        </w:rPr>
        <w:t>GIS</w:t>
      </w:r>
      <w:r>
        <w:rPr>
          <w:spacing w:val="-2"/>
        </w:rPr>
        <w:t>智能开关柜、中置式开关柜等产品的产业规模化发展工作，全面提</w:t>
      </w:r>
      <w:r>
        <w:rPr/>
        <w:t> </w:t>
      </w:r>
      <w:r>
        <w:rPr>
          <w:spacing w:val="-2"/>
        </w:rPr>
        <w:t>高公司在智能电气设备的整体竞争实力。二是不断提高公司大型直流充电桩的生产销售规模，以创新方式在全国主要城市布</w:t>
      </w:r>
      <w:r>
        <w:rPr>
          <w:spacing w:val="-64"/>
        </w:rPr>
        <w:t> </w:t>
      </w:r>
      <w:r>
        <w:rPr>
          <w:spacing w:val="-64"/>
        </w:rPr>
      </w:r>
      <w:r>
        <w:rPr/>
        <w:t>局充电桩集中式运营站，进一步扩大公司在充电桩制造和运营领域的竞争优势。三是完成鸿图隔膜</w:t>
      </w:r>
      <w:r>
        <w:rPr>
          <w:rFonts w:ascii="Times New Roman" w:hAnsi="Times New Roman" w:cs="Times New Roman" w:eastAsia="Times New Roman" w:hint="default"/>
        </w:rPr>
        <w:t>9000</w:t>
      </w:r>
      <w:r>
        <w:rPr/>
        <w:t>万平方米</w:t>
      </w:r>
      <w:r>
        <w:rPr>
          <w:rFonts w:ascii="Times New Roman" w:hAnsi="Times New Roman" w:cs="Times New Roman" w:eastAsia="Times New Roman" w:hint="default"/>
        </w:rPr>
        <w:t>/</w:t>
      </w:r>
      <w:r>
        <w:rPr/>
        <w:t>年锂离子 </w:t>
      </w:r>
      <w:r>
        <w:rPr>
          <w:spacing w:val="-2"/>
        </w:rPr>
        <w:t>电池隔膜三期工程项目的建设，实现其</w:t>
      </w:r>
      <w:r>
        <w:rPr>
          <w:rFonts w:ascii="Times New Roman" w:hAnsi="Times New Roman" w:cs="Times New Roman" w:eastAsia="Times New Roman" w:hint="default"/>
          <w:spacing w:val="-2"/>
        </w:rPr>
        <w:t>2</w:t>
      </w:r>
      <w:r>
        <w:rPr>
          <w:spacing w:val="-2"/>
        </w:rPr>
        <w:t>亿平方米的锂离子电池隔膜生产能力，为配套大型动力电池生产商打下良好的基础，</w:t>
      </w:r>
      <w:r>
        <w:rPr>
          <w:spacing w:val="-62"/>
        </w:rPr>
        <w:t> </w:t>
      </w:r>
      <w:r>
        <w:rPr>
          <w:spacing w:val="-62"/>
        </w:rPr>
      </w:r>
      <w:r>
        <w:rPr>
          <w:spacing w:val="-2"/>
        </w:rPr>
        <w:t>继续扩大涂覆隔膜的生产能力实现涂覆隔膜全覆盖的局面，全力研发新的涂覆隔膜生产工艺技术，适应新的动力电池发展需</w:t>
      </w:r>
      <w:r>
        <w:rPr>
          <w:spacing w:val="-64"/>
        </w:rPr>
        <w:t> </w:t>
      </w:r>
      <w:r>
        <w:rPr>
          <w:spacing w:val="-64"/>
        </w:rPr>
      </w:r>
      <w:r>
        <w:rPr>
          <w:spacing w:val="-2"/>
        </w:rPr>
        <w:t>求，努力实现国内最大最高端的锂离子电池隔膜生产基地。四是加快推进湖州金冠项目建设，力争在</w:t>
      </w:r>
      <w:r>
        <w:rPr>
          <w:rFonts w:ascii="Times New Roman" w:hAnsi="Times New Roman" w:cs="Times New Roman" w:eastAsia="Times New Roman" w:hint="default"/>
          <w:spacing w:val="-2"/>
        </w:rPr>
        <w:t>2018</w:t>
      </w:r>
      <w:r>
        <w:rPr>
          <w:spacing w:val="-2"/>
        </w:rPr>
        <w:t>年末投入生产，巩</w:t>
      </w:r>
      <w:r>
        <w:rPr>
          <w:spacing w:val="-61"/>
        </w:rPr>
        <w:t> </w:t>
      </w:r>
      <w:r>
        <w:rPr>
          <w:spacing w:val="-61"/>
        </w:rPr>
      </w:r>
      <w:r>
        <w:rPr/>
        <w:t>固公司在湿法隔膜领域的优势地位和市场占有率。</w:t>
      </w:r>
    </w:p>
    <w:p>
      <w:pPr>
        <w:pStyle w:val="BodyText"/>
        <w:spacing w:line="364" w:lineRule="auto" w:before="38"/>
        <w:ind w:left="444" w:right="99" w:firstLine="69"/>
        <w:jc w:val="left"/>
      </w:pPr>
      <w:r>
        <w:rPr/>
        <w:t>２、不断迭代创新，提高公司研发实力 </w:t>
      </w:r>
      <w:r>
        <w:rPr>
          <w:spacing w:val="-1"/>
        </w:rPr>
        <w:t>公司将实施集团化研发管理体系，根据业务发展方向加强对口技术创新团队建设和人才培养，深化研发流程优化并加强</w:t>
      </w:r>
    </w:p>
    <w:p>
      <w:pPr>
        <w:pStyle w:val="BodyText"/>
        <w:spacing w:line="364" w:lineRule="auto" w:before="29"/>
        <w:ind w:right="193"/>
        <w:jc w:val="both"/>
      </w:pPr>
      <w:r>
        <w:rPr>
          <w:spacing w:val="-2"/>
        </w:rPr>
        <w:t>落地执行的推进，深入推进技术标准化工作，实施升级一代、研发一代、研究一代的创新路线，持续做好产品迭代和质量提</w:t>
      </w:r>
      <w:r>
        <w:rPr>
          <w:spacing w:val="-66"/>
        </w:rPr>
        <w:t> </w:t>
      </w:r>
      <w:r>
        <w:rPr>
          <w:spacing w:val="-66"/>
        </w:rPr>
      </w:r>
      <w:r>
        <w:rPr>
          <w:spacing w:val="-2"/>
        </w:rPr>
        <w:t>升；强化研发流程落地，注重市场调研与信息互动，提升新产品的市场转化；加速标准化进程，实现质量、效率、档次全面</w:t>
      </w:r>
      <w:r>
        <w:rPr>
          <w:spacing w:val="-72"/>
        </w:rPr>
        <w:t> </w:t>
      </w:r>
      <w:r>
        <w:rPr>
          <w:spacing w:val="-72"/>
        </w:rPr>
      </w:r>
      <w:r>
        <w:rPr/>
        <w:t>提升。</w:t>
      </w:r>
    </w:p>
    <w:p>
      <w:pPr>
        <w:pStyle w:val="BodyText"/>
        <w:spacing w:line="364" w:lineRule="auto" w:before="30"/>
        <w:ind w:left="407" w:right="99" w:firstLine="106"/>
        <w:jc w:val="left"/>
      </w:pPr>
      <w:r>
        <w:rPr/>
        <w:t>３、深耕市场，集团协同作战 公司将整合集团化的内外部营销资源，通过对并购子公司的积极整合，共享客户资源，共同加强客户关系管理，发挥协</w:t>
      </w:r>
    </w:p>
    <w:p>
      <w:pPr>
        <w:pStyle w:val="BodyText"/>
        <w:spacing w:line="364" w:lineRule="auto" w:before="29"/>
        <w:ind w:right="110"/>
        <w:jc w:val="both"/>
      </w:pPr>
      <w:r>
        <w:rPr/>
        <w:t>同效应，实现上市公司在新能源行业的快速发展，并加强应收账款管理，通过风险控制、应收账款管理和营销政策强关联， 实现各业务板块营销体系精细化管理。</w:t>
      </w:r>
    </w:p>
    <w:p>
      <w:pPr>
        <w:pStyle w:val="BodyText"/>
        <w:spacing w:line="364" w:lineRule="auto" w:before="29"/>
        <w:ind w:left="444" w:right="99" w:firstLine="69"/>
        <w:jc w:val="left"/>
      </w:pPr>
      <w:r>
        <w:rPr/>
        <w:t>４、加强人才培养、建立人才梯队 </w:t>
      </w:r>
      <w:r>
        <w:rPr>
          <w:spacing w:val="-1"/>
        </w:rPr>
        <w:t>公司将在集团层面根据战略有针对性地制定人才引进方案，为人才做好配套的融入及发展规划，发挥人才价值；强化末</w:t>
      </w:r>
    </w:p>
    <w:p>
      <w:pPr>
        <w:pStyle w:val="BodyText"/>
        <w:spacing w:line="364" w:lineRule="auto" w:before="29"/>
        <w:ind w:right="193"/>
        <w:jc w:val="both"/>
      </w:pPr>
      <w:r>
        <w:rPr>
          <w:spacing w:val="-2"/>
        </w:rPr>
        <w:t>位淘汰、岗位竞聘机制，搭建公平、公正、高效的人才培养、人才发展大平台。此外公司将优化培训模式与资源，加强内外</w:t>
      </w:r>
      <w:r>
        <w:rPr>
          <w:spacing w:val="-72"/>
        </w:rPr>
        <w:t> </w:t>
      </w:r>
      <w:r>
        <w:rPr>
          <w:spacing w:val="-72"/>
        </w:rPr>
      </w:r>
      <w:r>
        <w:rPr>
          <w:spacing w:val="-2"/>
        </w:rPr>
        <w:t>部培训资源开发整合，打造集团人才培养基地；优化人才盘点机制，搭建人才轮岗机制，充分发挥集团规模优势，建立集团</w:t>
      </w:r>
      <w:r>
        <w:rPr>
          <w:spacing w:val="-66"/>
        </w:rPr>
        <w:t> </w:t>
      </w:r>
      <w:r>
        <w:rPr>
          <w:spacing w:val="-66"/>
        </w:rPr>
      </w:r>
      <w:r>
        <w:rPr/>
        <w:t>级人才梯队。</w:t>
      </w:r>
    </w:p>
    <w:p>
      <w:pPr>
        <w:pStyle w:val="BodyText"/>
        <w:spacing w:line="364" w:lineRule="auto" w:before="29"/>
        <w:ind w:left="444" w:right="99" w:firstLine="69"/>
        <w:jc w:val="left"/>
      </w:pPr>
      <w:r>
        <w:rPr/>
        <w:t>５、优化管理体系，规范管理流程 </w:t>
      </w:r>
      <w:r>
        <w:rPr>
          <w:spacing w:val="-1"/>
        </w:rPr>
        <w:t>公司将依据以客户为中心的价值观，以重视团队合作，依据分类管理的科学方法，实现高度聚焦，以目标为导向的高效</w:t>
      </w:r>
    </w:p>
    <w:p>
      <w:pPr>
        <w:pStyle w:val="BodyText"/>
        <w:spacing w:line="364" w:lineRule="auto" w:before="29"/>
        <w:ind w:right="190"/>
        <w:jc w:val="both"/>
      </w:pPr>
      <w:r>
        <w:rPr>
          <w:spacing w:val="-2"/>
        </w:rPr>
        <w:t>管理，完善供应链管理，加强绩效管理，优化风控管理。公司将持续优化现有流程，并梳理新业务管理流程，借助信息化工</w:t>
      </w:r>
      <w:r>
        <w:rPr>
          <w:spacing w:val="-68"/>
        </w:rPr>
        <w:t> </w:t>
      </w:r>
      <w:r>
        <w:rPr>
          <w:spacing w:val="-68"/>
        </w:rPr>
      </w:r>
      <w:r>
        <w:rPr/>
        <w:t>具实现高效管理目标。</w:t>
      </w:r>
    </w:p>
    <w:p>
      <w:pPr>
        <w:pStyle w:val="Heading6"/>
        <w:spacing w:line="240" w:lineRule="auto"/>
        <w:ind w:left="580" w:right="6752"/>
        <w:jc w:val="left"/>
        <w:rPr>
          <w:b w:val="0"/>
          <w:bCs w:val="0"/>
        </w:rPr>
      </w:pPr>
      <w:r>
        <w:rPr/>
        <w:t>（四）可能面临的风险</w:t>
      </w:r>
      <w:r>
        <w:rPr>
          <w:b w:val="0"/>
          <w:bCs w:val="0"/>
        </w:rPr>
      </w:r>
    </w:p>
    <w:p>
      <w:pPr>
        <w:pStyle w:val="BodyText"/>
        <w:spacing w:line="345" w:lineRule="auto" w:before="123"/>
        <w:ind w:left="580" w:right="19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3"/>
        </w:rPr>
        <w:t> </w:t>
      </w:r>
      <w:r>
        <w:rPr>
          <w:rFonts w:ascii="宋体" w:hAnsi="宋体" w:cs="宋体" w:eastAsia="宋体" w:hint="default"/>
          <w:b/>
          <w:bCs/>
        </w:rPr>
        <w:t>产业政策风险</w:t>
      </w:r>
      <w:r>
        <w:rPr>
          <w:rFonts w:ascii="宋体" w:hAnsi="宋体" w:cs="宋体" w:eastAsia="宋体" w:hint="default"/>
          <w:b/>
          <w:bCs/>
          <w:w w:val="99"/>
        </w:rPr>
        <w:t> </w:t>
      </w:r>
      <w:r>
        <w:rPr>
          <w:spacing w:val="-2"/>
          <w:w w:val="99"/>
        </w:rPr>
        <w:t>公司所处行业较容易受到国家总体经济政策和宏观经济环境的影响。同时国家智能电网建设带来的</w:t>
      </w:r>
      <w:r>
        <w:rPr>
          <w:rFonts w:ascii="Times New Roman" w:hAnsi="Times New Roman" w:cs="Times New Roman" w:eastAsia="Times New Roman" w:hint="default"/>
          <w:spacing w:val="-2"/>
          <w:w w:val="99"/>
        </w:rPr>
        <w:t>C-GIS</w:t>
      </w:r>
      <w:r>
        <w:rPr>
          <w:spacing w:val="-2"/>
          <w:w w:val="99"/>
        </w:rPr>
        <w:t>智能环网柜及</w:t>
      </w:r>
    </w:p>
    <w:p>
      <w:pPr>
        <w:pStyle w:val="BodyText"/>
        <w:spacing w:line="355" w:lineRule="auto" w:before="22"/>
        <w:ind w:right="92"/>
        <w:jc w:val="left"/>
      </w:pPr>
      <w:r>
        <w:rPr/>
        <w:t>智能高压开关柜等产品的良好前景也导致行业参与者不断增加，以</w:t>
      </w:r>
      <w:r>
        <w:rPr>
          <w:rFonts w:ascii="Times New Roman" w:hAnsi="Times New Roman" w:cs="Times New Roman" w:eastAsia="Times New Roman" w:hint="default"/>
        </w:rPr>
        <w:t>ABB</w:t>
      </w:r>
      <w:r>
        <w:rPr/>
        <w:t>、西门子等公司为代表的跨国公司也参与了争夺中</w:t>
      </w:r>
      <w:r>
        <w:rPr>
          <w:spacing w:val="-14"/>
        </w:rPr>
        <w:t> </w:t>
      </w:r>
      <w:r>
        <w:rPr>
          <w:spacing w:val="-14"/>
        </w:rPr>
      </w:r>
      <w:r>
        <w:rPr/>
        <w:t>国市场份额，加剧了行业内的竞争。对此我公司将持续提升技术水平、增强创新能力、扩大产能规模和提高经营管理效率， 持续加大研发投入，提高产品竞争力，加强从整机到核心部件生产、研发能力，通过技术升级全面提升产品核心竞争实力。</w:t>
      </w:r>
    </w:p>
    <w:p>
      <w:pPr>
        <w:pStyle w:val="BodyText"/>
        <w:spacing w:line="240" w:lineRule="auto" w:before="37"/>
        <w:ind w:left="580" w:right="99"/>
        <w:jc w:val="left"/>
      </w:pPr>
      <w:r>
        <w:rPr/>
        <w:t>公司充电桩业务及锂电池隔膜业务，其主要应用领域之一系新能源汽车锂电池的制造。国家关于新能源汽车的行业政</w:t>
      </w:r>
    </w:p>
    <w:p>
      <w:pPr>
        <w:spacing w:after="0" w:line="240" w:lineRule="auto"/>
        <w:jc w:val="left"/>
        <w:sectPr>
          <w:footerReference w:type="default" r:id="rId18"/>
          <w:pgSz w:w="11910" w:h="16840"/>
          <w:pgMar w:footer="979" w:header="747" w:top="1060" w:bottom="1160" w:left="980" w:right="940"/>
          <w:pgNumType w:start="34"/>
        </w:sectPr>
      </w:pPr>
    </w:p>
    <w:p>
      <w:pPr>
        <w:spacing w:line="240" w:lineRule="auto" w:before="8"/>
        <w:rPr>
          <w:rFonts w:ascii="宋体" w:hAnsi="宋体" w:cs="宋体" w:eastAsia="宋体" w:hint="default"/>
          <w:sz w:val="27"/>
          <w:szCs w:val="27"/>
        </w:rPr>
      </w:pPr>
    </w:p>
    <w:p>
      <w:pPr>
        <w:pStyle w:val="BodyText"/>
        <w:spacing w:line="364" w:lineRule="auto"/>
        <w:ind w:right="191"/>
        <w:jc w:val="both"/>
      </w:pPr>
      <w:r>
        <w:rPr>
          <w:spacing w:val="-2"/>
        </w:rPr>
        <w:t>策与公司的未来发展密切相关。新能源汽车是我国重点发展的战略性新兴产业，近年来，政府连续出台了一系列支持、规范</w:t>
      </w:r>
      <w:r>
        <w:rPr>
          <w:spacing w:val="-66"/>
        </w:rPr>
        <w:t> </w:t>
      </w:r>
      <w:r>
        <w:rPr>
          <w:spacing w:val="-66"/>
        </w:rPr>
      </w:r>
      <w:r>
        <w:rPr>
          <w:spacing w:val="-2"/>
        </w:rPr>
        <w:t>新能源汽车行业发展的法规、政策，从发展规划、消费补贴、税收优惠、科研投入、政府采购、标准制定等多个方面，构建</w:t>
      </w:r>
      <w:r>
        <w:rPr>
          <w:spacing w:val="-67"/>
        </w:rPr>
        <w:t> </w:t>
      </w:r>
      <w:r>
        <w:rPr>
          <w:spacing w:val="-67"/>
        </w:rPr>
      </w:r>
      <w:r>
        <w:rPr>
          <w:spacing w:val="-2"/>
        </w:rPr>
        <w:t>了一整套支持新能源汽车加快发展的政策体系，为动力类锂电池隔膜业务提供了广阔的发展空间。但未来随着行业技术的发</w:t>
      </w:r>
      <w:r>
        <w:rPr>
          <w:spacing w:val="-64"/>
        </w:rPr>
        <w:t> </w:t>
      </w:r>
      <w:r>
        <w:rPr>
          <w:spacing w:val="-64"/>
        </w:rPr>
      </w:r>
      <w:r>
        <w:rPr/>
        <w:t>展以及政策环境的变化，不排除因产业政策调整导致行业内经营环境出现不利变化，公司出现业绩下滑的风险。</w:t>
      </w:r>
    </w:p>
    <w:p>
      <w:pPr>
        <w:pStyle w:val="BodyText"/>
        <w:spacing w:line="364" w:lineRule="auto" w:before="30"/>
        <w:ind w:right="191" w:firstLine="426"/>
        <w:jc w:val="both"/>
      </w:pPr>
      <w:r>
        <w:rPr/>
        <w:t>随着国家政策的支持力度加强，公司的新能源充电桩行业、锂电隔膜行业有较广阔的市场空间，公司将建立健全快速 </w:t>
      </w:r>
      <w:r>
        <w:rPr>
          <w:spacing w:val="-2"/>
        </w:rPr>
        <w:t>的市场政策分析与监测机制，有效捕捉政策动态。将进一步加大自主创新研发力度，加强新市场开拓，实现产品技术领先和</w:t>
      </w:r>
      <w:r>
        <w:rPr>
          <w:spacing w:val="-66"/>
        </w:rPr>
        <w:t> </w:t>
      </w:r>
      <w:r>
        <w:rPr>
          <w:spacing w:val="-66"/>
        </w:rPr>
      </w:r>
      <w:r>
        <w:rPr/>
        <w:t>差异化战略。</w:t>
      </w:r>
    </w:p>
    <w:p>
      <w:pPr>
        <w:pStyle w:val="Heading6"/>
        <w:spacing w:line="240" w:lineRule="auto"/>
        <w:ind w:left="658" w:right="6752"/>
        <w:jc w:val="left"/>
        <w:rPr>
          <w:b w:val="0"/>
          <w:bCs w:val="0"/>
        </w:rPr>
      </w:pPr>
      <w:r>
        <w:rPr>
          <w:rFonts w:ascii="Times New Roman" w:hAnsi="Times New Roman" w:cs="Times New Roman" w:eastAsia="Times New Roman" w:hint="default"/>
        </w:rPr>
        <w:t>2</w:t>
      </w:r>
      <w:r>
        <w:rPr/>
        <w:t>、</w:t>
      </w:r>
      <w:r>
        <w:rPr>
          <w:spacing w:val="-17"/>
        </w:rPr>
        <w:t> </w:t>
      </w:r>
      <w:r>
        <w:rPr/>
        <w:t>应收账款增大风险</w:t>
      </w:r>
      <w:r>
        <w:rPr>
          <w:b w:val="0"/>
          <w:bCs w:val="0"/>
        </w:rPr>
      </w:r>
    </w:p>
    <w:p>
      <w:pPr>
        <w:pStyle w:val="BodyText"/>
        <w:spacing w:line="360" w:lineRule="auto" w:before="109"/>
        <w:ind w:right="92" w:firstLine="426"/>
        <w:jc w:val="left"/>
      </w:pPr>
      <w:r>
        <w:rPr/>
        <w:t>截至报告期末，公司应收账款净额 </w:t>
      </w:r>
      <w:r>
        <w:rPr>
          <w:rFonts w:ascii="Times New Roman" w:hAnsi="Times New Roman" w:cs="Times New Roman" w:eastAsia="Times New Roman" w:hint="default"/>
        </w:rPr>
        <w:t>629,897,641.33</w:t>
      </w:r>
      <w:r>
        <w:rPr>
          <w:rFonts w:ascii="Times New Roman" w:hAnsi="Times New Roman" w:cs="Times New Roman" w:eastAsia="Times New Roman" w:hint="default"/>
          <w:spacing w:val="12"/>
        </w:rPr>
        <w:t> </w:t>
      </w:r>
      <w:r>
        <w:rPr/>
        <w:t>元，占资产总额的</w:t>
      </w:r>
      <w:r>
        <w:rPr>
          <w:rFonts w:ascii="Times New Roman" w:hAnsi="Times New Roman" w:cs="Times New Roman" w:eastAsia="Times New Roman" w:hint="default"/>
        </w:rPr>
        <w:t>20.90%</w:t>
      </w:r>
      <w:r>
        <w:rPr/>
        <w:t>，应收账款占资产总额比重较高。本次新 并入的南京能瑞主要客户为国网公司，应收账款账龄结构较为稳定，主要客户规模较大，信用较好，应收账款回收风险低， </w:t>
      </w:r>
      <w:r>
        <w:rPr>
          <w:spacing w:val="-4"/>
        </w:rPr>
        <w:t>但由于应收账款占用了公司较多的资金，如不能及时收回，仍然会影响公司的现金流量，且一旦形成坏账将给公司造成损失。</w:t>
      </w:r>
      <w:r>
        <w:rPr>
          <w:spacing w:val="-44"/>
        </w:rPr>
        <w:t> </w:t>
      </w:r>
      <w:r>
        <w:rPr>
          <w:spacing w:val="-44"/>
        </w:rPr>
      </w:r>
      <w:r>
        <w:rPr>
          <w:spacing w:val="-2"/>
        </w:rPr>
        <w:t>公司将严格执行应收账款回收的相关销售政策和信用政策，加大回款力度，通过对客户的回款情况进行分类，制定差异化的</w:t>
      </w:r>
      <w:r>
        <w:rPr>
          <w:spacing w:val="-66"/>
        </w:rPr>
        <w:t> </w:t>
      </w:r>
      <w:r>
        <w:rPr>
          <w:spacing w:val="-66"/>
        </w:rPr>
      </w:r>
      <w:r>
        <w:rPr/>
        <w:t>回款政策，降低坏账损失的风险。</w:t>
      </w:r>
    </w:p>
    <w:p>
      <w:pPr>
        <w:spacing w:line="345" w:lineRule="auto" w:before="33"/>
        <w:ind w:left="580" w:right="9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、未来期间利润率下降的风险</w:t>
      </w:r>
      <w:r>
        <w:rPr>
          <w:rFonts w:ascii="宋体" w:hAnsi="宋体" w:cs="宋体" w:eastAsia="宋体" w:hint="default"/>
          <w:b/>
          <w:bCs/>
          <w:w w:val="99"/>
          <w:sz w:val="18"/>
          <w:szCs w:val="18"/>
        </w:rPr>
        <w:t> </w:t>
      </w:r>
      <w:r>
        <w:rPr>
          <w:rFonts w:ascii="宋体" w:hAnsi="宋体" w:cs="宋体" w:eastAsia="宋体" w:hint="default"/>
          <w:sz w:val="18"/>
          <w:szCs w:val="18"/>
        </w:rPr>
        <w:t>随着近年来市场竞争加剧、产品供给增加、产品技术发展日趋成熟，产品的利润率将面临下降。公司将通过加强研发</w:t>
      </w:r>
    </w:p>
    <w:p>
      <w:pPr>
        <w:pStyle w:val="BodyText"/>
        <w:spacing w:line="364" w:lineRule="auto"/>
        <w:ind w:right="193"/>
        <w:jc w:val="both"/>
      </w:pPr>
      <w:r>
        <w:rPr>
          <w:spacing w:val="-2"/>
        </w:rPr>
        <w:t>提高产品竞争力，依靠核心部件自主供应等手段，提升产品和服务整体竞争实力。另一方面，逐步优化产品结构，着重推广</w:t>
      </w:r>
      <w:r>
        <w:rPr>
          <w:spacing w:val="-66"/>
        </w:rPr>
        <w:t> </w:t>
      </w:r>
      <w:r>
        <w:rPr>
          <w:spacing w:val="-66"/>
        </w:rPr>
      </w:r>
      <w:r>
        <w:rPr/>
        <w:t>毛利率较高的产品，使毛利率能够保持在比较稳定的水平。</w:t>
      </w:r>
    </w:p>
    <w:p>
      <w:pPr>
        <w:pStyle w:val="BodyText"/>
        <w:spacing w:line="345" w:lineRule="auto" w:before="29"/>
        <w:ind w:left="580" w:right="99" w:firstLine="78"/>
        <w:jc w:val="left"/>
      </w:pPr>
      <w:r>
        <w:rPr>
          <w:rFonts w:ascii="Times New Roman" w:hAnsi="Times New Roman" w:cs="Times New Roman" w:eastAsia="Times New Roman" w:hint="default"/>
          <w:b/>
          <w:bCs/>
        </w:rPr>
        <w:t>4</w:t>
      </w:r>
      <w:r>
        <w:rPr>
          <w:rFonts w:ascii="宋体" w:hAnsi="宋体" w:cs="宋体" w:eastAsia="宋体" w:hint="default"/>
          <w:b/>
          <w:bCs/>
        </w:rPr>
        <w:t>、管理风险</w:t>
      </w:r>
      <w:r>
        <w:rPr>
          <w:rFonts w:ascii="宋体" w:hAnsi="宋体" w:cs="宋体" w:eastAsia="宋体" w:hint="default"/>
          <w:b/>
          <w:bCs/>
          <w:w w:val="99"/>
        </w:rPr>
        <w:t> </w:t>
      </w:r>
      <w:r>
        <w:rPr/>
        <w:t>公司上市后，随着募投项目实施和收购的开展，公司的管理跨度越来越大，这对公司管理层的管理与协调能力，以及</w:t>
      </w:r>
    </w:p>
    <w:p>
      <w:pPr>
        <w:pStyle w:val="BodyText"/>
        <w:spacing w:line="364" w:lineRule="auto"/>
        <w:ind w:right="191"/>
        <w:jc w:val="both"/>
      </w:pPr>
      <w:r>
        <w:rPr>
          <w:spacing w:val="-2"/>
        </w:rPr>
        <w:t>公司在文化融合、资源整合、技术开发、市场开拓等方面的能力提出了更高的要求。若公司的组织结构、管理模式和人才发</w:t>
      </w:r>
      <w:r>
        <w:rPr>
          <w:spacing w:val="-66"/>
        </w:rPr>
        <w:t> </w:t>
      </w:r>
      <w:r>
        <w:rPr>
          <w:spacing w:val="-66"/>
        </w:rPr>
      </w:r>
      <w:r>
        <w:rPr>
          <w:spacing w:val="-2"/>
        </w:rPr>
        <w:t>展等不能跟上公司内外部环境的变化并及时进行调整、完善，将给公司未来的经营和发展带来一定的影响。对此，公司不断</w:t>
      </w:r>
      <w:r>
        <w:rPr>
          <w:spacing w:val="-66"/>
        </w:rPr>
        <w:t> </w:t>
      </w:r>
      <w:r>
        <w:rPr>
          <w:spacing w:val="-66"/>
        </w:rPr>
      </w:r>
      <w:r>
        <w:rPr>
          <w:spacing w:val="-2"/>
        </w:rPr>
        <w:t>完善治理结构、规范公司运作体系、加强人才队伍建设和管理制度建设，并不断完善薪酬体系、激励机制等吸引优秀人才的</w:t>
      </w:r>
      <w:r>
        <w:rPr>
          <w:spacing w:val="-66"/>
        </w:rPr>
        <w:t> </w:t>
      </w:r>
      <w:r>
        <w:rPr>
          <w:spacing w:val="-66"/>
        </w:rPr>
      </w:r>
      <w:r>
        <w:rPr/>
        <w:t>加入，避免或减少人才的流失。</w:t>
      </w:r>
    </w:p>
    <w:p>
      <w:pPr>
        <w:spacing w:line="345" w:lineRule="auto" w:before="29"/>
        <w:ind w:left="578" w:right="99"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、招投标方式等发生变化的风险及应对措施</w:t>
      </w:r>
      <w:r>
        <w:rPr>
          <w:rFonts w:ascii="宋体" w:hAnsi="宋体" w:cs="宋体" w:eastAsia="宋体" w:hint="default"/>
          <w:b/>
          <w:bCs/>
          <w:w w:val="99"/>
          <w:sz w:val="18"/>
          <w:szCs w:val="18"/>
        </w:rPr>
        <w:t> </w:t>
      </w:r>
      <w:r>
        <w:rPr>
          <w:rFonts w:ascii="宋体" w:hAnsi="宋体" w:cs="宋体" w:eastAsia="宋体" w:hint="default"/>
          <w:sz w:val="18"/>
          <w:szCs w:val="18"/>
        </w:rPr>
        <w:t>公司目前主要采用招投标方式参与市场竞争，如与国家电网公司及各省网公司的销售订单全部通过投标形式取得，因</w:t>
      </w:r>
    </w:p>
    <w:p>
      <w:pPr>
        <w:pStyle w:val="BodyText"/>
        <w:spacing w:line="364" w:lineRule="auto"/>
        <w:ind w:right="190"/>
        <w:jc w:val="both"/>
      </w:pPr>
      <w:r>
        <w:rPr>
          <w:spacing w:val="-2"/>
        </w:rPr>
        <w:t>此，客户的招投标方式、程序及相关法律法规、政策发生变化较多，将造成公司参与市场竞争较为被动。为此，公司将通过</w:t>
      </w:r>
      <w:r>
        <w:rPr>
          <w:spacing w:val="-68"/>
        </w:rPr>
        <w:t> </w:t>
      </w:r>
      <w:r>
        <w:rPr>
          <w:spacing w:val="-68"/>
        </w:rPr>
      </w:r>
      <w:r>
        <w:rPr/>
        <w:t>密切关注国家及相关客户招标有关政策的变化，积极制定相应的销售策略，满足客户招标方面的各项标准。</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《金冠电气：</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p>
          <w:p>
            <w:pPr>
              <w:pStyle w:val="TableParagraph"/>
              <w:spacing w:line="302" w:lineRule="auto" w:before="61"/>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 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bl>
    <w:p>
      <w:pPr>
        <w:spacing w:after="0" w:line="302" w:lineRule="auto"/>
        <w:jc w:val="lef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604"/>
        <w:jc w:val="center"/>
        <w:rPr>
          <w:b w:val="0"/>
          <w:bCs w:val="0"/>
        </w:rPr>
      </w:pPr>
      <w:bookmarkStart w:name="_TOC_250007" w:id="60"/>
      <w:bookmarkStart w:name="第五节 重要事项" w:id="61"/>
      <w:r>
        <w:rPr>
          <w:b w:val="0"/>
          <w:bCs w:val="0"/>
        </w:rPr>
      </w:r>
      <w:r>
        <w:rPr/>
        <w:t>第五节</w:t>
      </w:r>
      <w:r>
        <w:rPr>
          <w:spacing w:val="-5"/>
        </w:rPr>
        <w:t> </w:t>
      </w:r>
      <w:r>
        <w:rPr/>
        <w:t>重要事项</w:t>
      </w:r>
      <w:bookmarkEnd w:id="6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报告期内普通股利润分配政策，特别是现金分红政策的制定、执行或调整情况</w:t>
      </w:r>
    </w:p>
    <w:p>
      <w:pPr>
        <w:pStyle w:val="BodyText"/>
        <w:spacing w:line="338" w:lineRule="auto" w:before="117"/>
        <w:ind w:left="514" w:right="689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报告期内，利润分配政策无调整</w:t>
      </w:r>
    </w:p>
    <w:p>
      <w:pPr>
        <w:pStyle w:val="BodyText"/>
        <w:spacing w:line="345" w:lineRule="auto" w:before="64"/>
        <w:ind w:right="15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2016</w:t>
      </w:r>
      <w:r>
        <w:rPr/>
        <w:t>年度股东大会审议通过《关于公司</w:t>
      </w:r>
      <w:r>
        <w:rPr>
          <w:rFonts w:ascii="Times New Roman" w:hAnsi="Times New Roman" w:cs="Times New Roman" w:eastAsia="Times New Roman" w:hint="default"/>
        </w:rPr>
        <w:t>2016</w:t>
      </w:r>
      <w:r>
        <w:rPr/>
        <w:t>年度利润分配预案的议案》，即以</w:t>
      </w:r>
      <w:r>
        <w:rPr>
          <w:rFonts w:ascii="Times New Roman" w:hAnsi="Times New Roman" w:cs="Times New Roman" w:eastAsia="Times New Roman" w:hint="default"/>
        </w:rPr>
        <w:t>2016</w:t>
      </w:r>
      <w:r>
        <w:rPr/>
        <w:t>年末总股 本</w:t>
      </w:r>
      <w:r>
        <w:rPr>
          <w:rFonts w:ascii="Times New Roman" w:hAnsi="Times New Roman" w:cs="Times New Roman" w:eastAsia="Times New Roman" w:hint="default"/>
        </w:rPr>
        <w:t>173,842,000</w:t>
      </w:r>
      <w:r>
        <w:rPr/>
        <w:t>股为基数，用可供股东分配的利润向全体股东每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0.60</w:t>
      </w:r>
      <w:r>
        <w:rPr/>
        <w:t>元（含税），合计派发股利</w:t>
      </w:r>
      <w:r>
        <w:rPr>
          <w:rFonts w:ascii="Times New Roman" w:hAnsi="Times New Roman" w:cs="Times New Roman" w:eastAsia="Times New Roman" w:hint="default"/>
        </w:rPr>
        <w:t>10,430,520 </w:t>
      </w:r>
      <w:r>
        <w:rPr>
          <w:spacing w:val="-1"/>
        </w:rPr>
        <w:t>元（含税）。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6</w:t>
      </w:r>
      <w:r>
        <w:rPr>
          <w:spacing w:val="-1"/>
        </w:rPr>
        <w:t>日，公司披露了《</w:t>
      </w:r>
      <w:r>
        <w:rPr>
          <w:rFonts w:ascii="Times New Roman" w:hAnsi="Times New Roman" w:cs="Times New Roman" w:eastAsia="Times New Roman" w:hint="default"/>
          <w:spacing w:val="-1"/>
        </w:rPr>
        <w:t>2016</w:t>
      </w:r>
      <w:r>
        <w:rPr>
          <w:spacing w:val="-1"/>
        </w:rPr>
        <w:t>年年度权益分派实施公告》（公告编号：</w:t>
      </w:r>
      <w:r>
        <w:rPr>
          <w:rFonts w:ascii="Times New Roman" w:hAnsi="Times New Roman" w:cs="Times New Roman" w:eastAsia="Times New Roman" w:hint="default"/>
          <w:spacing w:val="-1"/>
        </w:rPr>
        <w:t>2017-039</w:t>
      </w:r>
      <w:r>
        <w:rPr>
          <w:spacing w:val="-1"/>
        </w:rPr>
        <w:t>），本次权益分派股权登</w:t>
      </w:r>
      <w:r>
        <w:rPr>
          <w:spacing w:val="-82"/>
        </w:rPr>
        <w:t> </w:t>
      </w:r>
      <w:r>
        <w:rPr>
          <w:spacing w:val="-82"/>
        </w:rPr>
      </w:r>
      <w:r>
        <w:rPr/>
        <w:t>记日为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日，除权除息日为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日。截至报告期末，公司已完成</w:t>
      </w:r>
      <w:r>
        <w:rPr>
          <w:rFonts w:ascii="Times New Roman" w:hAnsi="Times New Roman" w:cs="Times New Roman" w:eastAsia="Times New Roman" w:hint="default"/>
        </w:rPr>
        <w:t>2016</w:t>
      </w:r>
      <w:r>
        <w:rPr/>
        <w:t>年权益分派的实施工作。</w:t>
      </w:r>
    </w:p>
    <w:p>
      <w:pPr>
        <w:spacing w:line="240" w:lineRule="auto" w:before="2"/>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公司报告期利润分配预案及资本公积金转增股本预案与公司章程和分红管理办法等的相关规定一致</w:t>
      </w:r>
    </w:p>
    <w:p>
      <w:pPr>
        <w:pStyle w:val="BodyText"/>
        <w:spacing w:line="348" w:lineRule="auto" w:before="117"/>
        <w:ind w:right="32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262,262,574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r>
              <w:rPr>
                <w:rFonts w:ascii="宋体" w:hAnsi="宋体" w:cs="宋体" w:eastAsia="宋体" w:hint="default"/>
                <w:spacing w:val="-13"/>
                <w:sz w:val="18"/>
                <w:szCs w:val="18"/>
              </w:rPr>
              <w:t>，</w:t>
            </w:r>
            <w:r>
              <w:rPr>
                <w:rFonts w:ascii="宋体" w:hAnsi="宋体" w:cs="宋体" w:eastAsia="宋体" w:hint="default"/>
                <w:sz w:val="18"/>
                <w:szCs w:val="18"/>
              </w:rPr>
              <w:t>公司召开第四届董事会第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次会议</w:t>
            </w:r>
            <w:r>
              <w:rPr>
                <w:rFonts w:ascii="Times New Roman" w:hAnsi="Times New Roman" w:cs="Times New Roman" w:eastAsia="Times New Roman" w:hint="default"/>
                <w:sz w:val="18"/>
                <w:szCs w:val="18"/>
              </w:rPr>
              <w:t>,</w:t>
            </w:r>
            <w:r>
              <w:rPr>
                <w:rFonts w:ascii="宋体" w:hAnsi="宋体" w:cs="宋体" w:eastAsia="宋体" w:hint="default"/>
                <w:sz w:val="18"/>
                <w:szCs w:val="18"/>
              </w:rPr>
              <w:t>审议通</w:t>
            </w:r>
            <w:r>
              <w:rPr>
                <w:rFonts w:ascii="宋体" w:hAnsi="宋体" w:cs="宋体" w:eastAsia="宋体" w:hint="default"/>
                <w:spacing w:val="-13"/>
                <w:sz w:val="18"/>
                <w:szCs w:val="18"/>
              </w:rPr>
              <w:t>过</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年利润分配方案</w:t>
            </w:r>
            <w:r>
              <w:rPr>
                <w:rFonts w:ascii="宋体" w:hAnsi="宋体" w:cs="宋体" w:eastAsia="宋体" w:hint="default"/>
                <w:spacing w:val="-90"/>
                <w:sz w:val="18"/>
                <w:szCs w:val="18"/>
              </w:rPr>
              <w:t>》</w:t>
            </w:r>
            <w:r>
              <w:rPr>
                <w:rFonts w:ascii="宋体" w:hAnsi="宋体" w:cs="宋体" w:eastAsia="宋体" w:hint="default"/>
                <w:spacing w:val="-13"/>
                <w:sz w:val="18"/>
                <w:szCs w:val="18"/>
              </w:rPr>
              <w:t>，据</w:t>
            </w:r>
            <w:r>
              <w:rPr>
                <w:rFonts w:ascii="宋体" w:hAnsi="宋体" w:cs="宋体" w:eastAsia="宋体" w:hint="default"/>
                <w:sz w:val="18"/>
                <w:szCs w:val="18"/>
              </w:rPr>
              <w:t>《公司章程</w:t>
            </w:r>
            <w:r>
              <w:rPr>
                <w:rFonts w:ascii="宋体" w:hAnsi="宋体" w:cs="宋体" w:eastAsia="宋体" w:hint="default"/>
                <w:spacing w:val="-13"/>
                <w:sz w:val="18"/>
                <w:szCs w:val="18"/>
              </w:rPr>
              <w:t>》</w:t>
            </w:r>
            <w:r>
              <w:rPr>
                <w:rFonts w:ascii="宋体" w:hAnsi="宋体" w:cs="宋体" w:eastAsia="宋体" w:hint="default"/>
                <w:sz w:val="18"/>
                <w:szCs w:val="18"/>
              </w:rPr>
              <w:t>规定</w:t>
            </w:r>
            <w:r>
              <w:rPr>
                <w:rFonts w:ascii="宋体" w:hAnsi="宋体" w:cs="宋体" w:eastAsia="宋体" w:hint="default"/>
                <w:spacing w:val="-13"/>
                <w:sz w:val="18"/>
                <w:szCs w:val="18"/>
              </w:rPr>
              <w:t>，</w:t>
            </w:r>
            <w:r>
              <w:rPr>
                <w:rFonts w:ascii="宋体" w:hAnsi="宋体" w:cs="宋体" w:eastAsia="宋体" w:hint="default"/>
                <w:sz w:val="18"/>
                <w:szCs w:val="18"/>
              </w:rPr>
              <w:t>在公司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2"/>
        <w:rPr>
          <w:rFonts w:ascii="宋体" w:hAnsi="宋体" w:cs="宋体" w:eastAsia="宋体" w:hint="default"/>
          <w:sz w:val="28"/>
          <w:szCs w:val="28"/>
        </w:rPr>
      </w:pPr>
    </w:p>
    <w:p>
      <w:pPr>
        <w:spacing w:line="5686" w:lineRule="exact"/>
        <w:ind w:left="149" w:right="0" w:firstLine="0"/>
        <w:rPr>
          <w:rFonts w:ascii="宋体" w:hAnsi="宋体" w:cs="宋体" w:eastAsia="宋体" w:hint="default"/>
          <w:sz w:val="20"/>
          <w:szCs w:val="20"/>
        </w:rPr>
      </w:pPr>
      <w:r>
        <w:rPr>
          <w:rFonts w:ascii="宋体" w:hAnsi="宋体" w:cs="宋体" w:eastAsia="宋体" w:hint="default"/>
          <w:position w:val="-113"/>
          <w:sz w:val="20"/>
          <w:szCs w:val="20"/>
        </w:rPr>
        <w:pict>
          <v:group style="width:481.7pt;height:284.3pt;mso-position-horizontal-relative:char;mso-position-vertical-relative:line" coordorigin="0,0" coordsize="9634,5686">
            <v:group style="position:absolute;left:10;top:10;width:9560;height:2" coordorigin="10,10" coordsize="9560,2">
              <v:shape style="position:absolute;left:10;top:10;width:9560;height:2" coordorigin="10,10" coordsize="9560,0" path="m10,10l9569,10e" filled="false" stroked="true" strokeweight=".48pt" strokecolor="#000000">
                <v:path arrowok="t"/>
              </v:shape>
            </v:group>
            <v:group style="position:absolute;left:5;top:5;width:2;height:5677" coordorigin="5,5" coordsize="2,5677">
              <v:shape style="position:absolute;left:5;top:5;width:2;height:5677" coordorigin="5,5" coordsize="0,5677" path="m5,5l5,5681e" filled="false" stroked="true" strokeweight=".48pt" strokecolor="#000000">
                <v:path arrowok="t"/>
              </v:shape>
            </v:group>
            <v:group style="position:absolute;left:10;top:5676;width:9560;height:2" coordorigin="10,5676" coordsize="9560,2">
              <v:shape style="position:absolute;left:10;top:5676;width:9560;height:2" coordorigin="10,5676" coordsize="9560,0" path="m10,5676l9569,5676e" filled="false" stroked="true" strokeweight=".47998pt" strokecolor="#000000">
                <v:path arrowok="t"/>
              </v:shape>
            </v:group>
            <v:group style="position:absolute;left:9574;top:5;width:2;height:5677" coordorigin="9574,5" coordsize="2,5677">
              <v:shape style="position:absolute;left:9574;top:5;width:2;height:5677" coordorigin="9574,5" coordsize="0,5677" path="m9574,5l9574,5681e" filled="false" stroked="true" strokeweight=".48004pt" strokecolor="#000000">
                <v:path arrowok="t"/>
              </v:shape>
              <v:shape style="position:absolute;left:0;top:0;width:9634;height:5686" type="#_x0000_t202" filled="false" stroked="false">
                <v:textbox inset="0,0,0,0">
                  <w:txbxContent>
                    <w:p>
                      <w:pPr>
                        <w:spacing w:line="309" w:lineRule="auto" w:before="25"/>
                        <w:ind w:left="32" w:right="86" w:firstLine="0"/>
                        <w:jc w:val="both"/>
                        <w:rPr>
                          <w:rFonts w:ascii="宋体" w:hAnsi="宋体" w:cs="宋体" w:eastAsia="宋体" w:hint="default"/>
                          <w:sz w:val="18"/>
                          <w:szCs w:val="18"/>
                        </w:rPr>
                      </w:pPr>
                      <w:r>
                        <w:rPr>
                          <w:rFonts w:ascii="宋体" w:hAnsi="宋体" w:cs="宋体" w:eastAsia="宋体" w:hint="default"/>
                          <w:spacing w:val="-1"/>
                          <w:sz w:val="18"/>
                          <w:szCs w:val="18"/>
                        </w:rPr>
                        <w:t>当年盈利且累计未分配利润为正数且保证公司能够持续经营和长期发展的前提下，如公司无重大投资计划或重大现金支出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等事项发生，公司应当采取现金方式分配股利。前述重大资金支出事项包括：公司未来十二个月内拟对外投资、收购或购</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买资产累计支出达到或超过公司最近一次经审计净资产的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或资产总额的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。同时，公司在未来十二个月的预计对外</w:t>
                      </w:r>
                      <w:r>
                        <w:rPr>
                          <w:rFonts w:ascii="宋体" w:hAnsi="宋体" w:cs="宋体" w:eastAsia="宋体" w:hint="default"/>
                          <w:sz w:val="18"/>
                          <w:szCs w:val="18"/>
                        </w:rPr>
                        <w:t> </w:t>
                      </w:r>
                      <w:r>
                        <w:rPr>
                          <w:rFonts w:ascii="宋体" w:hAnsi="宋体" w:cs="宋体" w:eastAsia="宋体" w:hint="default"/>
                          <w:spacing w:val="-1"/>
                          <w:sz w:val="18"/>
                          <w:szCs w:val="18"/>
                        </w:rPr>
                        <w:t>投资支出包括预计支付收购辽源鸿图锂电隔膜科技股份有限公司（以下简称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鸿图隔膜</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，系公司全资子公司）的现金对价</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Times New Roman" w:hAnsi="Times New Roman" w:cs="Times New Roman" w:eastAsia="Times New Roman" w:hint="default"/>
                          <w:sz w:val="18"/>
                          <w:szCs w:val="18"/>
                        </w:rPr>
                        <w:t>41,450.12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万元、鸿图隔膜的在建项目预计投入不少于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万元、湖州金冠鸿图隔膜科技有限公司的在建项目投入预计</w:t>
                      </w:r>
                    </w:p>
                    <w:p>
                      <w:pPr>
                        <w:spacing w:line="307" w:lineRule="auto" w:before="5"/>
                        <w:ind w:left="32" w:right="0" w:firstLine="0"/>
                        <w:jc w:val="left"/>
                        <w:rPr>
                          <w:rFonts w:ascii="宋体" w:hAnsi="宋体" w:cs="宋体" w:eastAsia="宋体" w:hint="default"/>
                          <w:sz w:val="18"/>
                          <w:szCs w:val="18"/>
                        </w:rPr>
                      </w:pPr>
                      <w:r>
                        <w:rPr>
                          <w:rFonts w:ascii="宋体" w:hAnsi="宋体" w:cs="宋体" w:eastAsia="宋体" w:hint="default"/>
                          <w:sz w:val="18"/>
                          <w:szCs w:val="18"/>
                        </w:rPr>
                        <w:t>不少于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17,000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万元，前述对外投资支出不以本次非公开发行募集资金到位为前提。综上，公司未来十二个月的支出累计超 过公司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年度经审计资产总额的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，构成《公司章程》规定的重大资金支出。由于公司募集配套资金具有不确定性， 同时考虑到公司及子公司未来十二个月存在重大现金支出安排，公司需留存足够现金用于前述重大现金支出。另外，根据 中国证券监督管理委员会（以下简称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）《证券发行与承销管理办法》第十八条规定，上市公司发行证券，存</w:t>
                      </w:r>
                      <w:r>
                        <w:rPr>
                          <w:rFonts w:ascii="宋体" w:hAnsi="宋体" w:cs="宋体" w:eastAsia="宋体" w:hint="default"/>
                          <w:spacing w:val="-73"/>
                          <w:w w:val="100"/>
                          <w:sz w:val="18"/>
                          <w:szCs w:val="18"/>
                        </w:rPr>
                        <w:t> </w:t>
                      </w:r>
                      <w:r>
                        <w:rPr>
                          <w:rFonts w:ascii="宋体" w:hAnsi="宋体" w:cs="宋体" w:eastAsia="宋体" w:hint="default"/>
                          <w:spacing w:val="-73"/>
                          <w:w w:val="100"/>
                          <w:sz w:val="18"/>
                          <w:szCs w:val="18"/>
                        </w:rPr>
                      </w:r>
                      <w:r>
                        <w:rPr>
                          <w:rFonts w:ascii="宋体" w:hAnsi="宋体" w:cs="宋体" w:eastAsia="宋体" w:hint="default"/>
                          <w:sz w:val="18"/>
                          <w:szCs w:val="18"/>
                        </w:rPr>
                        <w:t>在利润分配方案、公积金转增股本方案尚未提交股东大会表决或者虽经股东大会表决通过但未实施的，应当在方案实施后</w:t>
                      </w:r>
                      <w:r>
                        <w:rPr>
                          <w:rFonts w:ascii="宋体" w:hAnsi="宋体" w:cs="宋体" w:eastAsia="宋体" w:hint="default"/>
                          <w:sz w:val="18"/>
                          <w:szCs w:val="18"/>
                        </w:rPr>
                        <w:t> 发行。鉴于公司发行股份购买资产并募集配套资金事项已于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月获得中国证监会核准批复，目前配套募集资金工</w:t>
                      </w:r>
                    </w:p>
                    <w:p>
                      <w:pPr>
                        <w:spacing w:line="312" w:lineRule="auto" w:before="7"/>
                        <w:ind w:left="32" w:right="87" w:firstLine="0"/>
                        <w:jc w:val="both"/>
                        <w:rPr>
                          <w:rFonts w:ascii="宋体" w:hAnsi="宋体" w:cs="宋体" w:eastAsia="宋体" w:hint="default"/>
                          <w:sz w:val="18"/>
                          <w:szCs w:val="18"/>
                        </w:rPr>
                      </w:pPr>
                      <w:r>
                        <w:rPr>
                          <w:rFonts w:ascii="宋体" w:hAnsi="宋体" w:cs="宋体" w:eastAsia="宋体" w:hint="default"/>
                          <w:sz w:val="18"/>
                          <w:szCs w:val="18"/>
                        </w:rPr>
                        <w:t>作尚未正式启动，如果公司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年度进行利润分配，需要在利润分配方案获得</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年度股东大会审议通过并实施后方可 </w:t>
                      </w:r>
                      <w:r>
                        <w:rPr>
                          <w:rFonts w:ascii="宋体" w:hAnsi="宋体" w:cs="宋体" w:eastAsia="宋体" w:hint="default"/>
                          <w:spacing w:val="-1"/>
                          <w:sz w:val="18"/>
                          <w:szCs w:val="18"/>
                        </w:rPr>
                        <w:t>再实施配套资金的募集工作，这将导致公司募集配套资金事项无法顺利实施，从而严重影响公司配套募集资金投资项目的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实施和公司的长远发展。综上，由于公司未来十二个月存在重大现金支出，且募集配套资金具有一定不确定性，因此公司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需留存足够现金用于该等未来的确定性支出；以及为加快推进公司募集配套资金事项的进程、保护公司投资者利益、把握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公司发展机遇，公司董事会提议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年度不进行利润分配，也不进行资本公积转增股本；同时提议在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年中期进行一 </w:t>
                      </w:r>
                      <w:r>
                        <w:rPr>
                          <w:rFonts w:ascii="宋体" w:hAnsi="宋体" w:cs="宋体" w:eastAsia="宋体" w:hint="default"/>
                          <w:spacing w:val="-1"/>
                          <w:sz w:val="18"/>
                          <w:szCs w:val="18"/>
                        </w:rPr>
                        <w:t>次利润分配。公司将严格按照相关法律法规和《公司章程》的规定，综合考虑与利润分配相关的各种因素，积极履行公司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的利润分配政策，与投资者共享公司发展的成果。</w:t>
                      </w:r>
                    </w:p>
                  </w:txbxContent>
                </v:textbox>
                <w10:wrap type="none"/>
              </v:shape>
            </v:group>
          </v:group>
        </w:pict>
      </w:r>
      <w:r>
        <w:rPr>
          <w:rFonts w:ascii="宋体" w:hAnsi="宋体" w:cs="宋体" w:eastAsia="宋体" w:hint="default"/>
          <w:position w:val="-113"/>
          <w:sz w:val="20"/>
          <w:szCs w:val="20"/>
        </w:rPr>
      </w:r>
    </w:p>
    <w:p>
      <w:pPr>
        <w:pStyle w:val="BodyText"/>
        <w:spacing w:line="319" w:lineRule="auto" w:before="46"/>
        <w:ind w:left="696" w:right="99" w:hanging="54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宋体" w:hAnsi="宋体" w:cs="宋体" w:eastAsia="宋体" w:hint="default"/>
          <w:b/>
          <w:bCs/>
        </w:rPr>
        <w:t>一、</w:t>
      </w:r>
      <w:r>
        <w:rPr>
          <w:rFonts w:ascii="Times New Roman" w:hAnsi="Times New Roman" w:cs="Times New Roman" w:eastAsia="Times New Roman" w:hint="default"/>
          <w:b/>
          <w:bCs/>
        </w:rPr>
        <w:t>2015</w:t>
      </w:r>
      <w:r>
        <w:rPr>
          <w:rFonts w:ascii="宋体" w:hAnsi="宋体" w:cs="宋体" w:eastAsia="宋体" w:hint="default"/>
          <w:b/>
          <w:bCs/>
        </w:rPr>
        <w:t>年利润分配方案：</w:t>
      </w:r>
      <w:r>
        <w:rPr>
          <w:rFonts w:ascii="宋体" w:hAnsi="宋体" w:cs="宋体" w:eastAsia="宋体" w:hint="default"/>
          <w:b/>
          <w:bCs/>
          <w:w w:val="99"/>
        </w:rPr>
        <w:t>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日，公司召开第四届董事会第</w:t>
      </w:r>
      <w:r>
        <w:rPr>
          <w:rFonts w:ascii="Times New Roman" w:hAnsi="Times New Roman" w:cs="Times New Roman" w:eastAsia="Times New Roman" w:hint="default"/>
          <w:spacing w:val="-2"/>
        </w:rPr>
        <w:t>3</w:t>
      </w:r>
      <w:r>
        <w:rPr>
          <w:spacing w:val="-2"/>
        </w:rPr>
        <w:t>次会议，审议通过《</w:t>
      </w:r>
      <w:r>
        <w:rPr>
          <w:rFonts w:ascii="Times New Roman" w:hAnsi="Times New Roman" w:cs="Times New Roman" w:eastAsia="Times New Roman" w:hint="default"/>
          <w:spacing w:val="-2"/>
        </w:rPr>
        <w:t>2015</w:t>
      </w:r>
      <w:r>
        <w:rPr>
          <w:spacing w:val="-2"/>
        </w:rPr>
        <w:t>年度利润分配方案》，经天健会计师事务所（特</w:t>
      </w:r>
    </w:p>
    <w:p>
      <w:pPr>
        <w:pStyle w:val="BodyText"/>
        <w:spacing w:line="300" w:lineRule="auto" w:before="0"/>
        <w:ind w:right="99"/>
        <w:jc w:val="left"/>
      </w:pPr>
      <w:r>
        <w:rPr/>
        <w:t>殊普通合伙）审计：</w:t>
      </w:r>
      <w:r>
        <w:rPr>
          <w:rFonts w:ascii="Times New Roman" w:hAnsi="Times New Roman" w:cs="Times New Roman" w:eastAsia="Times New Roman" w:hint="default"/>
        </w:rPr>
        <w:t>2015</w:t>
      </w:r>
      <w:r>
        <w:rPr/>
        <w:t>年度母公司实现净利润</w:t>
      </w:r>
      <w:r>
        <w:rPr>
          <w:rFonts w:ascii="Times New Roman" w:hAnsi="Times New Roman" w:cs="Times New Roman" w:eastAsia="Times New Roman" w:hint="default"/>
        </w:rPr>
        <w:t>46,783,506.47</w:t>
      </w:r>
      <w:r>
        <w:rPr/>
        <w:t>元。根据公司章程规定，从母公司</w:t>
      </w:r>
      <w:r>
        <w:rPr>
          <w:rFonts w:ascii="Times New Roman" w:hAnsi="Times New Roman" w:cs="Times New Roman" w:eastAsia="Times New Roman" w:hint="default"/>
        </w:rPr>
        <w:t>2015</w:t>
      </w:r>
      <w:r>
        <w:rPr/>
        <w:t>年实现的净利润中提取 法定公积金</w:t>
      </w:r>
      <w:r>
        <w:rPr>
          <w:rFonts w:ascii="Times New Roman" w:hAnsi="Times New Roman" w:cs="Times New Roman" w:eastAsia="Times New Roman" w:hint="default"/>
        </w:rPr>
        <w:t>4,678,350.65</w:t>
      </w:r>
      <w:r>
        <w:rPr/>
        <w:t>元，加上以前年度未分配利润</w:t>
      </w:r>
      <w:r>
        <w:rPr>
          <w:rFonts w:ascii="Times New Roman" w:hAnsi="Times New Roman" w:cs="Times New Roman" w:eastAsia="Times New Roman" w:hint="default"/>
        </w:rPr>
        <w:t>131,929,699.69</w:t>
      </w:r>
      <w:r>
        <w:rPr>
          <w:rFonts w:ascii="Times New Roman" w:hAnsi="Times New Roman" w:cs="Times New Roman" w:eastAsia="Times New Roman" w:hint="default"/>
          <w:spacing w:val="23"/>
        </w:rPr>
        <w:t> </w:t>
      </w:r>
      <w:r>
        <w:rPr/>
        <w:t>元，减本年度已分配现金股利</w:t>
      </w:r>
      <w:r>
        <w:rPr>
          <w:rFonts w:ascii="Times New Roman" w:hAnsi="Times New Roman" w:cs="Times New Roman" w:eastAsia="Times New Roman" w:hint="default"/>
        </w:rPr>
        <w:t>4,679,560.62</w:t>
      </w:r>
      <w:r>
        <w:rPr/>
        <w:t>元，本次实 际可供股东分配的利润为</w:t>
      </w:r>
      <w:r>
        <w:rPr>
          <w:rFonts w:ascii="Times New Roman" w:hAnsi="Times New Roman" w:cs="Times New Roman" w:eastAsia="Times New Roman" w:hint="default"/>
        </w:rPr>
        <w:t>169,355,294.89</w:t>
      </w:r>
      <w:r>
        <w:rPr/>
        <w:t>元。</w:t>
      </w:r>
      <w:r>
        <w:rPr>
          <w:spacing w:val="-21"/>
        </w:rPr>
        <w:t> </w:t>
      </w:r>
      <w:r>
        <w:rPr/>
        <w:t>公司拟以</w:t>
      </w:r>
      <w:r>
        <w:rPr>
          <w:rFonts w:ascii="Times New Roman" w:hAnsi="Times New Roman" w:cs="Times New Roman" w:eastAsia="Times New Roman" w:hint="default"/>
        </w:rPr>
        <w:t>2015</w:t>
      </w:r>
      <w:r>
        <w:rPr/>
        <w:t>年末总股本</w:t>
      </w:r>
      <w:r>
        <w:rPr>
          <w:rFonts w:ascii="Times New Roman" w:hAnsi="Times New Roman" w:cs="Times New Roman" w:eastAsia="Times New Roman" w:hint="default"/>
        </w:rPr>
        <w:t>65,121,000</w:t>
      </w:r>
      <w:r>
        <w:rPr/>
        <w:t>股为基数，用可供股东分配的利润向全体 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1.60</w:t>
      </w:r>
      <w:r>
        <w:rPr/>
        <w:t>元（含税），合计派发股利</w:t>
      </w:r>
      <w:r>
        <w:rPr>
          <w:rFonts w:ascii="Times New Roman" w:hAnsi="Times New Roman" w:cs="Times New Roman" w:eastAsia="Times New Roman" w:hint="default"/>
        </w:rPr>
        <w:t>10,419,360</w:t>
      </w:r>
      <w:r>
        <w:rPr/>
        <w:t>元，剩余部分</w:t>
      </w:r>
      <w:r>
        <w:rPr>
          <w:rFonts w:ascii="Times New Roman" w:hAnsi="Times New Roman" w:cs="Times New Roman" w:eastAsia="Times New Roman" w:hint="default"/>
        </w:rPr>
        <w:t>158,935,934.89</w:t>
      </w:r>
      <w:r>
        <w:rPr/>
        <w:t>元转入</w:t>
      </w:r>
      <w:r>
        <w:rPr>
          <w:rFonts w:ascii="Times New Roman" w:hAnsi="Times New Roman" w:cs="Times New Roman" w:eastAsia="Times New Roman" w:hint="default"/>
        </w:rPr>
        <w:t>2015</w:t>
      </w:r>
      <w:r>
        <w:rPr/>
        <w:t>年未分配利润。 </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19</w:t>
      </w:r>
      <w:r>
        <w:rPr>
          <w:spacing w:val="-3"/>
        </w:rPr>
        <w:t>日，公司召开</w:t>
      </w:r>
      <w:r>
        <w:rPr>
          <w:rFonts w:ascii="Times New Roman" w:hAnsi="Times New Roman" w:cs="Times New Roman" w:eastAsia="Times New Roman" w:hint="default"/>
          <w:spacing w:val="-3"/>
        </w:rPr>
        <w:t>2015</w:t>
      </w:r>
      <w:r>
        <w:rPr>
          <w:spacing w:val="-3"/>
        </w:rPr>
        <w:t>年年度股东大会审议通过《</w:t>
      </w:r>
      <w:r>
        <w:rPr>
          <w:rFonts w:ascii="Times New Roman" w:hAnsi="Times New Roman" w:cs="Times New Roman" w:eastAsia="Times New Roman" w:hint="default"/>
          <w:spacing w:val="-3"/>
        </w:rPr>
        <w:t>2015</w:t>
      </w:r>
      <w:r>
        <w:rPr>
          <w:spacing w:val="-3"/>
        </w:rPr>
        <w:t>年度利润分配方案》，以</w:t>
      </w:r>
      <w:r>
        <w:rPr>
          <w:rFonts w:ascii="Times New Roman" w:hAnsi="Times New Roman" w:cs="Times New Roman" w:eastAsia="Times New Roman" w:hint="default"/>
          <w:spacing w:val="-3"/>
        </w:rPr>
        <w:t>2015</w:t>
      </w:r>
      <w:r>
        <w:rPr>
          <w:spacing w:val="-3"/>
        </w:rPr>
        <w:t>年末总股本</w:t>
      </w:r>
      <w:r>
        <w:rPr>
          <w:rFonts w:ascii="Times New Roman" w:hAnsi="Times New Roman" w:cs="Times New Roman" w:eastAsia="Times New Roman" w:hint="default"/>
          <w:spacing w:val="-3"/>
        </w:rPr>
        <w:t>65,121,000</w:t>
      </w:r>
      <w:r>
        <w:rPr>
          <w:spacing w:val="-3"/>
        </w:rPr>
        <w:t>股为基数，</w:t>
      </w:r>
      <w:r>
        <w:rPr>
          <w:spacing w:val="-58"/>
        </w:rPr>
        <w:t> </w:t>
      </w:r>
      <w:r>
        <w:rPr>
          <w:spacing w:val="-58"/>
        </w:rPr>
      </w:r>
      <w:r>
        <w:rPr/>
        <w:t>用可供股东分配的利润向全体股东每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1.60</w:t>
      </w:r>
      <w:r>
        <w:rPr/>
        <w:t>元（含税），已于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日实施完毕。</w:t>
      </w:r>
    </w:p>
    <w:p>
      <w:pPr>
        <w:pStyle w:val="Heading6"/>
        <w:spacing w:line="240" w:lineRule="auto" w:before="53"/>
        <w:ind w:left="694" w:right="6752"/>
        <w:jc w:val="left"/>
        <w:rPr>
          <w:b w:val="0"/>
          <w:bCs w:val="0"/>
        </w:rPr>
      </w:pPr>
      <w:r>
        <w:rPr/>
        <w:t>二、</w:t>
      </w:r>
      <w:r>
        <w:rPr>
          <w:rFonts w:ascii="Times New Roman" w:hAnsi="Times New Roman" w:cs="Times New Roman" w:eastAsia="Times New Roman" w:hint="default"/>
        </w:rPr>
        <w:t>2016</w:t>
      </w:r>
      <w:r>
        <w:rPr/>
        <w:t>年利润分配方案：</w:t>
      </w:r>
      <w:r>
        <w:rPr>
          <w:b w:val="0"/>
          <w:bCs w:val="0"/>
        </w:rPr>
      </w:r>
    </w:p>
    <w:p>
      <w:pPr>
        <w:pStyle w:val="BodyText"/>
        <w:spacing w:line="300" w:lineRule="auto" w:before="101"/>
        <w:ind w:right="190" w:firstLine="434"/>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日，公司召开第四届董事会第</w:t>
      </w:r>
      <w:r>
        <w:rPr>
          <w:rFonts w:ascii="Times New Roman" w:hAnsi="Times New Roman" w:cs="Times New Roman" w:eastAsia="Times New Roman" w:hint="default"/>
          <w:spacing w:val="-2"/>
        </w:rPr>
        <w:t>5</w:t>
      </w:r>
      <w:r>
        <w:rPr>
          <w:spacing w:val="-2"/>
        </w:rPr>
        <w:t>次会议，审议通过《关于公司</w:t>
      </w:r>
      <w:r>
        <w:rPr>
          <w:rFonts w:ascii="Times New Roman" w:hAnsi="Times New Roman" w:cs="Times New Roman" w:eastAsia="Times New Roman" w:hint="default"/>
          <w:spacing w:val="-2"/>
        </w:rPr>
        <w:t>2016</w:t>
      </w:r>
      <w:r>
        <w:rPr>
          <w:spacing w:val="-2"/>
        </w:rPr>
        <w:t>年半年度利润分配及公积金转增股本</w:t>
      </w:r>
      <w:r>
        <w:rPr/>
        <w:t> </w:t>
      </w:r>
      <w:r>
        <w:rPr>
          <w:spacing w:val="-3"/>
        </w:rPr>
        <w:t>预案的议案》，拟以公司</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日总股本</w:t>
      </w:r>
      <w:r>
        <w:rPr>
          <w:rFonts w:ascii="Times New Roman" w:hAnsi="Times New Roman" w:cs="Times New Roman" w:eastAsia="Times New Roman" w:hint="default"/>
          <w:spacing w:val="-3"/>
        </w:rPr>
        <w:t>8,692.10</w:t>
      </w:r>
      <w:r>
        <w:rPr>
          <w:spacing w:val="-3"/>
        </w:rPr>
        <w:t>万股为基数，进行资本公积金转增股本，向全体股东每</w:t>
      </w:r>
      <w:r>
        <w:rPr>
          <w:spacing w:val="-4"/>
        </w:rPr>
        <w:t> </w:t>
      </w:r>
      <w:r>
        <w:rPr>
          <w:rFonts w:ascii="Times New Roman" w:hAnsi="Times New Roman" w:cs="Times New Roman" w:eastAsia="Times New Roman" w:hint="default"/>
        </w:rPr>
        <w:t>10</w:t>
      </w:r>
      <w:r>
        <w:rPr>
          <w:rFonts w:ascii="Times New Roman" w:hAnsi="Times New Roman" w:cs="Times New Roman" w:eastAsia="Times New Roman" w:hint="default"/>
          <w:spacing w:val="40"/>
        </w:rPr>
        <w:t> </w:t>
      </w:r>
      <w:r>
        <w:rPr/>
        <w:t>股转增</w:t>
      </w:r>
      <w:r>
        <w:rPr>
          <w:spacing w:val="-4"/>
        </w:rPr>
        <w:t> </w:t>
      </w:r>
      <w:r>
        <w:rPr>
          <w:rFonts w:ascii="Times New Roman" w:hAnsi="Times New Roman" w:cs="Times New Roman" w:eastAsia="Times New Roman" w:hint="default"/>
        </w:rPr>
        <w:t>10</w:t>
      </w:r>
      <w:r>
        <w:rPr>
          <w:rFonts w:ascii="Times New Roman" w:hAnsi="Times New Roman" w:cs="Times New Roman" w:eastAsia="Times New Roman" w:hint="default"/>
          <w:spacing w:val="-43"/>
        </w:rPr>
        <w:t> </w:t>
      </w:r>
      <w:r>
        <w:rPr/>
        <w:t>股，共计转增</w:t>
      </w:r>
      <w:r>
        <w:rPr>
          <w:rFonts w:ascii="Times New Roman" w:hAnsi="Times New Roman" w:cs="Times New Roman" w:eastAsia="Times New Roman" w:hint="default"/>
        </w:rPr>
        <w:t>8,692.10</w:t>
      </w:r>
      <w:r>
        <w:rPr/>
        <w:t>万股，转增后公司总股本将增加至</w:t>
      </w:r>
      <w:r>
        <w:rPr>
          <w:rFonts w:ascii="Times New Roman" w:hAnsi="Times New Roman" w:cs="Times New Roman" w:eastAsia="Times New Roman" w:hint="default"/>
        </w:rPr>
        <w:t>17,384.20</w:t>
      </w:r>
      <w:r>
        <w:rPr/>
        <w:t>万股。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日，公司召开</w:t>
      </w:r>
      <w:r>
        <w:rPr>
          <w:rFonts w:ascii="Times New Roman" w:hAnsi="Times New Roman" w:cs="Times New Roman" w:eastAsia="Times New Roman" w:hint="default"/>
        </w:rPr>
        <w:t>2016</w:t>
      </w:r>
      <w:r>
        <w:rPr/>
        <w:t>年第三次临时股东大 </w:t>
      </w:r>
      <w:r>
        <w:rPr>
          <w:spacing w:val="-2"/>
        </w:rPr>
        <w:t>会，审议通过《关于公司</w:t>
      </w:r>
      <w:r>
        <w:rPr>
          <w:rFonts w:ascii="Times New Roman" w:hAnsi="Times New Roman" w:cs="Times New Roman" w:eastAsia="Times New Roman" w:hint="default"/>
          <w:spacing w:val="-2"/>
        </w:rPr>
        <w:t>2016</w:t>
      </w:r>
      <w:r>
        <w:rPr>
          <w:spacing w:val="-2"/>
        </w:rPr>
        <w:t>年半年度利润分配及公积金转增股本预案的议案》，以公司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日总股本</w:t>
      </w:r>
      <w:r>
        <w:rPr>
          <w:rFonts w:ascii="Times New Roman" w:hAnsi="Times New Roman" w:cs="Times New Roman" w:eastAsia="Times New Roman" w:hint="default"/>
          <w:spacing w:val="-2"/>
        </w:rPr>
        <w:t>8,692.10</w:t>
      </w:r>
      <w:r>
        <w:rPr>
          <w:spacing w:val="-2"/>
        </w:rPr>
        <w:t>万股</w:t>
      </w:r>
      <w:r>
        <w:rPr>
          <w:spacing w:val="-47"/>
        </w:rPr>
        <w:t> </w:t>
      </w:r>
      <w:r>
        <w:rPr>
          <w:spacing w:val="-2"/>
        </w:rPr>
        <w:t>为基数，进行资本公积金转增股本，向全体股东每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7</w:t>
      </w:r>
      <w:r>
        <w:rPr>
          <w:spacing w:val="-2"/>
        </w:rPr>
        <w:t>日，公司披露了《</w:t>
      </w:r>
      <w:r>
        <w:rPr>
          <w:rFonts w:ascii="Times New Roman" w:hAnsi="Times New Roman" w:cs="Times New Roman" w:eastAsia="Times New Roman" w:hint="default"/>
          <w:spacing w:val="-2"/>
        </w:rPr>
        <w:t>2016</w:t>
      </w:r>
      <w:r>
        <w:rPr>
          <w:spacing w:val="-2"/>
        </w:rPr>
        <w:t>年半年度权益分派实施</w:t>
      </w:r>
      <w:r>
        <w:rPr>
          <w:spacing w:val="-52"/>
        </w:rPr>
        <w:t> </w:t>
      </w:r>
      <w:r>
        <w:rPr>
          <w:spacing w:val="-52"/>
        </w:rPr>
      </w:r>
      <w:r>
        <w:rPr/>
        <w:t>公告》（</w:t>
      </w:r>
      <w:r>
        <w:rPr>
          <w:rFonts w:ascii="Times New Roman" w:hAnsi="Times New Roman" w:cs="Times New Roman" w:eastAsia="Times New Roman" w:hint="default"/>
        </w:rPr>
        <w:t>2016-032</w:t>
      </w:r>
      <w:r>
        <w:rPr/>
        <w:t>），本次权益分派股权登记日为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日，除权除息日为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日实施 完毕。</w:t>
      </w:r>
    </w:p>
    <w:p>
      <w:pPr>
        <w:pStyle w:val="BodyText"/>
        <w:spacing w:line="300" w:lineRule="auto" w:before="71"/>
        <w:ind w:right="102" w:firstLine="43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日，公司召开第四届董事会第</w:t>
      </w:r>
      <w:r>
        <w:rPr>
          <w:rFonts w:ascii="Times New Roman" w:hAnsi="Times New Roman" w:cs="Times New Roman" w:eastAsia="Times New Roman" w:hint="default"/>
        </w:rPr>
        <w:t>11</w:t>
      </w:r>
      <w:r>
        <w:rPr/>
        <w:t>次会议，审议通过《关于公司</w:t>
      </w:r>
      <w:r>
        <w:rPr>
          <w:rFonts w:ascii="Times New Roman" w:hAnsi="Times New Roman" w:cs="Times New Roman" w:eastAsia="Times New Roman" w:hint="default"/>
        </w:rPr>
        <w:t>2016</w:t>
      </w:r>
      <w:r>
        <w:rPr/>
        <w:t>年度利润分配预案的议案》，经天 健会计师事务所（特殊普通合伙）审计：</w:t>
      </w:r>
      <w:r>
        <w:rPr>
          <w:rFonts w:ascii="Times New Roman" w:hAnsi="Times New Roman" w:cs="Times New Roman" w:eastAsia="Times New Roman" w:hint="default"/>
        </w:rPr>
        <w:t>2016</w:t>
      </w:r>
      <w:r>
        <w:rPr/>
        <w:t>年度母公司实现净利润</w:t>
      </w:r>
      <w:r>
        <w:rPr>
          <w:rFonts w:ascii="Times New Roman" w:hAnsi="Times New Roman" w:cs="Times New Roman" w:eastAsia="Times New Roman" w:hint="default"/>
        </w:rPr>
        <w:t>46,963,089.45</w:t>
      </w:r>
      <w:r>
        <w:rPr/>
        <w:t>元。根据公司章程规定，从母公司今年实 现的净利润中提取法定公积金</w:t>
      </w:r>
      <w:r>
        <w:rPr>
          <w:rFonts w:ascii="Times New Roman" w:hAnsi="Times New Roman" w:cs="Times New Roman" w:eastAsia="Times New Roman" w:hint="default"/>
        </w:rPr>
        <w:t>4,696,308.95</w:t>
      </w:r>
      <w:r>
        <w:rPr/>
        <w:t>元，加上以前年度未分配利润</w:t>
      </w:r>
      <w:r>
        <w:rPr>
          <w:rFonts w:ascii="Times New Roman" w:hAnsi="Times New Roman" w:cs="Times New Roman" w:eastAsia="Times New Roman" w:hint="default"/>
        </w:rPr>
        <w:t>169,355,294.89</w:t>
      </w:r>
      <w:r>
        <w:rPr>
          <w:rFonts w:ascii="Times New Roman" w:hAnsi="Times New Roman" w:cs="Times New Roman" w:eastAsia="Times New Roman" w:hint="default"/>
          <w:spacing w:val="28"/>
        </w:rPr>
        <w:t> </w:t>
      </w:r>
      <w:r>
        <w:rPr/>
        <w:t>元，减本年度已分配现金股利 </w:t>
      </w:r>
      <w:r>
        <w:rPr>
          <w:rFonts w:ascii="Times New Roman" w:hAnsi="Times New Roman" w:cs="Times New Roman" w:eastAsia="Times New Roman" w:hint="default"/>
        </w:rPr>
        <w:t>10,419,360</w:t>
      </w:r>
      <w:r>
        <w:rPr/>
        <w:t>元，本次实际可供股东分配的利润为</w:t>
      </w:r>
      <w:r>
        <w:rPr>
          <w:rFonts w:ascii="Times New Roman" w:hAnsi="Times New Roman" w:cs="Times New Roman" w:eastAsia="Times New Roman" w:hint="default"/>
        </w:rPr>
        <w:t>201,202,715.39</w:t>
      </w:r>
      <w:r>
        <w:rPr/>
        <w:t>元。</w:t>
      </w:r>
      <w:r>
        <w:rPr>
          <w:spacing w:val="-19"/>
        </w:rPr>
        <w:t> </w:t>
      </w:r>
      <w:r>
        <w:rPr/>
        <w:t>公司拟以</w:t>
      </w:r>
      <w:r>
        <w:rPr>
          <w:rFonts w:ascii="Times New Roman" w:hAnsi="Times New Roman" w:cs="Times New Roman" w:eastAsia="Times New Roman" w:hint="default"/>
        </w:rPr>
        <w:t>2016</w:t>
      </w:r>
      <w:r>
        <w:rPr/>
        <w:t>年末总股本</w:t>
      </w:r>
      <w:r>
        <w:rPr>
          <w:rFonts w:ascii="Times New Roman" w:hAnsi="Times New Roman" w:cs="Times New Roman" w:eastAsia="Times New Roman" w:hint="default"/>
        </w:rPr>
        <w:t>173,842,000</w:t>
      </w:r>
      <w:r>
        <w:rPr/>
        <w:t>股为基数，用可供 股东分配的利润向全体股东每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0.60</w:t>
      </w:r>
      <w:r>
        <w:rPr/>
        <w:t>元（含税），合计派发股利</w:t>
      </w:r>
      <w:r>
        <w:rPr>
          <w:rFonts w:ascii="Times New Roman" w:hAnsi="Times New Roman" w:cs="Times New Roman" w:eastAsia="Times New Roman" w:hint="default"/>
        </w:rPr>
        <w:t>10,430,520</w:t>
      </w:r>
      <w:r>
        <w:rPr/>
        <w:t>元，剩余部分</w:t>
      </w:r>
      <w:r>
        <w:rPr>
          <w:rFonts w:ascii="Times New Roman" w:hAnsi="Times New Roman" w:cs="Times New Roman" w:eastAsia="Times New Roman" w:hint="default"/>
        </w:rPr>
        <w:t>190,772,195.39</w:t>
      </w:r>
      <w:r>
        <w:rPr/>
        <w:t>元转 </w:t>
      </w:r>
      <w:r>
        <w:rPr>
          <w:spacing w:val="-5"/>
        </w:rPr>
        <w:t>入</w:t>
      </w:r>
      <w:r>
        <w:rPr>
          <w:rFonts w:ascii="Times New Roman" w:hAnsi="Times New Roman" w:cs="Times New Roman" w:eastAsia="Times New Roman" w:hint="default"/>
          <w:spacing w:val="-5"/>
        </w:rPr>
        <w:t>2016</w:t>
      </w:r>
      <w:r>
        <w:rPr>
          <w:spacing w:val="-5"/>
        </w:rPr>
        <w:t>年未分配利润。</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15</w:t>
      </w:r>
      <w:r>
        <w:rPr>
          <w:spacing w:val="-5"/>
        </w:rPr>
        <w:t>日，公司召开</w:t>
      </w:r>
      <w:r>
        <w:rPr>
          <w:rFonts w:ascii="Times New Roman" w:hAnsi="Times New Roman" w:cs="Times New Roman" w:eastAsia="Times New Roman" w:hint="default"/>
          <w:spacing w:val="-5"/>
        </w:rPr>
        <w:t>2016</w:t>
      </w:r>
      <w:r>
        <w:rPr>
          <w:spacing w:val="-5"/>
        </w:rPr>
        <w:t>年年度股东大会，审议通过《关于公司</w:t>
      </w:r>
      <w:r>
        <w:rPr>
          <w:rFonts w:ascii="Times New Roman" w:hAnsi="Times New Roman" w:cs="Times New Roman" w:eastAsia="Times New Roman" w:hint="default"/>
          <w:spacing w:val="-5"/>
        </w:rPr>
        <w:t>2016</w:t>
      </w:r>
      <w:r>
        <w:rPr>
          <w:spacing w:val="-5"/>
        </w:rPr>
        <w:t>年度利润分配预案的议案》，</w:t>
      </w:r>
      <w:r>
        <w:rPr>
          <w:spacing w:val="-29"/>
        </w:rPr>
        <w:t> </w:t>
      </w:r>
      <w:r>
        <w:rPr>
          <w:spacing w:val="-29"/>
        </w:rPr>
      </w:r>
      <w:r>
        <w:rPr/>
        <w:t>公司以</w:t>
      </w:r>
      <w:r>
        <w:rPr>
          <w:rFonts w:ascii="Times New Roman" w:hAnsi="Times New Roman" w:cs="Times New Roman" w:eastAsia="Times New Roman" w:hint="default"/>
        </w:rPr>
        <w:t>2016</w:t>
      </w:r>
      <w:r>
        <w:rPr/>
        <w:t>年末总股本</w:t>
      </w:r>
      <w:r>
        <w:rPr>
          <w:rFonts w:ascii="Times New Roman" w:hAnsi="Times New Roman" w:cs="Times New Roman" w:eastAsia="Times New Roman" w:hint="default"/>
        </w:rPr>
        <w:t>173,842,000</w:t>
      </w:r>
      <w:r>
        <w:rPr/>
        <w:t>股为基数，用可供股东分配的利润向全体股东每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0.60</w:t>
      </w:r>
      <w:r>
        <w:rPr/>
        <w:t>元（含税），合计 派发股利</w:t>
      </w:r>
      <w:r>
        <w:rPr>
          <w:rFonts w:ascii="Times New Roman" w:hAnsi="Times New Roman" w:cs="Times New Roman" w:eastAsia="Times New Roman" w:hint="default"/>
        </w:rPr>
        <w:t>10,430,520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日，公司披露了《</w:t>
      </w:r>
      <w:r>
        <w:rPr>
          <w:rFonts w:ascii="Times New Roman" w:hAnsi="Times New Roman" w:cs="Times New Roman" w:eastAsia="Times New Roman" w:hint="default"/>
        </w:rPr>
        <w:t>2016</w:t>
      </w:r>
      <w:r>
        <w:rPr/>
        <w:t>年年度权益分派实施公告》（</w:t>
      </w:r>
      <w:r>
        <w:rPr>
          <w:rFonts w:ascii="Times New Roman" w:hAnsi="Times New Roman" w:cs="Times New Roman" w:eastAsia="Times New Roman" w:hint="default"/>
        </w:rPr>
        <w:t>2017-039</w:t>
      </w:r>
      <w:r>
        <w:rPr/>
        <w:t>），本次权益分派股权登 记日为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日，除权除息日为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日实施完毕。</w:t>
      </w:r>
    </w:p>
    <w:p>
      <w:pPr>
        <w:spacing w:after="0" w:line="30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Heading6"/>
        <w:spacing w:line="240" w:lineRule="auto" w:before="44"/>
        <w:ind w:left="515" w:right="0"/>
        <w:jc w:val="left"/>
        <w:rPr>
          <w:b w:val="0"/>
          <w:bCs w:val="0"/>
        </w:rPr>
      </w:pPr>
      <w:r>
        <w:rPr/>
        <w:t>三、</w:t>
      </w:r>
      <w:r>
        <w:rPr>
          <w:rFonts w:ascii="Times New Roman" w:hAnsi="Times New Roman" w:cs="Times New Roman" w:eastAsia="Times New Roman" w:hint="default"/>
        </w:rPr>
        <w:t>2017</w:t>
      </w:r>
      <w:r>
        <w:rPr/>
        <w:t>年利润分配情况</w:t>
      </w:r>
      <w:r>
        <w:rPr>
          <w:b w:val="0"/>
          <w:bCs w:val="0"/>
        </w:rPr>
      </w:r>
    </w:p>
    <w:p>
      <w:pPr>
        <w:pStyle w:val="BodyText"/>
        <w:spacing w:line="312" w:lineRule="auto" w:before="101"/>
        <w:ind w:right="0" w:firstLine="43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日，公司召开第四届董事会第</w:t>
      </w:r>
      <w:r>
        <w:rPr>
          <w:rFonts w:ascii="Times New Roman" w:hAnsi="Times New Roman" w:cs="Times New Roman" w:eastAsia="Times New Roman" w:hint="default"/>
        </w:rPr>
        <w:t>36</w:t>
      </w:r>
      <w:r>
        <w:rPr/>
        <w:t>次会议</w:t>
      </w:r>
      <w:r>
        <w:rPr>
          <w:rFonts w:ascii="Times New Roman" w:hAnsi="Times New Roman" w:cs="Times New Roman" w:eastAsia="Times New Roman" w:hint="default"/>
        </w:rPr>
        <w:t>,</w:t>
      </w:r>
      <w:r>
        <w:rPr/>
        <w:t>审议通过《</w:t>
      </w:r>
      <w:r>
        <w:rPr>
          <w:rFonts w:ascii="Times New Roman" w:hAnsi="Times New Roman" w:cs="Times New Roman" w:eastAsia="Times New Roman" w:hint="default"/>
        </w:rPr>
        <w:t>2017</w:t>
      </w:r>
      <w:r>
        <w:rPr/>
        <w:t>年利润分配方案》，据《公司章程》规定，在公 </w:t>
      </w:r>
      <w:r>
        <w:rPr>
          <w:spacing w:val="-2"/>
        </w:rPr>
        <w:t>司当年盈利且累计未分配利润为正数且保证公司能够持续经营和长期发展的前提下，如公司无重大投资计划或重大现金支出</w:t>
      </w:r>
      <w:r>
        <w:rPr>
          <w:spacing w:val="-63"/>
        </w:rPr>
        <w:t> </w:t>
      </w:r>
      <w:r>
        <w:rPr>
          <w:spacing w:val="-63"/>
        </w:rPr>
      </w:r>
      <w:r>
        <w:rPr>
          <w:spacing w:val="-2"/>
        </w:rPr>
        <w:t>等事项发生，公司应当采取现金方式分配股利。前述重大资金支出事项包括：公司未来十二个月内拟对外投资、收购或购买</w:t>
      </w:r>
      <w:r>
        <w:rPr>
          <w:spacing w:val="-66"/>
        </w:rPr>
        <w:t> </w:t>
      </w:r>
      <w:r>
        <w:rPr>
          <w:spacing w:val="-66"/>
        </w:rPr>
      </w:r>
      <w:r>
        <w:rPr/>
        <w:t>资产累计支出达到或超过公司最近一次经审计净资产的</w:t>
      </w:r>
      <w:r>
        <w:rPr>
          <w:rFonts w:ascii="Times New Roman" w:hAnsi="Times New Roman" w:cs="Times New Roman" w:eastAsia="Times New Roman" w:hint="default"/>
        </w:rPr>
        <w:t>30%</w:t>
      </w:r>
      <w:r>
        <w:rPr/>
        <w:t>或资产总额的</w:t>
      </w:r>
      <w:r>
        <w:rPr>
          <w:rFonts w:ascii="Times New Roman" w:hAnsi="Times New Roman" w:cs="Times New Roman" w:eastAsia="Times New Roman" w:hint="default"/>
        </w:rPr>
        <w:t>20%</w:t>
      </w:r>
      <w:r>
        <w:rPr/>
        <w:t>。</w:t>
      </w:r>
    </w:p>
    <w:p>
      <w:pPr>
        <w:pStyle w:val="BodyText"/>
        <w:spacing w:line="304" w:lineRule="auto" w:before="42"/>
        <w:ind w:right="151" w:firstLine="360"/>
        <w:jc w:val="both"/>
      </w:pPr>
      <w:r>
        <w:rPr/>
        <w:t>同时，公司在未来十二个月的预计对外投资支出包括预计支付收购辽源鸿图锂电隔膜科技股份有限公司（以下简称</w:t>
      </w:r>
      <w:r>
        <w:rPr>
          <w:rFonts w:ascii="Times New Roman" w:hAnsi="Times New Roman" w:cs="Times New Roman" w:eastAsia="Times New Roman" w:hint="default"/>
        </w:rPr>
        <w:t>“</w:t>
      </w:r>
      <w:r>
        <w:rPr/>
        <w:t>鸿 图隔膜</w:t>
      </w:r>
      <w:r>
        <w:rPr>
          <w:rFonts w:ascii="Times New Roman" w:hAnsi="Times New Roman" w:cs="Times New Roman" w:eastAsia="Times New Roman" w:hint="default"/>
        </w:rPr>
        <w:t>”</w:t>
      </w:r>
      <w:r>
        <w:rPr/>
        <w:t>，系公司全资子公司）的现金对价</w:t>
      </w:r>
      <w:r>
        <w:rPr>
          <w:rFonts w:ascii="Times New Roman" w:hAnsi="Times New Roman" w:cs="Times New Roman" w:eastAsia="Times New Roman" w:hint="default"/>
        </w:rPr>
        <w:t>41,450.12</w:t>
      </w:r>
      <w:r>
        <w:rPr/>
        <w:t>万元、鸿图隔膜的在建项目预计投入不少于</w:t>
      </w:r>
      <w:r>
        <w:rPr>
          <w:rFonts w:ascii="Times New Roman" w:hAnsi="Times New Roman" w:cs="Times New Roman" w:eastAsia="Times New Roman" w:hint="default"/>
        </w:rPr>
        <w:t>15,000</w:t>
      </w:r>
      <w:r>
        <w:rPr/>
        <w:t>万元、湖州金冠鸿图 </w:t>
      </w:r>
      <w:r>
        <w:rPr>
          <w:spacing w:val="-1"/>
        </w:rPr>
        <w:t>隔膜科技有限公司的在建项目投入预计不少于</w:t>
      </w:r>
      <w:r>
        <w:rPr>
          <w:rFonts w:ascii="Times New Roman" w:hAnsi="Times New Roman" w:cs="Times New Roman" w:eastAsia="Times New Roman" w:hint="default"/>
          <w:spacing w:val="-1"/>
        </w:rPr>
        <w:t>17,000</w:t>
      </w:r>
      <w:r>
        <w:rPr>
          <w:spacing w:val="-1"/>
        </w:rPr>
        <w:t>万元，前述对外投资支出不以本次非公开发行募集资金到位为前提。综</w:t>
      </w:r>
      <w:r>
        <w:rPr>
          <w:spacing w:val="-71"/>
        </w:rPr>
        <w:t> </w:t>
      </w:r>
      <w:r>
        <w:rPr>
          <w:spacing w:val="-71"/>
        </w:rPr>
      </w:r>
      <w:r>
        <w:rPr>
          <w:spacing w:val="-1"/>
        </w:rPr>
        <w:t>上，公司未来十二个月的支出累计超过公司</w:t>
      </w:r>
      <w:r>
        <w:rPr>
          <w:rFonts w:ascii="Times New Roman" w:hAnsi="Times New Roman" w:cs="Times New Roman" w:eastAsia="Times New Roman" w:hint="default"/>
          <w:spacing w:val="-1"/>
        </w:rPr>
        <w:t>2017</w:t>
      </w:r>
      <w:r>
        <w:rPr>
          <w:spacing w:val="-1"/>
        </w:rPr>
        <w:t>年度经审计资产总额的</w:t>
      </w:r>
      <w:r>
        <w:rPr>
          <w:rFonts w:ascii="Times New Roman" w:hAnsi="Times New Roman" w:cs="Times New Roman" w:eastAsia="Times New Roman" w:hint="default"/>
          <w:spacing w:val="-1"/>
        </w:rPr>
        <w:t>20%</w:t>
      </w:r>
      <w:r>
        <w:rPr>
          <w:spacing w:val="-1"/>
        </w:rPr>
        <w:t>，构成《公司章程》规定的重大资金支出。由于</w:t>
      </w:r>
      <w:r>
        <w:rPr>
          <w:spacing w:val="-87"/>
        </w:rPr>
        <w:t> </w:t>
      </w:r>
      <w:r>
        <w:rPr>
          <w:spacing w:val="-87"/>
        </w:rPr>
      </w:r>
      <w:r>
        <w:rPr>
          <w:spacing w:val="-2"/>
        </w:rPr>
        <w:t>公司募集配套资金具有不确定性，同时考虑到公司及子公司未来十二个月存在重大现金支出安排，公司需留存足够现金用于</w:t>
      </w:r>
      <w:r>
        <w:rPr>
          <w:spacing w:val="-64"/>
        </w:rPr>
        <w:t> </w:t>
      </w:r>
      <w:r>
        <w:rPr>
          <w:spacing w:val="-64"/>
        </w:rPr>
      </w:r>
      <w:r>
        <w:rPr/>
        <w:t>前述重大现金支出。</w:t>
      </w:r>
    </w:p>
    <w:p>
      <w:pPr>
        <w:pStyle w:val="BodyText"/>
        <w:spacing w:line="307" w:lineRule="auto" w:before="66"/>
        <w:ind w:right="151" w:firstLine="360"/>
        <w:jc w:val="both"/>
      </w:pPr>
      <w:r>
        <w:rPr>
          <w:spacing w:val="-2"/>
        </w:rPr>
        <w:t>另外，根据中国证券监督管理委员会（以下简称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）《证券发行与承销管理办法》第十八条规定，上市公司</w:t>
      </w:r>
      <w:r>
        <w:rPr/>
        <w:t> </w:t>
      </w:r>
      <w:r>
        <w:rPr>
          <w:spacing w:val="-2"/>
        </w:rPr>
        <w:t>发行证券，存在利润分配方案、公积金转增股本方案尚未提交股东大会表决或者虽经股东大会表决通过但未实施的，应当在</w:t>
      </w:r>
      <w:r>
        <w:rPr>
          <w:spacing w:val="-66"/>
        </w:rPr>
        <w:t> </w:t>
      </w:r>
      <w:r>
        <w:rPr>
          <w:spacing w:val="-66"/>
        </w:rPr>
      </w:r>
      <w:r>
        <w:rPr/>
        <w:t>方案实施后发行。鉴于公司发行股份购买资产并募集配套资金事项已于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月获得中国证监会核准批复，目前配套募集 </w:t>
      </w:r>
      <w:r>
        <w:rPr>
          <w:spacing w:val="-2"/>
        </w:rPr>
        <w:t>资金工作尚未正式启动，如果公司</w:t>
      </w:r>
      <w:r>
        <w:rPr>
          <w:rFonts w:ascii="Times New Roman" w:hAnsi="Times New Roman" w:cs="Times New Roman" w:eastAsia="Times New Roman" w:hint="default"/>
          <w:spacing w:val="-2"/>
        </w:rPr>
        <w:t>2017</w:t>
      </w:r>
      <w:r>
        <w:rPr>
          <w:spacing w:val="-2"/>
        </w:rPr>
        <w:t>年度进行利润分配，需要在利润分配方案获得</w:t>
      </w:r>
      <w:r>
        <w:rPr>
          <w:rFonts w:ascii="Times New Roman" w:hAnsi="Times New Roman" w:cs="Times New Roman" w:eastAsia="Times New Roman" w:hint="default"/>
          <w:spacing w:val="-2"/>
        </w:rPr>
        <w:t>2017</w:t>
      </w:r>
      <w:r>
        <w:rPr>
          <w:spacing w:val="-2"/>
        </w:rPr>
        <w:t>年度股东大会审议通过并实施后方</w:t>
      </w:r>
      <w:r>
        <w:rPr>
          <w:spacing w:val="-56"/>
        </w:rPr>
        <w:t> </w:t>
      </w:r>
      <w:r>
        <w:rPr>
          <w:spacing w:val="-2"/>
        </w:rPr>
        <w:t>可再实施配套资金的募集工作，这将导致公司募集配套资金事项无法顺利实施，从而严重影响公司配套募集资金投资项目的</w:t>
      </w:r>
      <w:r>
        <w:rPr>
          <w:spacing w:val="-64"/>
        </w:rPr>
        <w:t> </w:t>
      </w:r>
      <w:r>
        <w:rPr>
          <w:spacing w:val="-64"/>
        </w:rPr>
      </w:r>
      <w:r>
        <w:rPr/>
        <w:t>实施和公司的长远发展。</w:t>
      </w:r>
    </w:p>
    <w:p>
      <w:pPr>
        <w:pStyle w:val="BodyText"/>
        <w:spacing w:line="314" w:lineRule="auto" w:before="64"/>
        <w:ind w:right="151" w:firstLine="360"/>
        <w:jc w:val="both"/>
      </w:pPr>
      <w:r>
        <w:rPr>
          <w:spacing w:val="-2"/>
        </w:rPr>
        <w:t>综上，由于公司未来十二个月存在重大现金支出，且募集配套资金具有一定不确定性，因此公司需留存足够现金用于该</w:t>
      </w:r>
      <w:r>
        <w:rPr/>
        <w:t> </w:t>
      </w:r>
      <w:r>
        <w:rPr>
          <w:spacing w:val="-2"/>
        </w:rPr>
        <w:t>等未来的确定性支出；以及为加快推进公司募集配套资金事项的进程、保护公司投资者利益、把握公司发展机遇，公司董事</w:t>
      </w:r>
      <w:r>
        <w:rPr>
          <w:spacing w:val="-66"/>
        </w:rPr>
        <w:t> </w:t>
      </w:r>
      <w:r>
        <w:rPr>
          <w:spacing w:val="-66"/>
        </w:rPr>
      </w:r>
      <w:r>
        <w:rPr>
          <w:spacing w:val="-2"/>
        </w:rPr>
        <w:t>会提议</w:t>
      </w:r>
      <w:r>
        <w:rPr>
          <w:rFonts w:ascii="Times New Roman" w:hAnsi="Times New Roman" w:cs="Times New Roman" w:eastAsia="Times New Roman" w:hint="default"/>
          <w:spacing w:val="-2"/>
        </w:rPr>
        <w:t>2017</w:t>
      </w:r>
      <w:r>
        <w:rPr>
          <w:spacing w:val="-2"/>
        </w:rPr>
        <w:t>年度不进行利润分配，也不进行资本公积转增股本；同时提议在</w:t>
      </w:r>
      <w:r>
        <w:rPr>
          <w:rFonts w:ascii="Times New Roman" w:hAnsi="Times New Roman" w:cs="Times New Roman" w:eastAsia="Times New Roman" w:hint="default"/>
          <w:spacing w:val="-2"/>
        </w:rPr>
        <w:t>2018</w:t>
      </w:r>
      <w:r>
        <w:rPr>
          <w:spacing w:val="-2"/>
        </w:rPr>
        <w:t>年中期进行一次利润分配。公司将严格按照</w:t>
      </w:r>
      <w:r>
        <w:rPr>
          <w:spacing w:val="-58"/>
        </w:rPr>
        <w:t> </w:t>
      </w:r>
      <w:r>
        <w:rPr>
          <w:spacing w:val="-58"/>
        </w:rPr>
      </w:r>
      <w:r>
        <w:rPr>
          <w:spacing w:val="-2"/>
        </w:rPr>
        <w:t>相关法律法规和《公司章程》的规定，综合考虑与利润分配相关的各种因素，积极履行公司的利润分配政策，与投资者共享</w:t>
      </w:r>
      <w:r>
        <w:rPr>
          <w:spacing w:val="-66"/>
        </w:rPr>
        <w:t> </w:t>
      </w:r>
      <w:r>
        <w:rPr>
          <w:spacing w:val="-66"/>
        </w:rPr>
      </w:r>
      <w:r>
        <w:rPr/>
        <w:t>公司发展的成果。</w:t>
      </w:r>
    </w:p>
    <w:p>
      <w:pPr>
        <w:spacing w:line="240" w:lineRule="auto" w:before="3"/>
        <w:rPr>
          <w:rFonts w:ascii="宋体" w:hAnsi="宋体" w:cs="宋体" w:eastAsia="宋体" w:hint="default"/>
          <w:sz w:val="28"/>
          <w:szCs w:val="28"/>
        </w:rPr>
      </w:pPr>
    </w:p>
    <w:p>
      <w:pPr>
        <w:pStyle w:val="BodyText"/>
        <w:spacing w:line="240" w:lineRule="auto"/>
        <w:ind w:right="0"/>
        <w:jc w:val="left"/>
      </w:pPr>
      <w:r>
        <w:rPr/>
        <w:t>公司近三年（包括本报告期）普通股现金分红情况表</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125,654,981.90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10,419,360.00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56,366,791.21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4,679,560.62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50,047,636.07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left="0" w:right="159"/>
        <w:jc w:val="right"/>
      </w:pPr>
      <w:r>
        <w:rPr/>
        <w:pict>
          <v:shape style="position:absolute;margin-left:56.459999pt;margin-top:-98.968262pt;width:479.2pt;height:116.7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61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据《公司章程》规定，在公司当年盈利且累计未分配利润为 正数且保证公司能够持续经营和长期发展的前提下，如公司 无重大投资计划或重大现金支出等事项发生，公司应当采取 现金方式分配股利。前述重大资金支出事项包括：公司未来 十二个月内拟对外投资、收购或购买资产累计支出达到或超</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由于公司未来十二个月存在重大现金支出，且募集配套资金 具有一定不确定性，因此公司需留存足够现金用于该等未来 的确定性支出；以及为加快推进公司募集配套资金事项的进 程、保护公司投资者利益、把握公司发展机遇，公司董事会 提议</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年度不进行利润分配，也不进行资本公积转增股本</w:t>
                        </w:r>
                      </w:p>
                    </w:tc>
                  </w:tr>
                </w:tbl>
                <w:p>
                  <w:pPr/>
                </w:p>
              </w:txbxContent>
            </v:textbox>
            <w10:wrap type="none"/>
          </v:shape>
        </w:pict>
      </w:r>
      <w:r>
        <w:rPr/>
        <w:t>；</w:t>
      </w:r>
    </w:p>
    <w:p>
      <w:pPr>
        <w:spacing w:after="0" w:line="240" w:lineRule="auto"/>
        <w:jc w:val="right"/>
        <w:sectPr>
          <w:footerReference w:type="default" r:id="rId19"/>
          <w:pgSz w:w="11910" w:h="16840"/>
          <w:pgMar w:footer="979" w:header="747" w:top="1060" w:bottom="1160" w:left="980" w:right="980"/>
          <w:pgNumType w:start="38"/>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539"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过公司最近一次经审计净资产的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或资产总额的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。同 时，公司在未来十二个月的预计对外投资支出包括预计支付 </w:t>
            </w:r>
            <w:r>
              <w:rPr>
                <w:rFonts w:ascii="宋体" w:hAnsi="宋体" w:cs="宋体" w:eastAsia="宋体" w:hint="default"/>
                <w:spacing w:val="-2"/>
                <w:sz w:val="18"/>
                <w:szCs w:val="18"/>
              </w:rPr>
              <w:t>收购辽源鸿图锂电隔膜科技股份有限公司（以下简称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鸿图隔</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膜</w:t>
            </w:r>
            <w:r>
              <w:rPr>
                <w:rFonts w:ascii="Times New Roman" w:hAnsi="Times New Roman" w:cs="Times New Roman" w:eastAsia="Times New Roman" w:hint="default"/>
                <w:sz w:val="18"/>
                <w:szCs w:val="18"/>
              </w:rPr>
              <w:t>”</w:t>
            </w:r>
            <w:r>
              <w:rPr>
                <w:rFonts w:ascii="宋体" w:hAnsi="宋体" w:cs="宋体" w:eastAsia="宋体" w:hint="default"/>
                <w:sz w:val="18"/>
                <w:szCs w:val="18"/>
              </w:rPr>
              <w:t>，系公司全资子公司）的现金对价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41,450.12 </w:t>
            </w:r>
            <w:r>
              <w:rPr>
                <w:rFonts w:ascii="宋体" w:hAnsi="宋体" w:cs="宋体" w:eastAsia="宋体" w:hint="default"/>
                <w:sz w:val="18"/>
                <w:szCs w:val="18"/>
              </w:rPr>
              <w:t>万元、鸿图</w:t>
            </w:r>
          </w:p>
          <w:p>
            <w:pPr>
              <w:pStyle w:val="TableParagraph"/>
              <w:spacing w:line="240" w:lineRule="auto" w:before="7"/>
              <w:ind w:left="22" w:right="0"/>
              <w:jc w:val="both"/>
              <w:rPr>
                <w:rFonts w:ascii="宋体" w:hAnsi="宋体" w:cs="宋体" w:eastAsia="宋体" w:hint="default"/>
                <w:sz w:val="18"/>
                <w:szCs w:val="18"/>
              </w:rPr>
            </w:pPr>
            <w:r>
              <w:rPr>
                <w:rFonts w:ascii="宋体" w:hAnsi="宋体" w:cs="宋体" w:eastAsia="宋体" w:hint="default"/>
                <w:sz w:val="18"/>
                <w:szCs w:val="18"/>
              </w:rPr>
              <w:t>隔膜的在建项目预计投入不少于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万元、湖州金冠鸿图</w:t>
            </w:r>
          </w:p>
          <w:p>
            <w:pPr>
              <w:pStyle w:val="TableParagraph"/>
              <w:spacing w:line="312"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隔膜科技有限公司的在建项目投入预计不少于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17,000 </w:t>
            </w:r>
            <w:r>
              <w:rPr>
                <w:rFonts w:ascii="宋体" w:hAnsi="宋体" w:cs="宋体" w:eastAsia="宋体" w:hint="default"/>
                <w:sz w:val="18"/>
                <w:szCs w:val="18"/>
              </w:rPr>
              <w:t>万元、 南京能瑞自动化设备股份有限公司在建项目预计投入不少于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万元，前述对外投资支出不以本次非公开发行募集资金</w:t>
            </w:r>
            <w:r>
              <w:rPr>
                <w:rFonts w:ascii="宋体" w:hAnsi="宋体" w:cs="宋体" w:eastAsia="宋体" w:hint="default"/>
                <w:sz w:val="18"/>
                <w:szCs w:val="18"/>
              </w:rPr>
              <w:t> 到位为前提。综上，公司未来十二个月的支出累计超过公司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年度经审计资产总额的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，构成《公司章程》规定的 重大资金支出。由于公司募集配套资金具有不确定性，同时 考虑到公司及子公司未来十二个月存在重大现金支出安排， 公司需留存足够现金用于前述重大现金支出。另外，根据中 </w:t>
            </w:r>
            <w:r>
              <w:rPr>
                <w:rFonts w:ascii="宋体" w:hAnsi="宋体" w:cs="宋体" w:eastAsia="宋体" w:hint="default"/>
                <w:spacing w:val="-5"/>
                <w:w w:val="100"/>
                <w:sz w:val="18"/>
                <w:szCs w:val="18"/>
              </w:rPr>
              <w:t>国证券监督管理委员会（以下简称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中国证监会</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）《证券发行</w:t>
            </w:r>
            <w:r>
              <w:rPr>
                <w:rFonts w:ascii="宋体" w:hAnsi="宋体" w:cs="宋体" w:eastAsia="宋体" w:hint="default"/>
                <w:spacing w:val="-65"/>
                <w:w w:val="100"/>
                <w:sz w:val="18"/>
                <w:szCs w:val="18"/>
              </w:rPr>
              <w:t> </w:t>
            </w:r>
            <w:r>
              <w:rPr>
                <w:rFonts w:ascii="宋体" w:hAnsi="宋体" w:cs="宋体" w:eastAsia="宋体" w:hint="default"/>
                <w:spacing w:val="-65"/>
                <w:w w:val="100"/>
                <w:sz w:val="18"/>
                <w:szCs w:val="18"/>
              </w:rPr>
            </w:r>
            <w:r>
              <w:rPr>
                <w:rFonts w:ascii="宋体" w:hAnsi="宋体" w:cs="宋体" w:eastAsia="宋体" w:hint="default"/>
                <w:sz w:val="18"/>
                <w:szCs w:val="18"/>
              </w:rPr>
              <w:t>与承销管理办法》第十八条规定，上市公司发行证券，存在 利润分配方案、公积金转增股本方案尚未提交股东大会表决 或者虽经股东大会表决通过但未实施的，应当在方案实施后 发行。鉴于公司发行股份购买资产并募集配套资金事项已于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月获得中国证监会核准批复，目前配套募集资金工</w:t>
            </w:r>
          </w:p>
          <w:p>
            <w:pPr>
              <w:pStyle w:val="TableParagraph"/>
              <w:spacing w:line="240" w:lineRule="auto" w:before="3"/>
              <w:ind w:left="22" w:right="0"/>
              <w:jc w:val="both"/>
              <w:rPr>
                <w:rFonts w:ascii="宋体" w:hAnsi="宋体" w:cs="宋体" w:eastAsia="宋体" w:hint="default"/>
                <w:sz w:val="18"/>
                <w:szCs w:val="18"/>
              </w:rPr>
            </w:pPr>
            <w:r>
              <w:rPr>
                <w:rFonts w:ascii="宋体" w:hAnsi="宋体" w:cs="宋体" w:eastAsia="宋体" w:hint="default"/>
                <w:sz w:val="18"/>
                <w:szCs w:val="18"/>
              </w:rPr>
              <w:t>作尚未正式启动，如果公司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年度进行利润分配，需要在</w:t>
            </w:r>
          </w:p>
          <w:p>
            <w:pPr>
              <w:pStyle w:val="TableParagraph"/>
              <w:spacing w:line="312"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利润分配方案获得</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年度股东大会审议通过并实施后方可 再实施配套资金的募集工作，这将导致公司募集配套资金事 项无法顺利实施，从而严重影响公司配套募集资金投资项目 的实施和公司的长远发展。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同时提议在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年中期进行一次利润分配。公司将严格按照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相关法律法规和《公司章程》的规定，综合考虑与利润分配 相关的各种因素，积极履行公司的利润分配政策，与投资者 共享公司发展的成果。</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7"/>
        </w:rPr>
        <w:t> </w:t>
      </w:r>
      <w:r>
        <w:rPr>
          <w:spacing w:val="-67"/>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232"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17" w:right="141"/>
              <w:jc w:val="both"/>
              <w:rPr>
                <w:rFonts w:ascii="宋体" w:hAnsi="宋体" w:cs="宋体" w:eastAsia="宋体" w:hint="default"/>
                <w:sz w:val="18"/>
                <w:szCs w:val="18"/>
              </w:rPr>
            </w:pPr>
            <w:r>
              <w:rPr>
                <w:rFonts w:ascii="宋体" w:hAnsi="宋体" w:cs="宋体" w:eastAsia="宋体" w:hint="default"/>
                <w:sz w:val="18"/>
                <w:szCs w:val="18"/>
              </w:rPr>
              <w:t>南京能策投 资管理有限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孙金良</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司通过本次 交易获得的 上市公司股 份自该等股 份上市之日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不进行转让。</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、上述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2" w:right="0"/>
              <w:jc w:val="left"/>
              <w:rPr>
                <w:rFonts w:ascii="Times New Roman" w:hAnsi="Times New Roman" w:cs="Times New Roman" w:eastAsia="Times New Roman" w:hint="default"/>
                <w:sz w:val="18"/>
                <w:szCs w:val="18"/>
              </w:rPr>
            </w:pPr>
            <w:r>
              <w:rPr>
                <w:rFonts w:ascii="Times New Roman"/>
                <w:sz w:val="18"/>
              </w:rPr>
              <w:t>2018-06-08</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233"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月的限售期</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满后，为保证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本次重组盈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利预测补偿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承诺的可实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现性，本人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次交易中所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获股份仍将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在业绩承诺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期间（</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度，以下简称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业绩承诺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全部承诺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净利润实现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之前或本公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司履行完毕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全部业绩补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偿及减值补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偿前继续锁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末当期累积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实现后，可解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司在本次交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易中所获股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当期累积承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诺净利润实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现后，可解锁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中所获股份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；截至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期累积承诺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后，可解锁本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21293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得的剩余对</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价股份。</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承诺股份解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锁进度不得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先于业绩承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诺的完成进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w:t>
            </w:r>
            <w:r>
              <w:rPr>
                <w:rFonts w:ascii="Times New Roman" w:hAnsi="Times New Roman" w:cs="Times New Roman" w:eastAsia="Times New Roman" w:hint="default"/>
                <w:sz w:val="18"/>
                <w:szCs w:val="18"/>
              </w:rPr>
              <w:t>4</w:t>
            </w:r>
            <w:r>
              <w:rPr>
                <w:rFonts w:ascii="宋体" w:hAnsi="宋体" w:cs="宋体" w:eastAsia="宋体" w:hint="default"/>
                <w:sz w:val="18"/>
                <w:szCs w:val="18"/>
              </w:rPr>
              <w:t>、为保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补偿承诺的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可实现性，如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果在业绩承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诺期届满后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按照约定负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有股份补偿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的，则锁定期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自动延期至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所负股份补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偿义务履行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完毕时止。</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成后，本人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得的金冠电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气的股份由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于金冠电气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送红股、转增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股本等原因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而孳息的股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份，亦应遵守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上述股份锁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定承诺。锁定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期届满之后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监会及深圳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的有关规定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w:t>
            </w:r>
            <w:r>
              <w:rPr>
                <w:rFonts w:ascii="Times New Roman" w:hAnsi="Times New Roman" w:cs="Times New Roman" w:eastAsia="Times New Roman" w:hint="default"/>
                <w:sz w:val="18"/>
                <w:szCs w:val="18"/>
              </w:rPr>
              <w:t>6</w:t>
            </w:r>
            <w:r>
              <w:rPr>
                <w:rFonts w:ascii="宋体" w:hAnsi="宋体" w:cs="宋体" w:eastAsia="宋体" w:hint="default"/>
                <w:sz w:val="18"/>
                <w:szCs w:val="18"/>
              </w:rPr>
              <w:t>、若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上述锁定股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43.420013pt;margin-top:231.019989pt;width:80.1pt;height:248.6pt;mso-position-horizontal-relative:page;mso-position-vertical-relative:page;z-index:-2129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pStyle w:val="BodyText"/>
                    <w:spacing w:line="240" w:lineRule="auto" w:before="0"/>
                    <w:ind w:left="0" w:right="0"/>
                    <w:jc w:val="left"/>
                  </w:pPr>
                  <w:r>
                    <w:rPr/>
                    <w:t>个月。</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5"/>
                      <w:szCs w:val="25"/>
                    </w:rPr>
                  </w:pPr>
                </w:p>
                <w:p>
                  <w:pPr>
                    <w:pStyle w:val="BodyText"/>
                    <w:spacing w:line="240" w:lineRule="auto" w:before="0"/>
                    <w:ind w:left="361" w:right="0"/>
                    <w:jc w:val="left"/>
                  </w:pPr>
                  <w:r>
                    <w:rPr/>
                    <w:t>、</w:t>
                  </w:r>
                </w:p>
              </w:txbxContent>
            </v:textbox>
            <w10:wrap type="none"/>
          </v:shape>
        </w:pict>
      </w:r>
      <w:r>
        <w:rPr/>
        <w:pict>
          <v:shape style="position:absolute;margin-left:361.480011pt;margin-top:514.839966pt;width:62pt;height:248.6pt;mso-position-horizontal-relative:page;mso-position-vertical-relative:page;z-index:-21292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4"/>
                    <w:ind w:left="0" w:right="0"/>
                    <w:jc w:val="left"/>
                  </w:pPr>
                  <w:r>
                    <w:rPr/>
                    <w:t>、</w:t>
                  </w:r>
                </w:p>
              </w:txbxContent>
            </v:textbox>
            <w10:wrap type="none"/>
          </v:shape>
        </w:pict>
      </w:r>
      <w:r>
        <w:rPr/>
        <w:pict>
          <v:group style="position:absolute;margin-left:367.660004pt;margin-top:231.019989pt;width:55.85pt;height:248.6pt;mso-position-horizontal-relative:page;mso-position-vertical-relative:page;z-index:-2129272" coordorigin="7353,4620" coordsize="1117,4972">
            <v:shape style="position:absolute;left:7353;top:4620;width:1117;height:4972" coordorigin="7353,4620" coordsize="1117,4972" path="m7353,9592l8470,9592,8470,4620,7353,4620,7353,9592xe" filled="true" fillcolor="#ffffff" stroked="false">
              <v:path arrowok="t"/>
              <v:fill type="solid"/>
            </v:shape>
            <w10:wrap type="none"/>
          </v:group>
        </w:pict>
      </w:r>
      <w:r>
        <w:rPr/>
        <w:pict>
          <v:group style="position:absolute;margin-left:367.660004pt;margin-top:514.839966pt;width:55.85pt;height:248.6pt;mso-position-horizontal-relative:page;mso-position-vertical-relative:page;z-index:-2129248" coordorigin="7353,10297" coordsize="1117,4972">
            <v:shape style="position:absolute;left:7353;top:10297;width:1117;height:4972" coordorigin="7353,10297" coordsize="1117,4972" path="m7353,15269l8470,15269,8470,10297,7353,10297,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份的承诺与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证券监管部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门的最新监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管意见不符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的，本人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司将根据相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关证券监管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部门的监管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意见进行相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应调整。</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、在本次交</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易完成后，股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份锁定期为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自本人认购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的新增股份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发行上市之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锁定期届满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之后股份的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陈磊</w:t>
            </w:r>
            <w:r>
              <w:rPr>
                <w:rFonts w:ascii="Times New Roman" w:hAnsi="Times New Roman" w:cs="Times New Roman" w:eastAsia="Times New Roman" w:hint="default"/>
                <w:sz w:val="18"/>
                <w:szCs w:val="18"/>
              </w:rPr>
              <w:t>;</w:t>
            </w:r>
            <w:r>
              <w:rPr>
                <w:rFonts w:ascii="宋体" w:hAnsi="宋体" w:cs="宋体" w:eastAsia="宋体" w:hint="default"/>
                <w:sz w:val="18"/>
                <w:szCs w:val="18"/>
              </w:rPr>
              <w:t>陈小虎</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交易按照中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戴友年</w:t>
            </w:r>
            <w:r>
              <w:rPr>
                <w:rFonts w:ascii="Times New Roman" w:hAnsi="Times New Roman" w:cs="Times New Roman" w:eastAsia="Times New Roman" w:hint="default"/>
                <w:sz w:val="18"/>
                <w:szCs w:val="18"/>
              </w:rPr>
              <w:t>;</w:t>
            </w:r>
            <w:r>
              <w:rPr>
                <w:rFonts w:ascii="宋体" w:hAnsi="宋体" w:cs="宋体" w:eastAsia="宋体" w:hint="default"/>
                <w:sz w:val="18"/>
                <w:szCs w:val="18"/>
              </w:rPr>
              <w:t>董君</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国证监会及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樊彬</w:t>
            </w:r>
            <w:r>
              <w:rPr>
                <w:rFonts w:ascii="Times New Roman" w:hAnsi="Times New Roman" w:cs="Times New Roman" w:eastAsia="Times New Roman" w:hint="default"/>
                <w:sz w:val="18"/>
                <w:szCs w:val="18"/>
              </w:rPr>
              <w:t>;</w:t>
            </w:r>
            <w:r>
              <w:rPr>
                <w:rFonts w:ascii="宋体" w:hAnsi="宋体" w:cs="宋体" w:eastAsia="宋体" w:hint="default"/>
                <w:sz w:val="18"/>
                <w:szCs w:val="18"/>
              </w:rPr>
              <w:t>方霞</w:t>
            </w:r>
            <w:r>
              <w:rPr>
                <w:rFonts w:ascii="Times New Roman" w:hAnsi="Times New Roman" w:cs="Times New Roman" w:eastAsia="Times New Roman" w:hint="default"/>
                <w:sz w:val="18"/>
                <w:szCs w:val="18"/>
              </w:rPr>
              <w:t>;</w:t>
            </w:r>
            <w:r>
              <w:rPr>
                <w:rFonts w:ascii="宋体" w:hAnsi="宋体" w:cs="宋体" w:eastAsia="宋体" w:hint="default"/>
                <w:sz w:val="18"/>
                <w:szCs w:val="18"/>
              </w:rPr>
              <w:t>高</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深圳证券交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俊俊</w:t>
            </w:r>
            <w:r>
              <w:rPr>
                <w:rFonts w:ascii="Times New Roman" w:hAnsi="Times New Roman" w:cs="Times New Roman" w:eastAsia="Times New Roman" w:hint="default"/>
                <w:sz w:val="18"/>
                <w:szCs w:val="18"/>
              </w:rPr>
              <w:t>;</w:t>
            </w:r>
            <w:r>
              <w:rPr>
                <w:rFonts w:ascii="宋体" w:hAnsi="宋体" w:cs="宋体" w:eastAsia="宋体" w:hint="default"/>
                <w:sz w:val="18"/>
                <w:szCs w:val="18"/>
              </w:rPr>
              <w:t>葛政</w:t>
            </w:r>
            <w:r>
              <w:rPr>
                <w:rFonts w:ascii="Times New Roman" w:hAnsi="Times New Roman" w:cs="Times New Roman" w:eastAsia="Times New Roman" w:hint="default"/>
                <w:sz w:val="18"/>
                <w:szCs w:val="18"/>
              </w:rPr>
              <w:t>;</w:t>
            </w:r>
            <w:r>
              <w:rPr>
                <w:rFonts w:ascii="宋体" w:hAnsi="宋体" w:cs="宋体" w:eastAsia="宋体" w:hint="default"/>
                <w:sz w:val="18"/>
                <w:szCs w:val="18"/>
              </w:rPr>
              <w:t>郭</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易所的有关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平</w:t>
            </w:r>
            <w:r>
              <w:rPr>
                <w:rFonts w:ascii="Times New Roman" w:hAnsi="Times New Roman" w:cs="Times New Roman" w:eastAsia="Times New Roman" w:hint="default"/>
                <w:sz w:val="18"/>
                <w:szCs w:val="18"/>
              </w:rPr>
              <w:t>;</w:t>
            </w:r>
            <w:r>
              <w:rPr>
                <w:rFonts w:ascii="宋体" w:hAnsi="宋体" w:cs="宋体" w:eastAsia="宋体" w:hint="default"/>
                <w:sz w:val="18"/>
                <w:szCs w:val="18"/>
              </w:rPr>
              <w:t>黄绍云</w:t>
            </w:r>
            <w:r>
              <w:rPr>
                <w:rFonts w:ascii="Times New Roman" w:hAnsi="Times New Roman" w:cs="Times New Roman" w:eastAsia="Times New Roman" w:hint="default"/>
                <w:sz w:val="18"/>
                <w:szCs w:val="18"/>
              </w:rPr>
              <w:t>;</w:t>
            </w:r>
            <w:r>
              <w:rPr>
                <w:rFonts w:ascii="宋体" w:hAnsi="宋体" w:cs="宋体" w:eastAsia="宋体" w:hint="default"/>
                <w:sz w:val="18"/>
                <w:szCs w:val="18"/>
              </w:rPr>
              <w:t>蒋</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规定执行。</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慰静</w:t>
            </w:r>
            <w:r>
              <w:rPr>
                <w:rFonts w:ascii="Times New Roman" w:hAnsi="Times New Roman" w:cs="Times New Roman" w:eastAsia="Times New Roman" w:hint="default"/>
                <w:sz w:val="18"/>
                <w:szCs w:val="18"/>
              </w:rPr>
              <w:t>;</w:t>
            </w:r>
            <w:r>
              <w:rPr>
                <w:rFonts w:ascii="宋体" w:hAnsi="宋体" w:cs="宋体" w:eastAsia="宋体" w:hint="default"/>
                <w:sz w:val="18"/>
                <w:szCs w:val="18"/>
              </w:rPr>
              <w:t>李定胜</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刘国鹏</w:t>
            </w:r>
            <w:r>
              <w:rPr>
                <w:rFonts w:ascii="Times New Roman" w:hAnsi="Times New Roman" w:cs="Times New Roman" w:eastAsia="Times New Roman" w:hint="default"/>
                <w:sz w:val="18"/>
                <w:szCs w:val="18"/>
              </w:rPr>
              <w:t>;</w:t>
            </w:r>
            <w:r>
              <w:rPr>
                <w:rFonts w:ascii="宋体" w:hAnsi="宋体" w:cs="宋体" w:eastAsia="宋体" w:hint="default"/>
                <w:sz w:val="18"/>
                <w:szCs w:val="18"/>
              </w:rPr>
              <w:t>刘红</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成后，本人通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3" w:right="89"/>
              <w:jc w:val="left"/>
              <w:rPr>
                <w:rFonts w:ascii="宋体" w:hAnsi="宋体" w:cs="宋体" w:eastAsia="宋体" w:hint="default"/>
                <w:sz w:val="18"/>
                <w:szCs w:val="18"/>
              </w:rPr>
            </w:pPr>
            <w:r>
              <w:rPr>
                <w:rFonts w:ascii="宋体" w:hAnsi="宋体" w:cs="宋体" w:eastAsia="宋体" w:hint="default"/>
                <w:sz w:val="18"/>
                <w:szCs w:val="18"/>
              </w:rPr>
              <w:t>军</w:t>
            </w:r>
            <w:r>
              <w:rPr>
                <w:rFonts w:ascii="Times New Roman" w:hAnsi="Times New Roman" w:cs="Times New Roman" w:eastAsia="Times New Roman" w:hint="default"/>
                <w:sz w:val="18"/>
                <w:szCs w:val="18"/>
              </w:rPr>
              <w:t>;</w:t>
            </w:r>
            <w:r>
              <w:rPr>
                <w:rFonts w:ascii="宋体" w:hAnsi="宋体" w:cs="宋体" w:eastAsia="宋体" w:hint="default"/>
                <w:sz w:val="18"/>
                <w:szCs w:val="18"/>
              </w:rPr>
              <w:t>刘金山</w:t>
            </w:r>
            <w:r>
              <w:rPr>
                <w:rFonts w:ascii="Times New Roman" w:hAnsi="Times New Roman" w:cs="Times New Roman" w:eastAsia="Times New Roman" w:hint="default"/>
                <w:sz w:val="18"/>
                <w:szCs w:val="18"/>
              </w:rPr>
              <w:t>;</w:t>
            </w:r>
            <w:r>
              <w:rPr>
                <w:rFonts w:ascii="宋体" w:hAnsi="宋体" w:cs="宋体" w:eastAsia="宋体" w:hint="default"/>
                <w:sz w:val="18"/>
                <w:szCs w:val="18"/>
              </w:rPr>
              <w:t>钱 淑琴</w:t>
            </w:r>
            <w:r>
              <w:rPr>
                <w:rFonts w:ascii="Times New Roman" w:hAnsi="Times New Roman" w:cs="Times New Roman" w:eastAsia="Times New Roman" w:hint="default"/>
                <w:sz w:val="18"/>
                <w:szCs w:val="18"/>
              </w:rPr>
              <w:t>;</w:t>
            </w:r>
            <w:r>
              <w:rPr>
                <w:rFonts w:ascii="宋体" w:hAnsi="宋体" w:cs="宋体" w:eastAsia="宋体" w:hint="default"/>
                <w:sz w:val="18"/>
                <w:szCs w:val="18"/>
              </w:rPr>
              <w:t>屈战</w:t>
            </w:r>
            <w:r>
              <w:rPr>
                <w:rFonts w:ascii="Times New Roman" w:hAnsi="Times New Roman" w:cs="Times New Roman" w:eastAsia="Times New Roman" w:hint="default"/>
                <w:sz w:val="18"/>
                <w:szCs w:val="18"/>
              </w:rPr>
              <w:t>;</w:t>
            </w:r>
            <w:r>
              <w:rPr>
                <w:rFonts w:ascii="宋体" w:hAnsi="宋体" w:cs="宋体" w:eastAsia="宋体" w:hint="default"/>
                <w:sz w:val="18"/>
                <w:szCs w:val="18"/>
              </w:rPr>
              <w:t>阮</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92"/>
              <w:jc w:val="left"/>
              <w:rPr>
                <w:rFonts w:ascii="宋体" w:hAnsi="宋体" w:cs="宋体" w:eastAsia="宋体" w:hint="default"/>
                <w:sz w:val="18"/>
                <w:szCs w:val="18"/>
              </w:rPr>
            </w:pPr>
            <w:r>
              <w:rPr>
                <w:rFonts w:ascii="宋体" w:hAnsi="宋体" w:cs="宋体" w:eastAsia="宋体" w:hint="default"/>
                <w:sz w:val="18"/>
                <w:szCs w:val="18"/>
              </w:rPr>
              <w:t>过本次交易 取得的金冠</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2018-06-08</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在凤</w:t>
            </w:r>
            <w:r>
              <w:rPr>
                <w:rFonts w:ascii="Times New Roman" w:hAnsi="Times New Roman" w:cs="Times New Roman" w:eastAsia="Times New Roman" w:hint="default"/>
                <w:sz w:val="18"/>
                <w:szCs w:val="18"/>
              </w:rPr>
              <w:t>;</w:t>
            </w:r>
            <w:r>
              <w:rPr>
                <w:rFonts w:ascii="宋体" w:hAnsi="宋体" w:cs="宋体" w:eastAsia="宋体" w:hint="default"/>
                <w:sz w:val="18"/>
                <w:szCs w:val="18"/>
              </w:rPr>
              <w:t>宋福超</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电气的股份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孙雷</w:t>
            </w:r>
            <w:r>
              <w:rPr>
                <w:rFonts w:ascii="Times New Roman" w:hAnsi="Times New Roman" w:cs="Times New Roman" w:eastAsia="Times New Roman" w:hint="default"/>
                <w:sz w:val="18"/>
                <w:szCs w:val="18"/>
              </w:rPr>
              <w:t>;</w:t>
            </w:r>
            <w:r>
              <w:rPr>
                <w:rFonts w:ascii="宋体" w:hAnsi="宋体" w:cs="宋体" w:eastAsia="宋体" w:hint="default"/>
                <w:sz w:val="18"/>
                <w:szCs w:val="18"/>
              </w:rPr>
              <w:t>孙益兵</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由于金冠电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孙莹</w:t>
            </w:r>
            <w:r>
              <w:rPr>
                <w:rFonts w:ascii="Times New Roman" w:hAnsi="Times New Roman" w:cs="Times New Roman" w:eastAsia="Times New Roman" w:hint="default"/>
                <w:sz w:val="18"/>
                <w:szCs w:val="18"/>
              </w:rPr>
              <w:t>;</w:t>
            </w:r>
            <w:r>
              <w:rPr>
                <w:rFonts w:ascii="宋体" w:hAnsi="宋体" w:cs="宋体" w:eastAsia="宋体" w:hint="default"/>
                <w:sz w:val="18"/>
                <w:szCs w:val="18"/>
              </w:rPr>
              <w:t>夏玉宝</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气送红股、转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许永建</w:t>
            </w:r>
            <w:r>
              <w:rPr>
                <w:rFonts w:ascii="Times New Roman" w:hAnsi="Times New Roman" w:cs="Times New Roman" w:eastAsia="Times New Roman" w:hint="default"/>
                <w:sz w:val="18"/>
                <w:szCs w:val="18"/>
              </w:rPr>
              <w:t>;</w:t>
            </w:r>
            <w:r>
              <w:rPr>
                <w:rFonts w:ascii="宋体" w:hAnsi="宋体" w:cs="宋体" w:eastAsia="宋体" w:hint="default"/>
                <w:sz w:val="18"/>
                <w:szCs w:val="18"/>
              </w:rPr>
              <w:t>严克</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增股本等原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广</w:t>
            </w:r>
            <w:r>
              <w:rPr>
                <w:rFonts w:ascii="Times New Roman" w:hAnsi="Times New Roman" w:cs="Times New Roman" w:eastAsia="Times New Roman" w:hint="default"/>
                <w:sz w:val="18"/>
                <w:szCs w:val="18"/>
              </w:rPr>
              <w:t>;</w:t>
            </w:r>
            <w:r>
              <w:rPr>
                <w:rFonts w:ascii="宋体" w:hAnsi="宋体" w:cs="宋体" w:eastAsia="宋体" w:hint="default"/>
                <w:sz w:val="18"/>
                <w:szCs w:val="18"/>
              </w:rPr>
              <w:t>张雷</w:t>
            </w:r>
            <w:r>
              <w:rPr>
                <w:rFonts w:ascii="Times New Roman" w:hAnsi="Times New Roman" w:cs="Times New Roman" w:eastAsia="Times New Roman" w:hint="default"/>
                <w:sz w:val="18"/>
                <w:szCs w:val="18"/>
              </w:rPr>
              <w:t>;</w:t>
            </w:r>
            <w:r>
              <w:rPr>
                <w:rFonts w:ascii="宋体" w:hAnsi="宋体" w:cs="宋体" w:eastAsia="宋体" w:hint="default"/>
                <w:sz w:val="18"/>
                <w:szCs w:val="18"/>
              </w:rPr>
              <w:t>张亚</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因而孳息的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贤</w:t>
            </w:r>
            <w:r>
              <w:rPr>
                <w:rFonts w:ascii="Times New Roman" w:hAnsi="Times New Roman" w:cs="Times New Roman" w:eastAsia="Times New Roman" w:hint="default"/>
                <w:sz w:val="18"/>
                <w:szCs w:val="18"/>
              </w:rPr>
              <w:t>;</w:t>
            </w:r>
            <w:r>
              <w:rPr>
                <w:rFonts w:ascii="宋体" w:hAnsi="宋体" w:cs="宋体" w:eastAsia="宋体" w:hint="default"/>
                <w:sz w:val="18"/>
                <w:szCs w:val="18"/>
              </w:rPr>
              <w:t>周一心</w:t>
            </w:r>
            <w:r>
              <w:rPr>
                <w:rFonts w:ascii="Times New Roman" w:hAnsi="Times New Roman" w:cs="Times New Roman" w:eastAsia="Times New Roman" w:hint="default"/>
                <w:sz w:val="18"/>
                <w:szCs w:val="18"/>
              </w:rPr>
              <w:t>;</w:t>
            </w:r>
            <w:r>
              <w:rPr>
                <w:rFonts w:ascii="宋体" w:hAnsi="宋体" w:cs="宋体" w:eastAsia="宋体" w:hint="default"/>
                <w:sz w:val="18"/>
                <w:szCs w:val="18"/>
              </w:rPr>
              <w:t>周</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股份，亦应遵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永志</w:t>
            </w:r>
            <w:r>
              <w:rPr>
                <w:rFonts w:ascii="Times New Roman" w:hAnsi="Times New Roman" w:cs="Times New Roman" w:eastAsia="Times New Roman" w:hint="default"/>
                <w:sz w:val="18"/>
                <w:szCs w:val="18"/>
              </w:rPr>
              <w:t>;</w:t>
            </w:r>
            <w:r>
              <w:rPr>
                <w:rFonts w:ascii="宋体" w:hAnsi="宋体" w:cs="宋体" w:eastAsia="宋体" w:hint="default"/>
                <w:sz w:val="18"/>
                <w:szCs w:val="18"/>
              </w:rPr>
              <w:t>卓亚</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守上述股份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锁定承诺。</w:t>
            </w:r>
            <w:r>
              <w:rPr>
                <w:rFonts w:ascii="Times New Roman" w:hAnsi="Times New Roman" w:cs="Times New Roman" w:eastAsia="Times New Roman" w:hint="default"/>
                <w:sz w:val="18"/>
                <w:szCs w:val="18"/>
              </w:rPr>
              <w:t>3</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若上述锁定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与证券监管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部门的最新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监管意见不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符的，本人将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根据相关证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券监管部门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的监管意见 进行相应调 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075"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18"/>
              <w:ind w:left="23" w:right="20"/>
              <w:jc w:val="left"/>
              <w:rPr>
                <w:rFonts w:ascii="宋体" w:hAnsi="宋体" w:cs="宋体" w:eastAsia="宋体" w:hint="default"/>
                <w:sz w:val="18"/>
                <w:szCs w:val="18"/>
              </w:rPr>
            </w:pPr>
            <w:r>
              <w:rPr>
                <w:rFonts w:ascii="宋体" w:hAnsi="宋体" w:cs="宋体" w:eastAsia="宋体" w:hint="default"/>
                <w:sz w:val="18"/>
                <w:szCs w:val="18"/>
              </w:rPr>
              <w:t>李从文</w:t>
            </w:r>
            <w:r>
              <w:rPr>
                <w:rFonts w:ascii="Times New Roman" w:hAnsi="Times New Roman" w:cs="Times New Roman" w:eastAsia="Times New Roman" w:hint="default"/>
                <w:sz w:val="18"/>
                <w:szCs w:val="18"/>
              </w:rPr>
              <w:t>;</w:t>
            </w:r>
            <w:r>
              <w:rPr>
                <w:rFonts w:ascii="宋体" w:hAnsi="宋体" w:cs="宋体" w:eastAsia="宋体" w:hint="default"/>
                <w:sz w:val="18"/>
                <w:szCs w:val="18"/>
              </w:rPr>
              <w:t>诺远 资产管理有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景欣 定增精选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 私募投资基 金</w:t>
            </w:r>
            <w:r>
              <w:rPr>
                <w:rFonts w:ascii="Times New Roman" w:hAnsi="Times New Roman" w:cs="Times New Roman" w:eastAsia="Times New Roman" w:hint="default"/>
                <w:sz w:val="18"/>
                <w:szCs w:val="18"/>
              </w:rPr>
              <w:t>;</w:t>
            </w:r>
            <w:r>
              <w:rPr>
                <w:rFonts w:ascii="宋体" w:hAnsi="宋体" w:cs="宋体" w:eastAsia="宋体" w:hint="default"/>
                <w:sz w:val="18"/>
                <w:szCs w:val="18"/>
              </w:rPr>
              <w:t>诺远资产 管理有限公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景欣定增 精选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号私募 投资基金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上 海钧犀事业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庄 展诺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公司作 为合规投资 者参与认购 吉林省金冠 电气股份有 </w:t>
            </w:r>
            <w:r>
              <w:rPr>
                <w:rFonts w:ascii="宋体" w:hAnsi="宋体" w:cs="宋体" w:eastAsia="宋体" w:hint="default"/>
                <w:spacing w:val="-2"/>
                <w:sz w:val="18"/>
                <w:szCs w:val="18"/>
              </w:rPr>
              <w:t>限公司（股票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代码： </w:t>
            </w:r>
            <w:r>
              <w:rPr>
                <w:rFonts w:ascii="Times New Roman" w:hAnsi="Times New Roman" w:cs="Times New Roman" w:eastAsia="Times New Roman" w:hint="default"/>
                <w:spacing w:val="-2"/>
                <w:sz w:val="18"/>
                <w:szCs w:val="18"/>
              </w:rPr>
              <w:t>300510</w:t>
            </w:r>
            <w:r>
              <w:rPr>
                <w:rFonts w:ascii="宋体" w:hAnsi="宋体" w:cs="宋体" w:eastAsia="宋体" w:hint="default"/>
                <w:spacing w:val="-2"/>
                <w:sz w:val="18"/>
                <w:szCs w:val="18"/>
              </w:rPr>
              <w:t>，以下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金冠电 </w:t>
            </w:r>
            <w:r>
              <w:rPr>
                <w:rFonts w:ascii="宋体" w:hAnsi="宋体" w:cs="宋体" w:eastAsia="宋体" w:hint="default"/>
                <w:spacing w:val="-13"/>
                <w:w w:val="100"/>
                <w:sz w:val="18"/>
                <w:szCs w:val="18"/>
              </w:rPr>
              <w:t>气</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）非公开发</w:t>
            </w:r>
            <w:r>
              <w:rPr>
                <w:rFonts w:ascii="宋体" w:hAnsi="宋体" w:cs="宋体" w:eastAsia="宋体" w:hint="default"/>
                <w:sz w:val="18"/>
                <w:szCs w:val="18"/>
              </w:rPr>
              <w:t> </w:t>
            </w:r>
            <w:r>
              <w:rPr>
                <w:rFonts w:ascii="宋体" w:hAnsi="宋体" w:cs="宋体" w:eastAsia="宋体" w:hint="default"/>
                <w:spacing w:val="-2"/>
                <w:sz w:val="18"/>
                <w:szCs w:val="18"/>
              </w:rPr>
              <w:t>行股票。根据</w:t>
            </w:r>
          </w:p>
          <w:p>
            <w:pPr>
              <w:pStyle w:val="TableParagraph"/>
              <w:spacing w:line="316" w:lineRule="auto" w:before="22"/>
              <w:ind w:left="22" w:right="21"/>
              <w:jc w:val="left"/>
              <w:rPr>
                <w:rFonts w:ascii="宋体" w:hAnsi="宋体" w:cs="宋体" w:eastAsia="宋体" w:hint="default"/>
                <w:sz w:val="18"/>
                <w:szCs w:val="18"/>
              </w:rPr>
            </w:pPr>
            <w:r>
              <w:rPr>
                <w:rFonts w:ascii="宋体" w:hAnsi="宋体" w:cs="宋体" w:eastAsia="宋体" w:hint="default"/>
                <w:sz w:val="18"/>
                <w:szCs w:val="18"/>
              </w:rPr>
              <w:t>《上市公司 证券发行管 </w:t>
            </w:r>
            <w:r>
              <w:rPr>
                <w:rFonts w:ascii="宋体" w:hAnsi="宋体" w:cs="宋体" w:eastAsia="宋体" w:hint="default"/>
                <w:spacing w:val="-28"/>
                <w:sz w:val="18"/>
                <w:szCs w:val="18"/>
              </w:rPr>
              <w:t>理办法》、《上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市公司非公 开发行股票 </w:t>
            </w:r>
            <w:r>
              <w:rPr>
                <w:rFonts w:ascii="宋体" w:hAnsi="宋体" w:cs="宋体" w:eastAsia="宋体" w:hint="default"/>
                <w:spacing w:val="-2"/>
                <w:sz w:val="18"/>
                <w:szCs w:val="18"/>
              </w:rPr>
              <w:t>实施细则》等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相关规定，本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本人申 请将在金冠 电气本次非 公开发行过 程中认购的 金冠电气股 票进行锁定 </w:t>
            </w:r>
            <w:r>
              <w:rPr>
                <w:rFonts w:ascii="宋体" w:hAnsi="宋体" w:cs="宋体" w:eastAsia="宋体" w:hint="default"/>
                <w:spacing w:val="-2"/>
                <w:sz w:val="18"/>
                <w:szCs w:val="18"/>
              </w:rPr>
              <w:t>处理，锁定期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自金冠电气 本次非公开 发行新增股 份上市首日 起满十二个 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2018-09-20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2" w:lineRule="auto"/>
              <w:ind w:left="23" w:right="141"/>
              <w:jc w:val="both"/>
              <w:rPr>
                <w:rFonts w:ascii="宋体" w:hAnsi="宋体" w:cs="宋体" w:eastAsia="宋体" w:hint="default"/>
                <w:sz w:val="18"/>
                <w:szCs w:val="18"/>
              </w:rPr>
            </w:pPr>
            <w:r>
              <w:rPr>
                <w:rFonts w:ascii="宋体" w:hAnsi="宋体" w:cs="宋体" w:eastAsia="宋体" w:hint="default"/>
                <w:sz w:val="18"/>
                <w:szCs w:val="18"/>
              </w:rPr>
              <w:t>吉林省金冠 电气股份有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南京 能策投资管 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孙金良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（一）业绩承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诺及补偿义 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、各方同 </w:t>
            </w:r>
            <w:r>
              <w:rPr>
                <w:rFonts w:ascii="宋体" w:hAnsi="宋体" w:cs="宋体" w:eastAsia="宋体" w:hint="default"/>
                <w:spacing w:val="-2"/>
                <w:sz w:val="18"/>
                <w:szCs w:val="18"/>
              </w:rPr>
              <w:t>意，补偿义务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人就标的公 司应予实现 承诺净利润 的业绩承诺 期间为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2129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8"/>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年度、</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度三个完整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会计年度。</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孙金良及能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策投资单独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且连带地同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意并承诺，标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诺净利润不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元，</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不低于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诺净利润是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指，补偿义务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人连带承诺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于业绩承诺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期间应予实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现的扣除非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经常性损益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后归属于母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公司股东的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净利润，但同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时还应当包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当期取得或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分摊的与新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能源汽车充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电设施投资、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建设、运营的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相关政府补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助。其中，政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府补助考核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方式具体如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如该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等政府补助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为与资产相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关的政府补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助，则将收到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的补贴款项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自相关充电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桩设备及配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套设施达到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预定可使用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状态时起，在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相关资产对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应的预计使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用年限内均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匀分摊计入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当期损益。当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期收到的政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府补助不得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向以前年度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分摊，但归属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于以前年度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已投入使用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资产对应运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营期间的相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关补助可以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直接计入当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期损益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如该等政府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补助为与收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益相关的政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府补助，且用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于补偿标的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公司已发生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的费用或损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失的，则直接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计入当期损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4</w:t>
            </w:r>
            <w:r>
              <w:rPr>
                <w:rFonts w:ascii="宋体" w:hAnsi="宋体" w:cs="宋体" w:eastAsia="宋体" w:hint="default"/>
                <w:sz w:val="18"/>
                <w:szCs w:val="18"/>
              </w:rPr>
              <w:t>、在承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诺期间内的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每一个会计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年度结束后，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金冠电气应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聘请具有相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关证券业务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资格的会计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师事务所审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计确认标的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公司于该会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25.483002pt;margin-top:72.47998pt;width:98pt;height:686.5pt;mso-position-horizontal-relative:page;mso-position-vertical-relative:page;z-index:-2129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0"/>
                      <w:szCs w:val="20"/>
                    </w:rPr>
                  </w:pPr>
                </w:p>
                <w:p>
                  <w:pPr>
                    <w:pStyle w:val="BodyText"/>
                    <w:spacing w:line="240" w:lineRule="auto" w:before="0"/>
                    <w:ind w:left="0" w:right="0"/>
                    <w:jc w:val="left"/>
                  </w:pPr>
                  <w:r>
                    <w:rPr/>
                    <w:t>各方同意，</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0"/>
                    <w:ind w:left="359" w:right="0"/>
                    <w:jc w:val="left"/>
                  </w:pPr>
                  <w:r>
                    <w:rPr/>
                    <w:t>万元）</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计年度完成</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的实际净利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润并就此出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报告，且应在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其年度报告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中单独披露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标的资产的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当期实际净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利润与本协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议中承诺净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利润的差异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w:t>
            </w:r>
            <w:r>
              <w:rPr>
                <w:rFonts w:ascii="宋体" w:hAnsi="宋体" w:cs="宋体" w:eastAsia="宋体" w:hint="default"/>
                <w:spacing w:val="-90"/>
                <w:sz w:val="18"/>
                <w:szCs w:val="18"/>
              </w:rPr>
              <w:t>。</w:t>
            </w:r>
            <w:r>
              <w:rPr>
                <w:rFonts w:ascii="宋体" w:hAnsi="宋体" w:cs="宋体" w:eastAsia="宋体" w:hint="default"/>
                <w:sz w:val="18"/>
                <w:szCs w:val="18"/>
              </w:rPr>
              <w:t>（二）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业绩承诺补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偿应当以股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份或现金方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式进行补偿。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成后，如标的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公司在业绩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承诺期间内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未能实现当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期累积承诺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净利润，则补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偿义务人当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期应补偿金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额的确定方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式如下：当期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应补偿金额</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（截至当期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期末累积承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－截至当期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期末累积实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业绩承诺期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间内各年的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拟购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买标的资产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交易作价（即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150,400</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－累积已补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偿金额  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偿义务人可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以选择以本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次交易取得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的对价股份、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现金对价、自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有资金或自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筹资金向金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冠电气进行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相应补偿，补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偿义务人当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期应补偿股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份数量和当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期应补偿现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金金额应满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足如下条件：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当期应补偿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当期应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补偿股份数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价格</w:t>
            </w:r>
            <w:r>
              <w:rPr>
                <w:rFonts w:ascii="Times New Roman" w:hAnsi="Times New Roman" w:cs="Times New Roman" w:eastAsia="Times New Roman" w:hint="default"/>
                <w:sz w:val="18"/>
                <w:szCs w:val="18"/>
              </w:rPr>
              <w:t>+</w:t>
            </w:r>
            <w:r>
              <w:rPr>
                <w:rFonts w:ascii="宋体" w:hAnsi="宋体" w:cs="宋体" w:eastAsia="宋体" w:hint="default"/>
                <w:sz w:val="18"/>
                <w:szCs w:val="18"/>
              </w:rPr>
              <w:t>当期应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补偿现金金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2</w:t>
            </w:r>
            <w:r>
              <w:rPr>
                <w:rFonts w:ascii="宋体" w:hAnsi="宋体" w:cs="宋体" w:eastAsia="宋体" w:hint="default"/>
                <w:sz w:val="18"/>
                <w:szCs w:val="18"/>
              </w:rPr>
              <w:t>、当期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应补偿股份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数量的确定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方式如下：当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期应补偿股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期应补偿金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额－当期已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补偿现金金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行价格  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业绩承诺期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间内实施送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股、公积金转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增股本的，则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当期应补偿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股份数量应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调整为：当期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应补偿股份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数量（经调整</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Times New Roman" w:hAnsi="Times New Roman" w:cs="Times New Roman" w:eastAsia="Times New Roman" w:hint="default"/>
                <w:sz w:val="18"/>
                <w:szCs w:val="18"/>
              </w:rPr>
              <w:t>=</w:t>
            </w:r>
            <w:r>
              <w:rPr>
                <w:rFonts w:ascii="宋体" w:hAnsi="宋体" w:cs="宋体" w:eastAsia="宋体" w:hint="default"/>
                <w:sz w:val="18"/>
                <w:szCs w:val="18"/>
              </w:rPr>
              <w:t>当期应</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补偿股份数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或转增比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同意，补偿义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务人应在业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绩承诺期间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内以各承诺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年度逐年对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行补偿，在各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年计算的补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pacing w:val="-4"/>
                <w:sz w:val="18"/>
                <w:szCs w:val="18"/>
              </w:rPr>
              <w:t>时，按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取值，即已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经补偿的股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份不冲回。按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照上述公式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计算的应补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偿股份数在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个位之后存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在尾数的，均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按照舍去尾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数向上取整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的方式进行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处理。</w:t>
            </w:r>
            <w:r>
              <w:rPr>
                <w:rFonts w:ascii="Times New Roman" w:hAnsi="Times New Roman" w:cs="Times New Roman" w:eastAsia="Times New Roman" w:hint="default"/>
                <w:sz w:val="18"/>
                <w:szCs w:val="18"/>
              </w:rPr>
              <w:t>4</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应补偿股份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红，补偿义务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人应将其所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股利一次性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相应返还至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定的账户内，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计算公式为：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返还金额</w:t>
            </w:r>
            <w:r>
              <w:rPr>
                <w:rFonts w:ascii="Times New Roman" w:hAnsi="Times New Roman" w:cs="Times New Roman" w:eastAsia="Times New Roman" w:hint="default"/>
                <w:sz w:val="18"/>
                <w:szCs w:val="18"/>
              </w:rPr>
              <w:t>=</w:t>
            </w:r>
            <w:r>
              <w:rPr>
                <w:rFonts w:ascii="宋体" w:hAnsi="宋体" w:cs="宋体" w:eastAsia="宋体" w:hint="default"/>
                <w:sz w:val="18"/>
                <w:szCs w:val="18"/>
              </w:rPr>
              <w:t>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股已分配的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现金股利</w:t>
            </w:r>
            <w:r>
              <w:rPr>
                <w:rFonts w:ascii="Times New Roman" w:hAnsi="Times New Roman" w:cs="Times New Roman" w:eastAsia="Times New Roman" w:hint="default"/>
                <w:sz w:val="18"/>
                <w:szCs w:val="18"/>
              </w:rPr>
              <w:t>×</w:t>
            </w:r>
            <w:r>
              <w:rPr>
                <w:rFonts w:ascii="宋体" w:hAnsi="宋体" w:cs="宋体" w:eastAsia="宋体" w:hint="default"/>
                <w:sz w:val="18"/>
                <w:szCs w:val="18"/>
              </w:rPr>
              <w:t>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照上述公式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计算的当期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应补偿股份</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pacing w:val="-90"/>
                <w:sz w:val="18"/>
                <w:szCs w:val="18"/>
              </w:rPr>
              <w:t>。</w:t>
            </w:r>
            <w:r>
              <w:rPr>
                <w:rFonts w:ascii="宋体" w:hAnsi="宋体" w:cs="宋体" w:eastAsia="宋体" w:hint="default"/>
                <w:sz w:val="18"/>
                <w:szCs w:val="18"/>
              </w:rPr>
              <w:t>（三）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补偿程序的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、若标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的公司在承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诺期内任一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会计年度截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至当期累积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未能达到截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至当期累积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当在当期专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项审核报告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个工作日内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以书面形式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通知补偿义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务人。补偿义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务人在收到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书面通知后，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作日内根据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本协议的相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关约定确定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当期应补偿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股份数量及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当期应补偿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现金金额并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书面通知上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市公司。如补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偿义务人选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择以现金进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行补偿的，则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应当在收到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书面通知后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内将当期应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补偿的现金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金额支付到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上市公司指</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定的账户。如</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补偿义务人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在收到金冠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电气通知之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作日内因任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何原因未能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进行或未能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足额进行现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金补偿的，则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金冠电气有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权要求补偿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义务人以其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取得的对价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股份对不足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部分进行补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w:t>
            </w:r>
            <w:r>
              <w:rPr>
                <w:rFonts w:ascii="Times New Roman" w:hAnsi="Times New Roman" w:cs="Times New Roman" w:eastAsia="Times New Roman" w:hint="default"/>
                <w:sz w:val="18"/>
                <w:szCs w:val="18"/>
              </w:rPr>
              <w:t>2</w:t>
            </w:r>
            <w:r>
              <w:rPr>
                <w:rFonts w:ascii="宋体" w:hAnsi="宋体" w:cs="宋体" w:eastAsia="宋体" w:hint="default"/>
                <w:sz w:val="18"/>
                <w:szCs w:val="18"/>
              </w:rPr>
              <w:t>、若补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偿义务人选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择以对价股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份进行补偿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应在当期专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项审核报告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披露后适当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期间内召开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董事会并发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通知，审议关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于回购补偿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义务人应补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偿股份并注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销的相关方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案，并相应履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关于减少注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册资本的相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关程序。上市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公司就补偿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义务人补偿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的股份，首先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采用股份回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购注销方案，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如股份回购</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注销方案因</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未获得上市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会通过等原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因无法实施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将进一步要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求补偿义务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人将应补偿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股份无偿转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让给上市公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司其他股东，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或者要求补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偿义务人以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其他合法的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方式履行股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份补偿义务，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具体程序如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若上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大会审议通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过了股份回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购注销方案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的，则上市公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元的总价回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购并注销补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偿义务人当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年应补偿的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股份，并在股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作日内将股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份回购数量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书面通知补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偿义务人。补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偿义务人应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在收到上市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公司书面通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工作日内，配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向中国证券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登记结算有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深圳分公司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发出将其当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年应补偿股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份过户至上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会设立的专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门账户的指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令。该等股份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过户至上市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设立的专门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账户之后，上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快办理该等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股份的注销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事宜</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）若</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上述股份回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购注销事宜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因未获得上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大会通过无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法实施，则上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议公告后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工作日内书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面通知补偿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义务人实施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股份无偿转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让方案。补偿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义务人应在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收到上市公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司书面通知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工作日内，将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应补偿的股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份无偿转让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截至审议股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份补偿的股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登记日登记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在册的其他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43.483002pt;margin-top:72.47998pt;width:80pt;height:686.5pt;mso-position-horizontal-relative:page;mso-position-vertical-relative:page;z-index:-21291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6"/>
                    <w:ind w:left="0" w:right="0"/>
                    <w:jc w:val="left"/>
                  </w:pPr>
                  <w:r>
                    <w:rPr/>
                    <w:t>（四）</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）自</w:t>
            </w:r>
            <w:r>
              <w:rPr>
                <w:rFonts w:ascii="宋体" w:hAnsi="宋体" w:cs="宋体" w:eastAsia="宋体" w:hint="default"/>
                <w:sz w:val="18"/>
                <w:szCs w:val="18"/>
              </w:rPr>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补偿义务人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应补偿股份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数量确定之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日起至该等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股份注销前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或被无偿转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让予其他股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东前，补偿义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务人承诺放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弃该部分股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份对应的表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决权</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）如</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因其他原因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导致前述方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案均无法实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施，则补偿义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务人应当根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据金冠电气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的要求依法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履行股份补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减值测试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业绩承诺期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间届满时，上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聘请具有从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事证券相关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业务资格的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会计师事务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所对标的资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产进行减值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测试，并出具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专项核查意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见。若标的资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产期末减值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额＞已补偿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补偿现金金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额（以下简称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减值迹象</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则补偿义务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人应另行以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得的对价股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份、现金对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价、自有资金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或自筹资金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进行补偿，另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需补偿的金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额计算方式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为：期末减值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应补偿金额</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标的资产期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末减值额</w:t>
            </w:r>
            <w:r>
              <w:rPr>
                <w:rFonts w:ascii="Times New Roman" w:hAnsi="Times New Roman" w:cs="Times New Roman" w:eastAsia="Times New Roman" w:hint="default"/>
                <w:sz w:val="18"/>
                <w:szCs w:val="18"/>
              </w:rPr>
              <w:t>-</w:t>
            </w:r>
            <w:r>
              <w:rPr>
                <w:rFonts w:ascii="宋体" w:hAnsi="宋体" w:cs="宋体" w:eastAsia="宋体" w:hint="default"/>
                <w:sz w:val="18"/>
                <w:szCs w:val="18"/>
              </w:rPr>
              <w:t>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补偿股份总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现金金额。补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偿义务人可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以选择以本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次交易取得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的对价股份、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现金对价、自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有资金或自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筹资金向金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冠电气进行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相应补偿，补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偿义务人因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出现减值迹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象另外需要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的补偿股份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数量和现金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金额应满足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如下条件：期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末减值应补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期末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减值应补偿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次发行价格</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期末减值应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补偿现金金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额。如上市公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司就上述期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末减值应补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偿股份实施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现金分红，补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偿义务人应</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将其所取得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应补偿股份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的现金股利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一次性相应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返还至上市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公司指定的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账户内，计算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公式为：返还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每股已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分配的现金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w:t>
            </w:r>
            <w:r>
              <w:rPr>
                <w:rFonts w:ascii="Times New Roman" w:hAnsi="Times New Roman" w:cs="Times New Roman" w:eastAsia="Times New Roman" w:hint="default"/>
                <w:sz w:val="18"/>
                <w:szCs w:val="18"/>
              </w:rPr>
              <w:t>×</w:t>
            </w:r>
            <w:r>
              <w:rPr>
                <w:rFonts w:ascii="宋体" w:hAnsi="宋体" w:cs="宋体" w:eastAsia="宋体" w:hint="default"/>
                <w:sz w:val="18"/>
                <w:szCs w:val="18"/>
              </w:rPr>
              <w:t>按照上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述公式计算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的期末减值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应补偿股份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2</w:t>
            </w:r>
            <w:r>
              <w:rPr>
                <w:rFonts w:ascii="宋体" w:hAnsi="宋体" w:cs="宋体" w:eastAsia="宋体" w:hint="default"/>
                <w:sz w:val="18"/>
                <w:szCs w:val="18"/>
              </w:rPr>
              <w:t>、补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偿义务人根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据本协议项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下约定累计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用于业绩补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偿及减值补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偿的股份补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偿金额及现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金补偿金额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的总和的上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限为上市公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司根据《发行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股份及支付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现金购买资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产协议》向交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易对方支付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的交易对价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150,400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奖励对价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业绩承诺期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间届满时，若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标的公司业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绩承诺期间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截至任一承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诺年度实际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实现的累积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均超过当期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78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累积承诺净 利润的，上市 公司应当以 现金的方式 向能策投资 及孙金良支 付合计不超 过以下金额 的奖励对价。 奖励对价的 具体计算方 式如下：奖励 对价金额</w:t>
            </w:r>
            <w:r>
              <w:rPr>
                <w:rFonts w:ascii="Times New Roman" w:hAnsi="Times New Roman" w:cs="Times New Roman" w:eastAsia="Times New Roman" w:hint="default"/>
                <w:sz w:val="18"/>
                <w:szCs w:val="18"/>
              </w:rPr>
              <w:t>=</w:t>
            </w:r>
          </w:p>
          <w:p>
            <w:pPr>
              <w:pStyle w:val="TableParagraph"/>
              <w:spacing w:line="314" w:lineRule="auto"/>
              <w:ind w:left="22" w:right="132"/>
              <w:jc w:val="left"/>
              <w:rPr>
                <w:rFonts w:ascii="宋体" w:hAnsi="宋体" w:cs="宋体" w:eastAsia="宋体" w:hint="default"/>
                <w:sz w:val="18"/>
                <w:szCs w:val="18"/>
              </w:rPr>
            </w:pPr>
            <w:r>
              <w:rPr>
                <w:rFonts w:ascii="宋体" w:hAnsi="宋体" w:cs="宋体" w:eastAsia="宋体" w:hint="default"/>
                <w:sz w:val="18"/>
                <w:szCs w:val="18"/>
              </w:rPr>
              <w:t>（业绩承诺 期间累积实 际净利润数</w:t>
            </w:r>
            <w:r>
              <w:rPr>
                <w:rFonts w:ascii="Times New Roman" w:hAnsi="Times New Roman" w:cs="Times New Roman" w:eastAsia="Times New Roman" w:hint="default"/>
                <w:sz w:val="18"/>
                <w:szCs w:val="18"/>
              </w:rPr>
              <w:t>- </w:t>
            </w:r>
            <w:r>
              <w:rPr>
                <w:rFonts w:ascii="宋体" w:hAnsi="宋体" w:cs="宋体" w:eastAsia="宋体" w:hint="default"/>
                <w:sz w:val="18"/>
                <w:szCs w:val="18"/>
              </w:rPr>
              <w:t>业绩承诺期 间累积承诺 净利润数）</w:t>
            </w:r>
          </w:p>
          <w:p>
            <w:pPr>
              <w:pStyle w:val="TableParagraph"/>
              <w:spacing w:line="316" w:lineRule="auto" w:before="20"/>
              <w:ind w:left="22" w:right="21" w:firstLine="2"/>
              <w:jc w:val="left"/>
              <w:rPr>
                <w:rFonts w:ascii="宋体" w:hAnsi="宋体" w:cs="宋体" w:eastAsia="宋体" w:hint="default"/>
                <w:sz w:val="18"/>
                <w:szCs w:val="18"/>
              </w:rPr>
            </w:pPr>
            <w:r>
              <w:rPr>
                <w:rFonts w:ascii="Times New Roman" w:hAnsi="Times New Roman" w:cs="Times New Roman" w:eastAsia="Times New Roman" w:hint="default"/>
                <w:sz w:val="18"/>
                <w:szCs w:val="18"/>
              </w:rPr>
              <w:t>×50%2</w:t>
            </w:r>
            <w:r>
              <w:rPr>
                <w:rFonts w:ascii="宋体" w:hAnsi="宋体" w:cs="宋体" w:eastAsia="宋体" w:hint="default"/>
                <w:sz w:val="18"/>
                <w:szCs w:val="18"/>
              </w:rPr>
              <w:t>、各方 </w:t>
            </w:r>
            <w:r>
              <w:rPr>
                <w:rFonts w:ascii="宋体" w:hAnsi="宋体" w:cs="宋体" w:eastAsia="宋体" w:hint="default"/>
                <w:spacing w:val="-2"/>
                <w:sz w:val="18"/>
                <w:szCs w:val="18"/>
              </w:rPr>
              <w:t>同意，上市公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司向补偿义 务人合计支 付的奖励对 价金额不得 超过本次交 易的交易对 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2" w:lineRule="auto"/>
              <w:ind w:left="23" w:right="89"/>
              <w:jc w:val="left"/>
              <w:rPr>
                <w:rFonts w:ascii="宋体" w:hAnsi="宋体" w:cs="宋体" w:eastAsia="宋体" w:hint="default"/>
                <w:sz w:val="18"/>
                <w:szCs w:val="18"/>
              </w:rPr>
            </w:pPr>
            <w:r>
              <w:rPr>
                <w:rFonts w:ascii="宋体" w:hAnsi="宋体" w:cs="宋体" w:eastAsia="宋体" w:hint="default"/>
                <w:sz w:val="18"/>
                <w:szCs w:val="18"/>
              </w:rPr>
              <w:t>南京能策投 资管理有限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孙金良</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 </w:t>
            </w:r>
            <w:r>
              <w:rPr>
                <w:rFonts w:ascii="宋体" w:hAnsi="宋体" w:cs="宋体" w:eastAsia="宋体" w:hint="default"/>
                <w:spacing w:val="-2"/>
                <w:sz w:val="18"/>
                <w:szCs w:val="18"/>
              </w:rPr>
              <w:t>将按照《公司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法》等相关法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律法规、金冠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电气《公司章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程》及关联交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易决策制度 等有关规定 行使股东权 </w:t>
            </w:r>
            <w:r>
              <w:rPr>
                <w:rFonts w:ascii="宋体" w:hAnsi="宋体" w:cs="宋体" w:eastAsia="宋体" w:hint="default"/>
                <w:spacing w:val="-2"/>
                <w:sz w:val="18"/>
                <w:szCs w:val="18"/>
              </w:rPr>
              <w:t>利，充分尊重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金冠电气的 独立法人地 </w:t>
            </w:r>
            <w:r>
              <w:rPr>
                <w:rFonts w:ascii="宋体" w:hAnsi="宋体" w:cs="宋体" w:eastAsia="宋体" w:hint="default"/>
                <w:spacing w:val="-2"/>
                <w:sz w:val="18"/>
                <w:szCs w:val="18"/>
              </w:rPr>
              <w:t>位，保障金冠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电气独立经 营、自主决 </w:t>
            </w:r>
            <w:r>
              <w:rPr>
                <w:rFonts w:ascii="宋体" w:hAnsi="宋体" w:cs="宋体" w:eastAsia="宋体" w:hint="default"/>
                <w:spacing w:val="-2"/>
                <w:sz w:val="18"/>
                <w:szCs w:val="18"/>
              </w:rPr>
              <w:t>策；在金冠电</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气股东大会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对涉及本承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交易进行表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决时，履行回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避表决的义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2</w:t>
            </w:r>
            <w:r>
              <w:rPr>
                <w:rFonts w:ascii="宋体" w:hAnsi="宋体" w:cs="宋体" w:eastAsia="宋体" w:hint="default"/>
                <w:sz w:val="18"/>
                <w:szCs w:val="18"/>
              </w:rPr>
              <w:t>、本承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诺人将避免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一切非法占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用金冠电气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及其合并范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围内子公司</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企业（以下简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的资金、资产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的行为，在任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何情况下，不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会要求金冠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公司向本承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诺人及本承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相关企业提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供任何形式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的担保。</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制的相关企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业将尽可能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地避免和减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少与金冠电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气及其子公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易；对无法避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免或者有合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理原因而发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易，将遵循市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场公正、公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平、公开的原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则，并依法签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订协议，履行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合法程序，按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照金冠电气</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594.9pt;mso-position-horizontal-relative:page;mso-position-vertical-relative:page;z-index:-2129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1"/>
                      <w:szCs w:val="21"/>
                    </w:rPr>
                  </w:pPr>
                </w:p>
                <w:p>
                  <w:pPr>
                    <w:pStyle w:val="BodyText"/>
                    <w:spacing w:line="240" w:lineRule="auto" w:before="0"/>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9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《公司章程》 及关联交易 决策制度、有 关法律法规 和《深圳证券 交易所创业 板股票上市 规则》等有关 规定履行信 息披露义务 和办理有关 报批程序，保 证不通过关 联交易损害 金冠电气及 其他股东的 合法权益。</w:t>
            </w:r>
            <w:r>
              <w:rPr>
                <w:rFonts w:ascii="Times New Roman" w:hAnsi="Times New Roman" w:cs="Times New Roman" w:eastAsia="Times New Roman" w:hint="default"/>
                <w:sz w:val="18"/>
                <w:szCs w:val="18"/>
              </w:rPr>
              <w:t>4 </w:t>
            </w:r>
            <w:r>
              <w:rPr>
                <w:rFonts w:ascii="宋体" w:hAnsi="宋体" w:cs="宋体" w:eastAsia="宋体" w:hint="default"/>
                <w:sz w:val="18"/>
                <w:szCs w:val="18"/>
              </w:rPr>
              <w:t>对于因本承 诺人违反本 承诺函所作 的承诺而给 金冠电气或 其子公司造 成的一切损 失，由本承诺 人承担赔偿 责任。本承诺 一经作出即 生效，自本承 诺人持有金 冠电气股份 及依照有关 规定被认定 为金冠电气 关联人期间 均持续有效 且不可变更 或撤销。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189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7"/>
                <w:sz w:val="20"/>
                <w:szCs w:val="20"/>
              </w:rPr>
              <w:pict>
                <v:group style="width:55.85pt;height:594.9pt;mso-position-horizontal-relative:char;mso-position-vertical-relative:line" coordorigin="0,0" coordsize="1117,11898">
                  <v:group style="position:absolute;left:0;top:0;width:1117;height:11898" coordorigin="0,0" coordsize="1117,11898">
                    <v:shape style="position:absolute;left:0;top:0;width:1117;height:11898" coordorigin="0,0" coordsize="1117,11898" path="m0,11898l1116,11898,1116,0,0,0,0,11898xe" filled="true" fillcolor="#ffffff" stroked="false">
                      <v:path arrowok="t"/>
                      <v:fill type="solid"/>
                    </v:shape>
                  </v:group>
                </v:group>
              </w:pict>
            </w:r>
            <w:r>
              <w:rPr>
                <w:rFonts w:ascii="Times New Roman" w:hAnsi="Times New Roman" w:cs="Times New Roman" w:eastAsia="Times New Roman" w:hint="default"/>
                <w:position w:val="-237"/>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9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141"/>
              <w:jc w:val="both"/>
              <w:rPr>
                <w:rFonts w:ascii="宋体" w:hAnsi="宋体" w:cs="宋体" w:eastAsia="宋体" w:hint="default"/>
                <w:sz w:val="18"/>
                <w:szCs w:val="18"/>
              </w:rPr>
            </w:pPr>
            <w:r>
              <w:rPr>
                <w:rFonts w:ascii="宋体" w:hAnsi="宋体" w:cs="宋体" w:eastAsia="宋体" w:hint="default"/>
                <w:sz w:val="18"/>
                <w:szCs w:val="18"/>
              </w:rPr>
              <w:t>南京能策投 资管理有限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孙金良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司目前未在 与金冠电气、 能瑞自动化 及其子公司 业务相同或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相似的其他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公司或者经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济组织中担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任职务。</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本人投资或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者单独控制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或本人作为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除能瑞自动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化及其子公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司以外的其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他公司及企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业（以下简称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相关企业</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目前均未以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任何形式从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事与金冠电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气、能瑞自动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化及其子公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司的主营业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务构成或可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能构成直接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关系的业务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或活动。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投资或者单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独控制或本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人作为实际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关企业，也不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会以任何形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式从事或参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与金冠电气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目前或今后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从事的主营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业务构成或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可能构成直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争关系的业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务或活动或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给予该等业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务或活动任</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何支持。除前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述承诺之外，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进一步保证，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成后</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）将</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根据有关法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定确保金冠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公司在资产、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财务、机构方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面的独立性；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）将不利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用金冠电气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股东的身份，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进行其他任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何损害金冠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公司权益的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）如</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及相关企业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从任何第三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者获得的任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何日常业务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经营机会与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金冠电气及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其子公司目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前或今后从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事的主营业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及相关企业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将立即通知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金冠电气，并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尽力将该等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与金冠电气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）金冠电</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气认定本人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或本人投资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相关企业正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在或将要从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事的业务与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金冠电气及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其子公司存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投资或控制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将进行减持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直至全部转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让相关企业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资产和业务；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他企业与金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冠电气及其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子公司因同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业竞争产生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利益冲突，则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优先考虑金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冠电气及其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益。本人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司对因违反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保证而给金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冠电气造成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的经济损失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承担赔偿责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任。本人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司谨此确认：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除非法律另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有规定，自本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承诺函出具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诺函及本承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诺函项下之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承诺均不可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撤销；如法律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另有规定，造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成上述承诺 及保证部分 内容无效或 </w:t>
            </w:r>
            <w:r>
              <w:rPr>
                <w:rFonts w:ascii="宋体" w:hAnsi="宋体" w:cs="宋体" w:eastAsia="宋体" w:hint="default"/>
                <w:spacing w:val="-2"/>
                <w:sz w:val="18"/>
                <w:szCs w:val="18"/>
              </w:rPr>
              <w:t>不可执行，不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影响本人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公司在本承 诺函项下其 它承诺及保 证的效力</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6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、本人单独 控制或本人 作为实际控 制人除金冠 电气及其子 公司以外的 其他公司及 </w:t>
            </w:r>
            <w:r>
              <w:rPr>
                <w:rFonts w:ascii="宋体" w:hAnsi="宋体" w:cs="宋体" w:eastAsia="宋体" w:hint="default"/>
                <w:spacing w:val="-2"/>
                <w:sz w:val="18"/>
                <w:szCs w:val="18"/>
              </w:rPr>
              <w:t>企业（以下简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相关企 </w:t>
            </w:r>
            <w:r>
              <w:rPr>
                <w:rFonts w:ascii="宋体" w:hAnsi="宋体" w:cs="宋体" w:eastAsia="宋体" w:hint="default"/>
                <w:spacing w:val="-13"/>
                <w:w w:val="100"/>
                <w:sz w:val="18"/>
                <w:szCs w:val="18"/>
              </w:rPr>
              <w:t>业</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），目前均</w:t>
            </w:r>
            <w:r>
              <w:rPr>
                <w:rFonts w:ascii="宋体" w:hAnsi="宋体" w:cs="宋体" w:eastAsia="宋体" w:hint="default"/>
                <w:sz w:val="18"/>
                <w:szCs w:val="18"/>
              </w:rPr>
              <w:t> 未以任何形 式从事与金 </w:t>
            </w:r>
            <w:r>
              <w:rPr>
                <w:rFonts w:ascii="宋体" w:hAnsi="宋体" w:cs="宋体" w:eastAsia="宋体" w:hint="default"/>
                <w:spacing w:val="-2"/>
                <w:sz w:val="18"/>
                <w:szCs w:val="18"/>
              </w:rPr>
              <w:t>冠电气、能瑞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自动化及其 控制企业的 主营业务构 成或可能构 成直接或间 接竞争关系 的业务或活 动。</w:t>
            </w:r>
            <w:r>
              <w:rPr>
                <w:rFonts w:ascii="Times New Roman" w:hAnsi="Times New Roman" w:cs="Times New Roman" w:eastAsia="Times New Roman" w:hint="default"/>
                <w:sz w:val="18"/>
                <w:szCs w:val="18"/>
              </w:rPr>
              <w:t>2</w:t>
            </w:r>
            <w:r>
              <w:rPr>
                <w:rFonts w:ascii="宋体" w:hAnsi="宋体" w:cs="宋体" w:eastAsia="宋体" w:hint="default"/>
                <w:sz w:val="18"/>
                <w:szCs w:val="18"/>
              </w:rPr>
              <w:t>、在本 次交易完成 </w:t>
            </w:r>
            <w:r>
              <w:rPr>
                <w:rFonts w:ascii="宋体" w:hAnsi="宋体" w:cs="宋体" w:eastAsia="宋体" w:hint="default"/>
                <w:spacing w:val="-2"/>
                <w:sz w:val="18"/>
                <w:szCs w:val="18"/>
              </w:rPr>
              <w:t>后，本人单独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控制或本人 作为实际控 制人的相关 </w:t>
            </w:r>
            <w:r>
              <w:rPr>
                <w:rFonts w:ascii="宋体" w:hAnsi="宋体" w:cs="宋体" w:eastAsia="宋体" w:hint="default"/>
                <w:spacing w:val="-2"/>
                <w:sz w:val="18"/>
                <w:szCs w:val="18"/>
              </w:rPr>
              <w:t>企业，也不会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以任何形式 从事或参与 金冠电气及 其子公司目 前或今后从 事的主营业 务构成或可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能构成直接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关系的业务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或活动或给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予该等业务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或活动任何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支持；除前述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承诺之外，本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人进一步保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完成后</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将根据有关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规定确保金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冠电气及其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子公司在资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产、业务、人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员、财务、机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构方面的独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立性</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）将</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不利用金冠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电气股东的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身份，进行其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他任何损害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金冠电气及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其子公司权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益的活动；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及相关企业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从任何第三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者获得的任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何日常业务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经营机会与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金冠电气及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其子公司目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前或今后从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事的主营业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本人及相关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企业将立即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通知金冠电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气，并尽力将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该等商业机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会让与金冠</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）如</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金冠电气认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定本人或本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人投资或者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企业正在或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将要从事的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业务与金冠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公司存在同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及本人投资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进行减持直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至全部转让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相关企业持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有的有关资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产和业务；如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企业与金冠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公司因同业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竞争产生利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益冲突，则优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先考虑金冠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本人对因违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及保证而给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金冠电气造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成的经济损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失承担赔偿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责任。本人谨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此确认：除非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法律另有规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定，自本承诺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函出具之日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起，本承诺函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及本承诺函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项下之承诺 均不可撤销； 如法律另有 规定，造成上 述承诺及保 证部分内容 无效或不可 执行，不影响 本人在本承 诺函项下其 它承诺及保 证的效力。</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陈磊</w:t>
            </w:r>
            <w:r>
              <w:rPr>
                <w:rFonts w:ascii="Times New Roman" w:hAnsi="Times New Roman" w:cs="Times New Roman" w:eastAsia="Times New Roman" w:hint="default"/>
                <w:sz w:val="18"/>
                <w:szCs w:val="18"/>
              </w:rPr>
              <w:t>;</w:t>
            </w:r>
            <w:r>
              <w:rPr>
                <w:rFonts w:ascii="宋体" w:hAnsi="宋体" w:cs="宋体" w:eastAsia="宋体" w:hint="default"/>
                <w:sz w:val="18"/>
                <w:szCs w:val="18"/>
              </w:rPr>
              <w:t>陈小虎</w:t>
            </w:r>
            <w:r>
              <w:rPr>
                <w:rFonts w:ascii="Times New Roman" w:hAnsi="Times New Roman" w:cs="Times New Roman" w:eastAsia="Times New Roman" w:hint="default"/>
                <w:sz w:val="18"/>
                <w:szCs w:val="18"/>
              </w:rPr>
              <w:t>; </w:t>
            </w:r>
            <w:r>
              <w:rPr>
                <w:rFonts w:ascii="宋体" w:hAnsi="宋体" w:cs="宋体" w:eastAsia="宋体" w:hint="default"/>
                <w:sz w:val="18"/>
                <w:szCs w:val="18"/>
              </w:rPr>
              <w:t>戴友年</w:t>
            </w:r>
            <w:r>
              <w:rPr>
                <w:rFonts w:ascii="Times New Roman" w:hAnsi="Times New Roman" w:cs="Times New Roman" w:eastAsia="Times New Roman" w:hint="default"/>
                <w:sz w:val="18"/>
                <w:szCs w:val="18"/>
              </w:rPr>
              <w:t>;</w:t>
            </w:r>
            <w:r>
              <w:rPr>
                <w:rFonts w:ascii="宋体" w:hAnsi="宋体" w:cs="宋体" w:eastAsia="宋体" w:hint="default"/>
                <w:sz w:val="18"/>
                <w:szCs w:val="18"/>
              </w:rPr>
              <w:t>董君</w:t>
            </w:r>
            <w:r>
              <w:rPr>
                <w:rFonts w:ascii="Times New Roman" w:hAnsi="Times New Roman" w:cs="Times New Roman" w:eastAsia="Times New Roman" w:hint="default"/>
                <w:sz w:val="18"/>
                <w:szCs w:val="18"/>
              </w:rPr>
              <w:t>; </w:t>
            </w:r>
            <w:r>
              <w:rPr>
                <w:rFonts w:ascii="宋体" w:hAnsi="宋体" w:cs="宋体" w:eastAsia="宋体" w:hint="default"/>
                <w:sz w:val="18"/>
                <w:szCs w:val="18"/>
              </w:rPr>
              <w:t>樊彬</w:t>
            </w:r>
            <w:r>
              <w:rPr>
                <w:rFonts w:ascii="Times New Roman" w:hAnsi="Times New Roman" w:cs="Times New Roman" w:eastAsia="Times New Roman" w:hint="default"/>
                <w:sz w:val="18"/>
                <w:szCs w:val="18"/>
              </w:rPr>
              <w:t>;</w:t>
            </w:r>
            <w:r>
              <w:rPr>
                <w:rFonts w:ascii="宋体" w:hAnsi="宋体" w:cs="宋体" w:eastAsia="宋体" w:hint="default"/>
                <w:sz w:val="18"/>
                <w:szCs w:val="18"/>
              </w:rPr>
              <w:t>方霞</w:t>
            </w:r>
            <w:r>
              <w:rPr>
                <w:rFonts w:ascii="Times New Roman" w:hAnsi="Times New Roman" w:cs="Times New Roman" w:eastAsia="Times New Roman" w:hint="default"/>
                <w:sz w:val="18"/>
                <w:szCs w:val="18"/>
              </w:rPr>
              <w:t>;</w:t>
            </w:r>
            <w:r>
              <w:rPr>
                <w:rFonts w:ascii="宋体" w:hAnsi="宋体" w:cs="宋体" w:eastAsia="宋体" w:hint="default"/>
                <w:sz w:val="18"/>
                <w:szCs w:val="18"/>
              </w:rPr>
              <w:t>高 俊俊</w:t>
            </w:r>
            <w:r>
              <w:rPr>
                <w:rFonts w:ascii="Times New Roman" w:hAnsi="Times New Roman" w:cs="Times New Roman" w:eastAsia="Times New Roman" w:hint="default"/>
                <w:sz w:val="18"/>
                <w:szCs w:val="18"/>
              </w:rPr>
              <w:t>;</w:t>
            </w:r>
            <w:r>
              <w:rPr>
                <w:rFonts w:ascii="宋体" w:hAnsi="宋体" w:cs="宋体" w:eastAsia="宋体" w:hint="default"/>
                <w:sz w:val="18"/>
                <w:szCs w:val="18"/>
              </w:rPr>
              <w:t>葛政</w:t>
            </w:r>
            <w:r>
              <w:rPr>
                <w:rFonts w:ascii="Times New Roman" w:hAnsi="Times New Roman" w:cs="Times New Roman" w:eastAsia="Times New Roman" w:hint="default"/>
                <w:sz w:val="18"/>
                <w:szCs w:val="18"/>
              </w:rPr>
              <w:t>;</w:t>
            </w:r>
            <w:r>
              <w:rPr>
                <w:rFonts w:ascii="宋体" w:hAnsi="宋体" w:cs="宋体" w:eastAsia="宋体" w:hint="default"/>
                <w:sz w:val="18"/>
                <w:szCs w:val="18"/>
              </w:rPr>
              <w:t>郭 平</w:t>
            </w:r>
            <w:r>
              <w:rPr>
                <w:rFonts w:ascii="Times New Roman" w:hAnsi="Times New Roman" w:cs="Times New Roman" w:eastAsia="Times New Roman" w:hint="default"/>
                <w:sz w:val="18"/>
                <w:szCs w:val="18"/>
              </w:rPr>
              <w:t>;</w:t>
            </w:r>
            <w:r>
              <w:rPr>
                <w:rFonts w:ascii="宋体" w:hAnsi="宋体" w:cs="宋体" w:eastAsia="宋体" w:hint="default"/>
                <w:sz w:val="18"/>
                <w:szCs w:val="18"/>
              </w:rPr>
              <w:t>黄绍云</w:t>
            </w:r>
            <w:r>
              <w:rPr>
                <w:rFonts w:ascii="Times New Roman" w:hAnsi="Times New Roman" w:cs="Times New Roman" w:eastAsia="Times New Roman" w:hint="default"/>
                <w:sz w:val="18"/>
                <w:szCs w:val="18"/>
              </w:rPr>
              <w:t>;</w:t>
            </w:r>
            <w:r>
              <w:rPr>
                <w:rFonts w:ascii="宋体" w:hAnsi="宋体" w:cs="宋体" w:eastAsia="宋体" w:hint="default"/>
                <w:sz w:val="18"/>
                <w:szCs w:val="18"/>
              </w:rPr>
              <w:t>蒋 慰静</w:t>
            </w:r>
            <w:r>
              <w:rPr>
                <w:rFonts w:ascii="Times New Roman" w:hAnsi="Times New Roman" w:cs="Times New Roman" w:eastAsia="Times New Roman" w:hint="default"/>
                <w:sz w:val="18"/>
                <w:szCs w:val="18"/>
              </w:rPr>
              <w:t>;</w:t>
            </w:r>
            <w:r>
              <w:rPr>
                <w:rFonts w:ascii="宋体" w:hAnsi="宋体" w:cs="宋体" w:eastAsia="宋体" w:hint="default"/>
                <w:sz w:val="18"/>
                <w:szCs w:val="18"/>
              </w:rPr>
              <w:t>李定胜</w:t>
            </w:r>
            <w:r>
              <w:rPr>
                <w:rFonts w:ascii="Times New Roman" w:hAnsi="Times New Roman" w:cs="Times New Roman" w:eastAsia="Times New Roman" w:hint="default"/>
                <w:sz w:val="18"/>
                <w:szCs w:val="18"/>
              </w:rPr>
              <w:t>; </w:t>
            </w:r>
            <w:r>
              <w:rPr>
                <w:rFonts w:ascii="宋体" w:hAnsi="宋体" w:cs="宋体" w:eastAsia="宋体" w:hint="default"/>
                <w:sz w:val="18"/>
                <w:szCs w:val="18"/>
              </w:rPr>
              <w:t>刘国鹏</w:t>
            </w:r>
            <w:r>
              <w:rPr>
                <w:rFonts w:ascii="Times New Roman" w:hAnsi="Times New Roman" w:cs="Times New Roman" w:eastAsia="Times New Roman" w:hint="default"/>
                <w:sz w:val="18"/>
                <w:szCs w:val="18"/>
              </w:rPr>
              <w:t>;</w:t>
            </w:r>
            <w:r>
              <w:rPr>
                <w:rFonts w:ascii="宋体" w:hAnsi="宋体" w:cs="宋体" w:eastAsia="宋体" w:hint="default"/>
                <w:sz w:val="18"/>
                <w:szCs w:val="18"/>
              </w:rPr>
              <w:t>刘红 军</w:t>
            </w:r>
            <w:r>
              <w:rPr>
                <w:rFonts w:ascii="Times New Roman" w:hAnsi="Times New Roman" w:cs="Times New Roman" w:eastAsia="Times New Roman" w:hint="default"/>
                <w:sz w:val="18"/>
                <w:szCs w:val="18"/>
              </w:rPr>
              <w:t>;</w:t>
            </w:r>
            <w:r>
              <w:rPr>
                <w:rFonts w:ascii="宋体" w:hAnsi="宋体" w:cs="宋体" w:eastAsia="宋体" w:hint="default"/>
                <w:sz w:val="18"/>
                <w:szCs w:val="18"/>
              </w:rPr>
              <w:t>刘金山</w:t>
            </w:r>
            <w:r>
              <w:rPr>
                <w:rFonts w:ascii="Times New Roman" w:hAnsi="Times New Roman" w:cs="Times New Roman" w:eastAsia="Times New Roman" w:hint="default"/>
                <w:sz w:val="18"/>
                <w:szCs w:val="18"/>
              </w:rPr>
              <w:t>;</w:t>
            </w:r>
            <w:r>
              <w:rPr>
                <w:rFonts w:ascii="宋体" w:hAnsi="宋体" w:cs="宋体" w:eastAsia="宋体" w:hint="default"/>
                <w:sz w:val="18"/>
                <w:szCs w:val="18"/>
              </w:rPr>
              <w:t>钱 淑琴</w:t>
            </w:r>
            <w:r>
              <w:rPr>
                <w:rFonts w:ascii="Times New Roman" w:hAnsi="Times New Roman" w:cs="Times New Roman" w:eastAsia="Times New Roman" w:hint="default"/>
                <w:sz w:val="18"/>
                <w:szCs w:val="18"/>
              </w:rPr>
              <w:t>;</w:t>
            </w:r>
            <w:r>
              <w:rPr>
                <w:rFonts w:ascii="宋体" w:hAnsi="宋体" w:cs="宋体" w:eastAsia="宋体" w:hint="default"/>
                <w:sz w:val="18"/>
                <w:szCs w:val="18"/>
              </w:rPr>
              <w:t>屈战</w:t>
            </w:r>
            <w:r>
              <w:rPr>
                <w:rFonts w:ascii="Times New Roman" w:hAnsi="Times New Roman" w:cs="Times New Roman" w:eastAsia="Times New Roman" w:hint="default"/>
                <w:sz w:val="18"/>
                <w:szCs w:val="18"/>
              </w:rPr>
              <w:t>;</w:t>
            </w:r>
            <w:r>
              <w:rPr>
                <w:rFonts w:ascii="宋体" w:hAnsi="宋体" w:cs="宋体" w:eastAsia="宋体" w:hint="default"/>
                <w:sz w:val="18"/>
                <w:szCs w:val="18"/>
              </w:rPr>
              <w:t>阮 在凤</w:t>
            </w:r>
            <w:r>
              <w:rPr>
                <w:rFonts w:ascii="Times New Roman" w:hAnsi="Times New Roman" w:cs="Times New Roman" w:eastAsia="Times New Roman" w:hint="default"/>
                <w:sz w:val="18"/>
                <w:szCs w:val="18"/>
              </w:rPr>
              <w:t>;</w:t>
            </w:r>
            <w:r>
              <w:rPr>
                <w:rFonts w:ascii="宋体" w:hAnsi="宋体" w:cs="宋体" w:eastAsia="宋体" w:hint="default"/>
                <w:sz w:val="18"/>
                <w:szCs w:val="18"/>
              </w:rPr>
              <w:t>宋福超</w:t>
            </w:r>
            <w:r>
              <w:rPr>
                <w:rFonts w:ascii="Times New Roman" w:hAnsi="Times New Roman" w:cs="Times New Roman" w:eastAsia="Times New Roman" w:hint="default"/>
                <w:sz w:val="18"/>
                <w:szCs w:val="18"/>
              </w:rPr>
              <w:t>; </w:t>
            </w:r>
            <w:r>
              <w:rPr>
                <w:rFonts w:ascii="宋体" w:hAnsi="宋体" w:cs="宋体" w:eastAsia="宋体" w:hint="default"/>
                <w:sz w:val="18"/>
                <w:szCs w:val="18"/>
              </w:rPr>
              <w:t>孙雷</w:t>
            </w:r>
            <w:r>
              <w:rPr>
                <w:rFonts w:ascii="Times New Roman" w:hAnsi="Times New Roman" w:cs="Times New Roman" w:eastAsia="Times New Roman" w:hint="default"/>
                <w:sz w:val="18"/>
                <w:szCs w:val="18"/>
              </w:rPr>
              <w:t>;</w:t>
            </w:r>
            <w:r>
              <w:rPr>
                <w:rFonts w:ascii="宋体" w:hAnsi="宋体" w:cs="宋体" w:eastAsia="宋体" w:hint="default"/>
                <w:sz w:val="18"/>
                <w:szCs w:val="18"/>
              </w:rPr>
              <w:t>孙益兵</w:t>
            </w:r>
            <w:r>
              <w:rPr>
                <w:rFonts w:ascii="Times New Roman" w:hAnsi="Times New Roman" w:cs="Times New Roman" w:eastAsia="Times New Roman" w:hint="default"/>
                <w:sz w:val="18"/>
                <w:szCs w:val="18"/>
              </w:rPr>
              <w:t>; </w:t>
            </w:r>
            <w:r>
              <w:rPr>
                <w:rFonts w:ascii="宋体" w:hAnsi="宋体" w:cs="宋体" w:eastAsia="宋体" w:hint="default"/>
                <w:sz w:val="18"/>
                <w:szCs w:val="18"/>
              </w:rPr>
              <w:t>孙莹</w:t>
            </w:r>
            <w:r>
              <w:rPr>
                <w:rFonts w:ascii="Times New Roman" w:hAnsi="Times New Roman" w:cs="Times New Roman" w:eastAsia="Times New Roman" w:hint="default"/>
                <w:sz w:val="18"/>
                <w:szCs w:val="18"/>
              </w:rPr>
              <w:t>;</w:t>
            </w:r>
            <w:r>
              <w:rPr>
                <w:rFonts w:ascii="宋体" w:hAnsi="宋体" w:cs="宋体" w:eastAsia="宋体" w:hint="default"/>
                <w:sz w:val="18"/>
                <w:szCs w:val="18"/>
              </w:rPr>
              <w:t>夏玉宝</w:t>
            </w:r>
            <w:r>
              <w:rPr>
                <w:rFonts w:ascii="Times New Roman" w:hAnsi="Times New Roman" w:cs="Times New Roman" w:eastAsia="Times New Roman" w:hint="default"/>
                <w:sz w:val="18"/>
                <w:szCs w:val="18"/>
              </w:rPr>
              <w:t>; </w:t>
            </w:r>
            <w:r>
              <w:rPr>
                <w:rFonts w:ascii="宋体" w:hAnsi="宋体" w:cs="宋体" w:eastAsia="宋体" w:hint="default"/>
                <w:sz w:val="18"/>
                <w:szCs w:val="18"/>
              </w:rPr>
              <w:t>许永建</w:t>
            </w:r>
            <w:r>
              <w:rPr>
                <w:rFonts w:ascii="Times New Roman" w:hAnsi="Times New Roman" w:cs="Times New Roman" w:eastAsia="Times New Roman" w:hint="default"/>
                <w:sz w:val="18"/>
                <w:szCs w:val="18"/>
              </w:rPr>
              <w:t>;</w:t>
            </w:r>
            <w:r>
              <w:rPr>
                <w:rFonts w:ascii="宋体" w:hAnsi="宋体" w:cs="宋体" w:eastAsia="宋体" w:hint="default"/>
                <w:sz w:val="18"/>
                <w:szCs w:val="18"/>
              </w:rPr>
              <w:t>严克 广</w:t>
            </w:r>
            <w:r>
              <w:rPr>
                <w:rFonts w:ascii="Times New Roman" w:hAnsi="Times New Roman" w:cs="Times New Roman" w:eastAsia="Times New Roman" w:hint="default"/>
                <w:sz w:val="18"/>
                <w:szCs w:val="18"/>
              </w:rPr>
              <w:t>;</w:t>
            </w:r>
            <w:r>
              <w:rPr>
                <w:rFonts w:ascii="宋体" w:hAnsi="宋体" w:cs="宋体" w:eastAsia="宋体" w:hint="default"/>
                <w:sz w:val="18"/>
                <w:szCs w:val="18"/>
              </w:rPr>
              <w:t>张雷</w:t>
            </w:r>
            <w:r>
              <w:rPr>
                <w:rFonts w:ascii="Times New Roman" w:hAnsi="Times New Roman" w:cs="Times New Roman" w:eastAsia="Times New Roman" w:hint="default"/>
                <w:sz w:val="18"/>
                <w:szCs w:val="18"/>
              </w:rPr>
              <w:t>;</w:t>
            </w:r>
            <w:r>
              <w:rPr>
                <w:rFonts w:ascii="宋体" w:hAnsi="宋体" w:cs="宋体" w:eastAsia="宋体" w:hint="default"/>
                <w:sz w:val="18"/>
                <w:szCs w:val="18"/>
              </w:rPr>
              <w:t>张亚 贤</w:t>
            </w:r>
            <w:r>
              <w:rPr>
                <w:rFonts w:ascii="Times New Roman" w:hAnsi="Times New Roman" w:cs="Times New Roman" w:eastAsia="Times New Roman" w:hint="default"/>
                <w:sz w:val="18"/>
                <w:szCs w:val="18"/>
              </w:rPr>
              <w:t>;</w:t>
            </w:r>
            <w:r>
              <w:rPr>
                <w:rFonts w:ascii="宋体" w:hAnsi="宋体" w:cs="宋体" w:eastAsia="宋体" w:hint="default"/>
                <w:sz w:val="18"/>
                <w:szCs w:val="18"/>
              </w:rPr>
              <w:t>周一心</w:t>
            </w:r>
            <w:r>
              <w:rPr>
                <w:rFonts w:ascii="Times New Roman" w:hAnsi="Times New Roman" w:cs="Times New Roman" w:eastAsia="Times New Roman" w:hint="default"/>
                <w:sz w:val="18"/>
                <w:szCs w:val="18"/>
              </w:rPr>
              <w:t>;</w:t>
            </w:r>
            <w:r>
              <w:rPr>
                <w:rFonts w:ascii="宋体" w:hAnsi="宋体" w:cs="宋体" w:eastAsia="宋体" w:hint="default"/>
                <w:sz w:val="18"/>
                <w:szCs w:val="18"/>
              </w:rPr>
              <w:t>周 永志</w:t>
            </w:r>
            <w:r>
              <w:rPr>
                <w:rFonts w:ascii="Times New Roman" w:hAnsi="Times New Roman" w:cs="Times New Roman" w:eastAsia="Times New Roman" w:hint="default"/>
                <w:sz w:val="18"/>
                <w:szCs w:val="18"/>
              </w:rPr>
              <w:t>;</w:t>
            </w:r>
            <w:r>
              <w:rPr>
                <w:rFonts w:ascii="宋体" w:hAnsi="宋体" w:cs="宋体" w:eastAsia="宋体" w:hint="default"/>
                <w:sz w:val="18"/>
                <w:szCs w:val="18"/>
              </w:rPr>
              <w:t>卓亚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、本承诺人 根据《中华人 民共和国公 </w:t>
            </w:r>
            <w:r>
              <w:rPr>
                <w:rFonts w:ascii="宋体" w:hAnsi="宋体" w:cs="宋体" w:eastAsia="宋体" w:hint="default"/>
                <w:spacing w:val="-28"/>
                <w:sz w:val="18"/>
                <w:szCs w:val="18"/>
              </w:rPr>
              <w:t>司法》、《中华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人民共和国 </w:t>
            </w:r>
            <w:r>
              <w:rPr>
                <w:rFonts w:ascii="宋体" w:hAnsi="宋体" w:cs="宋体" w:eastAsia="宋体" w:hint="default"/>
                <w:spacing w:val="-28"/>
                <w:sz w:val="18"/>
                <w:szCs w:val="18"/>
              </w:rPr>
              <w:t>证券法》、《上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市公司重大 资产重组管 </w:t>
            </w:r>
            <w:r>
              <w:rPr>
                <w:rFonts w:ascii="宋体" w:hAnsi="宋体" w:cs="宋体" w:eastAsia="宋体" w:hint="default"/>
                <w:spacing w:val="-28"/>
                <w:sz w:val="18"/>
                <w:szCs w:val="18"/>
              </w:rPr>
              <w:t>理办法》、《关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于规范上市 公司信息披 露及相关各 方行为的通 </w:t>
            </w:r>
            <w:r>
              <w:rPr>
                <w:rFonts w:ascii="宋体" w:hAnsi="宋体" w:cs="宋体" w:eastAsia="宋体" w:hint="default"/>
                <w:spacing w:val="-28"/>
                <w:sz w:val="18"/>
                <w:szCs w:val="18"/>
              </w:rPr>
              <w:t>知》、《深圳证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券交易所创 业板股票上 市规则》等法</w:t>
            </w:r>
            <w:r>
              <w:rPr>
                <w:rFonts w:ascii="宋体" w:hAnsi="宋体" w:cs="宋体" w:eastAsia="宋体" w:hint="default"/>
                <w:sz w:val="18"/>
                <w:szCs w:val="18"/>
              </w:rPr>
              <w:t> 律、法规及规 范性文件的 要求，本承诺 人保证为本 次交易所提 供的有关信 息均为真实、 准确和完整 的，不存在任 何虚假记载、 误导性陈述 或者重大遗 漏，并对所提 供信息的真 实性、准确性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和完整性承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担个别和连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带的法律责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2</w:t>
            </w:r>
            <w:r>
              <w:rPr>
                <w:rFonts w:ascii="宋体" w:hAnsi="宋体" w:cs="宋体" w:eastAsia="宋体" w:hint="default"/>
                <w:sz w:val="18"/>
                <w:szCs w:val="18"/>
              </w:rPr>
              <w:t>、本承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诺人声明向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易并提供审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计、评估、法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律及财务顾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问服务的各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中介机构所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提供的资料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均为真实的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原始书面资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料或副本资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料，且该等副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本资料或复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印件与其原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始资料或原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件一致，均系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准确和完整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的，所有文件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的签名、印章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均是真实的，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并无任何虚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假记载、误导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性陈述或者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重大遗漏，该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等文件的签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署人已经合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法授权并有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效签署该等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w:t>
            </w:r>
            <w:r>
              <w:rPr>
                <w:rFonts w:ascii="Times New Roman" w:hAnsi="Times New Roman" w:cs="Times New Roman" w:eastAsia="Times New Roman" w:hint="default"/>
                <w:sz w:val="18"/>
                <w:szCs w:val="18"/>
              </w:rPr>
              <w:t>3</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承诺人保证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所出具的说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明及确认均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为真实、准确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和完整的，无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遗漏。</w:t>
            </w:r>
            <w:r>
              <w:rPr>
                <w:rFonts w:ascii="Times New Roman" w:hAnsi="Times New Roman" w:cs="Times New Roman" w:eastAsia="Times New Roman" w:hint="default"/>
                <w:sz w:val="18"/>
                <w:szCs w:val="18"/>
              </w:rPr>
              <w:t>4</w:t>
            </w:r>
            <w:r>
              <w:rPr>
                <w:rFonts w:ascii="宋体" w:hAnsi="宋体" w:cs="宋体" w:eastAsia="宋体" w:hint="default"/>
                <w:sz w:val="18"/>
                <w:szCs w:val="18"/>
              </w:rPr>
              <w:t>、在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参与本次交</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易期间，本承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诺人将依照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规、规章、中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的有关规定，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及时向上市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公司披露有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的信息，并保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证该等信息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的真实性、准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确性和完整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性，保证该等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遗漏。</w:t>
            </w:r>
            <w:r>
              <w:rPr>
                <w:rFonts w:ascii="Times New Roman" w:hAnsi="Times New Roman" w:cs="Times New Roman" w:eastAsia="Times New Roman" w:hint="default"/>
                <w:sz w:val="18"/>
                <w:szCs w:val="18"/>
              </w:rPr>
              <w:t>5</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提供或披露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的信息涉嫌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虚假记载、误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者重大遗漏，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被司法机关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立案侦查或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者被中国证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监会立案调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查的，在形成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调查结论以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前，本承诺人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在该上市公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司拥有权益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的股份，并于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收到立案稽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查通知的两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个交易日内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将暂停转让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的书面申请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和股票账户</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提交上市公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司董事会，由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董事会代本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承诺人向证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登记结算公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司申请锁定；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未在两个交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易日内提交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锁定申请的，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本承诺人授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权董事会核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实后直接向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和登记结算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公司报送本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承诺人的身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份信息和账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户信息并申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请锁定；董事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会未向证券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交易所和登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记结算公司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报送本承诺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人的身份信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息和账户信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息的，本承诺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人授权证券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交易所和登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记结算公司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直接锁定相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关股份。如调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查结论发现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存在违法违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规情节，本承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诺人承诺锁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定股份自愿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用于相关投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资者赔偿安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排。</w:t>
            </w:r>
            <w:r>
              <w:rPr>
                <w:rFonts w:ascii="Times New Roman" w:hAnsi="Times New Roman" w:cs="Times New Roman" w:eastAsia="Times New Roman" w:hint="default"/>
                <w:sz w:val="18"/>
                <w:szCs w:val="18"/>
              </w:rPr>
              <w:t>6</w:t>
            </w:r>
            <w:r>
              <w:rPr>
                <w:rFonts w:ascii="宋体" w:hAnsi="宋体" w:cs="宋体" w:eastAsia="宋体" w:hint="default"/>
                <w:sz w:val="18"/>
                <w:szCs w:val="18"/>
              </w:rPr>
              <w:t>、本承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诺人保证对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所提供的上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述信息、资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料、说明及确</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293.419983pt;width:62pt;height:217.4pt;mso-position-horizontal-relative:page;mso-position-vertical-relative:page;z-index:-2129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5"/>
                      <w:szCs w:val="15"/>
                    </w:rPr>
                  </w:pPr>
                </w:p>
                <w:p>
                  <w:pPr>
                    <w:pStyle w:val="BodyText"/>
                    <w:spacing w:line="240" w:lineRule="auto" w:before="0"/>
                    <w:ind w:left="0" w:right="0"/>
                    <w:jc w:val="left"/>
                  </w:pPr>
                  <w:r>
                    <w:rPr/>
                    <w:t>、</w:t>
                  </w:r>
                </w:p>
              </w:txbxContent>
            </v:textbox>
            <w10:wrap type="none"/>
          </v:shape>
        </w:pict>
      </w:r>
      <w:r>
        <w:rPr/>
        <w:pict>
          <v:shape style="position:absolute;margin-left:361.480011pt;margin-top:546.039978pt;width:62pt;height:217.4pt;mso-position-horizontal-relative:page;mso-position-vertical-relative:page;z-index:-21290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6"/>
                      <w:szCs w:val="26"/>
                    </w:rPr>
                  </w:pPr>
                </w:p>
                <w:p>
                  <w:pPr>
                    <w:pStyle w:val="BodyText"/>
                    <w:spacing w:line="240" w:lineRule="auto" w:before="0"/>
                    <w:ind w:left="0" w:right="0"/>
                    <w:jc w:val="left"/>
                  </w:pPr>
                  <w:r>
                    <w:rPr/>
                    <w:t>、</w:t>
                  </w:r>
                </w:p>
              </w:txbxContent>
            </v:textbox>
            <w10:wrap type="none"/>
          </v:shape>
        </w:pict>
      </w:r>
      <w:r>
        <w:rPr/>
        <w:pict>
          <v:group style="position:absolute;margin-left:367.660004pt;margin-top:293.419983pt;width:55.85pt;height:217.4pt;mso-position-horizontal-relative:page;mso-position-vertical-relative:page;z-index:-2128984" coordorigin="7353,5868" coordsize="1117,4348">
            <v:shape style="position:absolute;left:7353;top:5868;width:1117;height:4348" coordorigin="7353,5868" coordsize="1117,4348" path="m7353,10216l8470,10216,8470,5868,7353,5868,7353,10216xe" filled="true" fillcolor="#ffffff" stroked="false">
              <v:path arrowok="t"/>
              <v:fill type="solid"/>
            </v:shape>
            <w10:wrap type="none"/>
          </v:group>
        </w:pict>
      </w:r>
      <w:r>
        <w:rPr/>
        <w:pict>
          <v:group style="position:absolute;margin-left:367.660004pt;margin-top:546.039978pt;width:55.85pt;height:217.4pt;mso-position-horizontal-relative:page;mso-position-vertical-relative:page;z-index:-2128960" coordorigin="7353,10921" coordsize="1117,4348">
            <v:shape style="position:absolute;left:7353;top:10921;width:1117;height:4348" coordorigin="7353,10921" coordsize="1117,4348" path="m7353,15269l8470,15269,8470,10921,7353,10921,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认的真实性、</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准确性和完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整性承担个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别和连带的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法律责任，如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诺及声明，对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由此而发生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的上述相关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各方及投资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者的全部损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失将承担个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别和连带的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法律责任。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全体董事、监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事及高级管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理人员保证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重组报告书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的内容真实、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准确和完整，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并对本报告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书的虚假记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遗漏承担个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别或连带的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3" w:right="141"/>
              <w:jc w:val="both"/>
              <w:rPr>
                <w:rFonts w:ascii="宋体" w:hAnsi="宋体" w:cs="宋体" w:eastAsia="宋体" w:hint="default"/>
                <w:sz w:val="18"/>
                <w:szCs w:val="18"/>
              </w:rPr>
            </w:pPr>
            <w:r>
              <w:rPr>
                <w:rFonts w:ascii="宋体" w:hAnsi="宋体" w:cs="宋体" w:eastAsia="宋体" w:hint="default"/>
                <w:sz w:val="18"/>
                <w:szCs w:val="18"/>
              </w:rPr>
              <w:t>南京能策投 资管理有限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孙金良</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法律责任。</w:t>
            </w:r>
            <w:r>
              <w:rPr>
                <w:rFonts w:ascii="Times New Roman" w:hAnsi="Times New Roman" w:cs="Times New Roman" w:eastAsia="Times New Roman" w:hint="default"/>
                <w:sz w:val="18"/>
                <w:szCs w:val="18"/>
              </w:rPr>
              <w:t>2 </w:t>
            </w:r>
            <w:r>
              <w:rPr>
                <w:rFonts w:ascii="宋体" w:hAnsi="宋体" w:cs="宋体" w:eastAsia="宋体" w:hint="default"/>
                <w:sz w:val="18"/>
                <w:szCs w:val="18"/>
              </w:rPr>
              <w:t>本公司及全 </w:t>
            </w:r>
            <w:r>
              <w:rPr>
                <w:rFonts w:ascii="宋体" w:hAnsi="宋体" w:cs="宋体" w:eastAsia="宋体" w:hint="default"/>
                <w:spacing w:val="-2"/>
                <w:sz w:val="18"/>
                <w:szCs w:val="18"/>
              </w:rPr>
              <w:t>体董事、监事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及高级管理</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人员保证重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组报告所引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用的相关数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据的真实性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和合理性。</w:t>
            </w:r>
            <w:r>
              <w:rPr>
                <w:rFonts w:ascii="Times New Roman" w:hAnsi="Times New Roman" w:cs="Times New Roman" w:eastAsia="Times New Roman" w:hint="default"/>
                <w:sz w:val="18"/>
                <w:szCs w:val="18"/>
              </w:rPr>
              <w:t>3</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如本次交易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所披露的信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息涉嫌虚假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记载、误导性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大遗漏，被司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 机关立案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侦查或者被</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立案调查的，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在形成调查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结论以前，本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并于收到立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案稽查通知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的两个交易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日内将暂停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转让的书面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申请和股票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账户提交上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会，由董事会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代本承诺人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所和登记结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算公司申请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锁定；未在两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个交易日内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提交锁定申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请的，本承诺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人授权董事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会核实后直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接向证券交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易所和登记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结算公司报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送本承诺人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的身份信息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和账户信息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并申请锁定；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董事会未向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和登记结算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公司报送本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承诺人的身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份信息和账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户信息的，授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所和登记结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算公司直接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577.23999pt;width:62pt;height:186.2pt;mso-position-horizontal-relative:page;mso-position-vertical-relative:page;z-index:-2128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4"/>
                    <w:ind w:left="0" w:right="0"/>
                    <w:jc w:val="left"/>
                  </w:pPr>
                  <w:r>
                    <w:rPr/>
                    <w:t>、</w:t>
                  </w:r>
                </w:p>
              </w:txbxContent>
            </v:textbox>
            <w10:wrap type="none"/>
          </v:shape>
        </w:pict>
      </w:r>
      <w:r>
        <w:rPr/>
        <w:pict>
          <v:group style="position:absolute;margin-left:367.660004pt;margin-top:559.659973pt;width:55.85pt;height:203.8pt;mso-position-horizontal-relative:page;mso-position-vertical-relative:page;z-index:-2128912" coordorigin="7353,11193" coordsize="1117,4076">
            <v:group style="position:absolute;left:7353;top:11545;width:1117;height:3724" coordorigin="7353,11545" coordsize="1117,3724">
              <v:shape style="position:absolute;left:7353;top:11545;width:1117;height:3724" coordorigin="7353,11545" coordsize="1117,3724" path="m7353,15269l8470,15269,8470,11545,7353,11545,7353,15269xe" filled="true" fillcolor="#ffffff" stroked="false">
                <v:path arrowok="t"/>
                <v:fill type="solid"/>
              </v:shape>
            </v:group>
            <v:group style="position:absolute;left:7376;top:11193;width:1070;height:352" coordorigin="7376,11193" coordsize="1070,352">
              <v:shape style="position:absolute;left:7376;top:11193;width:1070;height:352" coordorigin="7376,11193" coordsize="1070,352" path="m7376,11545l8446,11545,8446,11193,7376,11193,7376,1154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锁定相关股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份。如调查结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论发现存在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违法违规情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节，本承诺人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承诺锁定股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份自愿用于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赔偿安排。公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司负责人、主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管会计工作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的负责人和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会计机构负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责人保证重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组报告所引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用的相关数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据的真实性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和合理性。</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全体董事、监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事及高级管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理人员保证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重组报告书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的内容真实、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准确和完整，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并对本报告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陈建业</w:t>
            </w:r>
            <w:r>
              <w:rPr>
                <w:rFonts w:ascii="Times New Roman" w:hAnsi="Times New Roman" w:cs="Times New Roman" w:eastAsia="Times New Roman" w:hint="default"/>
                <w:sz w:val="18"/>
                <w:szCs w:val="18"/>
              </w:rPr>
              <w:t>;</w:t>
            </w:r>
            <w:r>
              <w:rPr>
                <w:rFonts w:ascii="宋体" w:hAnsi="宋体" w:cs="宋体" w:eastAsia="宋体" w:hint="default"/>
                <w:sz w:val="18"/>
                <w:szCs w:val="18"/>
              </w:rPr>
              <w:t>郭长</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书的虚假记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兴</w:t>
            </w:r>
            <w:r>
              <w:rPr>
                <w:rFonts w:ascii="Times New Roman" w:hAnsi="Times New Roman" w:cs="Times New Roman" w:eastAsia="Times New Roman" w:hint="default"/>
                <w:sz w:val="18"/>
                <w:szCs w:val="18"/>
              </w:rPr>
              <w:t>;</w:t>
            </w:r>
            <w:r>
              <w:rPr>
                <w:rFonts w:ascii="宋体" w:hAnsi="宋体" w:cs="宋体" w:eastAsia="宋体" w:hint="default"/>
                <w:sz w:val="18"/>
                <w:szCs w:val="18"/>
              </w:rPr>
              <w:t>吉林省金</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冠电气股份</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9" w:space="0" w:color="FFFFFF"/>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遗漏承担个</w:t>
            </w:r>
          </w:p>
        </w:tc>
        <w:tc>
          <w:tcPr>
            <w:tcW w:w="1126" w:type="dxa"/>
            <w:tcBorders>
              <w:top w:val="nil" w:sz="6" w:space="0" w:color="auto"/>
              <w:left w:val="single" w:sz="9" w:space="0" w:color="FFFFF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3" w:right="89"/>
              <w:jc w:val="left"/>
              <w:rPr>
                <w:rFonts w:ascii="宋体" w:hAnsi="宋体" w:cs="宋体" w:eastAsia="宋体" w:hint="default"/>
                <w:sz w:val="18"/>
                <w:szCs w:val="18"/>
              </w:rPr>
            </w:pPr>
            <w:r>
              <w:rPr>
                <w:rFonts w:ascii="宋体" w:hAnsi="宋体" w:cs="宋体" w:eastAsia="宋体" w:hint="default"/>
                <w:sz w:val="18"/>
                <w:szCs w:val="18"/>
              </w:rPr>
              <w:t>海永</w:t>
            </w:r>
            <w:r>
              <w:rPr>
                <w:rFonts w:ascii="Times New Roman" w:hAnsi="Times New Roman" w:cs="Times New Roman" w:eastAsia="Times New Roman" w:hint="default"/>
                <w:sz w:val="18"/>
                <w:szCs w:val="18"/>
              </w:rPr>
              <w:t>;</w:t>
            </w:r>
            <w:r>
              <w:rPr>
                <w:rFonts w:ascii="宋体" w:hAnsi="宋体" w:cs="宋体" w:eastAsia="宋体" w:hint="default"/>
                <w:sz w:val="18"/>
                <w:szCs w:val="18"/>
              </w:rPr>
              <w:t>李晓芳</w:t>
            </w:r>
            <w:r>
              <w:rPr>
                <w:rFonts w:ascii="Times New Roman" w:hAnsi="Times New Roman" w:cs="Times New Roman" w:eastAsia="Times New Roman" w:hint="default"/>
                <w:sz w:val="18"/>
                <w:szCs w:val="18"/>
              </w:rPr>
              <w:t>; </w:t>
            </w:r>
            <w:r>
              <w:rPr>
                <w:rFonts w:ascii="宋体" w:hAnsi="宋体" w:cs="宋体" w:eastAsia="宋体" w:hint="default"/>
                <w:sz w:val="18"/>
                <w:szCs w:val="18"/>
              </w:rPr>
              <w:t>毛志宏</w:t>
            </w:r>
            <w:r>
              <w:rPr>
                <w:rFonts w:ascii="Times New Roman" w:hAnsi="Times New Roman" w:cs="Times New Roman" w:eastAsia="Times New Roman" w:hint="default"/>
                <w:sz w:val="18"/>
                <w:szCs w:val="18"/>
              </w:rPr>
              <w:t>;</w:t>
            </w:r>
            <w:r>
              <w:rPr>
                <w:rFonts w:ascii="宋体" w:hAnsi="宋体" w:cs="宋体" w:eastAsia="宋体" w:hint="default"/>
                <w:sz w:val="18"/>
                <w:szCs w:val="18"/>
              </w:rPr>
              <w:t>王希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nil" w:sz="6" w:space="0" w:color="auto"/>
              <w:left w:val="single" w:sz="4" w:space="0" w:color="000000"/>
              <w:bottom w:val="nil" w:sz="6" w:space="0" w:color="auto"/>
              <w:right w:val="single" w:sz="9" w:space="0" w:color="FFFFFF"/>
            </w:tcBorders>
          </w:tcPr>
          <w:p>
            <w:pPr>
              <w:pStyle w:val="TableParagraph"/>
              <w:spacing w:line="316" w:lineRule="auto" w:before="20"/>
              <w:ind w:left="22" w:right="-39"/>
              <w:jc w:val="left"/>
              <w:rPr>
                <w:rFonts w:ascii="宋体" w:hAnsi="宋体" w:cs="宋体" w:eastAsia="宋体" w:hint="default"/>
                <w:sz w:val="18"/>
                <w:szCs w:val="18"/>
              </w:rPr>
            </w:pPr>
            <w:r>
              <w:rPr>
                <w:rFonts w:ascii="宋体" w:hAnsi="宋体" w:cs="宋体" w:eastAsia="宋体" w:hint="default"/>
                <w:sz w:val="18"/>
                <w:szCs w:val="18"/>
              </w:rPr>
              <w:t>别或连带的 </w:t>
            </w:r>
            <w:r>
              <w:rPr>
                <w:rFonts w:ascii="宋体" w:hAnsi="宋体" w:cs="宋体" w:eastAsia="宋体" w:hint="default"/>
                <w:spacing w:val="-7"/>
                <w:sz w:val="18"/>
                <w:szCs w:val="18"/>
              </w:rPr>
              <w:t>法律责任。</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宋体" w:hAnsi="宋体" w:cs="宋体" w:eastAsia="宋体" w:hint="default"/>
                <w:sz w:val="18"/>
                <w:szCs w:val="18"/>
              </w:rPr>
            </w:r>
          </w:p>
        </w:tc>
        <w:tc>
          <w:tcPr>
            <w:tcW w:w="1126" w:type="dxa"/>
            <w:tcBorders>
              <w:top w:val="nil" w:sz="6" w:space="0" w:color="auto"/>
              <w:left w:val="single" w:sz="9" w:space="0" w:color="FFFFFF"/>
              <w:bottom w:val="nil" w:sz="6" w:space="0" w:color="auto"/>
              <w:right w:val="single" w:sz="4" w:space="0" w:color="000000"/>
            </w:tcBorders>
          </w:tcPr>
          <w:p>
            <w:pPr>
              <w:pStyle w:val="TableParagraph"/>
              <w:spacing w:line="240" w:lineRule="auto" w:before="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庆</w:t>
            </w:r>
            <w:r>
              <w:rPr>
                <w:rFonts w:ascii="Times New Roman" w:hAnsi="Times New Roman" w:cs="Times New Roman" w:eastAsia="Times New Roman" w:hint="default"/>
                <w:sz w:val="18"/>
                <w:szCs w:val="18"/>
              </w:rPr>
              <w:t>;</w:t>
            </w:r>
            <w:r>
              <w:rPr>
                <w:rFonts w:ascii="宋体" w:hAnsi="宋体" w:cs="宋体" w:eastAsia="宋体" w:hint="default"/>
                <w:sz w:val="18"/>
                <w:szCs w:val="18"/>
              </w:rPr>
              <w:t>吴宗南</w:t>
            </w:r>
            <w:r>
              <w:rPr>
                <w:rFonts w:ascii="Times New Roman" w:hAnsi="Times New Roman" w:cs="Times New Roman" w:eastAsia="Times New Roman" w:hint="default"/>
                <w:sz w:val="18"/>
                <w:szCs w:val="18"/>
              </w:rPr>
              <w:t>;</w:t>
            </w:r>
            <w:r>
              <w:rPr>
                <w:rFonts w:ascii="宋体" w:hAnsi="宋体" w:cs="宋体" w:eastAsia="宋体" w:hint="default"/>
                <w:sz w:val="18"/>
                <w:szCs w:val="18"/>
              </w:rPr>
              <w:t>徐</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本公司及全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徐海江</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体董事、监事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徐海涛</w:t>
            </w:r>
            <w:r>
              <w:rPr>
                <w:rFonts w:ascii="Times New Roman" w:hAnsi="Times New Roman" w:cs="Times New Roman" w:eastAsia="Times New Roman" w:hint="default"/>
                <w:sz w:val="18"/>
                <w:szCs w:val="18"/>
              </w:rPr>
              <w:t>;</w:t>
            </w:r>
            <w:r>
              <w:rPr>
                <w:rFonts w:ascii="宋体" w:hAnsi="宋体" w:cs="宋体" w:eastAsia="宋体" w:hint="default"/>
                <w:sz w:val="18"/>
                <w:szCs w:val="18"/>
              </w:rPr>
              <w:t>许哲</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及高级管理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张文福</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人员保证重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组报告所引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用的相关数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据的真实性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和合理性。</w:t>
            </w:r>
            <w:r>
              <w:rPr>
                <w:rFonts w:ascii="Times New Roman" w:hAnsi="Times New Roman" w:cs="Times New Roman" w:eastAsia="Times New Roman" w:hint="default"/>
                <w:sz w:val="18"/>
                <w:szCs w:val="18"/>
              </w:rPr>
              <w:t>3</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如本次交易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所披露的信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息涉嫌虚假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记载、误导性</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大遗漏，被司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 机关立案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侦查或者被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立案调查的，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在形成调查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结论以前，本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并于收到立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案稽查通知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的两个交易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日内将暂停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转让的书面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申请和股票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账户提交上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会，由董事会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代本承诺人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所和登记结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算公司申请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锁定；未在两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个交易日内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提交锁定申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请的，本承诺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人授权董事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会核实后直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接向证券交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易所和登记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结算公司报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送本承诺人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的身份信息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和账户信息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并申请锁定；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董事会未向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和登记结算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公司报送本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承诺人的身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份信息和账</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9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户信息的，授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权证券交易 所和登记结 算公司直接 锁定相关股 </w:t>
            </w:r>
            <w:r>
              <w:rPr>
                <w:rFonts w:ascii="宋体" w:hAnsi="宋体" w:cs="宋体" w:eastAsia="宋体" w:hint="default"/>
                <w:spacing w:val="-2"/>
                <w:sz w:val="18"/>
                <w:szCs w:val="18"/>
              </w:rPr>
              <w:t>份。如调查结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论发现存在 违法违规情 </w:t>
            </w:r>
            <w:r>
              <w:rPr>
                <w:rFonts w:ascii="宋体" w:hAnsi="宋体" w:cs="宋体" w:eastAsia="宋体" w:hint="default"/>
                <w:spacing w:val="-2"/>
                <w:sz w:val="18"/>
                <w:szCs w:val="18"/>
              </w:rPr>
              <w:t>节，本承诺人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承诺锁定股 份自愿用于 相关投资者 </w:t>
            </w:r>
            <w:r>
              <w:rPr>
                <w:rFonts w:ascii="宋体" w:hAnsi="宋体" w:cs="宋体" w:eastAsia="宋体" w:hint="default"/>
                <w:spacing w:val="-2"/>
                <w:sz w:val="18"/>
                <w:szCs w:val="18"/>
              </w:rPr>
              <w:t>赔偿安排。公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司负责人、主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管会计工作 的负责人和 会计机构负 责人保证重 组报告所引 用的相关数 据的真实性 和合理性。</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郭平</w:t>
            </w:r>
            <w:r>
              <w:rPr>
                <w:rFonts w:ascii="Times New Roman" w:hAnsi="Times New Roman" w:cs="Times New Roman" w:eastAsia="Times New Roman" w:hint="default"/>
                <w:sz w:val="18"/>
                <w:szCs w:val="18"/>
              </w:rPr>
              <w:t>;</w:t>
            </w:r>
            <w:r>
              <w:rPr>
                <w:rFonts w:ascii="宋体" w:hAnsi="宋体" w:cs="宋体" w:eastAsia="宋体" w:hint="default"/>
                <w:sz w:val="18"/>
                <w:szCs w:val="18"/>
              </w:rPr>
              <w:t>蒋慰静</w:t>
            </w:r>
            <w:r>
              <w:rPr>
                <w:rFonts w:ascii="Times New Roman" w:hAnsi="Times New Roman" w:cs="Times New Roman" w:eastAsia="Times New Roman" w:hint="default"/>
                <w:sz w:val="18"/>
                <w:szCs w:val="18"/>
              </w:rPr>
              <w:t>; </w:t>
            </w:r>
            <w:r>
              <w:rPr>
                <w:rFonts w:ascii="宋体" w:hAnsi="宋体" w:cs="宋体" w:eastAsia="宋体" w:hint="default"/>
                <w:sz w:val="18"/>
                <w:szCs w:val="18"/>
              </w:rPr>
              <w:t>李定胜</w:t>
            </w:r>
            <w:r>
              <w:rPr>
                <w:rFonts w:ascii="Times New Roman" w:hAnsi="Times New Roman" w:cs="Times New Roman" w:eastAsia="Times New Roman" w:hint="default"/>
                <w:sz w:val="18"/>
                <w:szCs w:val="18"/>
              </w:rPr>
              <w:t>;</w:t>
            </w:r>
            <w:r>
              <w:rPr>
                <w:rFonts w:ascii="宋体" w:hAnsi="宋体" w:cs="宋体" w:eastAsia="宋体" w:hint="default"/>
                <w:sz w:val="18"/>
                <w:szCs w:val="18"/>
              </w:rPr>
              <w:t>刘国 鹏</w:t>
            </w:r>
            <w:r>
              <w:rPr>
                <w:rFonts w:ascii="Times New Roman" w:hAnsi="Times New Roman" w:cs="Times New Roman" w:eastAsia="Times New Roman" w:hint="default"/>
                <w:sz w:val="18"/>
                <w:szCs w:val="18"/>
              </w:rPr>
              <w:t>;</w:t>
            </w:r>
            <w:r>
              <w:rPr>
                <w:rFonts w:ascii="宋体" w:hAnsi="宋体" w:cs="宋体" w:eastAsia="宋体" w:hint="default"/>
                <w:sz w:val="18"/>
                <w:szCs w:val="18"/>
              </w:rPr>
              <w:t>屈战</w:t>
            </w:r>
            <w:r>
              <w:rPr>
                <w:rFonts w:ascii="Times New Roman" w:hAnsi="Times New Roman" w:cs="Times New Roman" w:eastAsia="Times New Roman" w:hint="default"/>
                <w:sz w:val="18"/>
                <w:szCs w:val="18"/>
              </w:rPr>
              <w:t>;</w:t>
            </w:r>
            <w:r>
              <w:rPr>
                <w:rFonts w:ascii="宋体" w:hAnsi="宋体" w:cs="宋体" w:eastAsia="宋体" w:hint="default"/>
                <w:sz w:val="18"/>
                <w:szCs w:val="18"/>
              </w:rPr>
              <w:t>孙金 良</w:t>
            </w:r>
            <w:r>
              <w:rPr>
                <w:rFonts w:ascii="Times New Roman" w:hAnsi="Times New Roman" w:cs="Times New Roman" w:eastAsia="Times New Roman" w:hint="default"/>
                <w:sz w:val="18"/>
                <w:szCs w:val="18"/>
              </w:rPr>
              <w:t>;</w:t>
            </w:r>
            <w:r>
              <w:rPr>
                <w:rFonts w:ascii="宋体" w:hAnsi="宋体" w:cs="宋体" w:eastAsia="宋体" w:hint="default"/>
                <w:sz w:val="18"/>
                <w:szCs w:val="18"/>
              </w:rPr>
              <w:t>孙益兵</w:t>
            </w:r>
            <w:r>
              <w:rPr>
                <w:rFonts w:ascii="Times New Roman" w:hAnsi="Times New Roman" w:cs="Times New Roman" w:eastAsia="Times New Roman" w:hint="default"/>
                <w:sz w:val="18"/>
                <w:szCs w:val="18"/>
              </w:rPr>
              <w:t>;</w:t>
            </w:r>
            <w:r>
              <w:rPr>
                <w:rFonts w:ascii="宋体" w:hAnsi="宋体" w:cs="宋体" w:eastAsia="宋体" w:hint="default"/>
                <w:sz w:val="18"/>
                <w:szCs w:val="18"/>
              </w:rPr>
              <w:t>周 一心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 诺函出具之 </w:t>
            </w:r>
            <w:r>
              <w:rPr>
                <w:rFonts w:ascii="宋体" w:hAnsi="宋体" w:cs="宋体" w:eastAsia="宋体" w:hint="default"/>
                <w:spacing w:val="-2"/>
                <w:sz w:val="18"/>
                <w:szCs w:val="18"/>
              </w:rPr>
              <w:t>日，能瑞自动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化为依据中 国法律设立 并有效存续 的股份有限 </w:t>
            </w:r>
            <w:r>
              <w:rPr>
                <w:rFonts w:ascii="宋体" w:hAnsi="宋体" w:cs="宋体" w:eastAsia="宋体" w:hint="default"/>
                <w:spacing w:val="-2"/>
                <w:sz w:val="18"/>
                <w:szCs w:val="18"/>
              </w:rPr>
              <w:t>公司，不存在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根据中国法 律法规及能 瑞自动化章 程规定的需 </w:t>
            </w:r>
            <w:r>
              <w:rPr>
                <w:rFonts w:ascii="宋体" w:hAnsi="宋体" w:cs="宋体" w:eastAsia="宋体" w:hint="default"/>
                <w:spacing w:val="-2"/>
                <w:sz w:val="18"/>
                <w:szCs w:val="18"/>
              </w:rPr>
              <w:t>予以终止、解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散或清算的 </w:t>
            </w:r>
            <w:r>
              <w:rPr>
                <w:rFonts w:ascii="宋体" w:hAnsi="宋体" w:cs="宋体" w:eastAsia="宋体" w:hint="default"/>
                <w:spacing w:val="-2"/>
                <w:sz w:val="18"/>
                <w:szCs w:val="18"/>
              </w:rPr>
              <w:t>情形，也不存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在针对能瑞 自动化的任 何接管或重 整的裁定或 </w:t>
            </w:r>
            <w:r>
              <w:rPr>
                <w:rFonts w:ascii="宋体" w:hAnsi="宋体" w:cs="宋体" w:eastAsia="宋体" w:hint="default"/>
                <w:spacing w:val="-2"/>
                <w:sz w:val="18"/>
                <w:szCs w:val="18"/>
              </w:rPr>
              <w:t>命令。本承诺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人已经依法 足额对能瑞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2128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4"/>
                      <w:szCs w:val="24"/>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自动化履行</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出资义务，且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出资来源合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法，不存在任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何虚假出资、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延期出资、抽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逃出资等违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反其作为股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东所应当承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担的出资义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务及责任的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行为，不存在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可能影响能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瑞自动化合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法存续的情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w:t>
            </w: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本承诺函出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具之日，本承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能瑞自动化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的股份均为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本承诺人真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实合法拥有，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不存在权属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纠纷，不存在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信托、委托持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股或者类似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安排，不存在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禁止转让、限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制转让的承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诺或安排，亦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不存在质押、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冻结、查封、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财产保全或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其他权利限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制，亦不存在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任何诉讼、仲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裁、司法强制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执行等重大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争议或任何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潜在纠纷；</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诺将促使能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瑞自动化将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其公司类型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变更为有限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公司。在能瑞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自动化公司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类型变更为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持能瑞自动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化的股权过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户或转移不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存在法律障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碍；</w:t>
            </w:r>
            <w:r>
              <w:rPr>
                <w:rFonts w:ascii="Times New Roman" w:hAnsi="Times New Roman" w:cs="Times New Roman" w:eastAsia="Times New Roman" w:hint="default"/>
                <w:sz w:val="18"/>
                <w:szCs w:val="18"/>
              </w:rPr>
              <w:t>4</w:t>
            </w:r>
            <w:r>
              <w:rPr>
                <w:rFonts w:ascii="宋体" w:hAnsi="宋体" w:cs="宋体" w:eastAsia="宋体" w:hint="default"/>
                <w:sz w:val="18"/>
                <w:szCs w:val="18"/>
              </w:rPr>
              <w:t>、本承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诺人持有的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能瑞自动化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的股份登记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至金冠电气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名下之前始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终保持上述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状况；</w:t>
            </w:r>
            <w:r>
              <w:rPr>
                <w:rFonts w:ascii="Times New Roman" w:hAnsi="Times New Roman" w:cs="Times New Roman" w:eastAsia="Times New Roman" w:hint="default"/>
                <w:sz w:val="18"/>
                <w:szCs w:val="18"/>
              </w:rPr>
              <w:t>5</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承诺人保证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能瑞自动化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或本承诺人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签署的所有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协议或合同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不存在阻碍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本承诺人转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让能瑞自动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化股权的限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制性条款；如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有该等条款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的，本承诺人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将按照该等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合同或协议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的约定将能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瑞自动化股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权转让事宜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通知合同或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协议对方或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就该等事宜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取得合同或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协议对方的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同意；</w:t>
            </w:r>
            <w:r>
              <w:rPr>
                <w:rFonts w:ascii="Times New Roman" w:hAnsi="Times New Roman" w:cs="Times New Roman" w:eastAsia="Times New Roman" w:hint="default"/>
                <w:sz w:val="18"/>
                <w:szCs w:val="18"/>
              </w:rPr>
              <w:t>6</w:t>
            </w:r>
            <w:r>
              <w:rPr>
                <w:rFonts w:ascii="宋体" w:hAnsi="宋体" w:cs="宋体" w:eastAsia="宋体" w:hint="default"/>
                <w:sz w:val="18"/>
                <w:szCs w:val="18"/>
              </w:rPr>
              <w:t>、能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瑞自动化章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程、内部管理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298.5pt;mso-position-horizontal-relative:page;mso-position-vertical-relative:page;z-index:-2128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0"/>
                      <w:szCs w:val="20"/>
                    </w:rPr>
                  </w:pPr>
                </w:p>
                <w:p>
                  <w:pPr>
                    <w:pStyle w:val="BodyText"/>
                    <w:spacing w:line="240" w:lineRule="auto" w:before="0"/>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97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制度文件，不 存在阻碍本 承诺人转让 所持能瑞自 动化股权的 限制性条款。 如有该等条 款的，本承诺 人将促使能 瑞自动化修 改该等章程 和内部管理 制度文件；</w:t>
            </w:r>
            <w:r>
              <w:rPr>
                <w:rFonts w:ascii="Times New Roman" w:hAnsi="Times New Roman" w:cs="Times New Roman" w:eastAsia="Times New Roman" w:hint="default"/>
                <w:sz w:val="18"/>
                <w:szCs w:val="18"/>
              </w:rPr>
              <w:t>7 </w:t>
            </w:r>
            <w:r>
              <w:rPr>
                <w:rFonts w:ascii="宋体" w:hAnsi="宋体" w:cs="宋体" w:eastAsia="宋体" w:hint="default"/>
                <w:sz w:val="18"/>
                <w:szCs w:val="18"/>
              </w:rPr>
              <w:t>若违反上述 承诺，本承诺 人将承担因 此给金冠电 气造成的一 切损失。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596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8"/>
                <w:sz w:val="20"/>
                <w:szCs w:val="20"/>
              </w:rPr>
              <w:pict>
                <v:group style="width:55.85pt;height:298.5pt;mso-position-horizontal-relative:char;mso-position-vertical-relative:line" coordorigin="0,0" coordsize="1117,5970">
                  <v:group style="position:absolute;left:0;top:0;width:1117;height:5970" coordorigin="0,0" coordsize="1117,5970">
                    <v:shape style="position:absolute;left:0;top:0;width:1117;height:5970" coordorigin="0,0" coordsize="1117,5970" path="m0,5969l1116,5969,1116,0,0,0,0,5969xe" filled="true" fillcolor="#ffffff" stroked="false">
                      <v:path arrowok="t"/>
                      <v:fill type="solid"/>
                    </v:shape>
                  </v:group>
                </v:group>
              </w:pict>
            </w:r>
            <w:r>
              <w:rPr>
                <w:rFonts w:ascii="Times New Roman" w:hAnsi="Times New Roman" w:cs="Times New Roman" w:eastAsia="Times New Roman" w:hint="default"/>
                <w:position w:val="-118"/>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42"/>
              <w:ind w:left="23" w:right="89"/>
              <w:jc w:val="left"/>
              <w:rPr>
                <w:rFonts w:ascii="宋体" w:hAnsi="宋体" w:cs="宋体" w:eastAsia="宋体" w:hint="default"/>
                <w:sz w:val="18"/>
                <w:szCs w:val="18"/>
              </w:rPr>
            </w:pPr>
            <w:r>
              <w:rPr>
                <w:rFonts w:ascii="宋体" w:hAnsi="宋体" w:cs="宋体" w:eastAsia="宋体" w:hint="default"/>
                <w:sz w:val="18"/>
                <w:szCs w:val="18"/>
              </w:rPr>
              <w:t>陈磊</w:t>
            </w:r>
            <w:r>
              <w:rPr>
                <w:rFonts w:ascii="Times New Roman" w:hAnsi="Times New Roman" w:cs="Times New Roman" w:eastAsia="Times New Roman" w:hint="default"/>
                <w:sz w:val="18"/>
                <w:szCs w:val="18"/>
              </w:rPr>
              <w:t>;</w:t>
            </w:r>
            <w:r>
              <w:rPr>
                <w:rFonts w:ascii="宋体" w:hAnsi="宋体" w:cs="宋体" w:eastAsia="宋体" w:hint="default"/>
                <w:sz w:val="18"/>
                <w:szCs w:val="18"/>
              </w:rPr>
              <w:t>陈小虎</w:t>
            </w:r>
            <w:r>
              <w:rPr>
                <w:rFonts w:ascii="Times New Roman" w:hAnsi="Times New Roman" w:cs="Times New Roman" w:eastAsia="Times New Roman" w:hint="default"/>
                <w:sz w:val="18"/>
                <w:szCs w:val="18"/>
              </w:rPr>
              <w:t>; </w:t>
            </w:r>
            <w:r>
              <w:rPr>
                <w:rFonts w:ascii="宋体" w:hAnsi="宋体" w:cs="宋体" w:eastAsia="宋体" w:hint="default"/>
                <w:sz w:val="18"/>
                <w:szCs w:val="18"/>
              </w:rPr>
              <w:t>戴友年</w:t>
            </w:r>
            <w:r>
              <w:rPr>
                <w:rFonts w:ascii="Times New Roman" w:hAnsi="Times New Roman" w:cs="Times New Roman" w:eastAsia="Times New Roman" w:hint="default"/>
                <w:sz w:val="18"/>
                <w:szCs w:val="18"/>
              </w:rPr>
              <w:t>;</w:t>
            </w:r>
            <w:r>
              <w:rPr>
                <w:rFonts w:ascii="宋体" w:hAnsi="宋体" w:cs="宋体" w:eastAsia="宋体" w:hint="default"/>
                <w:sz w:val="18"/>
                <w:szCs w:val="18"/>
              </w:rPr>
              <w:t>董君</w:t>
            </w:r>
            <w:r>
              <w:rPr>
                <w:rFonts w:ascii="Times New Roman" w:hAnsi="Times New Roman" w:cs="Times New Roman" w:eastAsia="Times New Roman" w:hint="default"/>
                <w:sz w:val="18"/>
                <w:szCs w:val="18"/>
              </w:rPr>
              <w:t>; </w:t>
            </w:r>
            <w:r>
              <w:rPr>
                <w:rFonts w:ascii="宋体" w:hAnsi="宋体" w:cs="宋体" w:eastAsia="宋体" w:hint="default"/>
                <w:sz w:val="18"/>
                <w:szCs w:val="18"/>
              </w:rPr>
              <w:t>樊彬</w:t>
            </w:r>
            <w:r>
              <w:rPr>
                <w:rFonts w:ascii="Times New Roman" w:hAnsi="Times New Roman" w:cs="Times New Roman" w:eastAsia="Times New Roman" w:hint="default"/>
                <w:sz w:val="18"/>
                <w:szCs w:val="18"/>
              </w:rPr>
              <w:t>;</w:t>
            </w:r>
            <w:r>
              <w:rPr>
                <w:rFonts w:ascii="宋体" w:hAnsi="宋体" w:cs="宋体" w:eastAsia="宋体" w:hint="default"/>
                <w:sz w:val="18"/>
                <w:szCs w:val="18"/>
              </w:rPr>
              <w:t>方霞</w:t>
            </w:r>
            <w:r>
              <w:rPr>
                <w:rFonts w:ascii="Times New Roman" w:hAnsi="Times New Roman" w:cs="Times New Roman" w:eastAsia="Times New Roman" w:hint="default"/>
                <w:sz w:val="18"/>
                <w:szCs w:val="18"/>
              </w:rPr>
              <w:t>;</w:t>
            </w:r>
            <w:r>
              <w:rPr>
                <w:rFonts w:ascii="宋体" w:hAnsi="宋体" w:cs="宋体" w:eastAsia="宋体" w:hint="default"/>
                <w:sz w:val="18"/>
                <w:szCs w:val="18"/>
              </w:rPr>
              <w:t>高 俊俊</w:t>
            </w:r>
            <w:r>
              <w:rPr>
                <w:rFonts w:ascii="Times New Roman" w:hAnsi="Times New Roman" w:cs="Times New Roman" w:eastAsia="Times New Roman" w:hint="default"/>
                <w:sz w:val="18"/>
                <w:szCs w:val="18"/>
              </w:rPr>
              <w:t>;</w:t>
            </w:r>
            <w:r>
              <w:rPr>
                <w:rFonts w:ascii="宋体" w:hAnsi="宋体" w:cs="宋体" w:eastAsia="宋体" w:hint="default"/>
                <w:sz w:val="18"/>
                <w:szCs w:val="18"/>
              </w:rPr>
              <w:t>葛政</w:t>
            </w:r>
            <w:r>
              <w:rPr>
                <w:rFonts w:ascii="Times New Roman" w:hAnsi="Times New Roman" w:cs="Times New Roman" w:eastAsia="Times New Roman" w:hint="default"/>
                <w:sz w:val="18"/>
                <w:szCs w:val="18"/>
              </w:rPr>
              <w:t>;</w:t>
            </w:r>
            <w:r>
              <w:rPr>
                <w:rFonts w:ascii="宋体" w:hAnsi="宋体" w:cs="宋体" w:eastAsia="宋体" w:hint="default"/>
                <w:sz w:val="18"/>
                <w:szCs w:val="18"/>
              </w:rPr>
              <w:t>黄 绍云</w:t>
            </w:r>
            <w:r>
              <w:rPr>
                <w:rFonts w:ascii="Times New Roman" w:hAnsi="Times New Roman" w:cs="Times New Roman" w:eastAsia="Times New Roman" w:hint="default"/>
                <w:sz w:val="18"/>
                <w:szCs w:val="18"/>
              </w:rPr>
              <w:t>;</w:t>
            </w:r>
            <w:r>
              <w:rPr>
                <w:rFonts w:ascii="宋体" w:hAnsi="宋体" w:cs="宋体" w:eastAsia="宋体" w:hint="default"/>
                <w:sz w:val="18"/>
                <w:szCs w:val="18"/>
              </w:rPr>
              <w:t>刘红军</w:t>
            </w:r>
            <w:r>
              <w:rPr>
                <w:rFonts w:ascii="Times New Roman" w:hAnsi="Times New Roman" w:cs="Times New Roman" w:eastAsia="Times New Roman" w:hint="default"/>
                <w:sz w:val="18"/>
                <w:szCs w:val="18"/>
              </w:rPr>
              <w:t>; </w:t>
            </w:r>
            <w:r>
              <w:rPr>
                <w:rFonts w:ascii="宋体" w:hAnsi="宋体" w:cs="宋体" w:eastAsia="宋体" w:hint="default"/>
                <w:sz w:val="18"/>
                <w:szCs w:val="18"/>
              </w:rPr>
              <w:t>刘金山</w:t>
            </w:r>
            <w:r>
              <w:rPr>
                <w:rFonts w:ascii="Times New Roman" w:hAnsi="Times New Roman" w:cs="Times New Roman" w:eastAsia="Times New Roman" w:hint="default"/>
                <w:sz w:val="18"/>
                <w:szCs w:val="18"/>
              </w:rPr>
              <w:t>;</w:t>
            </w:r>
            <w:r>
              <w:rPr>
                <w:rFonts w:ascii="宋体" w:hAnsi="宋体" w:cs="宋体" w:eastAsia="宋体" w:hint="default"/>
                <w:sz w:val="18"/>
                <w:szCs w:val="18"/>
              </w:rPr>
              <w:t>南京 能策投资管 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钱淑琴</w:t>
            </w:r>
            <w:r>
              <w:rPr>
                <w:rFonts w:ascii="Times New Roman" w:hAnsi="Times New Roman" w:cs="Times New Roman" w:eastAsia="Times New Roman" w:hint="default"/>
                <w:sz w:val="18"/>
                <w:szCs w:val="18"/>
              </w:rPr>
              <w:t>;</w:t>
            </w:r>
            <w:r>
              <w:rPr>
                <w:rFonts w:ascii="宋体" w:hAnsi="宋体" w:cs="宋体" w:eastAsia="宋体" w:hint="default"/>
                <w:sz w:val="18"/>
                <w:szCs w:val="18"/>
              </w:rPr>
              <w:t>阮在 凤</w:t>
            </w:r>
            <w:r>
              <w:rPr>
                <w:rFonts w:ascii="Times New Roman" w:hAnsi="Times New Roman" w:cs="Times New Roman" w:eastAsia="Times New Roman" w:hint="default"/>
                <w:sz w:val="18"/>
                <w:szCs w:val="18"/>
              </w:rPr>
              <w:t>;</w:t>
            </w:r>
            <w:r>
              <w:rPr>
                <w:rFonts w:ascii="宋体" w:hAnsi="宋体" w:cs="宋体" w:eastAsia="宋体" w:hint="default"/>
                <w:sz w:val="18"/>
                <w:szCs w:val="18"/>
              </w:rPr>
              <w:t>宋福超</w:t>
            </w:r>
            <w:r>
              <w:rPr>
                <w:rFonts w:ascii="Times New Roman" w:hAnsi="Times New Roman" w:cs="Times New Roman" w:eastAsia="Times New Roman" w:hint="default"/>
                <w:sz w:val="18"/>
                <w:szCs w:val="18"/>
              </w:rPr>
              <w:t>;</w:t>
            </w:r>
            <w:r>
              <w:rPr>
                <w:rFonts w:ascii="宋体" w:hAnsi="宋体" w:cs="宋体" w:eastAsia="宋体" w:hint="default"/>
                <w:sz w:val="18"/>
                <w:szCs w:val="18"/>
              </w:rPr>
              <w:t>孙 雷</w:t>
            </w:r>
            <w:r>
              <w:rPr>
                <w:rFonts w:ascii="Times New Roman" w:hAnsi="Times New Roman" w:cs="Times New Roman" w:eastAsia="Times New Roman" w:hint="default"/>
                <w:sz w:val="18"/>
                <w:szCs w:val="18"/>
              </w:rPr>
              <w:t>;</w:t>
            </w:r>
            <w:r>
              <w:rPr>
                <w:rFonts w:ascii="宋体" w:hAnsi="宋体" w:cs="宋体" w:eastAsia="宋体" w:hint="default"/>
                <w:sz w:val="18"/>
                <w:szCs w:val="18"/>
              </w:rPr>
              <w:t>孙莹</w:t>
            </w:r>
            <w:r>
              <w:rPr>
                <w:rFonts w:ascii="Times New Roman" w:hAnsi="Times New Roman" w:cs="Times New Roman" w:eastAsia="Times New Roman" w:hint="default"/>
                <w:sz w:val="18"/>
                <w:szCs w:val="18"/>
              </w:rPr>
              <w:t>;</w:t>
            </w:r>
            <w:r>
              <w:rPr>
                <w:rFonts w:ascii="宋体" w:hAnsi="宋体" w:cs="宋体" w:eastAsia="宋体" w:hint="default"/>
                <w:sz w:val="18"/>
                <w:szCs w:val="18"/>
              </w:rPr>
              <w:t>夏玉 宝</w:t>
            </w:r>
            <w:r>
              <w:rPr>
                <w:rFonts w:ascii="Times New Roman" w:hAnsi="Times New Roman" w:cs="Times New Roman" w:eastAsia="Times New Roman" w:hint="default"/>
                <w:sz w:val="18"/>
                <w:szCs w:val="18"/>
              </w:rPr>
              <w:t>;</w:t>
            </w:r>
            <w:r>
              <w:rPr>
                <w:rFonts w:ascii="宋体" w:hAnsi="宋体" w:cs="宋体" w:eastAsia="宋体" w:hint="default"/>
                <w:sz w:val="18"/>
                <w:szCs w:val="18"/>
              </w:rPr>
              <w:t>许永建</w:t>
            </w:r>
            <w:r>
              <w:rPr>
                <w:rFonts w:ascii="Times New Roman" w:hAnsi="Times New Roman" w:cs="Times New Roman" w:eastAsia="Times New Roman" w:hint="default"/>
                <w:sz w:val="18"/>
                <w:szCs w:val="18"/>
              </w:rPr>
              <w:t>;</w:t>
            </w:r>
            <w:r>
              <w:rPr>
                <w:rFonts w:ascii="宋体" w:hAnsi="宋体" w:cs="宋体" w:eastAsia="宋体" w:hint="default"/>
                <w:sz w:val="18"/>
                <w:szCs w:val="18"/>
              </w:rPr>
              <w:t>严 克广</w:t>
            </w:r>
            <w:r>
              <w:rPr>
                <w:rFonts w:ascii="Times New Roman" w:hAnsi="Times New Roman" w:cs="Times New Roman" w:eastAsia="Times New Roman" w:hint="default"/>
                <w:sz w:val="18"/>
                <w:szCs w:val="18"/>
              </w:rPr>
              <w:t>;</w:t>
            </w:r>
            <w:r>
              <w:rPr>
                <w:rFonts w:ascii="宋体" w:hAnsi="宋体" w:cs="宋体" w:eastAsia="宋体" w:hint="default"/>
                <w:sz w:val="18"/>
                <w:szCs w:val="18"/>
              </w:rPr>
              <w:t>张雷</w:t>
            </w:r>
            <w:r>
              <w:rPr>
                <w:rFonts w:ascii="Times New Roman" w:hAnsi="Times New Roman" w:cs="Times New Roman" w:eastAsia="Times New Roman" w:hint="default"/>
                <w:sz w:val="18"/>
                <w:szCs w:val="18"/>
              </w:rPr>
              <w:t>;</w:t>
            </w:r>
            <w:r>
              <w:rPr>
                <w:rFonts w:ascii="宋体" w:hAnsi="宋体" w:cs="宋体" w:eastAsia="宋体" w:hint="default"/>
                <w:sz w:val="18"/>
                <w:szCs w:val="18"/>
              </w:rPr>
              <w:t>张 亚贤</w:t>
            </w:r>
            <w:r>
              <w:rPr>
                <w:rFonts w:ascii="Times New Roman" w:hAnsi="Times New Roman" w:cs="Times New Roman" w:eastAsia="Times New Roman" w:hint="default"/>
                <w:sz w:val="18"/>
                <w:szCs w:val="18"/>
              </w:rPr>
              <w:t>;</w:t>
            </w:r>
            <w:r>
              <w:rPr>
                <w:rFonts w:ascii="宋体" w:hAnsi="宋体" w:cs="宋体" w:eastAsia="宋体" w:hint="default"/>
                <w:sz w:val="18"/>
                <w:szCs w:val="18"/>
              </w:rPr>
              <w:t>周永志</w:t>
            </w:r>
            <w:r>
              <w:rPr>
                <w:rFonts w:ascii="Times New Roman" w:hAnsi="Times New Roman" w:cs="Times New Roman" w:eastAsia="Times New Roman" w:hint="default"/>
                <w:sz w:val="18"/>
                <w:szCs w:val="18"/>
              </w:rPr>
              <w:t>; </w:t>
            </w:r>
            <w:r>
              <w:rPr>
                <w:rFonts w:ascii="宋体" w:hAnsi="宋体" w:cs="宋体" w:eastAsia="宋体" w:hint="default"/>
                <w:sz w:val="18"/>
                <w:szCs w:val="18"/>
              </w:rPr>
              <w:t>卓亚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 诺函出具之 日，能瑞自动 化为依据中 国法律设立 并有效存续 的股份有限 公司，不存在 根据中国法 律法规及能 瑞自动化章 程规定的需 予以终止、解 散或清算的 情形，也不存 在针对能瑞 自动化其的 任何接管或 重整的裁定 或命令。本承 诺人已经依 法足额对能 瑞自动化履 行出资义务， 且出资来源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合法，不存在</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任何虚假出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资、延期出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资、抽逃出资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等违反其作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为股东所应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当承担的出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资义务及责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任的行为，不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存在可能影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响能瑞自动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化合法存续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截至本承诺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函出具之日，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本承诺人持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有的能瑞自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动化的股份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均为本承诺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人真实合法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拥有，不存在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权属纠纷，不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存在信托、委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托持股或者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类似安排，不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存在禁止转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让、限制转让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的承诺或安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排，亦不存在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质押、冻结、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查封、财产保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全或其他权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利限制，亦不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存在任何诉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讼、仲裁、司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法强制执行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等重大争议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或任何潜在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纠纷，本承诺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人所持能瑞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自动化的股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份过户或转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移不存在法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律障碍；</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2128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本承诺人持</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有的能瑞自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动化的股份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登记至金冠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电气名下之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前始终保持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上述状况；</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本承诺人保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证能瑞自动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化或本人签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署的所有协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议或合同不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存在阻碍本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能瑞自动化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股权的限制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性条款；如有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该等条款的，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按照该等合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同或协议的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约定将能瑞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自动化股权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转让事宜通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知合同或协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议对方或就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该等事宜取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得合同或协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议对方的同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w:t>
            </w:r>
            <w:r>
              <w:rPr>
                <w:rFonts w:ascii="Times New Roman" w:hAnsi="Times New Roman" w:cs="Times New Roman" w:eastAsia="Times New Roman" w:hint="default"/>
                <w:sz w:val="18"/>
                <w:szCs w:val="18"/>
              </w:rPr>
              <w:t>5</w:t>
            </w:r>
            <w:r>
              <w:rPr>
                <w:rFonts w:ascii="宋体" w:hAnsi="宋体" w:cs="宋体" w:eastAsia="宋体" w:hint="default"/>
                <w:sz w:val="18"/>
                <w:szCs w:val="18"/>
              </w:rPr>
              <w:t>、能瑞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自动化章程、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内部管理制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度文件，不存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在阻碍本承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诺人转让所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持能瑞自动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化股权的限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制性条款。如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有该等条款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的，本承诺人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将促使能瑞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自动化修改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该等章程和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内部管理制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2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度文件；</w:t>
            </w:r>
            <w:r>
              <w:rPr>
                <w:rFonts w:ascii="Times New Roman" w:hAnsi="Times New Roman" w:cs="Times New Roman" w:eastAsia="Times New Roman" w:hint="default"/>
                <w:sz w:val="18"/>
                <w:szCs w:val="18"/>
              </w:rPr>
              <w:t>6</w:t>
            </w:r>
            <w:r>
              <w:rPr>
                <w:rFonts w:ascii="宋体" w:hAnsi="宋体" w:cs="宋体" w:eastAsia="宋体" w:hint="default"/>
                <w:sz w:val="18"/>
                <w:szCs w:val="18"/>
              </w:rPr>
              <w:t>、 若违反上述 </w:t>
            </w:r>
            <w:r>
              <w:rPr>
                <w:rFonts w:ascii="宋体" w:hAnsi="宋体" w:cs="宋体" w:eastAsia="宋体" w:hint="default"/>
                <w:spacing w:val="-2"/>
                <w:sz w:val="18"/>
                <w:szCs w:val="18"/>
              </w:rPr>
              <w:t>承诺，本承诺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人将承担因 此给金冠电 气造成的一 切损失。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0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吉林省金冠 电气股份有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吉林省金冠 电气股份有 </w:t>
            </w:r>
            <w:r>
              <w:rPr>
                <w:rFonts w:ascii="宋体" w:hAnsi="宋体" w:cs="宋体" w:eastAsia="宋体" w:hint="default"/>
                <w:spacing w:val="-2"/>
                <w:sz w:val="18"/>
                <w:szCs w:val="18"/>
              </w:rPr>
              <w:t>限公司（以下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 </w:t>
            </w:r>
            <w:r>
              <w:rPr>
                <w:rFonts w:ascii="宋体" w:hAnsi="宋体" w:cs="宋体" w:eastAsia="宋体" w:hint="default"/>
                <w:spacing w:val="-13"/>
                <w:w w:val="100"/>
                <w:sz w:val="18"/>
                <w:szCs w:val="18"/>
              </w:rPr>
              <w:t>司</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）已严格按</w:t>
            </w:r>
            <w:r>
              <w:rPr>
                <w:rFonts w:ascii="宋体" w:hAnsi="宋体" w:cs="宋体" w:eastAsia="宋体" w:hint="default"/>
                <w:sz w:val="18"/>
                <w:szCs w:val="18"/>
              </w:rPr>
              <w:t> </w:t>
            </w:r>
            <w:r>
              <w:rPr>
                <w:rFonts w:ascii="宋体" w:hAnsi="宋体" w:cs="宋体" w:eastAsia="宋体" w:hint="default"/>
                <w:spacing w:val="-2"/>
                <w:sz w:val="18"/>
                <w:szCs w:val="18"/>
              </w:rPr>
              <w:t>照《中华人民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共和国公司 </w:t>
            </w:r>
            <w:r>
              <w:rPr>
                <w:rFonts w:ascii="宋体" w:hAnsi="宋体" w:cs="宋体" w:eastAsia="宋体" w:hint="default"/>
                <w:spacing w:val="-28"/>
                <w:sz w:val="18"/>
                <w:szCs w:val="18"/>
              </w:rPr>
              <w:t>法》、《中华人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民共和国证 券法》以及</w:t>
            </w:r>
          </w:p>
          <w:p>
            <w:pPr>
              <w:pStyle w:val="TableParagraph"/>
              <w:spacing w:line="316"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《上市公司 重大资产重 组管理办法》 等法律法规 之规定，制作 了吉林省金 冠电气股份 有限公司发 行股份及支 付现金购买 资产并募集 配套资金暨 关联交易申 请文件。本公 司承诺所有 申请文件的 文字版本和 电子版本保 持一致，不存 在差异，并承 担相应的法 律责任。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190"/>
              <w:jc w:val="both"/>
              <w:rPr>
                <w:rFonts w:ascii="宋体" w:hAnsi="宋体" w:cs="宋体" w:eastAsia="宋体" w:hint="default"/>
                <w:sz w:val="18"/>
                <w:szCs w:val="18"/>
              </w:rPr>
            </w:pPr>
            <w:r>
              <w:rPr>
                <w:rFonts w:ascii="宋体" w:hAnsi="宋体" w:cs="宋体" w:eastAsia="宋体" w:hint="default"/>
                <w:sz w:val="18"/>
                <w:szCs w:val="18"/>
              </w:rPr>
              <w:t>吉林省金冠 电气股份有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吉林省金冠 电气股份有 </w:t>
            </w:r>
            <w:r>
              <w:rPr>
                <w:rFonts w:ascii="宋体" w:hAnsi="宋体" w:cs="宋体" w:eastAsia="宋体" w:hint="default"/>
                <w:spacing w:val="-2"/>
                <w:sz w:val="18"/>
                <w:szCs w:val="18"/>
              </w:rPr>
              <w:t>限公司（以下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 </w:t>
            </w:r>
            <w:r>
              <w:rPr>
                <w:rFonts w:ascii="宋体" w:hAnsi="宋体" w:cs="宋体" w:eastAsia="宋体" w:hint="default"/>
                <w:spacing w:val="-13"/>
                <w:w w:val="100"/>
                <w:sz w:val="18"/>
                <w:szCs w:val="18"/>
              </w:rPr>
              <w:t>司</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）向中国证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2128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2"/>
                      <w:szCs w:val="22"/>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券监督管理</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委员会承诺：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、在本次并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购重组申请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保证不直接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或间接地向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并购重组审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核委员会委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员提供资金、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物品等馈赠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及其他利益，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保证不直接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或间接地向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并购重组审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核委员会委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员提供本次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审核的相关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保证不以不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正当手段影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响并购重组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审核委员会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委员对申请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人的判断。</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不以任何方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式干扰并购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重组审核委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员会的审核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工作。</w:t>
            </w:r>
            <w:r>
              <w:rPr>
                <w:rFonts w:ascii="Times New Roman" w:hAnsi="Times New Roman" w:cs="Times New Roman" w:eastAsia="Times New Roman" w:hint="default"/>
                <w:sz w:val="18"/>
                <w:szCs w:val="18"/>
              </w:rPr>
              <w:t>3</w:t>
            </w:r>
            <w:r>
              <w:rPr>
                <w:rFonts w:ascii="宋体" w:hAnsi="宋体" w:cs="宋体" w:eastAsia="宋体" w:hint="default"/>
                <w:sz w:val="18"/>
                <w:szCs w:val="18"/>
              </w:rPr>
              <w:t>、在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并购重组审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核委员会会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议上接受并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购重组审核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委员会委员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的询问时，本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公司保证陈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述的内容真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实、客观、准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确，不包含与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本次并购重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组审核委员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会审核无关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483.639984pt;width:62pt;height:279.8pt;mso-position-horizontal-relative:page;mso-position-vertical-relative:page;z-index:-2128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pStyle w:val="BodyText"/>
                    <w:spacing w:line="240" w:lineRule="auto" w:before="0"/>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before="0"/>
                    <w:ind w:left="0" w:right="0"/>
                    <w:jc w:val="left"/>
                  </w:pPr>
                  <w:r>
                    <w:rPr/>
                    <w:t>、</w:t>
                  </w:r>
                </w:p>
              </w:txbxContent>
            </v:textbox>
            <w10:wrap type="none"/>
          </v:shape>
        </w:pict>
      </w:r>
      <w:r>
        <w:rPr/>
        <w:pict>
          <v:group style="position:absolute;margin-left:367.660004pt;margin-top:483.639984pt;width:55.85pt;height:279.8pt;mso-position-horizontal-relative:page;mso-position-vertical-relative:page;z-index:-2128672" coordorigin="7353,9673" coordsize="1117,5596">
            <v:shape style="position:absolute;left:7353;top:9673;width:1117;height:5596" coordorigin="7353,9673" coordsize="1117,5596" path="m7353,15269l8470,15269,8470,9673,7353,9673,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的内容。</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若本公司违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将承担由此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引起的一切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法律责任。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吉林省金冠</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电气股份有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限公司（以下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金冠电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气</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拟通过发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行股份和支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付现金方式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购买南京能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瑞自动化设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备股份有限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陈磊</w:t>
            </w:r>
            <w:r>
              <w:rPr>
                <w:rFonts w:ascii="Times New Roman" w:hAnsi="Times New Roman" w:cs="Times New Roman" w:eastAsia="Times New Roman" w:hint="default"/>
                <w:sz w:val="18"/>
                <w:szCs w:val="18"/>
              </w:rPr>
              <w:t>;</w:t>
            </w:r>
            <w:r>
              <w:rPr>
                <w:rFonts w:ascii="宋体" w:hAnsi="宋体" w:cs="宋体" w:eastAsia="宋体" w:hint="default"/>
                <w:sz w:val="18"/>
                <w:szCs w:val="18"/>
              </w:rPr>
              <w:t>戴友年</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公司（以下简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董君</w:t>
            </w:r>
            <w:r>
              <w:rPr>
                <w:rFonts w:ascii="Times New Roman" w:hAnsi="Times New Roman" w:cs="Times New Roman" w:eastAsia="Times New Roman" w:hint="default"/>
                <w:sz w:val="18"/>
                <w:szCs w:val="18"/>
              </w:rPr>
              <w:t>;</w:t>
            </w:r>
            <w:r>
              <w:rPr>
                <w:rFonts w:ascii="宋体" w:hAnsi="宋体" w:cs="宋体" w:eastAsia="宋体" w:hint="default"/>
                <w:sz w:val="18"/>
                <w:szCs w:val="18"/>
              </w:rPr>
              <w:t>樊彬</w:t>
            </w:r>
            <w:r>
              <w:rPr>
                <w:rFonts w:ascii="Times New Roman" w:hAnsi="Times New Roman" w:cs="Times New Roman" w:eastAsia="Times New Roman" w:hint="default"/>
                <w:sz w:val="18"/>
                <w:szCs w:val="18"/>
              </w:rPr>
              <w:t>;</w:t>
            </w:r>
            <w:r>
              <w:rPr>
                <w:rFonts w:ascii="宋体" w:hAnsi="宋体" w:cs="宋体" w:eastAsia="宋体" w:hint="default"/>
                <w:sz w:val="18"/>
                <w:szCs w:val="18"/>
              </w:rPr>
              <w:t>方</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能瑞自动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霞</w:t>
            </w:r>
            <w:r>
              <w:rPr>
                <w:rFonts w:ascii="Times New Roman" w:hAnsi="Times New Roman" w:cs="Times New Roman" w:eastAsia="Times New Roman" w:hint="default"/>
                <w:sz w:val="18"/>
                <w:szCs w:val="18"/>
              </w:rPr>
              <w:t>;</w:t>
            </w:r>
            <w:r>
              <w:rPr>
                <w:rFonts w:ascii="宋体" w:hAnsi="宋体" w:cs="宋体" w:eastAsia="宋体" w:hint="default"/>
                <w:sz w:val="18"/>
                <w:szCs w:val="18"/>
              </w:rPr>
              <w:t>高俊俊</w:t>
            </w:r>
            <w:r>
              <w:rPr>
                <w:rFonts w:ascii="Times New Roman" w:hAnsi="Times New Roman" w:cs="Times New Roman" w:eastAsia="Times New Roman" w:hint="default"/>
                <w:sz w:val="18"/>
                <w:szCs w:val="18"/>
              </w:rPr>
              <w:t>;</w:t>
            </w:r>
            <w:r>
              <w:rPr>
                <w:rFonts w:ascii="宋体" w:hAnsi="宋体" w:cs="宋体" w:eastAsia="宋体" w:hint="default"/>
                <w:sz w:val="18"/>
                <w:szCs w:val="18"/>
              </w:rPr>
              <w:t>葛</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化</w:t>
            </w:r>
            <w:r>
              <w:rPr>
                <w:rFonts w:ascii="Times New Roman" w:hAnsi="Times New Roman" w:cs="Times New Roman" w:eastAsia="Times New Roman" w:hint="default"/>
                <w:sz w:val="18"/>
                <w:szCs w:val="18"/>
              </w:rPr>
              <w:t>”</w:t>
            </w:r>
            <w:r>
              <w:rPr>
                <w:rFonts w:ascii="宋体" w:hAnsi="宋体" w:cs="宋体" w:eastAsia="宋体" w:hint="default"/>
                <w:sz w:val="18"/>
                <w:szCs w:val="18"/>
              </w:rPr>
              <w:t>）合计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政</w:t>
            </w:r>
            <w:r>
              <w:rPr>
                <w:rFonts w:ascii="Times New Roman" w:hAnsi="Times New Roman" w:cs="Times New Roman" w:eastAsia="Times New Roman" w:hint="default"/>
                <w:sz w:val="18"/>
                <w:szCs w:val="18"/>
              </w:rPr>
              <w:t>;</w:t>
            </w:r>
            <w:r>
              <w:rPr>
                <w:rFonts w:ascii="宋体" w:hAnsi="宋体" w:cs="宋体" w:eastAsia="宋体" w:hint="default"/>
                <w:sz w:val="18"/>
                <w:szCs w:val="18"/>
              </w:rPr>
              <w:t>郭平</w:t>
            </w:r>
            <w:r>
              <w:rPr>
                <w:rFonts w:ascii="Times New Roman" w:hAnsi="Times New Roman" w:cs="Times New Roman" w:eastAsia="Times New Roman" w:hint="default"/>
                <w:sz w:val="18"/>
                <w:szCs w:val="18"/>
              </w:rPr>
              <w:t>;</w:t>
            </w:r>
            <w:r>
              <w:rPr>
                <w:rFonts w:ascii="宋体" w:hAnsi="宋体" w:cs="宋体" w:eastAsia="宋体" w:hint="default"/>
                <w:sz w:val="18"/>
                <w:szCs w:val="18"/>
              </w:rPr>
              <w:t>黄绍</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的股份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云</w:t>
            </w:r>
            <w:r>
              <w:rPr>
                <w:rFonts w:ascii="Times New Roman" w:hAnsi="Times New Roman" w:cs="Times New Roman" w:eastAsia="Times New Roman" w:hint="default"/>
                <w:sz w:val="18"/>
                <w:szCs w:val="18"/>
              </w:rPr>
              <w:t>;</w:t>
            </w:r>
            <w:r>
              <w:rPr>
                <w:rFonts w:ascii="宋体" w:hAnsi="宋体" w:cs="宋体" w:eastAsia="宋体" w:hint="default"/>
                <w:sz w:val="18"/>
                <w:szCs w:val="18"/>
              </w:rPr>
              <w:t>蒋慰静</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并募集配套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定胜</w:t>
            </w:r>
            <w:r>
              <w:rPr>
                <w:rFonts w:ascii="Times New Roman" w:hAnsi="Times New Roman" w:cs="Times New Roman" w:eastAsia="Times New Roman" w:hint="default"/>
                <w:sz w:val="18"/>
                <w:szCs w:val="18"/>
              </w:rPr>
              <w:t>;</w:t>
            </w:r>
            <w:r>
              <w:rPr>
                <w:rFonts w:ascii="宋体" w:hAnsi="宋体" w:cs="宋体" w:eastAsia="宋体" w:hint="default"/>
                <w:sz w:val="18"/>
                <w:szCs w:val="18"/>
              </w:rPr>
              <w:t>刘国鹏</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资金（以下简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刘红军</w:t>
            </w:r>
            <w:r>
              <w:rPr>
                <w:rFonts w:ascii="Times New Roman" w:hAnsi="Times New Roman" w:cs="Times New Roman" w:eastAsia="Times New Roman" w:hint="default"/>
                <w:sz w:val="18"/>
                <w:szCs w:val="18"/>
              </w:rPr>
              <w:t>;</w:t>
            </w:r>
            <w:r>
              <w:rPr>
                <w:rFonts w:ascii="宋体" w:hAnsi="宋体" w:cs="宋体" w:eastAsia="宋体" w:hint="default"/>
                <w:sz w:val="18"/>
                <w:szCs w:val="18"/>
              </w:rPr>
              <w:t>刘金</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本次交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3" w:right="89"/>
              <w:jc w:val="left"/>
              <w:rPr>
                <w:rFonts w:ascii="宋体" w:hAnsi="宋体" w:cs="宋体" w:eastAsia="宋体" w:hint="default"/>
                <w:sz w:val="18"/>
                <w:szCs w:val="18"/>
              </w:rPr>
            </w:pPr>
            <w:r>
              <w:rPr>
                <w:rFonts w:ascii="宋体" w:hAnsi="宋体" w:cs="宋体" w:eastAsia="宋体" w:hint="default"/>
                <w:sz w:val="18"/>
                <w:szCs w:val="18"/>
              </w:rPr>
              <w:t>山</w:t>
            </w:r>
            <w:r>
              <w:rPr>
                <w:rFonts w:ascii="Times New Roman" w:hAnsi="Times New Roman" w:cs="Times New Roman" w:eastAsia="Times New Roman" w:hint="default"/>
                <w:sz w:val="18"/>
                <w:szCs w:val="18"/>
              </w:rPr>
              <w:t>;</w:t>
            </w:r>
            <w:r>
              <w:rPr>
                <w:rFonts w:ascii="宋体" w:hAnsi="宋体" w:cs="宋体" w:eastAsia="宋体" w:hint="default"/>
                <w:sz w:val="18"/>
                <w:szCs w:val="18"/>
              </w:rPr>
              <w:t>钱淑琴</w:t>
            </w:r>
            <w:r>
              <w:rPr>
                <w:rFonts w:ascii="Times New Roman" w:hAnsi="Times New Roman" w:cs="Times New Roman" w:eastAsia="Times New Roman" w:hint="default"/>
                <w:sz w:val="18"/>
                <w:szCs w:val="18"/>
              </w:rPr>
              <w:t>;</w:t>
            </w:r>
            <w:r>
              <w:rPr>
                <w:rFonts w:ascii="宋体" w:hAnsi="宋体" w:cs="宋体" w:eastAsia="宋体" w:hint="default"/>
                <w:sz w:val="18"/>
                <w:szCs w:val="18"/>
              </w:rPr>
              <w:t>屈 战</w:t>
            </w:r>
            <w:r>
              <w:rPr>
                <w:rFonts w:ascii="Times New Roman" w:hAnsi="Times New Roman" w:cs="Times New Roman" w:eastAsia="Times New Roman" w:hint="default"/>
                <w:sz w:val="18"/>
                <w:szCs w:val="18"/>
              </w:rPr>
              <w:t>;</w:t>
            </w:r>
            <w:r>
              <w:rPr>
                <w:rFonts w:ascii="宋体" w:hAnsi="宋体" w:cs="宋体" w:eastAsia="宋体" w:hint="default"/>
                <w:sz w:val="18"/>
                <w:szCs w:val="18"/>
              </w:rPr>
              <w:t>阮在凤</w:t>
            </w:r>
            <w:r>
              <w:rPr>
                <w:rFonts w:ascii="Times New Roman" w:hAnsi="Times New Roman" w:cs="Times New Roman" w:eastAsia="Times New Roman" w:hint="default"/>
                <w:sz w:val="18"/>
                <w:szCs w:val="18"/>
              </w:rPr>
              <w:t>;</w:t>
            </w:r>
            <w:r>
              <w:rPr>
                <w:rFonts w:ascii="宋体" w:hAnsi="宋体" w:cs="宋体" w:eastAsia="宋体" w:hint="default"/>
                <w:sz w:val="18"/>
                <w:szCs w:val="18"/>
              </w:rPr>
              <w:t>宋</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00" w:lineRule="auto" w:before="15"/>
              <w:ind w:left="22" w:right="23"/>
              <w:jc w:val="left"/>
              <w:rPr>
                <w:rFonts w:ascii="宋体" w:hAnsi="宋体" w:cs="宋体" w:eastAsia="宋体" w:hint="default"/>
                <w:sz w:val="18"/>
                <w:szCs w:val="18"/>
              </w:rPr>
            </w:pPr>
            <w:r>
              <w:rPr>
                <w:rFonts w:ascii="宋体" w:hAnsi="宋体" w:cs="宋体" w:eastAsia="宋体" w:hint="default"/>
                <w:spacing w:val="-13"/>
                <w:w w:val="100"/>
                <w:sz w:val="18"/>
                <w:szCs w:val="18"/>
              </w:rPr>
              <w:t>易</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）。本承诺</w:t>
            </w:r>
            <w:r>
              <w:rPr>
                <w:rFonts w:ascii="宋体" w:hAnsi="宋体" w:cs="宋体" w:eastAsia="宋体" w:hint="default"/>
                <w:sz w:val="18"/>
                <w:szCs w:val="18"/>
              </w:rPr>
              <w:t> 人作为本次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福超</w:t>
            </w:r>
            <w:r>
              <w:rPr>
                <w:rFonts w:ascii="Times New Roman" w:hAnsi="Times New Roman" w:cs="Times New Roman" w:eastAsia="Times New Roman" w:hint="default"/>
                <w:sz w:val="18"/>
                <w:szCs w:val="18"/>
              </w:rPr>
              <w:t>;</w:t>
            </w:r>
            <w:r>
              <w:rPr>
                <w:rFonts w:ascii="宋体" w:hAnsi="宋体" w:cs="宋体" w:eastAsia="宋体" w:hint="default"/>
                <w:sz w:val="18"/>
                <w:szCs w:val="18"/>
              </w:rPr>
              <w:t>孙金良</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交易的交易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孙雷</w:t>
            </w:r>
            <w:r>
              <w:rPr>
                <w:rFonts w:ascii="Times New Roman" w:hAnsi="Times New Roman" w:cs="Times New Roman" w:eastAsia="Times New Roman" w:hint="default"/>
                <w:sz w:val="18"/>
                <w:szCs w:val="18"/>
              </w:rPr>
              <w:t>;</w:t>
            </w:r>
            <w:r>
              <w:rPr>
                <w:rFonts w:ascii="宋体" w:hAnsi="宋体" w:cs="宋体" w:eastAsia="宋体" w:hint="default"/>
                <w:sz w:val="18"/>
                <w:szCs w:val="18"/>
              </w:rPr>
              <w:t>孙益兵</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对方，特作出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孙莹</w:t>
            </w:r>
            <w:r>
              <w:rPr>
                <w:rFonts w:ascii="Times New Roman" w:hAnsi="Times New Roman" w:cs="Times New Roman" w:eastAsia="Times New Roman" w:hint="default"/>
                <w:sz w:val="18"/>
                <w:szCs w:val="18"/>
              </w:rPr>
              <w:t>;</w:t>
            </w:r>
            <w:r>
              <w:rPr>
                <w:rFonts w:ascii="宋体" w:hAnsi="宋体" w:cs="宋体" w:eastAsia="宋体" w:hint="default"/>
                <w:sz w:val="18"/>
                <w:szCs w:val="18"/>
              </w:rPr>
              <w:t>夏玉宝</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如下承诺：</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许永建</w:t>
            </w:r>
            <w:r>
              <w:rPr>
                <w:rFonts w:ascii="Times New Roman" w:hAnsi="Times New Roman" w:cs="Times New Roman" w:eastAsia="Times New Roman" w:hint="default"/>
                <w:sz w:val="18"/>
                <w:szCs w:val="18"/>
              </w:rPr>
              <w:t>;</w:t>
            </w:r>
            <w:r>
              <w:rPr>
                <w:rFonts w:ascii="宋体" w:hAnsi="宋体" w:cs="宋体" w:eastAsia="宋体" w:hint="default"/>
                <w:sz w:val="18"/>
                <w:szCs w:val="18"/>
              </w:rPr>
              <w:t>严克</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本承诺人与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广</w:t>
            </w:r>
            <w:r>
              <w:rPr>
                <w:rFonts w:ascii="Times New Roman" w:hAnsi="Times New Roman" w:cs="Times New Roman" w:eastAsia="Times New Roman" w:hint="default"/>
                <w:sz w:val="18"/>
                <w:szCs w:val="18"/>
              </w:rPr>
              <w:t>;</w:t>
            </w:r>
            <w:r>
              <w:rPr>
                <w:rFonts w:ascii="宋体" w:hAnsi="宋体" w:cs="宋体" w:eastAsia="宋体" w:hint="default"/>
                <w:sz w:val="18"/>
                <w:szCs w:val="18"/>
              </w:rPr>
              <w:t>张雷</w:t>
            </w:r>
            <w:r>
              <w:rPr>
                <w:rFonts w:ascii="Times New Roman" w:hAnsi="Times New Roman" w:cs="Times New Roman" w:eastAsia="Times New Roman" w:hint="default"/>
                <w:sz w:val="18"/>
                <w:szCs w:val="18"/>
              </w:rPr>
              <w:t>;</w:t>
            </w:r>
            <w:r>
              <w:rPr>
                <w:rFonts w:ascii="宋体" w:hAnsi="宋体" w:cs="宋体" w:eastAsia="宋体" w:hint="default"/>
                <w:sz w:val="18"/>
                <w:szCs w:val="18"/>
              </w:rPr>
              <w:t>张亚</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金冠电气及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贤</w:t>
            </w:r>
            <w:r>
              <w:rPr>
                <w:rFonts w:ascii="Times New Roman" w:hAnsi="Times New Roman" w:cs="Times New Roman" w:eastAsia="Times New Roman" w:hint="default"/>
                <w:sz w:val="18"/>
                <w:szCs w:val="18"/>
              </w:rPr>
              <w:t>;</w:t>
            </w:r>
            <w:r>
              <w:rPr>
                <w:rFonts w:ascii="宋体" w:hAnsi="宋体" w:cs="宋体" w:eastAsia="宋体" w:hint="default"/>
                <w:sz w:val="18"/>
                <w:szCs w:val="18"/>
              </w:rPr>
              <w:t>周一心</w:t>
            </w:r>
            <w:r>
              <w:rPr>
                <w:rFonts w:ascii="Times New Roman" w:hAnsi="Times New Roman" w:cs="Times New Roman" w:eastAsia="Times New Roman" w:hint="default"/>
                <w:sz w:val="18"/>
                <w:szCs w:val="18"/>
              </w:rPr>
              <w:t>;</w:t>
            </w:r>
            <w:r>
              <w:rPr>
                <w:rFonts w:ascii="宋体" w:hAnsi="宋体" w:cs="宋体" w:eastAsia="宋体" w:hint="default"/>
                <w:sz w:val="18"/>
                <w:szCs w:val="18"/>
              </w:rPr>
              <w:t>周</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其董事、监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永志</w:t>
            </w:r>
            <w:r>
              <w:rPr>
                <w:rFonts w:ascii="Times New Roman" w:hAnsi="Times New Roman" w:cs="Times New Roman" w:eastAsia="Times New Roman" w:hint="default"/>
                <w:sz w:val="18"/>
                <w:szCs w:val="18"/>
              </w:rPr>
              <w:t>;</w:t>
            </w:r>
            <w:r>
              <w:rPr>
                <w:rFonts w:ascii="宋体" w:hAnsi="宋体" w:cs="宋体" w:eastAsia="宋体" w:hint="default"/>
                <w:sz w:val="18"/>
                <w:szCs w:val="18"/>
              </w:rPr>
              <w:t>卓亚</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人员不存在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关联关系；</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本承诺人控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业与金冠电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气不存在关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联关系；</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本承诺人与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间不存在任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何直接或间</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2128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5"/>
                      <w:szCs w:val="15"/>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接的股权或</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其他权益关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系，未向金冠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电气推荐董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w:t>
            </w:r>
            <w:r>
              <w:rPr>
                <w:rFonts w:ascii="Times New Roman" w:hAnsi="Times New Roman" w:cs="Times New Roman" w:eastAsia="Times New Roman" w:hint="default"/>
                <w:sz w:val="18"/>
                <w:szCs w:val="18"/>
              </w:rPr>
              <w:t>4</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承诺人亦不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存在其他可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能被证券监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管部门基于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实质重于形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式的原则认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公司存在特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殊关系的其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他关联关系；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、承诺人如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为公司实体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的，承诺人均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依法设立并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有效存续，不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存在根据法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范性文件及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合伙协议</w:t>
            </w:r>
            <w:r>
              <w:rPr>
                <w:rFonts w:ascii="Times New Roman" w:hAnsi="Times New Roman" w:cs="Times New Roman" w:eastAsia="Times New Roman" w:hint="default"/>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司章程规定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需予以终止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的情形；承诺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人为自然人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的，均为具有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完全民事权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利能力及完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全民事行为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能力的中国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公民，不具有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境外永久居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留权。承诺人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均具备实施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主体资格。</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本承诺人保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证采取必要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措施对本次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交易的资料</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0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和信息严格 保密，在未经 上市公司同 意的情况下， 不向任何第 三方披露该 等资料和信 息，但有权机 关要求披露 或者向为完 成本次交易 而聘请的中 介机构提供 本次交易相 关信息的除 外；</w:t>
            </w:r>
            <w:r>
              <w:rPr>
                <w:rFonts w:ascii="Times New Roman" w:hAnsi="Times New Roman" w:cs="Times New Roman" w:eastAsia="Times New Roman" w:hint="default"/>
                <w:sz w:val="18"/>
                <w:szCs w:val="18"/>
              </w:rPr>
              <w:t>7</w:t>
            </w:r>
            <w:r>
              <w:rPr>
                <w:rFonts w:ascii="宋体" w:hAnsi="宋体" w:cs="宋体" w:eastAsia="宋体" w:hint="default"/>
                <w:sz w:val="18"/>
                <w:szCs w:val="18"/>
              </w:rPr>
              <w:t>、本承 诺人在本次 交易信息公 开前不存在 买卖金冠电 气股票，或者 泄露与本次 交易相关的 信息，或者建 议他人买卖 金冠电气股 票等内幕交 易行为；</w:t>
            </w:r>
            <w:r>
              <w:rPr>
                <w:rFonts w:ascii="Times New Roman" w:hAnsi="Times New Roman" w:cs="Times New Roman" w:eastAsia="Times New Roman" w:hint="default"/>
                <w:sz w:val="18"/>
                <w:szCs w:val="18"/>
              </w:rPr>
              <w:t>8</w:t>
            </w:r>
            <w:r>
              <w:rPr>
                <w:rFonts w:ascii="宋体" w:hAnsi="宋体" w:cs="宋体" w:eastAsia="宋体" w:hint="default"/>
                <w:sz w:val="18"/>
                <w:szCs w:val="18"/>
              </w:rPr>
              <w:t>、 本承诺人愿 为本承诺函 所述事项承 担连带责任。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9" w:lineRule="auto"/>
              <w:ind w:left="23" w:right="141"/>
              <w:jc w:val="both"/>
              <w:rPr>
                <w:rFonts w:ascii="宋体" w:hAnsi="宋体" w:cs="宋体" w:eastAsia="宋体" w:hint="default"/>
                <w:sz w:val="18"/>
                <w:szCs w:val="18"/>
              </w:rPr>
            </w:pPr>
            <w:r>
              <w:rPr>
                <w:rFonts w:ascii="宋体" w:hAnsi="宋体" w:cs="宋体" w:eastAsia="宋体" w:hint="default"/>
                <w:sz w:val="18"/>
                <w:szCs w:val="18"/>
              </w:rPr>
              <w:t>陈小虎</w:t>
            </w:r>
            <w:r>
              <w:rPr>
                <w:rFonts w:ascii="Times New Roman" w:hAnsi="Times New Roman" w:cs="Times New Roman" w:eastAsia="Times New Roman" w:hint="default"/>
                <w:sz w:val="18"/>
                <w:szCs w:val="18"/>
              </w:rPr>
              <w:t>;</w:t>
            </w:r>
            <w:r>
              <w:rPr>
                <w:rFonts w:ascii="宋体" w:hAnsi="宋体" w:cs="宋体" w:eastAsia="宋体" w:hint="default"/>
                <w:sz w:val="18"/>
                <w:szCs w:val="18"/>
              </w:rPr>
              <w:t>南京 能策投资管 理有限公司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吉林省金冠 电气股份有 </w:t>
            </w:r>
            <w:r>
              <w:rPr>
                <w:rFonts w:ascii="宋体" w:hAnsi="宋体" w:cs="宋体" w:eastAsia="宋体" w:hint="default"/>
                <w:spacing w:val="-2"/>
                <w:sz w:val="18"/>
                <w:szCs w:val="18"/>
              </w:rPr>
              <w:t>限公司（以下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金冠电 气</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 </w:t>
            </w:r>
            <w:r>
              <w:rPr>
                <w:rFonts w:ascii="宋体" w:hAnsi="宋体" w:cs="宋体" w:eastAsia="宋体" w:hint="default"/>
                <w:spacing w:val="-13"/>
                <w:w w:val="100"/>
                <w:sz w:val="18"/>
                <w:szCs w:val="18"/>
              </w:rPr>
              <w:t>司</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）拟通过发</w:t>
            </w:r>
            <w:r>
              <w:rPr>
                <w:rFonts w:ascii="宋体" w:hAnsi="宋体" w:cs="宋体" w:eastAsia="宋体" w:hint="default"/>
                <w:sz w:val="18"/>
                <w:szCs w:val="18"/>
              </w:rPr>
              <w:t> 行股份和支 付现金方式 购买南京能 瑞自动化设 备股份有限 </w:t>
            </w:r>
            <w:r>
              <w:rPr>
                <w:rFonts w:ascii="宋体" w:hAnsi="宋体" w:cs="宋体" w:eastAsia="宋体" w:hint="default"/>
                <w:spacing w:val="-2"/>
                <w:sz w:val="18"/>
                <w:szCs w:val="18"/>
              </w:rPr>
              <w:t>公司（以下简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2128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pStyle w:val="BodyText"/>
                    <w:spacing w:line="240" w:lineRule="auto" w:before="0"/>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能瑞自动</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化</w:t>
            </w:r>
            <w:r>
              <w:rPr>
                <w:rFonts w:ascii="Times New Roman" w:hAnsi="Times New Roman" w:cs="Times New Roman" w:eastAsia="Times New Roman" w:hint="default"/>
                <w:sz w:val="18"/>
                <w:szCs w:val="18"/>
              </w:rPr>
              <w:t>”</w:t>
            </w:r>
            <w:r>
              <w:rPr>
                <w:rFonts w:ascii="宋体" w:hAnsi="宋体" w:cs="宋体" w:eastAsia="宋体" w:hint="default"/>
                <w:sz w:val="18"/>
                <w:szCs w:val="18"/>
              </w:rPr>
              <w:t>）合计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并募集配套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资金（以下简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人作为本次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交易的交易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对方，特作出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如下承诺：</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本承诺人与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金冠电气及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关联关系；</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业与金冠电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气不存在关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联关系；</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本承诺人与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间不存在任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接的股权或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其他权益关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系，未向金冠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电气推荐董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w:t>
            </w:r>
            <w:r>
              <w:rPr>
                <w:rFonts w:ascii="Times New Roman" w:hAnsi="Times New Roman" w:cs="Times New Roman" w:eastAsia="Times New Roman" w:hint="default"/>
                <w:sz w:val="18"/>
                <w:szCs w:val="18"/>
              </w:rPr>
              <w:t>4</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承诺人亦不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存在其他可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能被证券监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管部门基于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实质重于形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式的原则认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公司存在特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殊关系的其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他关联关系；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、承诺人如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为公司实体</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2128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6"/>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的，承诺人均</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依法设立并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有效存续，不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存在根据法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范性文件及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合伙协议</w:t>
            </w:r>
            <w:r>
              <w:rPr>
                <w:rFonts w:ascii="Times New Roman" w:hAnsi="Times New Roman" w:cs="Times New Roman" w:eastAsia="Times New Roman" w:hint="default"/>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司章程规定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需予以终止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的情形；承诺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人为自然人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的，均为具有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完全民事权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利能力及完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全民事行为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能力的中国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公民，不具有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境外永久居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留权。承诺人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均具备实施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主体资格。</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本承诺人保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证采取必要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措施对本次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交易的资料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和信息严格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保密，在未经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意的情况下，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不向任何第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三方披露该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等资料和信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息，但有权机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关要求披露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或者向为完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而聘请的中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介机构提供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关信息的除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Times New Roman" w:hAnsi="Times New Roman" w:cs="Times New Roman" w:eastAsia="Times New Roman" w:hint="default"/>
                <w:sz w:val="18"/>
                <w:szCs w:val="18"/>
              </w:rPr>
              <w:t>7</w:t>
            </w:r>
            <w:r>
              <w:rPr>
                <w:rFonts w:ascii="宋体" w:hAnsi="宋体" w:cs="宋体" w:eastAsia="宋体" w:hint="default"/>
                <w:sz w:val="18"/>
                <w:szCs w:val="18"/>
              </w:rPr>
              <w:t>、本承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诺人在本次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交易信息公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546.039978pt;width:55.85pt;height:217.4pt;mso-position-horizontal-relative:page;mso-position-vertical-relative:page;z-index:-2128504" coordorigin="7353,10921" coordsize="1117,4348">
            <v:shape style="position:absolute;left:7353;top:10921;width:1117;height:4348" coordorigin="7353,10921" coordsize="1117,4348" path="m7353,15269l8470,15269,8470,10921,7353,10921,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4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开前不存在 买卖金冠电 气股票，或者 泄露与本次 交易相关的 信息，或者建 议他人买卖 金冠电气股 票等内幕交 易行为；</w:t>
            </w:r>
            <w:r>
              <w:rPr>
                <w:rFonts w:ascii="Times New Roman" w:hAnsi="Times New Roman" w:cs="Times New Roman" w:eastAsia="Times New Roman" w:hint="default"/>
                <w:sz w:val="18"/>
                <w:szCs w:val="18"/>
              </w:rPr>
              <w:t>8</w:t>
            </w:r>
            <w:r>
              <w:rPr>
                <w:rFonts w:ascii="宋体" w:hAnsi="宋体" w:cs="宋体" w:eastAsia="宋体" w:hint="default"/>
                <w:sz w:val="18"/>
                <w:szCs w:val="18"/>
              </w:rPr>
              <w:t>、 本承诺人愿 为本承诺函 所述事项承 担连带责任。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陈建业</w:t>
            </w:r>
            <w:r>
              <w:rPr>
                <w:rFonts w:ascii="Times New Roman" w:hAnsi="Times New Roman" w:cs="Times New Roman" w:eastAsia="Times New Roman" w:hint="default"/>
                <w:sz w:val="18"/>
                <w:szCs w:val="18"/>
              </w:rPr>
              <w:t>;</w:t>
            </w:r>
            <w:r>
              <w:rPr>
                <w:rFonts w:ascii="宋体" w:hAnsi="宋体" w:cs="宋体" w:eastAsia="宋体" w:hint="default"/>
                <w:sz w:val="18"/>
                <w:szCs w:val="18"/>
              </w:rPr>
              <w:t>郭长 兴</w:t>
            </w:r>
            <w:r>
              <w:rPr>
                <w:rFonts w:ascii="Times New Roman" w:hAnsi="Times New Roman" w:cs="Times New Roman" w:eastAsia="Times New Roman" w:hint="default"/>
                <w:sz w:val="18"/>
                <w:szCs w:val="18"/>
              </w:rPr>
              <w:t>;</w:t>
            </w:r>
            <w:r>
              <w:rPr>
                <w:rFonts w:ascii="宋体" w:hAnsi="宋体" w:cs="宋体" w:eastAsia="宋体" w:hint="default"/>
                <w:sz w:val="18"/>
                <w:szCs w:val="18"/>
              </w:rPr>
              <w:t>李海永</w:t>
            </w:r>
            <w:r>
              <w:rPr>
                <w:rFonts w:ascii="Times New Roman" w:hAnsi="Times New Roman" w:cs="Times New Roman" w:eastAsia="Times New Roman" w:hint="default"/>
                <w:sz w:val="18"/>
                <w:szCs w:val="18"/>
              </w:rPr>
              <w:t>;</w:t>
            </w:r>
            <w:r>
              <w:rPr>
                <w:rFonts w:ascii="宋体" w:hAnsi="宋体" w:cs="宋体" w:eastAsia="宋体" w:hint="default"/>
                <w:sz w:val="18"/>
                <w:szCs w:val="18"/>
              </w:rPr>
              <w:t>毛 志宏</w:t>
            </w:r>
            <w:r>
              <w:rPr>
                <w:rFonts w:ascii="Times New Roman" w:hAnsi="Times New Roman" w:cs="Times New Roman" w:eastAsia="Times New Roman" w:hint="default"/>
                <w:sz w:val="18"/>
                <w:szCs w:val="18"/>
              </w:rPr>
              <w:t>;</w:t>
            </w:r>
            <w:r>
              <w:rPr>
                <w:rFonts w:ascii="宋体" w:hAnsi="宋体" w:cs="宋体" w:eastAsia="宋体" w:hint="default"/>
                <w:sz w:val="18"/>
                <w:szCs w:val="18"/>
              </w:rPr>
              <w:t>王希庆</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江</w:t>
            </w:r>
            <w:r>
              <w:rPr>
                <w:rFonts w:ascii="Times New Roman" w:hAnsi="Times New Roman" w:cs="Times New Roman" w:eastAsia="Times New Roman" w:hint="default"/>
                <w:sz w:val="18"/>
                <w:szCs w:val="18"/>
              </w:rPr>
              <w:t>;</w:t>
            </w:r>
            <w:r>
              <w:rPr>
                <w:rFonts w:ascii="宋体" w:hAnsi="宋体" w:cs="宋体" w:eastAsia="宋体" w:hint="default"/>
                <w:sz w:val="18"/>
                <w:szCs w:val="18"/>
              </w:rPr>
              <w:t>徐海涛</w:t>
            </w:r>
            <w:r>
              <w:rPr>
                <w:rFonts w:ascii="Times New Roman" w:hAnsi="Times New Roman" w:cs="Times New Roman" w:eastAsia="Times New Roman" w:hint="default"/>
                <w:sz w:val="18"/>
                <w:szCs w:val="18"/>
              </w:rPr>
              <w:t>;</w:t>
            </w:r>
            <w:r>
              <w:rPr>
                <w:rFonts w:ascii="宋体" w:hAnsi="宋体" w:cs="宋体" w:eastAsia="宋体" w:hint="default"/>
                <w:sz w:val="18"/>
                <w:szCs w:val="18"/>
              </w:rPr>
              <w:t>张 文福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吉林省金冠 电气股份有 </w:t>
            </w:r>
            <w:r>
              <w:rPr>
                <w:rFonts w:ascii="宋体" w:hAnsi="宋体" w:cs="宋体" w:eastAsia="宋体" w:hint="default"/>
                <w:spacing w:val="-2"/>
                <w:sz w:val="18"/>
                <w:szCs w:val="18"/>
              </w:rPr>
              <w:t>限公司（以下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 拟发行股份 及支付现金 购买南京能 瑞自动化设 备股份有限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 股份并募集 </w:t>
            </w:r>
            <w:r>
              <w:rPr>
                <w:rFonts w:ascii="宋体" w:hAnsi="宋体" w:cs="宋体" w:eastAsia="宋体" w:hint="default"/>
                <w:spacing w:val="-2"/>
                <w:sz w:val="18"/>
                <w:szCs w:val="18"/>
              </w:rPr>
              <w:t>配套资金。根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据《国务院关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于进一步促 进资本市场 健康发展的 若干意见》</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（国发</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[2014</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w w:val="99"/>
                <w:sz w:val="18"/>
                <w:szCs w:val="18"/>
              </w:rPr>
              <w:t>17</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号</w:t>
            </w:r>
            <w:r>
              <w:rPr>
                <w:rFonts w:ascii="宋体" w:hAnsi="宋体" w:cs="宋体" w:eastAsia="宋体" w:hint="default"/>
                <w:spacing w:val="-90"/>
                <w:w w:val="99"/>
                <w:sz w:val="18"/>
                <w:szCs w:val="18"/>
              </w:rPr>
              <w:t>）</w:t>
            </w:r>
            <w:r>
              <w:rPr>
                <w:rFonts w:ascii="宋体" w:hAnsi="宋体" w:cs="宋体" w:eastAsia="宋体" w:hint="default"/>
                <w:sz w:val="18"/>
                <w:szCs w:val="18"/>
              </w:rPr>
            </w:r>
          </w:p>
          <w:p>
            <w:pPr>
              <w:pStyle w:val="TableParagraph"/>
              <w:spacing w:line="316" w:lineRule="auto" w:before="63"/>
              <w:ind w:left="22" w:right="192"/>
              <w:jc w:val="both"/>
              <w:rPr>
                <w:rFonts w:ascii="宋体" w:hAnsi="宋体" w:cs="宋体" w:eastAsia="宋体" w:hint="default"/>
                <w:sz w:val="18"/>
                <w:szCs w:val="18"/>
              </w:rPr>
            </w:pPr>
            <w:r>
              <w:rPr>
                <w:rFonts w:ascii="宋体" w:hAnsi="宋体" w:cs="宋体" w:eastAsia="宋体" w:hint="default"/>
                <w:sz w:val="18"/>
                <w:szCs w:val="18"/>
              </w:rPr>
              <w:t>《国务院办 公厅关于进 一步加强资 本市场中小 投资者合法 权益保护工 作的意见》</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（国办发</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[2013]110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p>
            <w:pPr>
              <w:pStyle w:val="TableParagraph"/>
              <w:spacing w:line="316" w:lineRule="auto" w:before="63"/>
              <w:ind w:left="22" w:right="21"/>
              <w:jc w:val="left"/>
              <w:rPr>
                <w:rFonts w:ascii="宋体" w:hAnsi="宋体" w:cs="宋体" w:eastAsia="宋体" w:hint="default"/>
                <w:sz w:val="18"/>
                <w:szCs w:val="18"/>
              </w:rPr>
            </w:pPr>
            <w:r>
              <w:rPr>
                <w:rFonts w:ascii="宋体" w:hAnsi="宋体" w:cs="宋体" w:eastAsia="宋体" w:hint="default"/>
                <w:spacing w:val="-2"/>
                <w:sz w:val="18"/>
                <w:szCs w:val="18"/>
              </w:rPr>
              <w:t>和《关于首发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及再融资、重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2128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大资产重组</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摊薄即期回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报有关事项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的指导意见》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[2015]31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号）等法律、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文件的要求，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吉林省金冠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电气股份有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人员特作出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如下郑重承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承诺不无偿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或以不公平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条件向其他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单位或者个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人输送利益，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也不采用其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他方式损害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公司利益。</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本人承诺对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本人的职务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消费行为进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本人承诺不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动用公司资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产从事与其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履行职责无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关的投资、消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本人承诺由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董事会或薪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酬与考核委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员会制定的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薪酬制度与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公司填补回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报措施的执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行情况相挂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钩。</w:t>
            </w:r>
            <w:r>
              <w:rPr>
                <w:rFonts w:ascii="Times New Roman" w:hAnsi="Times New Roman" w:cs="Times New Roman" w:eastAsia="Times New Roman" w:hint="default"/>
                <w:sz w:val="18"/>
                <w:szCs w:val="18"/>
              </w:rPr>
              <w:t>5</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承诺拟公布</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41.7pt;mso-position-horizontal-relative:page;mso-position-vertical-relative:page;z-index:-21284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2"/>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84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的公司股权 激励的行权 条件与公司 填补回报措 施的执行情 况相挂钩。</w:t>
            </w:r>
            <w:r>
              <w:rPr>
                <w:rFonts w:ascii="Times New Roman" w:hAnsi="Times New Roman" w:cs="Times New Roman" w:eastAsia="Times New Roman" w:hint="default"/>
                <w:sz w:val="18"/>
                <w:szCs w:val="18"/>
              </w:rPr>
              <w:t>6 </w:t>
            </w:r>
            <w:r>
              <w:rPr>
                <w:rFonts w:ascii="宋体" w:hAnsi="宋体" w:cs="宋体" w:eastAsia="宋体" w:hint="default"/>
                <w:sz w:val="18"/>
                <w:szCs w:val="18"/>
              </w:rPr>
              <w:t>本承诺函出 具日后至公 司本次重大 资产重组实 </w:t>
            </w:r>
            <w:r>
              <w:rPr>
                <w:rFonts w:ascii="宋体" w:hAnsi="宋体" w:cs="宋体" w:eastAsia="宋体" w:hint="default"/>
                <w:spacing w:val="-2"/>
                <w:sz w:val="18"/>
                <w:szCs w:val="18"/>
              </w:rPr>
              <w:t>施完毕前，若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中国证监会 作出关于填 补回报措施 及其承诺的 其他新的监 </w:t>
            </w:r>
            <w:r>
              <w:rPr>
                <w:rFonts w:ascii="宋体" w:hAnsi="宋体" w:cs="宋体" w:eastAsia="宋体" w:hint="default"/>
                <w:spacing w:val="-2"/>
                <w:sz w:val="18"/>
                <w:szCs w:val="18"/>
              </w:rPr>
              <w:t>管规定的，且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上述承诺不 能满足中国 证监会该等 </w:t>
            </w:r>
            <w:r>
              <w:rPr>
                <w:rFonts w:ascii="宋体" w:hAnsi="宋体" w:cs="宋体" w:eastAsia="宋体" w:hint="default"/>
                <w:spacing w:val="-2"/>
                <w:sz w:val="18"/>
                <w:szCs w:val="18"/>
              </w:rPr>
              <w:t>规定时，本人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承诺届时将 按照中国证 监会的最新 规定出具补 充承诺。</w:t>
            </w:r>
            <w:r>
              <w:rPr>
                <w:rFonts w:ascii="Times New Roman" w:hAnsi="Times New Roman" w:cs="Times New Roman" w:eastAsia="Times New Roman" w:hint="default"/>
                <w:sz w:val="18"/>
                <w:szCs w:val="18"/>
              </w:rPr>
              <w:t>7</w:t>
            </w:r>
            <w:r>
              <w:rPr>
                <w:rFonts w:ascii="宋体" w:hAnsi="宋体" w:cs="宋体" w:eastAsia="宋体" w:hint="default"/>
                <w:sz w:val="18"/>
                <w:szCs w:val="18"/>
              </w:rPr>
              <w:t>、 本人承诺切 实履行公司 制定的有关 填补回报措 施以及本人 对此作出的 任何有关填 补回报措施 </w:t>
            </w:r>
            <w:r>
              <w:rPr>
                <w:rFonts w:ascii="宋体" w:hAnsi="宋体" w:cs="宋体" w:eastAsia="宋体" w:hint="default"/>
                <w:spacing w:val="-2"/>
                <w:sz w:val="18"/>
                <w:szCs w:val="18"/>
              </w:rPr>
              <w:t>的承诺，如违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反上述承诺 给公司或者 股东造成损 </w:t>
            </w:r>
            <w:r>
              <w:rPr>
                <w:rFonts w:ascii="宋体" w:hAnsi="宋体" w:cs="宋体" w:eastAsia="宋体" w:hint="default"/>
                <w:spacing w:val="-2"/>
                <w:sz w:val="18"/>
                <w:szCs w:val="18"/>
              </w:rPr>
              <w:t>失的，本人将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依法承担补 偿责任。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283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6"/>
                <w:sz w:val="20"/>
                <w:szCs w:val="20"/>
              </w:rPr>
              <w:pict>
                <v:group style="width:55.85pt;height:641.7pt;mso-position-horizontal-relative:char;mso-position-vertical-relative:line" coordorigin="0,0" coordsize="1117,12834">
                  <v:group style="position:absolute;left:0;top:0;width:1117;height:12834" coordorigin="0,0" coordsize="1117,12834">
                    <v:shape style="position:absolute;left:0;top:0;width:1117;height:12834" coordorigin="0,0" coordsize="1117,12834" path="m0,12834l1116,12834,1116,0,0,0,0,12834xe" filled="true" fillcolor="#ffffff" stroked="false">
                      <v:path arrowok="t"/>
                      <v:fill type="solid"/>
                    </v:shape>
                  </v:group>
                </v:group>
              </w:pict>
            </w:r>
            <w:r>
              <w:rPr>
                <w:rFonts w:ascii="Times New Roman" w:hAnsi="Times New Roman" w:cs="Times New Roman" w:eastAsia="Times New Roman" w:hint="default"/>
                <w:position w:val="-256"/>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both"/>
              <w:rPr>
                <w:rFonts w:ascii="宋体" w:hAnsi="宋体" w:cs="宋体" w:eastAsia="宋体" w:hint="default"/>
                <w:sz w:val="18"/>
                <w:szCs w:val="18"/>
              </w:rPr>
            </w:pPr>
            <w:r>
              <w:rPr>
                <w:rFonts w:ascii="宋体" w:hAnsi="宋体" w:cs="宋体" w:eastAsia="宋体" w:hint="default"/>
                <w:sz w:val="18"/>
                <w:szCs w:val="18"/>
              </w:rPr>
              <w:t>国泰君安证 券股份有限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2"/>
              <w:jc w:val="both"/>
              <w:rPr>
                <w:rFonts w:ascii="宋体" w:hAnsi="宋体" w:cs="宋体" w:eastAsia="宋体" w:hint="default"/>
                <w:sz w:val="18"/>
                <w:szCs w:val="18"/>
              </w:rPr>
            </w:pPr>
            <w:r>
              <w:rPr>
                <w:rFonts w:ascii="宋体" w:hAnsi="宋体" w:cs="宋体" w:eastAsia="宋体" w:hint="default"/>
                <w:sz w:val="18"/>
                <w:szCs w:val="18"/>
              </w:rPr>
              <w:t>本公司承诺 为本次吉林 省金冠电气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股份有限公 司发行股份 及支付现金 购买资产并 募集配套资 金所提供的 所有相关信 息均为真实、 准确和完整 的，并保证本 公司所提供 的所有相关 信息不存在 虚假记载、误 导性陈述或 者重大遗漏； 本公司对所 提供信息的 真实性、准确 性和完整性 承担个别和 连带的法律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3" w:right="21"/>
              <w:jc w:val="left"/>
              <w:rPr>
                <w:rFonts w:ascii="宋体" w:hAnsi="宋体" w:cs="宋体" w:eastAsia="宋体" w:hint="default"/>
                <w:sz w:val="18"/>
                <w:szCs w:val="18"/>
              </w:rPr>
            </w:pPr>
            <w:r>
              <w:rPr>
                <w:rFonts w:ascii="宋体" w:hAnsi="宋体" w:cs="宋体" w:eastAsia="宋体" w:hint="default"/>
                <w:sz w:val="18"/>
                <w:szCs w:val="18"/>
              </w:rPr>
              <w:t>天健会计师 </w:t>
            </w:r>
            <w:r>
              <w:rPr>
                <w:rFonts w:ascii="宋体" w:hAnsi="宋体" w:cs="宋体" w:eastAsia="宋体" w:hint="default"/>
                <w:spacing w:val="-2"/>
                <w:sz w:val="18"/>
                <w:szCs w:val="18"/>
              </w:rPr>
              <w:t>事务所（特殊</w:t>
            </w:r>
            <w:r>
              <w:rPr>
                <w:rFonts w:ascii="宋体" w:hAnsi="宋体" w:cs="宋体" w:eastAsia="宋体" w:hint="default"/>
                <w:sz w:val="18"/>
                <w:szCs w:val="18"/>
              </w:rPr>
              <w:t> 普通合伙）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本所作为吉 林省金冠电 气股份有限 公司发行股 份及支付现 金购买资产 并募集配套 资金暨关联 交易项目的 </w:t>
            </w:r>
            <w:r>
              <w:rPr>
                <w:rFonts w:ascii="宋体" w:hAnsi="宋体" w:cs="宋体" w:eastAsia="宋体" w:hint="default"/>
                <w:spacing w:val="-2"/>
                <w:sz w:val="18"/>
                <w:szCs w:val="18"/>
              </w:rPr>
              <w:t>审计机构，承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诺针对本次 交易出具的 专业报告不 存在虚假记 </w:t>
            </w:r>
            <w:r>
              <w:rPr>
                <w:rFonts w:ascii="宋体" w:hAnsi="宋体" w:cs="宋体" w:eastAsia="宋体" w:hint="default"/>
                <w:spacing w:val="-2"/>
                <w:sz w:val="18"/>
                <w:szCs w:val="18"/>
              </w:rPr>
              <w:t>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述或者重大 </w:t>
            </w:r>
            <w:r>
              <w:rPr>
                <w:rFonts w:ascii="宋体" w:hAnsi="宋体" w:cs="宋体" w:eastAsia="宋体" w:hint="default"/>
                <w:spacing w:val="-2"/>
                <w:sz w:val="18"/>
                <w:szCs w:val="18"/>
              </w:rPr>
              <w:t>遗漏，并对其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真实性、准确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性和完整性 承担相应的 </w:t>
            </w:r>
            <w:r>
              <w:rPr>
                <w:rFonts w:ascii="宋体" w:hAnsi="宋体" w:cs="宋体" w:eastAsia="宋体" w:hint="default"/>
                <w:spacing w:val="-2"/>
                <w:sz w:val="18"/>
                <w:szCs w:val="18"/>
              </w:rPr>
              <w:t>法律责任。如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本所针对本 次重组交易 出具的专业 报告存在虚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性陈述或重 </w:t>
            </w:r>
            <w:r>
              <w:rPr>
                <w:rFonts w:ascii="宋体" w:hAnsi="宋体" w:cs="宋体" w:eastAsia="宋体" w:hint="default"/>
                <w:spacing w:val="-2"/>
                <w:sz w:val="18"/>
                <w:szCs w:val="18"/>
              </w:rPr>
              <w:t>大遗漏，本所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未能勤勉尽 </w:t>
            </w:r>
            <w:r>
              <w:rPr>
                <w:rFonts w:ascii="宋体" w:hAnsi="宋体" w:cs="宋体" w:eastAsia="宋体" w:hint="default"/>
                <w:spacing w:val="-2"/>
                <w:sz w:val="18"/>
                <w:szCs w:val="18"/>
              </w:rPr>
              <w:t>责的，将承担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连带赔偿责 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3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90"/>
              <w:jc w:val="left"/>
              <w:rPr>
                <w:rFonts w:ascii="宋体" w:hAnsi="宋体" w:cs="宋体" w:eastAsia="宋体" w:hint="default"/>
                <w:sz w:val="18"/>
                <w:szCs w:val="18"/>
              </w:rPr>
            </w:pPr>
            <w:r>
              <w:rPr>
                <w:rFonts w:ascii="宋体" w:hAnsi="宋体" w:cs="宋体" w:eastAsia="宋体" w:hint="default"/>
                <w:sz w:val="18"/>
                <w:szCs w:val="18"/>
              </w:rPr>
              <w:t>坤元资产评 估有限公司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本公司作为 吉林省金冠 电气股份有 限公司发行 股份及支付 现金购买资 产并募集配 套资金暨关 联交易项目 的评估机构， 承诺针对本 次交易出具 的《评估报 </w:t>
            </w:r>
            <w:r>
              <w:rPr>
                <w:rFonts w:ascii="宋体" w:hAnsi="宋体" w:cs="宋体" w:eastAsia="宋体" w:hint="default"/>
                <w:spacing w:val="-15"/>
                <w:sz w:val="18"/>
                <w:szCs w:val="18"/>
              </w:rPr>
              <w:t>告》（坤元评</w:t>
            </w:r>
            <w:r>
              <w:rPr>
                <w:rFonts w:ascii="宋体" w:hAnsi="宋体" w:cs="宋体" w:eastAsia="宋体" w:hint="default"/>
                <w:sz w:val="18"/>
                <w:szCs w:val="18"/>
              </w:rPr>
              <w:t> </w:t>
            </w:r>
            <w:r>
              <w:rPr>
                <w:rFonts w:ascii="宋体" w:hAnsi="宋体" w:cs="宋体" w:eastAsia="宋体" w:hint="default"/>
                <w:spacing w:val="-11"/>
                <w:sz w:val="18"/>
                <w:szCs w:val="18"/>
              </w:rPr>
              <w:t>报【</w:t>
            </w:r>
            <w:r>
              <w:rPr>
                <w:rFonts w:ascii="Times New Roman" w:hAnsi="Times New Roman" w:cs="Times New Roman" w:eastAsia="Times New Roman" w:hint="default"/>
                <w:spacing w:val="-11"/>
                <w:sz w:val="18"/>
                <w:szCs w:val="18"/>
              </w:rPr>
              <w:t>2016</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503</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号不存在虚 假记载、误导 性陈述或者 重大遗漏，并 对其真实性、 准确性和完 整性承担相 应的法律责 任。如本公司 针对本次重 组交易出具 的（坤元评报</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503</w:t>
            </w:r>
          </w:p>
          <w:p>
            <w:pPr>
              <w:pStyle w:val="TableParagraph"/>
              <w:spacing w:line="319" w:lineRule="auto" w:before="63"/>
              <w:ind w:left="22" w:right="21"/>
              <w:jc w:val="left"/>
              <w:rPr>
                <w:rFonts w:ascii="宋体" w:hAnsi="宋体" w:cs="宋体" w:eastAsia="宋体" w:hint="default"/>
                <w:sz w:val="18"/>
                <w:szCs w:val="18"/>
              </w:rPr>
            </w:pPr>
            <w:r>
              <w:rPr>
                <w:rFonts w:ascii="宋体" w:hAnsi="宋体" w:cs="宋体" w:eastAsia="宋体" w:hint="default"/>
                <w:spacing w:val="-2"/>
                <w:sz w:val="18"/>
                <w:szCs w:val="18"/>
              </w:rPr>
              <w:t>号）存在虚假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记载、误导性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陈述或重大 </w:t>
            </w:r>
            <w:r>
              <w:rPr>
                <w:rFonts w:ascii="宋体" w:hAnsi="宋体" w:cs="宋体" w:eastAsia="宋体" w:hint="default"/>
                <w:spacing w:val="-2"/>
                <w:sz w:val="18"/>
                <w:szCs w:val="18"/>
              </w:rPr>
              <w:t>遗漏，本公司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未能勤勉尽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责的，在该等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事项依法认 </w:t>
            </w:r>
            <w:r>
              <w:rPr>
                <w:rFonts w:ascii="宋体" w:hAnsi="宋体" w:cs="宋体" w:eastAsia="宋体" w:hint="default"/>
                <w:spacing w:val="-2"/>
                <w:sz w:val="18"/>
                <w:szCs w:val="18"/>
              </w:rPr>
              <w:t>定后，将承担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连带赔偿责 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1323"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北京市金杜 律师事务所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作为吉林省 金冠电气股 份有限公司 本次发行股 份及支付现 金购买资产 并募集配套 资金（以下简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重大资产 </w:t>
            </w:r>
            <w:r>
              <w:rPr>
                <w:rFonts w:ascii="宋体" w:hAnsi="宋体" w:cs="宋体" w:eastAsia="宋体" w:hint="default"/>
                <w:spacing w:val="-13"/>
                <w:w w:val="100"/>
                <w:sz w:val="18"/>
                <w:szCs w:val="18"/>
              </w:rPr>
              <w:t>重组</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）的法律</w:t>
            </w:r>
            <w:r>
              <w:rPr>
                <w:rFonts w:ascii="宋体" w:hAnsi="宋体" w:cs="宋体" w:eastAsia="宋体" w:hint="default"/>
                <w:sz w:val="18"/>
                <w:szCs w:val="18"/>
              </w:rPr>
              <w:t> 顾问，本所及 经办律师同 意吉林省金 冠电气股份 有限公司本 次重大资产 重组申请文 </w:t>
            </w:r>
            <w:r>
              <w:rPr>
                <w:rFonts w:ascii="宋体" w:hAnsi="宋体" w:cs="宋体" w:eastAsia="宋体" w:hint="default"/>
                <w:spacing w:val="-13"/>
                <w:w w:val="100"/>
                <w:sz w:val="18"/>
                <w:szCs w:val="18"/>
              </w:rPr>
              <w:t>件（以下简称</w:t>
            </w:r>
            <w:r>
              <w:rPr>
                <w:rFonts w:ascii="Times New Roman" w:hAnsi="Times New Roman" w:cs="Times New Roman" w:eastAsia="Times New Roman" w:hint="default"/>
                <w:spacing w:val="-13"/>
                <w:w w:val="100"/>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pacing w:val="-26"/>
                <w:w w:val="100"/>
                <w:sz w:val="18"/>
                <w:szCs w:val="18"/>
              </w:rPr>
              <w:t>申请文件</w:t>
            </w:r>
            <w:r>
              <w:rPr>
                <w:rFonts w:ascii="Times New Roman" w:hAnsi="Times New Roman" w:cs="Times New Roman" w:eastAsia="Times New Roman" w:hint="default"/>
                <w:spacing w:val="-26"/>
                <w:w w:val="100"/>
                <w:sz w:val="18"/>
                <w:szCs w:val="18"/>
              </w:rPr>
              <w:t>“</w:t>
            </w:r>
            <w:r>
              <w:rPr>
                <w:rFonts w:ascii="宋体" w:hAnsi="宋体" w:cs="宋体" w:eastAsia="宋体" w:hint="default"/>
                <w:spacing w:val="-26"/>
                <w:w w:val="100"/>
                <w:sz w:val="18"/>
                <w:szCs w:val="18"/>
              </w:rPr>
              <w:t>）中</w:t>
            </w:r>
            <w:r>
              <w:rPr>
                <w:rFonts w:ascii="宋体" w:hAnsi="宋体" w:cs="宋体" w:eastAsia="宋体" w:hint="default"/>
                <w:spacing w:val="-90"/>
                <w:sz w:val="18"/>
                <w:szCs w:val="18"/>
              </w:rPr>
              <w:t> </w:t>
            </w:r>
            <w:r>
              <w:rPr>
                <w:rFonts w:ascii="宋体" w:hAnsi="宋体" w:cs="宋体" w:eastAsia="宋体" w:hint="default"/>
                <w:sz w:val="18"/>
                <w:szCs w:val="18"/>
              </w:rPr>
              <w:t>使用本所出</w:t>
            </w:r>
            <w:r>
              <w:rPr>
                <w:rFonts w:ascii="宋体" w:hAnsi="宋体" w:cs="宋体" w:eastAsia="宋体" w:hint="default"/>
                <w:sz w:val="18"/>
                <w:szCs w:val="18"/>
              </w:rPr>
              <w:t> 具的法律意 见书，并保证 法律意见书 真实、准确、 完整。如申请 文件引用本 所出具的法 律意见书的 内容存在虚 假记载、误导 性陈述或重 大遗漏，本所 未能勤勉尽 责的，将承担 相应的法律 责任。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陈建业</w:t>
            </w:r>
            <w:r>
              <w:rPr>
                <w:rFonts w:ascii="Times New Roman" w:hAnsi="Times New Roman" w:cs="Times New Roman" w:eastAsia="Times New Roman" w:hint="default"/>
                <w:sz w:val="18"/>
                <w:szCs w:val="18"/>
              </w:rPr>
              <w:t>;</w:t>
            </w:r>
            <w:r>
              <w:rPr>
                <w:rFonts w:ascii="宋体" w:hAnsi="宋体" w:cs="宋体" w:eastAsia="宋体" w:hint="default"/>
                <w:sz w:val="18"/>
                <w:szCs w:val="18"/>
              </w:rPr>
              <w:t>郭长 兴</w:t>
            </w:r>
            <w:r>
              <w:rPr>
                <w:rFonts w:ascii="Times New Roman" w:hAnsi="Times New Roman" w:cs="Times New Roman" w:eastAsia="Times New Roman" w:hint="default"/>
                <w:sz w:val="18"/>
                <w:szCs w:val="18"/>
              </w:rPr>
              <w:t>;</w:t>
            </w:r>
            <w:r>
              <w:rPr>
                <w:rFonts w:ascii="宋体" w:hAnsi="宋体" w:cs="宋体" w:eastAsia="宋体" w:hint="default"/>
                <w:sz w:val="18"/>
                <w:szCs w:val="18"/>
              </w:rPr>
              <w:t>李海永</w:t>
            </w:r>
            <w:r>
              <w:rPr>
                <w:rFonts w:ascii="Times New Roman" w:hAnsi="Times New Roman" w:cs="Times New Roman" w:eastAsia="Times New Roman" w:hint="default"/>
                <w:sz w:val="18"/>
                <w:szCs w:val="18"/>
              </w:rPr>
              <w:t>;</w:t>
            </w:r>
            <w:r>
              <w:rPr>
                <w:rFonts w:ascii="宋体" w:hAnsi="宋体" w:cs="宋体" w:eastAsia="宋体" w:hint="default"/>
                <w:sz w:val="18"/>
                <w:szCs w:val="18"/>
              </w:rPr>
              <w:t>毛 志宏</w:t>
            </w:r>
            <w:r>
              <w:rPr>
                <w:rFonts w:ascii="Times New Roman" w:hAnsi="Times New Roman" w:cs="Times New Roman" w:eastAsia="Times New Roman" w:hint="default"/>
                <w:sz w:val="18"/>
                <w:szCs w:val="18"/>
              </w:rPr>
              <w:t>;</w:t>
            </w:r>
            <w:r>
              <w:rPr>
                <w:rFonts w:ascii="宋体" w:hAnsi="宋体" w:cs="宋体" w:eastAsia="宋体" w:hint="default"/>
                <w:sz w:val="18"/>
                <w:szCs w:val="18"/>
              </w:rPr>
              <w:t>徐海江</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本公司全体 董事承诺为 本次吉林省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85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徐海涛</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金冠电气股 份有限公司 发行股份和 支付现金购 买资产并募 集配套资金 所提供的所 有相关信息 均为真实、准 确和完整的， 并保证本公 司所提供的 所有相关信 息不存在虚 假记载、误导 性陈述或者 重大遗漏；本 公司对所提 供信息的真 实性、准确性 和完整性承 担个别和连 带的法律责 任。特此承 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吉林省金冠 电气股份有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吉林省金冠 电气股份有 </w:t>
            </w:r>
            <w:r>
              <w:rPr>
                <w:rFonts w:ascii="宋体" w:hAnsi="宋体" w:cs="宋体" w:eastAsia="宋体" w:hint="default"/>
                <w:spacing w:val="-2"/>
                <w:sz w:val="18"/>
                <w:szCs w:val="18"/>
              </w:rPr>
              <w:t>限公司（以下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 拟发行股份 及支付现金 购买南京能 瑞自动化设 备股份有限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能瑞自动 化</w:t>
            </w:r>
            <w:r>
              <w:rPr>
                <w:rFonts w:ascii="Times New Roman" w:hAnsi="Times New Roman" w:cs="Times New Roman" w:eastAsia="Times New Roman" w:hint="default"/>
                <w:sz w:val="18"/>
                <w:szCs w:val="18"/>
              </w:rPr>
              <w:t>”)100%</w:t>
            </w:r>
            <w:r>
              <w:rPr>
                <w:rFonts w:ascii="宋体" w:hAnsi="宋体" w:cs="宋体" w:eastAsia="宋体" w:hint="default"/>
                <w:sz w:val="18"/>
                <w:szCs w:val="18"/>
              </w:rPr>
              <w:t>的</w:t>
            </w:r>
          </w:p>
          <w:p>
            <w:pPr>
              <w:pStyle w:val="TableParagraph"/>
              <w:spacing w:line="316" w:lineRule="auto" w:before="3"/>
              <w:ind w:left="22" w:right="21"/>
              <w:jc w:val="left"/>
              <w:rPr>
                <w:rFonts w:ascii="宋体" w:hAnsi="宋体" w:cs="宋体" w:eastAsia="宋体" w:hint="default"/>
                <w:sz w:val="18"/>
                <w:szCs w:val="18"/>
              </w:rPr>
            </w:pPr>
            <w:r>
              <w:rPr>
                <w:rFonts w:ascii="宋体" w:hAnsi="宋体" w:cs="宋体" w:eastAsia="宋体" w:hint="default"/>
                <w:sz w:val="18"/>
                <w:szCs w:val="18"/>
              </w:rPr>
              <w:t>股份并募集 </w:t>
            </w:r>
            <w:r>
              <w:rPr>
                <w:rFonts w:ascii="宋体" w:hAnsi="宋体" w:cs="宋体" w:eastAsia="宋体" w:hint="default"/>
                <w:spacing w:val="-2"/>
                <w:sz w:val="18"/>
                <w:szCs w:val="18"/>
              </w:rPr>
              <w:t>配套资金。根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据《国务院关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于进一步促 进资本市场 健康发展的 若干意见》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6.459999pt;margin-top:71.759964pt;width:478.95pt;height:688pt;mso-position-horizontal-relative:page;mso-position-vertical-relative:page;z-index:-2128384" coordorigin="1129,1435" coordsize="9579,13760">
            <v:group style="position:absolute;left:1139;top:1450;width:2827;height:13730" coordorigin="1139,1450" coordsize="2827,13730">
              <v:shape style="position:absolute;left:1139;top:1450;width:2827;height:13730" coordorigin="1139,1450" coordsize="2827,13730" path="m1139,15179l3965,15179,3965,1450,1139,1450,1139,15179xe" filled="true" fillcolor="#d2d2d2" stroked="false">
                <v:path arrowok="t"/>
                <v:fill type="solid"/>
              </v:shape>
            </v:group>
            <v:group style="position:absolute;left:1139;top:1445;width:2827;height:2" coordorigin="1139,1445" coordsize="2827,2">
              <v:shape style="position:absolute;left:1139;top:1445;width:2827;height:2" coordorigin="1139,1445" coordsize="2827,0" path="m1139,1445l3965,1445e" filled="false" stroked="true" strokeweight=".48pt" strokecolor="#000000">
                <v:path arrowok="t"/>
              </v:shape>
            </v:group>
            <v:group style="position:absolute;left:3975;top:1445;width:1117;height:2" coordorigin="3975,1445" coordsize="1117,2">
              <v:shape style="position:absolute;left:3975;top:1445;width:1117;height:2" coordorigin="3975,1445" coordsize="1117,0" path="m3975,1445l5091,1445e" filled="false" stroked="true" strokeweight=".48pt" strokecolor="#000000">
                <v:path arrowok="t"/>
              </v:shape>
            </v:group>
            <v:group style="position:absolute;left:5101;top:1445;width:1116;height:2" coordorigin="5101,1445" coordsize="1116,2">
              <v:shape style="position:absolute;left:5101;top:1445;width:1116;height:2" coordorigin="5101,1445" coordsize="1116,0" path="m5101,1445l6217,1445e" filled="false" stroked="true" strokeweight=".48pt" strokecolor="#000000">
                <v:path arrowok="t"/>
              </v:shape>
            </v:group>
            <v:group style="position:absolute;left:7353;top:1450;width:1117;height:13730" coordorigin="7353,1450" coordsize="1117,13730">
              <v:shape style="position:absolute;left:7353;top:1450;width:1117;height:13730" coordorigin="7353,1450" coordsize="1117,13730" path="m7353,15179l8470,15179,8470,1450,7353,1450,7353,15179xe" filled="true" fillcolor="#ffffff" stroked="false">
                <v:path arrowok="t"/>
                <v:fill type="solid"/>
              </v:shape>
            </v:group>
            <v:group style="position:absolute;left:6226;top:1445;width:1118;height:2" coordorigin="6226,1445" coordsize="1118,2">
              <v:shape style="position:absolute;left:6226;top:1445;width:1118;height:2" coordorigin="6226,1445" coordsize="1118,0" path="m6226,1445l7344,1445e" filled="false" stroked="true" strokeweight=".48pt" strokecolor="#000000">
                <v:path arrowok="t"/>
              </v:shape>
            </v:group>
            <v:group style="position:absolute;left:7353;top:1445;width:1117;height:2" coordorigin="7353,1445" coordsize="1117,2">
              <v:shape style="position:absolute;left:7353;top:1445;width:1117;height:2" coordorigin="7353,1445" coordsize="1117,0" path="m7353,1445l8470,1445e" filled="false" stroked="true" strokeweight=".48pt" strokecolor="#000000">
                <v:path arrowok="t"/>
              </v:shape>
            </v:group>
            <v:group style="position:absolute;left:8479;top:1445;width:1112;height:2" coordorigin="8479,1445" coordsize="1112,2">
              <v:shape style="position:absolute;left:8479;top:1445;width:1112;height:2" coordorigin="8479,1445" coordsize="1112,0" path="m8479,1445l9590,1445e" filled="false" stroked="true" strokeweight=".48pt" strokecolor="#000000">
                <v:path arrowok="t"/>
              </v:shape>
            </v:group>
            <v:group style="position:absolute;left:9600;top:1445;width:1098;height:2" coordorigin="9600,1445" coordsize="1098,2">
              <v:shape style="position:absolute;left:9600;top:1445;width:1098;height:2" coordorigin="9600,1445" coordsize="1098,0" path="m9600,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2827;height:2" coordorigin="1139,15185" coordsize="2827,2">
              <v:shape style="position:absolute;left:1139;top:15185;width:2827;height:2" coordorigin="1139,15185" coordsize="2827,0" path="m1139,15185l3965,15185e" filled="false" stroked="true" strokeweight=".47998pt" strokecolor="#000000">
                <v:path arrowok="t"/>
              </v:shape>
            </v:group>
            <v:group style="position:absolute;left:3970;top:1440;width:2;height:13750" coordorigin="3970,1440" coordsize="2,13750">
              <v:shape style="position:absolute;left:3970;top:1440;width:2;height:13750" coordorigin="3970,1440" coordsize="0,13750" path="m3970,1440l3970,15190e" filled="false" stroked="true" strokeweight=".48pt" strokecolor="#000000">
                <v:path arrowok="t"/>
              </v:shape>
            </v:group>
            <v:group style="position:absolute;left:3975;top:15185;width:1117;height:2" coordorigin="3975,15185" coordsize="1117,2">
              <v:shape style="position:absolute;left:3975;top:15185;width:1117;height:2" coordorigin="3975,15185" coordsize="1117,0" path="m3975,15185l5091,15185e" filled="false" stroked="true" strokeweight=".47998pt" strokecolor="#000000">
                <v:path arrowok="t"/>
              </v:shape>
            </v:group>
            <v:group style="position:absolute;left:5096;top:1440;width:2;height:13750" coordorigin="5096,1440" coordsize="2,13750">
              <v:shape style="position:absolute;left:5096;top:1440;width:2;height:13750" coordorigin="5096,1440" coordsize="0,13750" path="m5096,1440l5096,15190e" filled="false" stroked="true" strokeweight=".48pt" strokecolor="#000000">
                <v:path arrowok="t"/>
              </v:shape>
            </v:group>
            <v:group style="position:absolute;left:5101;top:15185;width:1116;height:2" coordorigin="5101,15185" coordsize="1116,2">
              <v:shape style="position:absolute;left:5101;top:15185;width:1116;height:2" coordorigin="5101,15185" coordsize="1116,0" path="m5101,15185l6217,15185e" filled="false" stroked="true" strokeweight=".47998pt" strokecolor="#000000">
                <v:path arrowok="t"/>
              </v:shape>
            </v:group>
            <v:group style="position:absolute;left:6222;top:1440;width:2;height:13750" coordorigin="6222,1440" coordsize="2,13750">
              <v:shape style="position:absolute;left:6222;top:1440;width:2;height:13750" coordorigin="6222,1440" coordsize="0,13750" path="m6222,1440l6222,15190e" filled="false" stroked="true" strokeweight=".48001pt" strokecolor="#000000">
                <v:path arrowok="t"/>
              </v:shape>
            </v:group>
            <v:group style="position:absolute;left:6226;top:15185;width:1118;height:2" coordorigin="6226,15185" coordsize="1118,2">
              <v:shape style="position:absolute;left:6226;top:15185;width:1118;height:2" coordorigin="6226,15185" coordsize="1118,0" path="m6226,15185l7344,15185e" filled="false" stroked="true" strokeweight=".47998pt" strokecolor="#000000">
                <v:path arrowok="t"/>
              </v:shape>
            </v:group>
            <v:group style="position:absolute;left:7348;top:1440;width:2;height:13750" coordorigin="7348,1440" coordsize="2,13750">
              <v:shape style="position:absolute;left:7348;top:1440;width:2;height:13750" coordorigin="7348,1440" coordsize="0,13750" path="m7348,1440l7348,15190e" filled="false" stroked="true" strokeweight=".48001pt" strokecolor="#000000">
                <v:path arrowok="t"/>
              </v:shape>
            </v:group>
            <v:group style="position:absolute;left:7353;top:15185;width:1117;height:2" coordorigin="7353,15185" coordsize="1117,2">
              <v:shape style="position:absolute;left:7353;top:15185;width:1117;height:2" coordorigin="7353,15185" coordsize="1117,0" path="m7353,15185l8470,15185e" filled="false" stroked="true" strokeweight=".47998pt" strokecolor="#000000">
                <v:path arrowok="t"/>
              </v:shape>
            </v:group>
            <v:group style="position:absolute;left:8474;top:1440;width:2;height:13750" coordorigin="8474,1440" coordsize="2,13750">
              <v:shape style="position:absolute;left:8474;top:1440;width:2;height:13750" coordorigin="8474,1440" coordsize="0,13750" path="m8474,1440l8474,15190e" filled="false" stroked="true" strokeweight=".48001pt" strokecolor="#000000">
                <v:path arrowok="t"/>
              </v:shape>
            </v:group>
            <v:group style="position:absolute;left:8479;top:15185;width:1112;height:2" coordorigin="8479,15185" coordsize="1112,2">
              <v:shape style="position:absolute;left:8479;top:15185;width:1112;height:2" coordorigin="8479,15185" coordsize="1112,0" path="m8479,15185l9590,15185e" filled="false" stroked="true" strokeweight=".47998pt" strokecolor="#000000">
                <v:path arrowok="t"/>
              </v:shape>
            </v:group>
            <v:group style="position:absolute;left:9595;top:1440;width:2;height:13750" coordorigin="9595,1440" coordsize="2,13750">
              <v:shape style="position:absolute;left:9595;top:1440;width:2;height:13750" coordorigin="9595,1440" coordsize="0,13750" path="m9595,1440l9595,15190e" filled="false" stroked="true" strokeweight=".48001pt" strokecolor="#000000">
                <v:path arrowok="t"/>
              </v:shape>
            </v:group>
            <v:group style="position:absolute;left:9600;top:15185;width:1098;height:2" coordorigin="9600,15185" coordsize="1098,2">
              <v:shape style="position:absolute;left:9600;top:15185;width:1098;height:2" coordorigin="9600,15185" coordsize="1098,0" path="m9600,15185l10698,15185e" filled="false" stroked="true" strokeweight=".4799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004pt" strokecolor="#000000">
                <v:path arrowok="t"/>
              </v:shape>
            </v:group>
            <w10:wrap type="none"/>
          </v:group>
        </w:pict>
      </w:r>
    </w:p>
    <w:p>
      <w:pPr>
        <w:spacing w:line="240" w:lineRule="auto" w:before="2"/>
        <w:rPr>
          <w:rFonts w:ascii="Times New Roman" w:hAnsi="Times New Roman" w:cs="Times New Roman" w:eastAsia="Times New Roman" w:hint="default"/>
          <w:sz w:val="14"/>
          <w:szCs w:val="14"/>
        </w:rPr>
      </w:pPr>
    </w:p>
    <w:p>
      <w:pPr>
        <w:pStyle w:val="BodyText"/>
        <w:spacing w:line="240" w:lineRule="auto" w:before="0"/>
        <w:ind w:left="2604" w:right="1473"/>
        <w:jc w:val="center"/>
      </w:pPr>
      <w:r>
        <w:rPr/>
        <w:t>（国发</w:t>
      </w:r>
    </w:p>
    <w:p>
      <w:pPr>
        <w:pStyle w:val="BodyText"/>
        <w:spacing w:line="240" w:lineRule="auto" w:before="76"/>
        <w:ind w:left="2604" w:right="859"/>
        <w:jc w:val="center"/>
      </w:pPr>
      <w:r>
        <w:rPr>
          <w:rFonts w:ascii="Times New Roman" w:hAnsi="Times New Roman" w:cs="Times New Roman" w:eastAsia="Times New Roman" w:hint="default"/>
          <w:w w:val="99"/>
        </w:rPr>
        <w:t>[2014</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17</w:t>
      </w:r>
      <w:r>
        <w:rPr>
          <w:rFonts w:ascii="Times New Roman" w:hAnsi="Times New Roman" w:cs="Times New Roman" w:eastAsia="Times New Roman" w:hint="default"/>
          <w:spacing w:val="-1"/>
          <w:w w:val="99"/>
        </w:rPr>
        <w:t> </w:t>
      </w:r>
      <w:r>
        <w:rPr>
          <w:w w:val="99"/>
        </w:rPr>
        <w:t>号</w:t>
      </w:r>
      <w:r>
        <w:rPr>
          <w:spacing w:val="-90"/>
          <w:w w:val="99"/>
        </w:rPr>
        <w:t>）</w:t>
      </w:r>
      <w:r>
        <w:rPr>
          <w:w w:val="99"/>
        </w:rPr>
        <w:t>、</w:t>
      </w:r>
      <w:r>
        <w:rPr/>
      </w:r>
    </w:p>
    <w:p>
      <w:pPr>
        <w:pStyle w:val="BodyText"/>
        <w:spacing w:line="316" w:lineRule="auto" w:before="63"/>
        <w:ind w:left="5269" w:right="3775"/>
        <w:jc w:val="both"/>
      </w:pPr>
      <w:r>
        <w:rPr/>
        <w:t>《国务院办 公厅关于进 一步加强资 本市场中小 投资者合法 权益保护工 作的意见》</w:t>
      </w:r>
    </w:p>
    <w:p>
      <w:pPr>
        <w:pStyle w:val="BodyText"/>
        <w:spacing w:line="240" w:lineRule="auto" w:before="19"/>
        <w:ind w:left="2604" w:right="1293"/>
        <w:jc w:val="center"/>
      </w:pPr>
      <w:r>
        <w:rPr/>
        <w:t>（国办发</w:t>
      </w:r>
    </w:p>
    <w:p>
      <w:pPr>
        <w:pStyle w:val="BodyText"/>
        <w:spacing w:line="240" w:lineRule="auto" w:before="76"/>
        <w:ind w:left="2604" w:right="865"/>
        <w:jc w:val="center"/>
      </w:pPr>
      <w:r>
        <w:rPr>
          <w:rFonts w:ascii="Times New Roman" w:hAnsi="Times New Roman" w:cs="Times New Roman" w:eastAsia="Times New Roman" w:hint="default"/>
        </w:rPr>
        <w:t>[2013]110</w:t>
      </w:r>
      <w:r>
        <w:rPr>
          <w:rFonts w:ascii="Times New Roman" w:hAnsi="Times New Roman" w:cs="Times New Roman" w:eastAsia="Times New Roman" w:hint="default"/>
          <w:spacing w:val="-10"/>
        </w:rPr>
        <w:t> </w:t>
      </w:r>
      <w:r>
        <w:rPr/>
        <w:t>号）</w:t>
      </w:r>
    </w:p>
    <w:p>
      <w:pPr>
        <w:pStyle w:val="BodyText"/>
        <w:spacing w:line="316" w:lineRule="auto" w:before="63"/>
        <w:ind w:left="5269" w:right="3577"/>
        <w:jc w:val="left"/>
      </w:pPr>
      <w:r>
        <w:rPr/>
        <w:t>和《关于首发 及再融资、重 大资产重组 摊薄即期回 报有关事项 的指导意见》</w:t>
      </w:r>
    </w:p>
    <w:p>
      <w:pPr>
        <w:pStyle w:val="BodyText"/>
        <w:spacing w:line="316" w:lineRule="auto" w:before="19"/>
        <w:ind w:left="5269" w:right="3775"/>
        <w:jc w:val="center"/>
        <w:rPr>
          <w:rFonts w:ascii="Times New Roman" w:hAnsi="Times New Roman" w:cs="Times New Roman" w:eastAsia="Times New Roman" w:hint="default"/>
        </w:rPr>
      </w:pPr>
      <w:r>
        <w:rPr/>
        <w:t>（证监会公 告</w:t>
      </w:r>
      <w:r>
        <w:rPr>
          <w:rFonts w:ascii="Times New Roman" w:hAnsi="Times New Roman" w:cs="Times New Roman" w:eastAsia="Times New Roman" w:hint="default"/>
        </w:rPr>
        <w:t>[2015]31</w:t>
      </w:r>
    </w:p>
    <w:p>
      <w:pPr>
        <w:pStyle w:val="BodyText"/>
        <w:spacing w:line="316" w:lineRule="auto" w:before="0"/>
        <w:ind w:left="5269" w:right="3577"/>
        <w:jc w:val="left"/>
      </w:pPr>
      <w:r>
        <w:rPr/>
        <w:t>号）等法律、 法规、规范性 文件的要求， 防范可能出 现的即期收 益被摊薄的 风险，本公司 承诺采取以 下保障措施： </w:t>
      </w:r>
      <w:r>
        <w:rPr>
          <w:rFonts w:ascii="Times New Roman" w:hAnsi="Times New Roman" w:cs="Times New Roman" w:eastAsia="Times New Roman" w:hint="default"/>
        </w:rPr>
        <w:t>1</w:t>
      </w:r>
      <w:r>
        <w:rPr/>
        <w:t>、加快主营 业务发展、提 高盈利能力 金冠电气与 能瑞自动化 的主要产品 均广泛应用 于国家智能 电网建设，产 品销售过程 均以参与国 家电网招标 获取订单为 主要模式。本 次交易完成 后，金冠电气</w:t>
      </w:r>
    </w:p>
    <w:p>
      <w:pPr>
        <w:spacing w:after="0" w:line="316" w:lineRule="auto"/>
        <w:jc w:val="left"/>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和能瑞自动</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化将相互借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鉴在智能电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网设备制造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领域的经验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和技术，共享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双方的销售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渠道并提升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公司在国家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电网的竞标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能力，促使公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司与能瑞自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动化优势互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补，进一步开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拓公司在智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能电网设备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领域的市场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空间，充分把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握新能源汽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车行业高速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增长带来的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发展契机，增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强核心竞争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优势，提升公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司经营业绩。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、加强经营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管理和内部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  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将进一步加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强企业经营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管理和内部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控制，提高公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司日常运营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效率，降低公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司运营成本，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全面有效地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控制公司经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营和管理风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险，提升经营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效率。</w:t>
            </w:r>
            <w:r>
              <w:rPr>
                <w:rFonts w:ascii="Times New Roman" w:hAnsi="Times New Roman" w:cs="Times New Roman" w:eastAsia="Times New Roman" w:hint="default"/>
                <w:sz w:val="18"/>
                <w:szCs w:val="18"/>
              </w:rPr>
              <w:t>3</w:t>
            </w:r>
            <w:r>
              <w:rPr>
                <w:rFonts w:ascii="宋体" w:hAnsi="宋体" w:cs="宋体" w:eastAsia="宋体" w:hint="default"/>
                <w:sz w:val="18"/>
                <w:szCs w:val="18"/>
              </w:rPr>
              <w:t>、完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善利润分配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政策  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重组完成后，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2128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3"/>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按照《公司章</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继续实行可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持续、稳定、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积极的利润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分配政策，并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结合公司实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际情况，广泛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听取投资者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尤其是独立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东的意见和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建议，强化对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投资者的回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报，完善利润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分配政策，增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加分配政策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执行的透明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度，维护全体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股东利益。</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完善公司治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理结构  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司将严格遵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守《公司法》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《证券法</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《创业板上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市公司运作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规范指引》等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的规定，不断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完善治理结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构，确保股东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能够充分行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使权利，确保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董事会能够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规和公司章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程的规定行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使职权，作出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科学、迅速和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谨慎的决策，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确保独立董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事能够认真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04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履行职责，维 护公司整体 利益，尤其是 中小股东的 合法权益，确 保监事会能 够独立有效 地行使对董 事、经理和其 他高级管理 人员及公司 财务的监督 权和检查权， 维护公司全 体股东的利 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4"/>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如发生公司 首次公开发 行股票并上 市之日起三 十六个月内， 出现连续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 收盘价均低 于每股净资 产（以最近一 期经审计的 合并资产负 债表中归属 于母公司的 所有者权益 </w:t>
            </w:r>
            <w:r>
              <w:rPr>
                <w:rFonts w:ascii="宋体" w:hAnsi="宋体" w:cs="宋体" w:eastAsia="宋体" w:hint="default"/>
                <w:spacing w:val="-15"/>
                <w:sz w:val="18"/>
                <w:szCs w:val="18"/>
              </w:rPr>
              <w:t>为准），在不</w:t>
            </w:r>
            <w:r>
              <w:rPr>
                <w:rFonts w:ascii="宋体" w:hAnsi="宋体" w:cs="宋体" w:eastAsia="宋体" w:hint="default"/>
                <w:sz w:val="18"/>
                <w:szCs w:val="18"/>
              </w:rPr>
              <w:t> 触及关于上 市公司退市 条件的前提 下，本人作为 公司实际控 制人，应当通 过深圳证券 交易所证券 交易系统在 二级市场以 买入的方式 增持公司股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46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份，资金来源 为自筹取得。 本人在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 内增持的公 司权益的股 份不低于其 届时所持公 司股份总数</w:t>
            </w:r>
          </w:p>
          <w:p>
            <w:pPr>
              <w:pStyle w:val="TableParagraph"/>
              <w:spacing w:line="316"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 在此期间增 持的股份，在 增持完成后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个月内对其 增持的股份 不得出售。本 人在增持前 应向公司董 事会报告具 体实施计划 方案，依法履 行信息披露 及豁免申请 要约收购（如 适用）等法定 义务。上述承 诺对本人具 有约束力。本 人遵守公司 通过的稳定 股价预案的 其他与本人 相关的义务。 本人承诺在 公司通过稳 定股价预案 涉及公司实 施的回购等 相关措施时 在相关董事 会及股东大 会上对相关 议案投赞成 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陈英智</w:t>
            </w:r>
            <w:r>
              <w:rPr>
                <w:rFonts w:ascii="Times New Roman" w:hAnsi="Times New Roman" w:cs="Times New Roman" w:eastAsia="Times New Roman" w:hint="default"/>
                <w:sz w:val="18"/>
                <w:szCs w:val="18"/>
              </w:rPr>
              <w:t>;</w:t>
            </w:r>
            <w:r>
              <w:rPr>
                <w:rFonts w:ascii="宋体" w:hAnsi="宋体" w:cs="宋体" w:eastAsia="宋体" w:hint="default"/>
                <w:sz w:val="18"/>
                <w:szCs w:val="18"/>
              </w:rPr>
              <w:t>郭长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如发生公司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89"/>
              <w:jc w:val="both"/>
              <w:rPr>
                <w:rFonts w:ascii="宋体" w:hAnsi="宋体" w:cs="宋体" w:eastAsia="宋体" w:hint="default"/>
                <w:sz w:val="18"/>
                <w:szCs w:val="18"/>
              </w:rPr>
            </w:pPr>
            <w:r>
              <w:rPr>
                <w:rFonts w:ascii="宋体" w:hAnsi="宋体" w:cs="宋体" w:eastAsia="宋体" w:hint="default"/>
                <w:sz w:val="18"/>
                <w:szCs w:val="18"/>
              </w:rPr>
              <w:t>兴</w:t>
            </w:r>
            <w:r>
              <w:rPr>
                <w:rFonts w:ascii="Times New Roman" w:hAnsi="Times New Roman" w:cs="Times New Roman" w:eastAsia="Times New Roman" w:hint="default"/>
                <w:sz w:val="18"/>
                <w:szCs w:val="18"/>
              </w:rPr>
              <w:t>;</w:t>
            </w:r>
            <w:r>
              <w:rPr>
                <w:rFonts w:ascii="宋体" w:hAnsi="宋体" w:cs="宋体" w:eastAsia="宋体" w:hint="default"/>
                <w:sz w:val="18"/>
                <w:szCs w:val="18"/>
              </w:rPr>
              <w:t>李海永</w:t>
            </w:r>
            <w:r>
              <w:rPr>
                <w:rFonts w:ascii="Times New Roman" w:hAnsi="Times New Roman" w:cs="Times New Roman" w:eastAsia="Times New Roman" w:hint="default"/>
                <w:sz w:val="18"/>
                <w:szCs w:val="18"/>
              </w:rPr>
              <w:t>;</w:t>
            </w:r>
            <w:r>
              <w:rPr>
                <w:rFonts w:ascii="宋体" w:hAnsi="宋体" w:cs="宋体" w:eastAsia="宋体" w:hint="default"/>
                <w:sz w:val="18"/>
                <w:szCs w:val="18"/>
              </w:rPr>
              <w:t>徐 海滨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徐海涛</w:t>
            </w:r>
            <w:r>
              <w:rPr>
                <w:rFonts w:ascii="Times New Roman" w:hAnsi="Times New Roman" w:cs="Times New Roman" w:eastAsia="Times New Roman" w:hint="default"/>
                <w:sz w:val="18"/>
                <w:szCs w:val="18"/>
              </w:rPr>
              <w:t>; </w:t>
            </w:r>
            <w:r>
              <w:rPr>
                <w:rFonts w:ascii="宋体" w:hAnsi="宋体" w:cs="宋体" w:eastAsia="宋体" w:hint="default"/>
                <w:sz w:val="18"/>
                <w:szCs w:val="18"/>
              </w:rPr>
              <w:t>张文福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首次公开发 行股票并上 市之日起三 十六个月内， 出现连续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 收盘价均低 于每股净资 产（以最近一 期经审计的 合并资产负 债表中归属 于母公司的 所有者权益 </w:t>
            </w:r>
            <w:r>
              <w:rPr>
                <w:rFonts w:ascii="宋体" w:hAnsi="宋体" w:cs="宋体" w:eastAsia="宋体" w:hint="default"/>
                <w:spacing w:val="-15"/>
                <w:sz w:val="18"/>
                <w:szCs w:val="18"/>
              </w:rPr>
              <w:t>为准），在不</w:t>
            </w:r>
            <w:r>
              <w:rPr>
                <w:rFonts w:ascii="宋体" w:hAnsi="宋体" w:cs="宋体" w:eastAsia="宋体" w:hint="default"/>
                <w:sz w:val="18"/>
                <w:szCs w:val="18"/>
              </w:rPr>
              <w:t> 触及关于上 市公司退市 条件的前提 下，本人作为 公司董事，应 当通过深圳 证券交易所 证券交易系 统在二级市 场以买入的 方式，增持公 司股份，资金 来源为自筹 取得。本人应 当于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 以本人上一 年年度或当 年年度（如当 年入职）的税 后工资薪酬 收入总数的 四分之一用 于在二级市 场上增持公 司股票。在此 期间增持的 股份，在增持 完成后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 内对其增持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2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的股份不得 出售。在启动 上述股价稳 定措施时，本 人应提前向 公司董事会 报告，公司将 按相关规定 及时公告，履 行信息披露 义务。上述承 诺对本人具 有约束力。自 上述承诺作 出之日起不 因本人离职、 职务变更等 原因而放弃 履行上述承 诺内容。本人 遵守公司通 过的稳定股 价预案的其 他与本人相 关的义务。董 事承诺在公 司通过稳定 股价预案涉 及公司实施 的回购等相 关措施时在 相关董事会 上（如本人届 时为公司董 事）对相关议 案投赞成票。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吉林省金冠 电气股份有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39"/>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如发生公司 首次公开发 行股票并上 市之日起三 十六个月内， 出现连续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 收盘价均低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于每股净资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产（以最近一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期经审计的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合并资产负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债表中归属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于母公司的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为准</w:t>
            </w:r>
            <w:r>
              <w:rPr>
                <w:rFonts w:ascii="宋体" w:hAnsi="宋体" w:cs="宋体" w:eastAsia="宋体" w:hint="default"/>
                <w:spacing w:val="-90"/>
                <w:sz w:val="18"/>
                <w:szCs w:val="18"/>
              </w:rPr>
              <w:t>）</w:t>
            </w:r>
            <w:r>
              <w:rPr>
                <w:rFonts w:ascii="宋体" w:hAnsi="宋体" w:cs="宋体" w:eastAsia="宋体" w:hint="default"/>
                <w:sz w:val="18"/>
                <w:szCs w:val="18"/>
              </w:rPr>
              <w:t>，在不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触及关于上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市公司退市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条件的前提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下，公司将启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动股份回购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价，具体如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施的具体条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件如发生公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现收盘价均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资产（以最近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一期经审计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的合并资产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负债表中归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属于母公司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的所有者权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益为准）的情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形，在不触及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司退市条件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的前提下，公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司应当尽快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采取措施稳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定股价，并尽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快促使公司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股价恢复至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79" w:header="747"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及以上的水</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股价的具体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  如发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生上述情形，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公司将督促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事（不包括独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w:t>
            </w:r>
            <w:r>
              <w:rPr>
                <w:rFonts w:ascii="宋体" w:hAnsi="宋体" w:cs="宋体" w:eastAsia="宋体" w:hint="default"/>
                <w:spacing w:val="-90"/>
                <w:sz w:val="18"/>
                <w:szCs w:val="18"/>
              </w:rPr>
              <w:t>）</w:t>
            </w:r>
            <w:r>
              <w:rPr>
                <w:rFonts w:ascii="宋体" w:hAnsi="宋体" w:cs="宋体" w:eastAsia="宋体" w:hint="default"/>
                <w:sz w:val="18"/>
                <w:szCs w:val="18"/>
              </w:rPr>
              <w:t>、高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应当于上述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情形发生后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下列稳定股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价的措施：①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w:t>
            </w:r>
            <w:r>
              <w:rPr>
                <w:rFonts w:ascii="Times New Roman" w:hAnsi="Times New Roman" w:cs="Times New Roman" w:eastAsia="Times New Roman" w:hint="default"/>
                <w:sz w:val="18"/>
                <w:szCs w:val="18"/>
              </w:rPr>
              <w:t>A</w:t>
            </w:r>
            <w:r>
              <w:rPr>
                <w:rFonts w:ascii="宋体" w:hAnsi="宋体" w:cs="宋体" w:eastAsia="宋体" w:hint="default"/>
                <w:sz w:val="18"/>
                <w:szCs w:val="18"/>
              </w:rPr>
              <w:t>．股份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回购价格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确定回购价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格的原则：董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事会根据有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的规定，以上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一年度经审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计的扣除非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经常性损益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后归属于上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的每股收益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及上一年度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经审计归属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净资产为基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础，参考国内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股同行业上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市公司市盈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率及市净率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的平均水平，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同时结合公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司当时的财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务状况和经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营状况，确定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回购股份的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9" w:header="747" w:top="1060" w:bottom="116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价格或者价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格区间。董事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会拟定回购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或者价格区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间以后，需要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提交公司股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在回购期内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发生资本公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积转增股本、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派发股票或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现金红利、股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票拆细、缩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股、配股、或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发行股本权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证等事宜，自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股价除权除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息之日起，相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应调整回购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价格或者价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8"/>
                <w:sz w:val="18"/>
                <w:szCs w:val="18"/>
              </w:rPr>
              <w:t>格区间。</w:t>
            </w:r>
            <w:r>
              <w:rPr>
                <w:rFonts w:ascii="Times New Roman" w:hAnsi="Times New Roman" w:cs="Times New Roman" w:eastAsia="Times New Roman" w:hint="default"/>
                <w:spacing w:val="-28"/>
                <w:sz w:val="18"/>
                <w:szCs w:val="18"/>
              </w:rPr>
              <w:t>B</w:t>
            </w:r>
            <w:r>
              <w:rPr>
                <w:rFonts w:ascii="宋体" w:hAnsi="宋体" w:cs="宋体" w:eastAsia="宋体" w:hint="default"/>
                <w:spacing w:val="-28"/>
                <w:sz w:val="18"/>
                <w:szCs w:val="18"/>
              </w:rPr>
              <w:t>．股</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份回购数量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应当根据综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合考虑连续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的收盘价的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交易价格、公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司净资产金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额及公司现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金流的实际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可承受能力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等因素，合理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确定股份回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8"/>
                <w:sz w:val="18"/>
                <w:szCs w:val="18"/>
              </w:rPr>
              <w:t>购数量。</w:t>
            </w:r>
            <w:r>
              <w:rPr>
                <w:rFonts w:ascii="Times New Roman" w:hAnsi="Times New Roman" w:cs="Times New Roman" w:eastAsia="Times New Roman" w:hint="default"/>
                <w:spacing w:val="-28"/>
                <w:sz w:val="18"/>
                <w:szCs w:val="18"/>
              </w:rPr>
              <w:t>C</w:t>
            </w:r>
            <w:r>
              <w:rPr>
                <w:rFonts w:ascii="宋体" w:hAnsi="宋体" w:cs="宋体" w:eastAsia="宋体" w:hint="default"/>
                <w:spacing w:val="-28"/>
                <w:sz w:val="18"/>
                <w:szCs w:val="18"/>
              </w:rPr>
              <w:t>．股</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份回购资金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应当结合公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司当时的财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务状况和经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营状况，特别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是公司现金</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流的可承受</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能力等因素，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合理确定回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购股份的资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金总额上限。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．股份回购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方案的制定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与实施。公司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资本市场的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变化情况和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实际状况，制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回购方案，并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及时召开股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审议。在股份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回购方案经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议通过后，应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当履行债权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人通知及公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告及其他法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定减资程序。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份，应当自收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购之日起十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日内注销。公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司制定与实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施股份回购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方案应当根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据中国证监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会及证券交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易所相关规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定履行信息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披露等法定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义务。②其他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  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将监督控股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（不包括独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w:t>
            </w:r>
            <w:r>
              <w:rPr>
                <w:rFonts w:ascii="宋体" w:hAnsi="宋体" w:cs="宋体" w:eastAsia="宋体" w:hint="default"/>
                <w:spacing w:val="-90"/>
                <w:sz w:val="18"/>
                <w:szCs w:val="18"/>
              </w:rPr>
              <w:t>）</w:t>
            </w:r>
            <w:r>
              <w:rPr>
                <w:rFonts w:ascii="宋体" w:hAnsi="宋体" w:cs="宋体" w:eastAsia="宋体" w:hint="default"/>
                <w:sz w:val="18"/>
                <w:szCs w:val="18"/>
              </w:rPr>
              <w:t>、高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履行其关于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票承诺的内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容。未来新任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（不包括独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w:t>
            </w:r>
            <w:r>
              <w:rPr>
                <w:rFonts w:ascii="宋体" w:hAnsi="宋体" w:cs="宋体" w:eastAsia="宋体" w:hint="default"/>
                <w:spacing w:val="-90"/>
                <w:sz w:val="18"/>
                <w:szCs w:val="18"/>
              </w:rPr>
              <w:t>）</w:t>
            </w:r>
            <w:r>
              <w:rPr>
                <w:rFonts w:ascii="宋体" w:hAnsi="宋体" w:cs="宋体" w:eastAsia="宋体" w:hint="default"/>
                <w:sz w:val="18"/>
                <w:szCs w:val="18"/>
              </w:rPr>
              <w:t>、高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应当出具关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承诺。公司在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提前公告具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体实施方案，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且不得因公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股份措施中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一项或多项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的实施导致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不再符合公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众持股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比例要求。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价措施的实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  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格触发启动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施条件之日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制订稳定公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司股价的具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体实施方案，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并在履行完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毕相关内部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决策程序和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外部审批</w:t>
            </w:r>
            <w:r>
              <w:rPr>
                <w:rFonts w:ascii="Times New Roman" w:hAnsi="Times New Roman" w:cs="Times New Roman" w:eastAsia="Times New Roman" w:hint="default"/>
                <w:sz w:val="18"/>
                <w:szCs w:val="18"/>
              </w:rPr>
              <w:t>/</w:t>
            </w:r>
            <w:r>
              <w:rPr>
                <w:rFonts w:ascii="宋体" w:hAnsi="宋体" w:cs="宋体" w:eastAsia="宋体" w:hint="default"/>
                <w:sz w:val="18"/>
                <w:szCs w:val="18"/>
              </w:rPr>
              <w:t>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案程序（如</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需）后进行实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东、董事、高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内向公司提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出将采取的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量、增持比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例、增持方式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等具体措施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内容。上述稳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定股价措施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实施前应当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司信息披露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要求予以公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告。公司稳定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股价措施实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施完毕及控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人员承诺履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行完毕之日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内，公司应将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施实施情况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予以公告。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价方案的终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  自股价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稳定方案公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告之日起，若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出现以下任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一情形，则视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为本次稳定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股价措施实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施完毕及承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诺履行完毕，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已公告的稳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定股价方案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终止执行：①</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85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公司股票连 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均高于公司 最近一期经 审计的每股 </w:t>
            </w:r>
            <w:r>
              <w:rPr>
                <w:rFonts w:ascii="宋体" w:hAnsi="宋体" w:cs="宋体" w:eastAsia="宋体" w:hint="default"/>
                <w:spacing w:val="-2"/>
                <w:sz w:val="18"/>
                <w:szCs w:val="18"/>
              </w:rPr>
              <w:t>净资产（最近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一期审计基 </w:t>
            </w:r>
            <w:r>
              <w:rPr>
                <w:rFonts w:ascii="宋体" w:hAnsi="宋体" w:cs="宋体" w:eastAsia="宋体" w:hint="default"/>
                <w:spacing w:val="-2"/>
                <w:sz w:val="18"/>
                <w:szCs w:val="18"/>
              </w:rPr>
              <w:t>准日后，因利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润分配、资本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公积金转增</w:t>
            </w:r>
          </w:p>
          <w:p>
            <w:pPr>
              <w:pStyle w:val="TableParagraph"/>
              <w:spacing w:line="319"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股本、增发、 配股等情况 导致公司净 资产或股份 总数出现变 化的，每股净 资产相应进 </w:t>
            </w:r>
            <w:r>
              <w:rPr>
                <w:rFonts w:ascii="宋体" w:hAnsi="宋体" w:cs="宋体" w:eastAsia="宋体" w:hint="default"/>
                <w:spacing w:val="-15"/>
                <w:sz w:val="18"/>
                <w:szCs w:val="18"/>
              </w:rPr>
              <w:t>行调整）；②</w:t>
            </w:r>
            <w:r>
              <w:rPr>
                <w:rFonts w:ascii="宋体" w:hAnsi="宋体" w:cs="宋体" w:eastAsia="宋体" w:hint="default"/>
                <w:sz w:val="18"/>
                <w:szCs w:val="18"/>
              </w:rPr>
              <w:t> 继续回购或 增持公司股 份将导致公 司股权分布 不符合上市 条件。</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02" w:lineRule="auto"/>
              <w:ind w:left="23" w:right="141"/>
              <w:jc w:val="left"/>
              <w:rPr>
                <w:rFonts w:ascii="宋体" w:hAnsi="宋体" w:cs="宋体" w:eastAsia="宋体" w:hint="default"/>
                <w:sz w:val="18"/>
                <w:szCs w:val="18"/>
              </w:rPr>
            </w:pPr>
            <w:r>
              <w:rPr>
                <w:rFonts w:ascii="宋体" w:hAnsi="宋体" w:cs="宋体" w:eastAsia="宋体" w:hint="default"/>
                <w:sz w:val="18"/>
                <w:szCs w:val="18"/>
              </w:rPr>
              <w:t>郭长兴</w:t>
            </w:r>
            <w:r>
              <w:rPr>
                <w:rFonts w:ascii="Times New Roman" w:hAnsi="Times New Roman" w:cs="Times New Roman" w:eastAsia="Times New Roman" w:hint="default"/>
                <w:sz w:val="18"/>
                <w:szCs w:val="18"/>
              </w:rPr>
              <w:t>;</w:t>
            </w:r>
            <w:r>
              <w:rPr>
                <w:rFonts w:ascii="宋体" w:hAnsi="宋体" w:cs="宋体" w:eastAsia="宋体" w:hint="default"/>
                <w:sz w:val="18"/>
                <w:szCs w:val="18"/>
              </w:rPr>
              <w:t>金志 毅</w:t>
            </w:r>
            <w:r>
              <w:rPr>
                <w:rFonts w:ascii="Times New Roman" w:hAnsi="Times New Roman" w:cs="Times New Roman" w:eastAsia="Times New Roman" w:hint="default"/>
                <w:sz w:val="18"/>
                <w:szCs w:val="18"/>
              </w:rPr>
              <w:t>;</w:t>
            </w:r>
            <w:r>
              <w:rPr>
                <w:rFonts w:ascii="宋体" w:hAnsi="宋体" w:cs="宋体" w:eastAsia="宋体" w:hint="default"/>
                <w:sz w:val="18"/>
                <w:szCs w:val="18"/>
              </w:rPr>
              <w:t>徐海江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以上主要股 东均作出关 于避免同业 竞争的承诺， 承诺内容如 下：</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业及下属全 资或控股子 企业（如有） 目前没有，将 来亦不会在 中国境内外、 以任何方式</w:t>
            </w:r>
          </w:p>
          <w:p>
            <w:pPr>
              <w:pStyle w:val="TableParagraph"/>
              <w:spacing w:line="316" w:lineRule="auto" w:before="21"/>
              <w:ind w:left="22" w:right="21"/>
              <w:jc w:val="left"/>
              <w:rPr>
                <w:rFonts w:ascii="宋体" w:hAnsi="宋体" w:cs="宋体" w:eastAsia="宋体" w:hint="default"/>
                <w:sz w:val="18"/>
                <w:szCs w:val="18"/>
              </w:rPr>
            </w:pPr>
            <w:r>
              <w:rPr>
                <w:rFonts w:ascii="宋体" w:hAnsi="宋体" w:cs="宋体" w:eastAsia="宋体" w:hint="default"/>
                <w:sz w:val="18"/>
                <w:szCs w:val="18"/>
              </w:rPr>
              <w:t>（包括但不 </w:t>
            </w:r>
            <w:r>
              <w:rPr>
                <w:rFonts w:ascii="宋体" w:hAnsi="宋体" w:cs="宋体" w:eastAsia="宋体" w:hint="default"/>
                <w:spacing w:val="-2"/>
                <w:sz w:val="18"/>
                <w:szCs w:val="18"/>
              </w:rPr>
              <w:t>限于自营、合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资或联营）直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接或间接控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制任何导致</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或可能导致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与发行人主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或间接产生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或活动的企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业，亦不生产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人产品相 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或相似或可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以取代发行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人产品的产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品，以及以其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他任何方式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参与或进行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与发行人主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．如果发行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人认为本人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业或各全资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及控股子企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业（如有）从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事了对发行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人的业务构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务，本人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愿意以公平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合理的价格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将该等资产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或股权转让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．如果本人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业将来可能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存在任何与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发行人主营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业务产生直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争的业务机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会，应立即通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知发行人并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尽力促使该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业务机会按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发行人能合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理接受的条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款和条件首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先提供给发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对上述业务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享有优先购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买权。本人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业承诺，因违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反该承诺函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的任何条款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而导致发行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人遭受的一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切损失、损害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和开支，将予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以赔偿。该承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诺函自本企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业签字盖章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之日起生效，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直至发生以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下情形为止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（以较早为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企业不再直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有发行人的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终止在证券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本企业在该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承诺函中所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作出的保证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和承诺均代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表本企业及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下属全资或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控股子企业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（如有）而作</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2259"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15"/>
              <w:ind w:left="23" w:right="89"/>
              <w:jc w:val="left"/>
              <w:rPr>
                <w:rFonts w:ascii="宋体" w:hAnsi="宋体" w:cs="宋体" w:eastAsia="宋体" w:hint="default"/>
                <w:sz w:val="18"/>
                <w:szCs w:val="18"/>
              </w:rPr>
            </w:pPr>
            <w:r>
              <w:rPr>
                <w:rFonts w:ascii="宋体" w:hAnsi="宋体" w:cs="宋体" w:eastAsia="宋体" w:hint="default"/>
                <w:sz w:val="18"/>
                <w:szCs w:val="18"/>
              </w:rPr>
              <w:t>长春市京达 投资服务中 心（有限合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陈建业</w:t>
            </w:r>
            <w:r>
              <w:rPr>
                <w:rFonts w:ascii="Times New Roman" w:hAnsi="Times New Roman" w:cs="Times New Roman" w:eastAsia="Times New Roman" w:hint="default"/>
                <w:sz w:val="18"/>
                <w:szCs w:val="18"/>
              </w:rPr>
              <w:t>; </w:t>
            </w:r>
            <w:r>
              <w:rPr>
                <w:rFonts w:ascii="宋体" w:hAnsi="宋体" w:cs="宋体" w:eastAsia="宋体" w:hint="default"/>
                <w:sz w:val="18"/>
                <w:szCs w:val="18"/>
              </w:rPr>
              <w:t>陈英智</w:t>
            </w:r>
            <w:r>
              <w:rPr>
                <w:rFonts w:ascii="Times New Roman" w:hAnsi="Times New Roman" w:cs="Times New Roman" w:eastAsia="Times New Roman" w:hint="default"/>
                <w:sz w:val="18"/>
                <w:szCs w:val="18"/>
              </w:rPr>
              <w:t>;</w:t>
            </w:r>
            <w:r>
              <w:rPr>
                <w:rFonts w:ascii="宋体" w:hAnsi="宋体" w:cs="宋体" w:eastAsia="宋体" w:hint="default"/>
                <w:sz w:val="18"/>
                <w:szCs w:val="18"/>
              </w:rPr>
              <w:t>郭长 兴</w:t>
            </w:r>
            <w:r>
              <w:rPr>
                <w:rFonts w:ascii="Times New Roman" w:hAnsi="Times New Roman" w:cs="Times New Roman" w:eastAsia="Times New Roman" w:hint="default"/>
                <w:sz w:val="18"/>
                <w:szCs w:val="18"/>
              </w:rPr>
              <w:t>;</w:t>
            </w:r>
            <w:r>
              <w:rPr>
                <w:rFonts w:ascii="宋体" w:hAnsi="宋体" w:cs="宋体" w:eastAsia="宋体" w:hint="default"/>
                <w:sz w:val="18"/>
                <w:szCs w:val="18"/>
              </w:rPr>
              <w:t>吉林省红 土创业投资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吉 林省诺金创 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金志毅</w:t>
            </w:r>
            <w:r>
              <w:rPr>
                <w:rFonts w:ascii="Times New Roman" w:hAnsi="Times New Roman" w:cs="Times New Roman" w:eastAsia="Times New Roman" w:hint="default"/>
                <w:sz w:val="18"/>
                <w:szCs w:val="18"/>
              </w:rPr>
              <w:t>; </w:t>
            </w:r>
            <w:r>
              <w:rPr>
                <w:rFonts w:ascii="宋体" w:hAnsi="宋体" w:cs="宋体" w:eastAsia="宋体" w:hint="default"/>
                <w:sz w:val="18"/>
                <w:szCs w:val="18"/>
              </w:rPr>
              <w:t>李海永</w:t>
            </w:r>
            <w:r>
              <w:rPr>
                <w:rFonts w:ascii="Times New Roman" w:hAnsi="Times New Roman" w:cs="Times New Roman" w:eastAsia="Times New Roman" w:hint="default"/>
                <w:sz w:val="18"/>
                <w:szCs w:val="18"/>
              </w:rPr>
              <w:t>;</w:t>
            </w:r>
            <w:r>
              <w:rPr>
                <w:rFonts w:ascii="宋体" w:hAnsi="宋体" w:cs="宋体" w:eastAsia="宋体" w:hint="default"/>
                <w:sz w:val="18"/>
                <w:szCs w:val="18"/>
              </w:rPr>
              <w:t>李晓 芳</w:t>
            </w:r>
            <w:r>
              <w:rPr>
                <w:rFonts w:ascii="Times New Roman" w:hAnsi="Times New Roman" w:cs="Times New Roman" w:eastAsia="Times New Roman" w:hint="default"/>
                <w:sz w:val="18"/>
                <w:szCs w:val="18"/>
              </w:rPr>
              <w:t>;</w:t>
            </w:r>
            <w:r>
              <w:rPr>
                <w:rFonts w:ascii="宋体" w:hAnsi="宋体" w:cs="宋体" w:eastAsia="宋体" w:hint="default"/>
                <w:sz w:val="18"/>
                <w:szCs w:val="18"/>
              </w:rPr>
              <w:t>毛志宏</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圳市创新投 资集团有限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 红土信息创 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滕建伟</w:t>
            </w:r>
            <w:r>
              <w:rPr>
                <w:rFonts w:ascii="Times New Roman" w:hAnsi="Times New Roman" w:cs="Times New Roman" w:eastAsia="Times New Roman" w:hint="default"/>
                <w:sz w:val="18"/>
                <w:szCs w:val="18"/>
              </w:rPr>
              <w:t>; </w:t>
            </w:r>
            <w:r>
              <w:rPr>
                <w:rFonts w:ascii="宋体" w:hAnsi="宋体" w:cs="宋体" w:eastAsia="宋体" w:hint="default"/>
                <w:sz w:val="18"/>
                <w:szCs w:val="18"/>
              </w:rPr>
              <w:t>王希庆</w:t>
            </w:r>
            <w:r>
              <w:rPr>
                <w:rFonts w:ascii="Times New Roman" w:hAnsi="Times New Roman" w:cs="Times New Roman" w:eastAsia="Times New Roman" w:hint="default"/>
                <w:sz w:val="18"/>
                <w:szCs w:val="18"/>
              </w:rPr>
              <w:t>;</w:t>
            </w:r>
            <w:r>
              <w:rPr>
                <w:rFonts w:ascii="宋体" w:hAnsi="宋体" w:cs="宋体" w:eastAsia="宋体" w:hint="default"/>
                <w:sz w:val="18"/>
                <w:szCs w:val="18"/>
              </w:rPr>
              <w:t>文莎</w:t>
            </w:r>
            <w:r>
              <w:rPr>
                <w:rFonts w:ascii="Times New Roman" w:hAnsi="Times New Roman" w:cs="Times New Roman" w:eastAsia="Times New Roman" w:hint="default"/>
                <w:sz w:val="18"/>
                <w:szCs w:val="18"/>
              </w:rPr>
              <w:t>; </w:t>
            </w:r>
            <w:r>
              <w:rPr>
                <w:rFonts w:ascii="宋体" w:hAnsi="宋体" w:cs="宋体" w:eastAsia="宋体" w:hint="default"/>
                <w:sz w:val="18"/>
                <w:szCs w:val="18"/>
              </w:rPr>
              <w:t>吴宗南</w:t>
            </w:r>
            <w:r>
              <w:rPr>
                <w:rFonts w:ascii="Times New Roman" w:hAnsi="Times New Roman" w:cs="Times New Roman" w:eastAsia="Times New Roman" w:hint="default"/>
                <w:sz w:val="18"/>
                <w:szCs w:val="18"/>
              </w:rPr>
              <w:t>;</w:t>
            </w:r>
            <w:r>
              <w:rPr>
                <w:rFonts w:ascii="宋体" w:hAnsi="宋体" w:cs="宋体" w:eastAsia="宋体" w:hint="default"/>
                <w:sz w:val="18"/>
                <w:szCs w:val="18"/>
              </w:rPr>
              <w:t>徐海 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徐海江</w:t>
            </w:r>
            <w:r>
              <w:rPr>
                <w:rFonts w:ascii="Times New Roman" w:hAnsi="Times New Roman" w:cs="Times New Roman" w:eastAsia="Times New Roman" w:hint="default"/>
                <w:sz w:val="18"/>
                <w:szCs w:val="18"/>
              </w:rPr>
              <w:t>;</w:t>
            </w:r>
            <w:r>
              <w:rPr>
                <w:rFonts w:ascii="宋体" w:hAnsi="宋体" w:cs="宋体" w:eastAsia="宋体" w:hint="default"/>
                <w:sz w:val="18"/>
                <w:szCs w:val="18"/>
              </w:rPr>
              <w:t>徐 海涛</w:t>
            </w:r>
            <w:r>
              <w:rPr>
                <w:rFonts w:ascii="Times New Roman" w:hAnsi="Times New Roman" w:cs="Times New Roman" w:eastAsia="Times New Roman" w:hint="default"/>
                <w:sz w:val="18"/>
                <w:szCs w:val="18"/>
              </w:rPr>
              <w:t>;</w:t>
            </w:r>
            <w:r>
              <w:rPr>
                <w:rFonts w:ascii="宋体" w:hAnsi="宋体" w:cs="宋体" w:eastAsia="宋体" w:hint="default"/>
                <w:sz w:val="18"/>
                <w:szCs w:val="18"/>
              </w:rPr>
              <w:t>许哲</w:t>
            </w:r>
            <w:r>
              <w:rPr>
                <w:rFonts w:ascii="Times New Roman" w:hAnsi="Times New Roman" w:cs="Times New Roman" w:eastAsia="Times New Roman" w:hint="default"/>
                <w:sz w:val="18"/>
                <w:szCs w:val="18"/>
              </w:rPr>
              <w:t>;</w:t>
            </w:r>
            <w:r>
              <w:rPr>
                <w:rFonts w:ascii="宋体" w:hAnsi="宋体" w:cs="宋体" w:eastAsia="宋体" w:hint="default"/>
                <w:sz w:val="18"/>
                <w:szCs w:val="18"/>
              </w:rPr>
              <w:t>杨 洪柱</w:t>
            </w:r>
            <w:r>
              <w:rPr>
                <w:rFonts w:ascii="Times New Roman" w:hAnsi="Times New Roman" w:cs="Times New Roman" w:eastAsia="Times New Roman" w:hint="default"/>
                <w:sz w:val="18"/>
                <w:szCs w:val="18"/>
              </w:rPr>
              <w:t>;</w:t>
            </w:r>
            <w:r>
              <w:rPr>
                <w:rFonts w:ascii="宋体" w:hAnsi="宋体" w:cs="宋体" w:eastAsia="宋体" w:hint="default"/>
                <w:sz w:val="18"/>
                <w:szCs w:val="18"/>
              </w:rPr>
              <w:t>张文福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0"/>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公司全体股 东、董事、监 事及高级管 理人员作出 关于规范及 减少关联交 易的承诺，承 诺内容如下：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．本承诺出 具日后，本人</w:t>
            </w:r>
          </w:p>
          <w:p>
            <w:pPr>
              <w:pStyle w:val="TableParagraph"/>
              <w:spacing w:line="314" w:lineRule="auto" w:before="19"/>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业将尽可能 避免与发行 人及其控股 子公司之间 的关联交易； </w:t>
            </w:r>
            <w:r>
              <w:rPr>
                <w:rFonts w:ascii="Times New Roman" w:hAnsi="Times New Roman" w:cs="Times New Roman" w:eastAsia="Times New Roman" w:hint="default"/>
                <w:sz w:val="18"/>
                <w:szCs w:val="18"/>
              </w:rPr>
              <w:t>2</w:t>
            </w:r>
            <w:r>
              <w:rPr>
                <w:rFonts w:ascii="宋体" w:hAnsi="宋体" w:cs="宋体" w:eastAsia="宋体" w:hint="default"/>
                <w:sz w:val="18"/>
                <w:szCs w:val="18"/>
              </w:rPr>
              <w:t>．对于无法 避免或者因 合理原因发 生的关联交 </w:t>
            </w:r>
            <w:r>
              <w:rPr>
                <w:rFonts w:ascii="宋体" w:hAnsi="宋体" w:cs="宋体" w:eastAsia="宋体" w:hint="default"/>
                <w:spacing w:val="-9"/>
                <w:sz w:val="18"/>
                <w:szCs w:val="18"/>
              </w:rPr>
              <w:t>易，本人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r>
              <w:rPr>
                <w:rFonts w:ascii="宋体" w:hAnsi="宋体" w:cs="宋体" w:eastAsia="宋体" w:hint="default"/>
                <w:spacing w:val="-88"/>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 严格遵守有 关法律、法 规、深圳证券 交易所有关 上市规则及</w:t>
            </w:r>
          </w:p>
          <w:p>
            <w:pPr>
              <w:pStyle w:val="TableParagraph"/>
              <w:spacing w:line="319"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《公司章程》 的规定，遵循 等价、有偿、 公平交易的 原则，履行合 法程序并订 立相关协议 或合同，及时 进行信息披 露，保证关联 交易的公允 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29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9"/>
              <w:jc w:val="both"/>
              <w:rPr>
                <w:rFonts w:ascii="宋体" w:hAnsi="宋体" w:cs="宋体" w:eastAsia="宋体" w:hint="default"/>
                <w:sz w:val="18"/>
                <w:szCs w:val="18"/>
              </w:rPr>
            </w:pPr>
            <w:r>
              <w:rPr>
                <w:rFonts w:ascii="宋体" w:hAnsi="宋体" w:cs="宋体" w:eastAsia="宋体" w:hint="default"/>
                <w:sz w:val="18"/>
                <w:szCs w:val="18"/>
              </w:rPr>
              <w:t>陈建业</w:t>
            </w:r>
            <w:r>
              <w:rPr>
                <w:rFonts w:ascii="Times New Roman" w:hAnsi="Times New Roman" w:cs="Times New Roman" w:eastAsia="Times New Roman" w:hint="default"/>
                <w:sz w:val="18"/>
                <w:szCs w:val="18"/>
              </w:rPr>
              <w:t>;</w:t>
            </w:r>
            <w:r>
              <w:rPr>
                <w:rFonts w:ascii="宋体" w:hAnsi="宋体" w:cs="宋体" w:eastAsia="宋体" w:hint="default"/>
                <w:sz w:val="18"/>
                <w:szCs w:val="18"/>
              </w:rPr>
              <w:t>陈英 智</w:t>
            </w:r>
            <w:r>
              <w:rPr>
                <w:rFonts w:ascii="Times New Roman" w:hAnsi="Times New Roman" w:cs="Times New Roman" w:eastAsia="Times New Roman" w:hint="default"/>
                <w:sz w:val="18"/>
                <w:szCs w:val="18"/>
              </w:rPr>
              <w:t>;</w:t>
            </w:r>
            <w:r>
              <w:rPr>
                <w:rFonts w:ascii="宋体" w:hAnsi="宋体" w:cs="宋体" w:eastAsia="宋体" w:hint="default"/>
                <w:sz w:val="18"/>
                <w:szCs w:val="18"/>
              </w:rPr>
              <w:t>郭长兴</w:t>
            </w:r>
            <w:r>
              <w:rPr>
                <w:rFonts w:ascii="Times New Roman" w:hAnsi="Times New Roman" w:cs="Times New Roman" w:eastAsia="Times New Roman" w:hint="default"/>
                <w:sz w:val="18"/>
                <w:szCs w:val="18"/>
              </w:rPr>
              <w:t>;</w:t>
            </w:r>
            <w:r>
              <w:rPr>
                <w:rFonts w:ascii="宋体" w:hAnsi="宋体" w:cs="宋体" w:eastAsia="宋体" w:hint="default"/>
                <w:sz w:val="18"/>
                <w:szCs w:val="18"/>
              </w:rPr>
              <w:t>李 海永</w:t>
            </w:r>
            <w:r>
              <w:rPr>
                <w:rFonts w:ascii="Times New Roman" w:hAnsi="Times New Roman" w:cs="Times New Roman" w:eastAsia="Times New Roman" w:hint="default"/>
                <w:sz w:val="18"/>
                <w:szCs w:val="18"/>
              </w:rPr>
              <w:t>;</w:t>
            </w:r>
            <w:r>
              <w:rPr>
                <w:rFonts w:ascii="宋体" w:hAnsi="宋体" w:cs="宋体" w:eastAsia="宋体" w:hint="default"/>
                <w:sz w:val="18"/>
                <w:szCs w:val="18"/>
              </w:rPr>
              <w:t>李晓芳</w:t>
            </w:r>
            <w:r>
              <w:rPr>
                <w:rFonts w:ascii="Times New Roman" w:hAnsi="Times New Roman" w:cs="Times New Roman" w:eastAsia="Times New Roman" w:hint="default"/>
                <w:sz w:val="18"/>
                <w:szCs w:val="18"/>
              </w:rPr>
              <w:t>; </w:t>
            </w:r>
            <w:r>
              <w:rPr>
                <w:rFonts w:ascii="宋体" w:hAnsi="宋体" w:cs="宋体" w:eastAsia="宋体" w:hint="default"/>
                <w:sz w:val="18"/>
                <w:szCs w:val="18"/>
              </w:rPr>
              <w:t>毛志宏</w:t>
            </w:r>
            <w:r>
              <w:rPr>
                <w:rFonts w:ascii="Times New Roman" w:hAnsi="Times New Roman" w:cs="Times New Roman" w:eastAsia="Times New Roman" w:hint="default"/>
                <w:sz w:val="18"/>
                <w:szCs w:val="18"/>
              </w:rPr>
              <w:t>;</w:t>
            </w:r>
            <w:r>
              <w:rPr>
                <w:rFonts w:ascii="宋体" w:hAnsi="宋体" w:cs="宋体" w:eastAsia="宋体" w:hint="default"/>
                <w:sz w:val="18"/>
                <w:szCs w:val="18"/>
              </w:rPr>
              <w:t>王希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（一）本次发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行上市后的 利润分配政 策  根据公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2019-05-05</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89"/>
              <w:jc w:val="both"/>
              <w:rPr>
                <w:rFonts w:ascii="宋体" w:hAnsi="宋体" w:cs="宋体" w:eastAsia="宋体" w:hint="default"/>
                <w:sz w:val="18"/>
                <w:szCs w:val="18"/>
              </w:rPr>
            </w:pPr>
            <w:r>
              <w:rPr>
                <w:rFonts w:ascii="宋体" w:hAnsi="宋体" w:cs="宋体" w:eastAsia="宋体" w:hint="default"/>
                <w:sz w:val="18"/>
                <w:szCs w:val="18"/>
              </w:rPr>
              <w:t>庆</w:t>
            </w:r>
            <w:r>
              <w:rPr>
                <w:rFonts w:ascii="Times New Roman" w:hAnsi="Times New Roman" w:cs="Times New Roman" w:eastAsia="Times New Roman" w:hint="default"/>
                <w:sz w:val="18"/>
                <w:szCs w:val="18"/>
              </w:rPr>
              <w:t>;</w:t>
            </w:r>
            <w:r>
              <w:rPr>
                <w:rFonts w:ascii="宋体" w:hAnsi="宋体" w:cs="宋体" w:eastAsia="宋体" w:hint="default"/>
                <w:sz w:val="18"/>
                <w:szCs w:val="18"/>
              </w:rPr>
              <w:t>吴宗南</w:t>
            </w:r>
            <w:r>
              <w:rPr>
                <w:rFonts w:ascii="Times New Roman" w:hAnsi="Times New Roman" w:cs="Times New Roman" w:eastAsia="Times New Roman" w:hint="default"/>
                <w:sz w:val="18"/>
                <w:szCs w:val="18"/>
              </w:rPr>
              <w:t>;</w:t>
            </w:r>
            <w:r>
              <w:rPr>
                <w:rFonts w:ascii="宋体" w:hAnsi="宋体" w:cs="宋体" w:eastAsia="宋体" w:hint="default"/>
                <w:sz w:val="18"/>
                <w:szCs w:val="18"/>
              </w:rPr>
              <w:t>徐 海滨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徐海江</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徐海涛</w:t>
            </w:r>
            <w:r>
              <w:rPr>
                <w:rFonts w:ascii="Times New Roman" w:hAnsi="Times New Roman" w:cs="Times New Roman" w:eastAsia="Times New Roman" w:hint="default"/>
                <w:sz w:val="18"/>
                <w:szCs w:val="18"/>
              </w:rPr>
              <w:t>;</w:t>
            </w:r>
            <w:r>
              <w:rPr>
                <w:rFonts w:ascii="宋体" w:hAnsi="宋体" w:cs="宋体" w:eastAsia="宋体" w:hint="default"/>
                <w:sz w:val="18"/>
                <w:szCs w:val="18"/>
              </w:rPr>
              <w:t>许哲</w:t>
            </w:r>
            <w:r>
              <w:rPr>
                <w:rFonts w:ascii="Times New Roman" w:hAnsi="Times New Roman" w:cs="Times New Roman" w:eastAsia="Times New Roman" w:hint="default"/>
                <w:sz w:val="18"/>
                <w:szCs w:val="18"/>
              </w:rPr>
              <w:t>; </w:t>
            </w:r>
            <w:r>
              <w:rPr>
                <w:rFonts w:ascii="宋体" w:hAnsi="宋体" w:cs="宋体" w:eastAsia="宋体" w:hint="default"/>
                <w:sz w:val="18"/>
                <w:szCs w:val="18"/>
              </w:rPr>
              <w:t>张文福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p>
          <w:p>
            <w:pPr>
              <w:pStyle w:val="TableParagraph"/>
              <w:spacing w:line="312"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五次临时股 东大会制定、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p>
          <w:p>
            <w:pPr>
              <w:pStyle w:val="TableParagraph"/>
              <w:spacing w:line="307"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 次临时股东 </w:t>
            </w:r>
            <w:r>
              <w:rPr>
                <w:rFonts w:ascii="宋体" w:hAnsi="宋体" w:cs="宋体" w:eastAsia="宋体" w:hint="default"/>
                <w:spacing w:val="-8"/>
                <w:sz w:val="18"/>
                <w:szCs w:val="18"/>
              </w:rPr>
              <w:t>大会、</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日召开</w:t>
            </w:r>
          </w:p>
          <w:p>
            <w:pPr>
              <w:pStyle w:val="TableParagraph"/>
              <w:spacing w:line="312" w:lineRule="auto" w:before="7"/>
              <w:ind w:left="22" w:right="103"/>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一次临时股 东大会和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p>
          <w:p>
            <w:pPr>
              <w:pStyle w:val="TableParagraph"/>
              <w:spacing w:line="309"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东大会修订 </w:t>
            </w:r>
            <w:r>
              <w:rPr>
                <w:rFonts w:ascii="宋体" w:hAnsi="宋体" w:cs="宋体" w:eastAsia="宋体" w:hint="default"/>
                <w:spacing w:val="-2"/>
                <w:sz w:val="18"/>
                <w:szCs w:val="18"/>
              </w:rPr>
              <w:t>的《公司章程</w:t>
            </w:r>
          </w:p>
          <w:p>
            <w:pPr>
              <w:pStyle w:val="TableParagraph"/>
              <w:spacing w:line="316" w:lineRule="auto" w:before="24"/>
              <w:ind w:left="22" w:right="12"/>
              <w:jc w:val="left"/>
              <w:rPr>
                <w:rFonts w:ascii="宋体" w:hAnsi="宋体" w:cs="宋体" w:eastAsia="宋体" w:hint="default"/>
                <w:sz w:val="18"/>
                <w:szCs w:val="18"/>
              </w:rPr>
            </w:pPr>
            <w:r>
              <w:rPr>
                <w:rFonts w:ascii="宋体" w:hAnsi="宋体" w:cs="宋体" w:eastAsia="宋体" w:hint="default"/>
                <w:spacing w:val="-28"/>
                <w:sz w:val="18"/>
                <w:szCs w:val="18"/>
              </w:rPr>
              <w:t>（草案）》，本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次股票发行 并上市完成 后，公司采取</w:t>
            </w:r>
            <w:r>
              <w:rPr>
                <w:rFonts w:ascii="宋体" w:hAnsi="宋体" w:cs="宋体" w:eastAsia="宋体" w:hint="default"/>
                <w:sz w:val="18"/>
                <w:szCs w:val="18"/>
              </w:rPr>
              <w:t> 的股利分配 政策如下：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．利润分配 形式和期间 间隔：公司可 以采取现金 或者现金与 股票相结合 的方式分配 股利；在同时 符合现金及 股票分红条 件的情况下， 应当优先采 取现金分红 方式；在有条 件的情况下， 公司可以进 行中期现金 分红。</w:t>
            </w:r>
            <w:r>
              <w:rPr>
                <w:rFonts w:ascii="Times New Roman" w:hAnsi="Times New Roman" w:cs="Times New Roman" w:eastAsia="Times New Roman" w:hint="default"/>
                <w:sz w:val="18"/>
                <w:szCs w:val="18"/>
              </w:rPr>
              <w:t>2</w:t>
            </w:r>
            <w:r>
              <w:rPr>
                <w:rFonts w:ascii="宋体" w:hAnsi="宋体" w:cs="宋体" w:eastAsia="宋体" w:hint="default"/>
                <w:sz w:val="18"/>
                <w:szCs w:val="18"/>
              </w:rPr>
              <w:t>．现 金分红的条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件和最低比</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例：在公司当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年盈利且累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计未分配利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润为正数且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保证公司能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够持续经营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和长期发展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的前提下，如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公司无重大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投资计划或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重大现金支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出等事项发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生，公司应当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采取现金方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式分配股利，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且以现金方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式分配的利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润不少于当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年实现的可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分配利润的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百分之二十；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具体每个年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度的分红比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例由董事会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根据公司年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度盈利状况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和未来资金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使用计划提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2"/>
                <w:sz w:val="18"/>
                <w:szCs w:val="18"/>
              </w:rPr>
              <w:t>出预案。</w:t>
            </w:r>
            <w:r>
              <w:rPr>
                <w:rFonts w:ascii="Times New Roman" w:hAnsi="Times New Roman" w:cs="Times New Roman" w:eastAsia="Times New Roman" w:hint="default"/>
                <w:spacing w:val="-22"/>
                <w:sz w:val="18"/>
                <w:szCs w:val="18"/>
              </w:rPr>
              <w:t>3</w:t>
            </w:r>
            <w:r>
              <w:rPr>
                <w:rFonts w:ascii="宋体" w:hAnsi="宋体" w:cs="宋体" w:eastAsia="宋体" w:hint="default"/>
                <w:spacing w:val="-22"/>
                <w:sz w:val="18"/>
                <w:szCs w:val="18"/>
              </w:rPr>
              <w:t>．公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司董事会应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当综合考虑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所处行业特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点、发展阶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段、自身经营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模式、盈利水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平以及是否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有重大资金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支出安排等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因素，区分下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列情形，并按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规定的程序，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提出差异化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的现金分红</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政策</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司发展阶段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属成熟期且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无重大资金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支出安排的，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配时，现金分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红在本次利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占比例最低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应达到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展阶段属成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熟期且有重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大资金支出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安排的，进行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利润分配时，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现金分红在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配中所占比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例最低应达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公司发展阶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段属成长期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且有重大资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金支出安排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的，进行利润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分配时，现金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分红在本次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利润分配中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所占比例最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低应达到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展阶段不易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区分但有重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大资金支出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安排的，可以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按照前项规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定处理。上述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重大资金支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出事项是指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以下任一情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形：①公司未</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来十二个月</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内拟对外投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资、收购或购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买资产累计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支出达到或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超过公司最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近一次经审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计净资产的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或资产总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20%</w:t>
            </w:r>
            <w:r>
              <w:rPr>
                <w:rFonts w:ascii="宋体" w:hAnsi="宋体" w:cs="宋体" w:eastAsia="宋体" w:hint="default"/>
                <w:spacing w:val="-6"/>
                <w:sz w:val="18"/>
                <w:szCs w:val="18"/>
              </w:rPr>
              <w:t>；②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当年经营活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动产生的现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金流量净额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为负；③中国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易所规定的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．股票股利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分配的条件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公司可以在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满足上述现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金分红比例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的前提下，同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时采取发放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股票股利的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方式分配利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润。公司在确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定以股票方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式分配利润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的具体金额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时，应当充分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考虑以股票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方式分配利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润后的总股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本是否与公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司目前的经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营规模、盈利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增长速度相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适应，并考虑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对未来债权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融资成本的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影响，以确保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利润分配方</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案符合全体 股东的整体 利益和长远 利益。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53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本人为吉林 省金冠电气 股份有限公 </w:t>
            </w:r>
            <w:r>
              <w:rPr>
                <w:rFonts w:ascii="宋体" w:hAnsi="宋体" w:cs="宋体" w:eastAsia="宋体" w:hint="default"/>
                <w:spacing w:val="-13"/>
                <w:w w:val="100"/>
                <w:sz w:val="18"/>
                <w:szCs w:val="18"/>
              </w:rPr>
              <w:t>司（下称</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发行</w:t>
            </w:r>
            <w:r>
              <w:rPr>
                <w:rFonts w:ascii="宋体" w:hAnsi="宋体" w:cs="宋体" w:eastAsia="宋体" w:hint="default"/>
                <w:sz w:val="18"/>
                <w:szCs w:val="18"/>
              </w:rPr>
              <w:t> </w:t>
            </w:r>
            <w:r>
              <w:rPr>
                <w:rFonts w:ascii="宋体" w:hAnsi="宋体" w:cs="宋体" w:eastAsia="宋体" w:hint="default"/>
                <w:spacing w:val="-13"/>
                <w:w w:val="100"/>
                <w:sz w:val="18"/>
                <w:szCs w:val="18"/>
              </w:rPr>
              <w:t>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）实际控制</w:t>
            </w:r>
            <w:r>
              <w:rPr>
                <w:rFonts w:ascii="宋体" w:hAnsi="宋体" w:cs="宋体" w:eastAsia="宋体" w:hint="default"/>
                <w:sz w:val="18"/>
                <w:szCs w:val="18"/>
              </w:rPr>
              <w:t> </w:t>
            </w:r>
            <w:r>
              <w:rPr>
                <w:rFonts w:ascii="宋体" w:hAnsi="宋体" w:cs="宋体" w:eastAsia="宋体" w:hint="default"/>
                <w:spacing w:val="-2"/>
                <w:sz w:val="18"/>
                <w:szCs w:val="18"/>
              </w:rPr>
              <w:t>人、董事长及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总经理，截至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本函出具之 </w:t>
            </w:r>
            <w:r>
              <w:rPr>
                <w:rFonts w:ascii="宋体" w:hAnsi="宋体" w:cs="宋体" w:eastAsia="宋体" w:hint="default"/>
                <w:spacing w:val="-2"/>
                <w:sz w:val="18"/>
                <w:szCs w:val="18"/>
              </w:rPr>
              <w:t>日，本人持有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 </w:t>
            </w:r>
            <w:r>
              <w:rPr>
                <w:rFonts w:ascii="Times New Roman" w:hAnsi="Times New Roman" w:cs="Times New Roman" w:eastAsia="Times New Roman" w:hint="default"/>
                <w:sz w:val="18"/>
                <w:szCs w:val="18"/>
              </w:rPr>
              <w:t>39,200,000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6" w:lineRule="auto" w:before="1"/>
              <w:ind w:left="22" w:right="21"/>
              <w:jc w:val="left"/>
              <w:rPr>
                <w:rFonts w:ascii="宋体" w:hAnsi="宋体" w:cs="宋体" w:eastAsia="宋体" w:hint="default"/>
                <w:sz w:val="18"/>
                <w:szCs w:val="18"/>
              </w:rPr>
            </w:pPr>
            <w:r>
              <w:rPr>
                <w:rFonts w:ascii="宋体" w:hAnsi="宋体" w:cs="宋体" w:eastAsia="宋体" w:hint="default"/>
                <w:spacing w:val="-2"/>
                <w:sz w:val="18"/>
                <w:szCs w:val="18"/>
              </w:rPr>
              <w:t>股份，持股比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例为 </w:t>
            </w:r>
            <w:r>
              <w:rPr>
                <w:rFonts w:ascii="Times New Roman" w:hAnsi="Times New Roman" w:cs="Times New Roman" w:eastAsia="Times New Roman" w:hint="default"/>
                <w:spacing w:val="-6"/>
                <w:sz w:val="18"/>
                <w:szCs w:val="18"/>
              </w:rPr>
              <w:t>60.1956%</w:t>
            </w:r>
            <w:r>
              <w:rPr>
                <w:rFonts w:ascii="宋体" w:hAnsi="宋体" w:cs="宋体" w:eastAsia="宋体" w:hint="default"/>
                <w:spacing w:val="-6"/>
                <w:sz w:val="18"/>
                <w:szCs w:val="18"/>
              </w:rPr>
              <w:t>。本</w:t>
            </w:r>
            <w:r>
              <w:rPr>
                <w:rFonts w:ascii="宋体" w:hAnsi="宋体" w:cs="宋体" w:eastAsia="宋体" w:hint="default"/>
                <w:sz w:val="18"/>
                <w:szCs w:val="18"/>
              </w:rPr>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人特此承诺： 自发行人的 股票在证券 交易所上市 之日起三十 六个月内，不 转让或者委 托他人管理 本人直接或 间接持有的 发行人公开 发行股票前 已发行的股 份，也不由发 行人回购本 人直接或间 接持有的发 行人公开发 行股票前已 发行的股份。 本人直接或 间接所持发 行人的股份 在上述承诺 期限届满后 两年内减持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2" w:right="0"/>
              <w:jc w:val="left"/>
              <w:rPr>
                <w:rFonts w:ascii="Times New Roman" w:hAnsi="Times New Roman" w:cs="Times New Roman" w:eastAsia="Times New Roman" w:hint="default"/>
                <w:sz w:val="18"/>
                <w:szCs w:val="18"/>
              </w:rPr>
            </w:pPr>
            <w:r>
              <w:rPr>
                <w:rFonts w:ascii="Times New Roman"/>
                <w:sz w:val="18"/>
              </w:rPr>
              <w:t>2019-05-05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的，其减持价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格不低于发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行价；公司在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内如公司股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交易日的收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盘价均低于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期末收盘价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司股票的锁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定期限自动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期间有派息、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送股、资本公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积金转增股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本等除权除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息事项的，价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格将进行除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权除息相应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调整。本人不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因其职务变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更、离职等原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因，而放弃履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此外，本人同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时承诺：上述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锁定期限届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满后，本人在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任职期间内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每年转让的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的百分之二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十五。本人在</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起六个月内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之日起十八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让本人直接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份；在发行人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之日起第七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个月至第十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二个月之间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让本人直接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份；在发行人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个月后申报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离职的，自申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起六个月内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人股份。因发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行人进行权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益分派等导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致其本人直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份发生变化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的，仍应遵守</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上述规定。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本人为吉林 省金冠电气 股份有限公 </w:t>
            </w:r>
            <w:r>
              <w:rPr>
                <w:rFonts w:ascii="宋体" w:hAnsi="宋体" w:cs="宋体" w:eastAsia="宋体" w:hint="default"/>
                <w:spacing w:val="-13"/>
                <w:w w:val="100"/>
                <w:sz w:val="18"/>
                <w:szCs w:val="18"/>
              </w:rPr>
              <w:t>司（下称</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发行</w:t>
            </w:r>
            <w:r>
              <w:rPr>
                <w:rFonts w:ascii="宋体" w:hAnsi="宋体" w:cs="宋体" w:eastAsia="宋体" w:hint="default"/>
                <w:sz w:val="18"/>
                <w:szCs w:val="18"/>
              </w:rPr>
              <w:t> </w:t>
            </w:r>
            <w:r>
              <w:rPr>
                <w:rFonts w:ascii="宋体" w:hAnsi="宋体" w:cs="宋体" w:eastAsia="宋体" w:hint="default"/>
                <w:spacing w:val="-13"/>
                <w:sz w:val="18"/>
                <w:szCs w:val="18"/>
              </w:rPr>
              <w:t>人</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）股东、副</w:t>
            </w:r>
            <w:r>
              <w:rPr>
                <w:rFonts w:ascii="宋体" w:hAnsi="宋体" w:cs="宋体" w:eastAsia="宋体" w:hint="default"/>
                <w:sz w:val="18"/>
                <w:szCs w:val="18"/>
              </w:rPr>
              <w:t> 董事长及副 </w:t>
            </w:r>
            <w:r>
              <w:rPr>
                <w:rFonts w:ascii="宋体" w:hAnsi="宋体" w:cs="宋体" w:eastAsia="宋体" w:hint="default"/>
                <w:spacing w:val="-2"/>
                <w:sz w:val="18"/>
                <w:szCs w:val="18"/>
              </w:rPr>
              <w:t>总经理，截至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本函出具之 </w:t>
            </w:r>
            <w:r>
              <w:rPr>
                <w:rFonts w:ascii="宋体" w:hAnsi="宋体" w:cs="宋体" w:eastAsia="宋体" w:hint="default"/>
                <w:spacing w:val="-2"/>
                <w:sz w:val="18"/>
                <w:szCs w:val="18"/>
              </w:rPr>
              <w:t>日，本人持有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 </w:t>
            </w:r>
            <w:r>
              <w:rPr>
                <w:rFonts w:ascii="Times New Roman" w:hAnsi="Times New Roman" w:cs="Times New Roman" w:eastAsia="Times New Roman" w:hint="default"/>
                <w:sz w:val="18"/>
                <w:szCs w:val="18"/>
              </w:rPr>
              <w:t>8,330,000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6" w:lineRule="auto" w:before="1"/>
              <w:ind w:left="22" w:right="-46"/>
              <w:jc w:val="left"/>
              <w:rPr>
                <w:rFonts w:ascii="宋体" w:hAnsi="宋体" w:cs="宋体" w:eastAsia="宋体" w:hint="default"/>
                <w:sz w:val="18"/>
                <w:szCs w:val="18"/>
              </w:rPr>
            </w:pPr>
            <w:r>
              <w:rPr>
                <w:rFonts w:ascii="宋体" w:hAnsi="宋体" w:cs="宋体" w:eastAsia="宋体" w:hint="default"/>
                <w:sz w:val="18"/>
                <w:szCs w:val="18"/>
              </w:rPr>
              <w:t>股份，持股比 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12.7916%</w:t>
            </w:r>
            <w:r>
              <w:rPr>
                <w:rFonts w:ascii="宋体" w:hAnsi="宋体" w:cs="宋体" w:eastAsia="宋体" w:hint="default"/>
                <w:sz w:val="18"/>
                <w:szCs w:val="18"/>
              </w:rPr>
              <w:t>。</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本人特此承 诺：自发行人 股票在证券 交易所上市 之日起十二 个月内，不转 让或者委托 他人管理本 人直接或间 接持有的发 行人公开发 行股票前已 发行的股份， 也不由发行 人回购本人 直接或间接 持有的发行 人公开发行 股票前已发 行的股份。本 人直接或间 接所持发行 人股份在上 述承诺期限 届满后两年 内减持的，其 减持价格不 低于发行价； 公司在证券 交易所上市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637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7"/>
                <w:sz w:val="20"/>
                <w:szCs w:val="20"/>
              </w:rPr>
              <w:pict>
                <v:group style="width:55.85pt;height:318.8pt;mso-position-horizontal-relative:char;mso-position-vertical-relative:line" coordorigin="0,0" coordsize="1117,6376">
                  <v:group style="position:absolute;left:0;top:0;width:1117;height:6376" coordorigin="0,0" coordsize="1117,6376">
                    <v:shape style="position:absolute;left:0;top:0;width:1117;height:6376" coordorigin="0,0" coordsize="1117,6376" path="m0,6376l1116,6376,1116,0,0,0,0,6376xe" filled="true" fillcolor="#ffffff" stroked="false">
                      <v:path arrowok="t"/>
                      <v:fill type="solid"/>
                    </v:shape>
                  </v:group>
                </v:group>
              </w:pict>
            </w:r>
            <w:r>
              <w:rPr>
                <w:rFonts w:ascii="Times New Roman" w:hAnsi="Times New Roman" w:cs="Times New Roman" w:eastAsia="Times New Roman" w:hint="default"/>
                <w:position w:val="-127"/>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2017-05-05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价，或者上市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股票此期间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有派息、送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股、资本公积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金转增股本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事项的，价格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将进行除权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除息相应调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整。本人不因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其职务变更、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离职等原因，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而放弃履行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外，本人同时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诺股份锁定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期限届满后，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本人在任职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期间内每年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人股份不超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过本人直接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份总数的百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分之二十五。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本人在发行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市之日起六</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84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个月内申报 </w:t>
            </w:r>
            <w:r>
              <w:rPr>
                <w:rFonts w:ascii="宋体" w:hAnsi="宋体" w:cs="宋体" w:eastAsia="宋体" w:hint="default"/>
                <w:spacing w:val="-2"/>
                <w:sz w:val="18"/>
                <w:szCs w:val="18"/>
              </w:rPr>
              <w:t>离职的，自申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报离职之日 起十八个月 内不转让本 人直接或间 接持有的发 </w:t>
            </w:r>
            <w:r>
              <w:rPr>
                <w:rFonts w:ascii="宋体" w:hAnsi="宋体" w:cs="宋体" w:eastAsia="宋体" w:hint="default"/>
                <w:spacing w:val="-2"/>
                <w:sz w:val="18"/>
                <w:szCs w:val="18"/>
              </w:rPr>
              <w:t>行人股份；在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发行人首次 公开发行股 票上市之日 起第七个月 至第十二个 月之间申报 </w:t>
            </w:r>
            <w:r>
              <w:rPr>
                <w:rFonts w:ascii="宋体" w:hAnsi="宋体" w:cs="宋体" w:eastAsia="宋体" w:hint="default"/>
                <w:spacing w:val="-2"/>
                <w:sz w:val="18"/>
                <w:szCs w:val="18"/>
              </w:rPr>
              <w:t>离职的，自申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报离职之日 起十二个月 内不转让本 人直接或间 接持有的发 </w:t>
            </w:r>
            <w:r>
              <w:rPr>
                <w:rFonts w:ascii="宋体" w:hAnsi="宋体" w:cs="宋体" w:eastAsia="宋体" w:hint="default"/>
                <w:spacing w:val="-2"/>
                <w:sz w:val="18"/>
                <w:szCs w:val="18"/>
              </w:rPr>
              <w:t>行人股份；在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发行人首次 公开发行股 票上市之日 起十二个月 后申报离职 </w:t>
            </w:r>
            <w:r>
              <w:rPr>
                <w:rFonts w:ascii="宋体" w:hAnsi="宋体" w:cs="宋体" w:eastAsia="宋体" w:hint="default"/>
                <w:spacing w:val="-2"/>
                <w:sz w:val="18"/>
                <w:szCs w:val="18"/>
              </w:rPr>
              <w:t>的，自申报离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职之日起六 个月内不转 让本人直接 或间接持有 的发行人股 </w:t>
            </w:r>
            <w:r>
              <w:rPr>
                <w:rFonts w:ascii="宋体" w:hAnsi="宋体" w:cs="宋体" w:eastAsia="宋体" w:hint="default"/>
                <w:spacing w:val="-2"/>
                <w:sz w:val="18"/>
                <w:szCs w:val="18"/>
              </w:rPr>
              <w:t>份。因发行人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进行权益分 派等导致其 本人直接或 间接持有发 行人股份发 </w:t>
            </w:r>
            <w:r>
              <w:rPr>
                <w:rFonts w:ascii="宋体" w:hAnsi="宋体" w:cs="宋体" w:eastAsia="宋体" w:hint="default"/>
                <w:spacing w:val="-2"/>
                <w:sz w:val="18"/>
                <w:szCs w:val="18"/>
              </w:rPr>
              <w:t>生变化的，仍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应遵守上述 规定。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金志毅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截至本函出 </w:t>
            </w:r>
            <w:r>
              <w:rPr>
                <w:rFonts w:ascii="宋体" w:hAnsi="宋体" w:cs="宋体" w:eastAsia="宋体" w:hint="default"/>
                <w:spacing w:val="-2"/>
                <w:sz w:val="18"/>
                <w:szCs w:val="18"/>
              </w:rPr>
              <w:t>具之日，本人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持有吉林省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2017-05-05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4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金冠电气股 份有限公司</w:t>
            </w:r>
          </w:p>
          <w:p>
            <w:pPr>
              <w:pStyle w:val="TableParagraph"/>
              <w:spacing w:line="300" w:lineRule="auto" w:before="19"/>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（下称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 </w:t>
            </w:r>
            <w:r>
              <w:rPr>
                <w:rFonts w:ascii="宋体" w:hAnsi="宋体" w:cs="宋体" w:eastAsia="宋体" w:hint="default"/>
                <w:spacing w:val="-8"/>
                <w:w w:val="100"/>
                <w:sz w:val="18"/>
                <w:szCs w:val="18"/>
              </w:rPr>
              <w:t>人</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w:t>
            </w:r>
            <w:r>
              <w:rPr>
                <w:rFonts w:ascii="Times New Roman" w:hAnsi="Times New Roman" w:cs="Times New Roman" w:eastAsia="Times New Roman" w:hint="default"/>
                <w:spacing w:val="-8"/>
                <w:w w:val="100"/>
                <w:sz w:val="18"/>
                <w:szCs w:val="18"/>
              </w:rPr>
              <w:t>4,350,000</w:t>
            </w:r>
          </w:p>
          <w:p>
            <w:pPr>
              <w:pStyle w:val="TableParagraph"/>
              <w:spacing w:line="316" w:lineRule="auto" w:before="13"/>
              <w:ind w:left="22" w:right="21"/>
              <w:jc w:val="left"/>
              <w:rPr>
                <w:rFonts w:ascii="宋体" w:hAnsi="宋体" w:cs="宋体" w:eastAsia="宋体" w:hint="default"/>
                <w:sz w:val="18"/>
                <w:szCs w:val="18"/>
              </w:rPr>
            </w:pPr>
            <w:r>
              <w:rPr>
                <w:rFonts w:ascii="宋体" w:hAnsi="宋体" w:cs="宋体" w:eastAsia="宋体" w:hint="default"/>
                <w:spacing w:val="-2"/>
                <w:sz w:val="18"/>
                <w:szCs w:val="18"/>
              </w:rPr>
              <w:t>股股份，持股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 </w:t>
            </w:r>
            <w:r>
              <w:rPr>
                <w:rFonts w:ascii="Times New Roman" w:hAnsi="Times New Roman" w:cs="Times New Roman" w:eastAsia="Times New Roman" w:hint="default"/>
                <w:sz w:val="18"/>
                <w:szCs w:val="18"/>
              </w:rPr>
              <w:t>6.6799%</w:t>
            </w:r>
            <w:r>
              <w:rPr>
                <w:rFonts w:ascii="宋体" w:hAnsi="宋体" w:cs="宋体" w:eastAsia="宋体" w:hint="default"/>
                <w:sz w:val="18"/>
                <w:szCs w:val="18"/>
              </w:rPr>
              <w:t>。本</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人特此承诺： 自发行人股 票在证券交 易所上市之 日起十二个 月内，不转让 或者委托他 人管理本人 直接或间接 持有的发行 人公开发行 股票前已发 行的股份，也 不由发行人 回购本人直 接或间接持 有的发行人 公开发行股 票前已发行 的股份。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3" w:right="190"/>
              <w:jc w:val="both"/>
              <w:rPr>
                <w:rFonts w:ascii="宋体" w:hAnsi="宋体" w:cs="宋体" w:eastAsia="宋体" w:hint="default"/>
                <w:sz w:val="18"/>
                <w:szCs w:val="18"/>
              </w:rPr>
            </w:pPr>
            <w:r>
              <w:rPr>
                <w:rFonts w:ascii="宋体" w:hAnsi="宋体" w:cs="宋体" w:eastAsia="宋体" w:hint="default"/>
                <w:sz w:val="18"/>
                <w:szCs w:val="18"/>
              </w:rPr>
              <w:t>吉林省红土 创业投资有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截至本函出 </w:t>
            </w:r>
            <w:r>
              <w:rPr>
                <w:rFonts w:ascii="宋体" w:hAnsi="宋体" w:cs="宋体" w:eastAsia="宋体" w:hint="default"/>
                <w:spacing w:val="-2"/>
                <w:sz w:val="18"/>
                <w:szCs w:val="18"/>
              </w:rPr>
              <w:t>具之日，本公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司持有吉林 省金冠电气 股份有限公 </w:t>
            </w:r>
            <w:r>
              <w:rPr>
                <w:rFonts w:ascii="宋体" w:hAnsi="宋体" w:cs="宋体" w:eastAsia="宋体" w:hint="default"/>
                <w:spacing w:val="-13"/>
                <w:w w:val="100"/>
                <w:sz w:val="18"/>
                <w:szCs w:val="18"/>
              </w:rPr>
              <w:t>司（下称</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发行</w:t>
            </w:r>
            <w:r>
              <w:rPr>
                <w:rFonts w:ascii="宋体" w:hAnsi="宋体" w:cs="宋体" w:eastAsia="宋体" w:hint="default"/>
                <w:sz w:val="18"/>
                <w:szCs w:val="18"/>
              </w:rPr>
              <w:t> </w:t>
            </w:r>
            <w:r>
              <w:rPr>
                <w:rFonts w:ascii="宋体" w:hAnsi="宋体" w:cs="宋体" w:eastAsia="宋体" w:hint="default"/>
                <w:spacing w:val="-8"/>
                <w:w w:val="100"/>
                <w:sz w:val="18"/>
                <w:szCs w:val="18"/>
              </w:rPr>
              <w:t>人</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w:t>
            </w:r>
            <w:r>
              <w:rPr>
                <w:rFonts w:ascii="Times New Roman" w:hAnsi="Times New Roman" w:cs="Times New Roman" w:eastAsia="Times New Roman" w:hint="default"/>
                <w:spacing w:val="-8"/>
                <w:w w:val="100"/>
                <w:sz w:val="18"/>
                <w:szCs w:val="18"/>
              </w:rPr>
              <w:t>3,000,000</w:t>
            </w:r>
          </w:p>
          <w:p>
            <w:pPr>
              <w:pStyle w:val="TableParagraph"/>
              <w:spacing w:line="316" w:lineRule="auto" w:before="1"/>
              <w:ind w:left="22" w:right="21"/>
              <w:jc w:val="left"/>
              <w:rPr>
                <w:rFonts w:ascii="宋体" w:hAnsi="宋体" w:cs="宋体" w:eastAsia="宋体" w:hint="default"/>
                <w:sz w:val="18"/>
                <w:szCs w:val="18"/>
              </w:rPr>
            </w:pPr>
            <w:r>
              <w:rPr>
                <w:rFonts w:ascii="宋体" w:hAnsi="宋体" w:cs="宋体" w:eastAsia="宋体" w:hint="default"/>
                <w:spacing w:val="-2"/>
                <w:sz w:val="18"/>
                <w:szCs w:val="18"/>
              </w:rPr>
              <w:t>股股份，持股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比例为 </w:t>
            </w:r>
            <w:r>
              <w:rPr>
                <w:rFonts w:ascii="Times New Roman" w:hAnsi="Times New Roman" w:cs="Times New Roman" w:eastAsia="Times New Roman" w:hint="default"/>
                <w:sz w:val="18"/>
                <w:szCs w:val="18"/>
              </w:rPr>
              <w:t>4.6068%</w:t>
            </w:r>
            <w:r>
              <w:rPr>
                <w:rFonts w:ascii="宋体" w:hAnsi="宋体" w:cs="宋体" w:eastAsia="宋体" w:hint="default"/>
                <w:sz w:val="18"/>
                <w:szCs w:val="18"/>
              </w:rPr>
              <w:t>。本</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公司特此承 诺：自发行人 股票在证券 交易所上市 交易之日起 十二个月内， 不转让或者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2017-05-05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4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委托他人管 理本公司直 接或者间接 持有的发行 人公开发行 股票前已发 行的股份，也 不由发行人 回购本公司 直接或者间 接持有的发 行人公开发 行股票前已 发行的股份。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4" w:lineRule="auto"/>
              <w:ind w:left="23" w:right="141"/>
              <w:jc w:val="both"/>
              <w:rPr>
                <w:rFonts w:ascii="宋体" w:hAnsi="宋体" w:cs="宋体" w:eastAsia="宋体" w:hint="default"/>
                <w:sz w:val="18"/>
                <w:szCs w:val="18"/>
              </w:rPr>
            </w:pPr>
            <w:r>
              <w:rPr>
                <w:rFonts w:ascii="宋体" w:hAnsi="宋体" w:cs="宋体" w:eastAsia="宋体" w:hint="default"/>
                <w:sz w:val="18"/>
                <w:szCs w:val="18"/>
              </w:rPr>
              <w:t>吉林省诺金 创业投资有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市创新投资 集团有限公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深圳市红 土信息创业 投资有限公 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截至本函出 </w:t>
            </w:r>
            <w:r>
              <w:rPr>
                <w:rFonts w:ascii="宋体" w:hAnsi="宋体" w:cs="宋体" w:eastAsia="宋体" w:hint="default"/>
                <w:spacing w:val="-2"/>
                <w:sz w:val="18"/>
                <w:szCs w:val="18"/>
              </w:rPr>
              <w:t>具之日，本公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司持有吉林 省金冠电气 股份有限公 </w:t>
            </w:r>
            <w:r>
              <w:rPr>
                <w:rFonts w:ascii="宋体" w:hAnsi="宋体" w:cs="宋体" w:eastAsia="宋体" w:hint="default"/>
                <w:spacing w:val="-13"/>
                <w:w w:val="100"/>
                <w:sz w:val="18"/>
                <w:szCs w:val="18"/>
              </w:rPr>
              <w:t>司（下称</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发行</w:t>
            </w:r>
            <w:r>
              <w:rPr>
                <w:rFonts w:ascii="宋体" w:hAnsi="宋体" w:cs="宋体" w:eastAsia="宋体" w:hint="default"/>
                <w:sz w:val="18"/>
                <w:szCs w:val="18"/>
              </w:rPr>
              <w:t> </w:t>
            </w:r>
            <w:r>
              <w:rPr>
                <w:rFonts w:ascii="宋体" w:hAnsi="宋体" w:cs="宋体" w:eastAsia="宋体" w:hint="default"/>
                <w:spacing w:val="-8"/>
                <w:w w:val="100"/>
                <w:sz w:val="18"/>
                <w:szCs w:val="18"/>
              </w:rPr>
              <w:t>人</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w:t>
            </w:r>
            <w:r>
              <w:rPr>
                <w:rFonts w:ascii="Times New Roman" w:hAnsi="Times New Roman" w:cs="Times New Roman" w:eastAsia="Times New Roman" w:hint="default"/>
                <w:spacing w:val="-8"/>
                <w:w w:val="100"/>
                <w:sz w:val="18"/>
                <w:szCs w:val="18"/>
              </w:rPr>
              <w:t>2,000,000</w:t>
            </w:r>
          </w:p>
          <w:p>
            <w:pPr>
              <w:pStyle w:val="TableParagraph"/>
              <w:spacing w:line="319" w:lineRule="auto" w:before="1"/>
              <w:ind w:left="22" w:right="21"/>
              <w:jc w:val="left"/>
              <w:rPr>
                <w:rFonts w:ascii="宋体" w:hAnsi="宋体" w:cs="宋体" w:eastAsia="宋体" w:hint="default"/>
                <w:sz w:val="18"/>
                <w:szCs w:val="18"/>
              </w:rPr>
            </w:pPr>
            <w:r>
              <w:rPr>
                <w:rFonts w:ascii="宋体" w:hAnsi="宋体" w:cs="宋体" w:eastAsia="宋体" w:hint="default"/>
                <w:spacing w:val="-2"/>
                <w:sz w:val="18"/>
                <w:szCs w:val="18"/>
              </w:rPr>
              <w:t>股股份，持股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比例为 </w:t>
            </w:r>
            <w:r>
              <w:rPr>
                <w:rFonts w:ascii="Times New Roman" w:hAnsi="Times New Roman" w:cs="Times New Roman" w:eastAsia="Times New Roman" w:hint="default"/>
                <w:sz w:val="18"/>
                <w:szCs w:val="18"/>
              </w:rPr>
              <w:t>3.0712%</w:t>
            </w:r>
            <w:r>
              <w:rPr>
                <w:rFonts w:ascii="宋体" w:hAnsi="宋体" w:cs="宋体" w:eastAsia="宋体" w:hint="default"/>
                <w:sz w:val="18"/>
                <w:szCs w:val="18"/>
              </w:rPr>
              <w:t>。本</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公司特此承 诺：自发行人 股票在证券 交易所上市 交易之日起 十二个月内， 不转让或者 委托他人管 理本公司直 接或者间接 持有的发行 人公开发行 股票前已发 行的股份，也 不由发行人 回购本公司 直接或者间 接持有的发 行人公开发 行股票前已</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2017-05-05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发行的股份。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徐海涛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本人为吉林 省金冠电气 股份有限公 </w:t>
            </w:r>
            <w:r>
              <w:rPr>
                <w:rFonts w:ascii="宋体" w:hAnsi="宋体" w:cs="宋体" w:eastAsia="宋体" w:hint="default"/>
                <w:spacing w:val="-13"/>
                <w:w w:val="100"/>
                <w:sz w:val="18"/>
                <w:szCs w:val="18"/>
              </w:rPr>
              <w:t>司（下称</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发行</w:t>
            </w:r>
            <w:r>
              <w:rPr>
                <w:rFonts w:ascii="宋体" w:hAnsi="宋体" w:cs="宋体" w:eastAsia="宋体" w:hint="default"/>
                <w:sz w:val="18"/>
                <w:szCs w:val="18"/>
              </w:rPr>
              <w:t> </w:t>
            </w:r>
            <w:r>
              <w:rPr>
                <w:rFonts w:ascii="宋体" w:hAnsi="宋体" w:cs="宋体" w:eastAsia="宋体" w:hint="default"/>
                <w:spacing w:val="-13"/>
                <w:sz w:val="18"/>
                <w:szCs w:val="18"/>
              </w:rPr>
              <w:t>人</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）股东、董</w:t>
            </w:r>
            <w:r>
              <w:rPr>
                <w:rFonts w:ascii="宋体" w:hAnsi="宋体" w:cs="宋体" w:eastAsia="宋体" w:hint="default"/>
                <w:sz w:val="18"/>
                <w:szCs w:val="18"/>
              </w:rPr>
              <w:t> </w:t>
            </w:r>
            <w:r>
              <w:rPr>
                <w:rFonts w:ascii="宋体" w:hAnsi="宋体" w:cs="宋体" w:eastAsia="宋体" w:hint="default"/>
                <w:spacing w:val="-2"/>
                <w:sz w:val="18"/>
                <w:szCs w:val="18"/>
              </w:rPr>
              <w:t>事，截至本函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出具之日，本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人持有发行 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1,470,000</w:t>
            </w:r>
          </w:p>
          <w:p>
            <w:pPr>
              <w:pStyle w:val="TableParagraph"/>
              <w:spacing w:line="316" w:lineRule="auto" w:before="1"/>
              <w:ind w:left="22" w:right="21"/>
              <w:jc w:val="left"/>
              <w:rPr>
                <w:rFonts w:ascii="宋体" w:hAnsi="宋体" w:cs="宋体" w:eastAsia="宋体" w:hint="default"/>
                <w:sz w:val="18"/>
                <w:szCs w:val="18"/>
              </w:rPr>
            </w:pPr>
            <w:r>
              <w:rPr>
                <w:rFonts w:ascii="宋体" w:hAnsi="宋体" w:cs="宋体" w:eastAsia="宋体" w:hint="default"/>
                <w:spacing w:val="-2"/>
                <w:sz w:val="18"/>
                <w:szCs w:val="18"/>
              </w:rPr>
              <w:t>股股份，持股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 </w:t>
            </w:r>
            <w:r>
              <w:rPr>
                <w:rFonts w:ascii="Times New Roman" w:hAnsi="Times New Roman" w:cs="Times New Roman" w:eastAsia="Times New Roman" w:hint="default"/>
                <w:sz w:val="18"/>
                <w:szCs w:val="18"/>
              </w:rPr>
              <w:t>2.2573%</w:t>
            </w:r>
            <w:r>
              <w:rPr>
                <w:rFonts w:ascii="宋体" w:hAnsi="宋体" w:cs="宋体" w:eastAsia="宋体" w:hint="default"/>
                <w:sz w:val="18"/>
                <w:szCs w:val="18"/>
              </w:rPr>
              <w:t>。本</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人特此承诺： 自发行人股 票在证券交 易所上市之 日起十二个 月内，不转让 或者委托他 人管理本人 直接或间接 持有的发行 人公开发行 股票前已发 行的股份，也 不由发行人 回购本人直 接或间接持 有的发行人 公开发行股 票前已发行 的股份。本人 直接或间接 所持的发行 人股份在上 述承诺期限 届满后两年 内减持的，其 减持价格不 低于发行价； 公司在证券 交易所上市</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2017-05-05</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价，或者上市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公司股票此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期间有派息、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送股、资本公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积金转增股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本等除权除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息事项的，价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格将进行除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权除息相应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调整。本人不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因其职务变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更、离职等原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因，而放弃履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此外，本人同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时承诺：上述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承诺股份锁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定期限届满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后，本人在任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职期间内每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年转让的发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超过本人直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有发行人的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百分之二十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五。本人在发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六个月内申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5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报离职的，自 申报离职之 日起十八个 月内不转让 本人直接或 间接持有的 发行人股份； 在发行人首 次公开发行 股票上市之 日起第七个 月至第十二 个月之间申 报离职的，自 申报离职之 日起十二个 月内不转让 本人直接或 间接持有的 发行人股份</w:t>
            </w:r>
            <w:r>
              <w:rPr>
                <w:rFonts w:ascii="Times New Roman" w:hAnsi="Times New Roman" w:cs="Times New Roman" w:eastAsia="Times New Roman" w:hint="default"/>
                <w:sz w:val="18"/>
                <w:szCs w:val="18"/>
              </w:rPr>
              <w:t>; </w:t>
            </w:r>
            <w:r>
              <w:rPr>
                <w:rFonts w:ascii="宋体" w:hAnsi="宋体" w:cs="宋体" w:eastAsia="宋体" w:hint="default"/>
                <w:sz w:val="18"/>
                <w:szCs w:val="18"/>
              </w:rPr>
              <w:t>在发行人首 次公开发行 股票上市之 日起十二个 月后申报离 职的，自申报 离职之日起 六个月内不 转让本人直 接或间接持 有的发行人 股份。因发行 人进行权益 分派等导致 其本人直接 或间接持有 发行人股份 发生变化的， 仍应遵守上 述规定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张文福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本人为吉林 省金冠电气 股份有限公 </w:t>
            </w:r>
            <w:r>
              <w:rPr>
                <w:rFonts w:ascii="宋体" w:hAnsi="宋体" w:cs="宋体" w:eastAsia="宋体" w:hint="default"/>
                <w:spacing w:val="-13"/>
                <w:w w:val="100"/>
                <w:sz w:val="18"/>
                <w:szCs w:val="18"/>
              </w:rPr>
              <w:t>司（下称</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发行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sz w:val="18"/>
              </w:rPr>
              <w:t>2019-05-05</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理、董事会秘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书，截至本函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出具之日，本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人通过长春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市京达投资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服务中心（有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限合伙）间接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股份。其中，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长春市京达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投资服务中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心（有限合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伙）持有发行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771</w:t>
            </w:r>
            <w:r>
              <w:rPr>
                <w:rFonts w:ascii="宋体" w:hAnsi="宋体" w:cs="宋体" w:eastAsia="宋体" w:hint="default"/>
                <w:sz w:val="18"/>
                <w:szCs w:val="18"/>
              </w:rPr>
              <w:t>，</w:t>
            </w:r>
            <w:r>
              <w:rPr>
                <w:rFonts w:ascii="Times New Roman" w:hAnsi="Times New Roman" w:cs="Times New Roman" w:eastAsia="Times New Roman" w:hint="default"/>
                <w:sz w:val="18"/>
                <w:szCs w:val="18"/>
              </w:rPr>
              <w:t>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股股份，持股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比例为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1.1840%  </w:t>
            </w:r>
            <w:r>
              <w:rPr>
                <w:rFonts w:ascii="宋体" w:hAnsi="宋体" w:cs="宋体" w:eastAsia="宋体" w:hint="default"/>
                <w:spacing w:val="-26"/>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人持有长春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市京达投资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服务中心（有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限合伙）的合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伙企业出资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额为人民币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万元，占合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伙企业出资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2.59%</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特此承诺，自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票在证券交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日起三十六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让或者委托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他人管理本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行股票前已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 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份，也不由发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行人回购本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接持有的发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行股票前已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间接所持发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期限届满后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格不低于发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 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月内如公司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收盘价均低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于发行价，或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月期末收盘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 本人直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的锁定期限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自动延长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 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股票期间有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派息、送股、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资本公积金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转增股本等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项的，价格将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进行除权除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息相应调整。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本人不因其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职务变更、离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职等原因，而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放弃履行上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外，本人同时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承诺：上述承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诺的股份锁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定期限届满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后，本人在任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职期间内每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年转让的发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超过本人直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有发行人的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百分之二十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五。本人在发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六个月内申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报离职的，自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日起十八个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在发行人首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日起第七个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月至第十二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个月之间申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报离职的，自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在发行人首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月后申报离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职的，自申报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六个月内不</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43.420013pt;margin-top:530.440002pt;width:80.1pt;height:233pt;mso-position-horizontal-relative:page;mso-position-vertical-relative:page;z-index:-2128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7"/>
                    <w:ind w:left="0" w:right="0"/>
                    <w:jc w:val="left"/>
                  </w:pPr>
                  <w:r>
                    <w:rPr/>
                    <w:t>万元，</w:t>
                  </w:r>
                </w:p>
              </w:txbxContent>
            </v:textbox>
            <w10:wrap type="none"/>
          </v:shape>
        </w:pict>
      </w:r>
      <w:r>
        <w:rPr/>
        <w:pict>
          <v:group style="position:absolute;margin-left:367.660004pt;margin-top:530.440002pt;width:55.85pt;height:233pt;mso-position-horizontal-relative:page;mso-position-vertical-relative:page;z-index:-2128264" coordorigin="7353,10609" coordsize="1117,4660">
            <v:shape style="position:absolute;left:7353;top:10609;width:1117;height:4660" coordorigin="7353,10609" coordsize="1117,4660" path="m7353,15269l8470,15269,8470,10609,7353,10609,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转让本人直 接或间接持 有的发行人 股份。因发行 人进行权益 分派等导致 其本人直接 或间接持有 发行人股份 发生变化的， 仍应遵守上 述规定。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李晓芳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本人为吉林 省金冠电气 股份有限公 </w:t>
            </w:r>
            <w:r>
              <w:rPr>
                <w:rFonts w:ascii="宋体" w:hAnsi="宋体" w:cs="宋体" w:eastAsia="宋体" w:hint="default"/>
                <w:spacing w:val="-13"/>
                <w:w w:val="100"/>
                <w:sz w:val="18"/>
                <w:szCs w:val="18"/>
              </w:rPr>
              <w:t>司（下称</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发行</w:t>
            </w:r>
            <w:r>
              <w:rPr>
                <w:rFonts w:ascii="宋体" w:hAnsi="宋体" w:cs="宋体" w:eastAsia="宋体" w:hint="default"/>
                <w:sz w:val="18"/>
                <w:szCs w:val="18"/>
              </w:rPr>
              <w:t> </w:t>
            </w:r>
            <w:r>
              <w:rPr>
                <w:rFonts w:ascii="宋体" w:hAnsi="宋体" w:cs="宋体" w:eastAsia="宋体" w:hint="default"/>
                <w:spacing w:val="-13"/>
                <w:w w:val="100"/>
                <w:sz w:val="18"/>
                <w:szCs w:val="18"/>
              </w:rPr>
              <w:t>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）监事会主</w:t>
            </w:r>
            <w:r>
              <w:rPr>
                <w:rFonts w:ascii="宋体" w:hAnsi="宋体" w:cs="宋体" w:eastAsia="宋体" w:hint="default"/>
                <w:sz w:val="18"/>
                <w:szCs w:val="18"/>
              </w:rPr>
              <w:t> 席，截至本函 出具之日，本 人通过长春 市京达投资 服务中心（有 限合伙）间接 持有发行人 股份。其中， 长春市京达 投资服务中 心（有限合 伙）持有发行 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 股份，持股比 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1.18%</w:t>
            </w:r>
            <w:r>
              <w:rPr>
                <w:rFonts w:ascii="宋体" w:hAnsi="宋体" w:cs="宋体" w:eastAsia="宋体" w:hint="default"/>
                <w:sz w:val="18"/>
                <w:szCs w:val="18"/>
              </w:rPr>
              <w:t>； 本人持有长 春市京达投 资服务中心</w:t>
            </w:r>
          </w:p>
          <w:p>
            <w:pPr>
              <w:pStyle w:val="TableParagraph"/>
              <w:spacing w:line="314"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（有限合伙） 的合伙企业 出资额为人 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占合伙企业 出资总额的 </w:t>
            </w:r>
            <w:r>
              <w:rPr>
                <w:rFonts w:ascii="Times New Roman" w:hAnsi="Times New Roman" w:cs="Times New Roman" w:eastAsia="Times New Roman" w:hint="default"/>
                <w:sz w:val="18"/>
                <w:szCs w:val="18"/>
              </w:rPr>
              <w:t>2.594</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8"/>
                <w:sz w:val="18"/>
                <w:szCs w:val="18"/>
              </w:rPr>
              <w:t>%</w:t>
            </w:r>
            <w:r>
              <w:rPr>
                <w:rFonts w:ascii="宋体" w:hAnsi="宋体" w:cs="宋体" w:eastAsia="宋体" w:hint="default"/>
                <w:spacing w:val="-18"/>
                <w:sz w:val="18"/>
                <w:szCs w:val="18"/>
              </w:rPr>
              <w:t>。本人</w:t>
            </w:r>
            <w:r>
              <w:rPr>
                <w:rFonts w:ascii="宋体" w:hAnsi="宋体" w:cs="宋体" w:eastAsia="宋体" w:hint="default"/>
                <w:sz w:val="18"/>
                <w:szCs w:val="18"/>
              </w:rPr>
              <w:t> 特此承诺，自 发行人的股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sz w:val="18"/>
              </w:rPr>
              <w:t>2019-05-05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票在证券交</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日起三十六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让或者委托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他人管理本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行股票前已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也不由发行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人回购本人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股票前已发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外，本人同时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诺的股份锁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定期限届满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后，本人在任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职期间内每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年转让的发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超过本人直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有发行人的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百分之二十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五。本人在发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六个月内申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报离职的，自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日起十八个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在发行人首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0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次公开发行 股票上市之 日起第七个 月至第十二 个月之间申 报离职的，自 申报离职之 日起十二个 月内不转让 本人直接或 间接持有的 发行人股份； 在发行人首 次公开发行 股票上市之 日起十二个 月后申报离 职的，自申报 离职之日起 六个月内不 转让本人直 接或间接持 有的发行人 股份。因发行 人进行权益 分派等导致 其本人直接 或间接持有 发行人股份 发生变化的， 仍应遵守上 述规定。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许哲</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本人为吉林 省金冠电气 股份有限公 </w:t>
            </w:r>
            <w:r>
              <w:rPr>
                <w:rFonts w:ascii="宋体" w:hAnsi="宋体" w:cs="宋体" w:eastAsia="宋体" w:hint="default"/>
                <w:spacing w:val="-13"/>
                <w:w w:val="100"/>
                <w:sz w:val="18"/>
                <w:szCs w:val="18"/>
              </w:rPr>
              <w:t>司（下称</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发行</w:t>
            </w:r>
            <w:r>
              <w:rPr>
                <w:rFonts w:ascii="宋体" w:hAnsi="宋体" w:cs="宋体" w:eastAsia="宋体" w:hint="default"/>
                <w:sz w:val="18"/>
                <w:szCs w:val="18"/>
              </w:rPr>
              <w:t> </w:t>
            </w:r>
            <w:r>
              <w:rPr>
                <w:rFonts w:ascii="宋体" w:hAnsi="宋体" w:cs="宋体" w:eastAsia="宋体" w:hint="default"/>
                <w:spacing w:val="-13"/>
                <w:sz w:val="18"/>
                <w:szCs w:val="18"/>
              </w:rPr>
              <w:t>人</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）监事，截</w:t>
            </w:r>
            <w:r>
              <w:rPr>
                <w:rFonts w:ascii="宋体" w:hAnsi="宋体" w:cs="宋体" w:eastAsia="宋体" w:hint="default"/>
                <w:sz w:val="18"/>
                <w:szCs w:val="18"/>
              </w:rPr>
              <w:t> 至本函出具 之日，本人通 过长春市京 达投资服务 中心（有限合 伙）间接持有 发行人股份。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sz w:val="18"/>
              </w:rPr>
              <w:t>2019-05-05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其中，长春市</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京达投资服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务中心（有限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合伙）持有发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行人</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771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股股份，持股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比例为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1.1840%  </w:t>
            </w:r>
            <w:r>
              <w:rPr>
                <w:rFonts w:ascii="宋体" w:hAnsi="宋体" w:cs="宋体" w:eastAsia="宋体" w:hint="default"/>
                <w:spacing w:val="-26"/>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人持有长春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市京达投资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服务中心（有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限合伙）的合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伙企业出资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额为人民币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万元，占合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伙企业出资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2.59%</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特此承诺，自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票在证券交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日起三十六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让或者委托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他人管理本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行股票前已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 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份，也不由发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行人回购本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行股票前已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此外，本人同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时承诺：上述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锁定期限届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满后，本人在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任职期间内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每年转让的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的百分之 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十五。本人在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起六个月内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之日起十八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让本人直接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份；在发行人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之日起第七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个月至第十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二个月之间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申报离职的，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让本人直接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份；在发行人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个月后申报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离职的，自申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起六个月内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人股份。因发</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5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行人进行权 益分派等导 致其本人直 接或间接持 有发行人股 份发生变化 </w:t>
            </w:r>
            <w:r>
              <w:rPr>
                <w:rFonts w:ascii="宋体" w:hAnsi="宋体" w:cs="宋体" w:eastAsia="宋体" w:hint="default"/>
                <w:spacing w:val="-2"/>
                <w:sz w:val="18"/>
                <w:szCs w:val="18"/>
              </w:rPr>
              <w:t>的，仍应遵守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上述规定。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2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吴宗南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本人为吉林 省金冠电气 股份有限公 </w:t>
            </w:r>
            <w:r>
              <w:rPr>
                <w:rFonts w:ascii="宋体" w:hAnsi="宋体" w:cs="宋体" w:eastAsia="宋体" w:hint="default"/>
                <w:spacing w:val="-13"/>
                <w:w w:val="100"/>
                <w:sz w:val="18"/>
                <w:szCs w:val="18"/>
              </w:rPr>
              <w:t>司（下称</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发行</w:t>
            </w:r>
            <w:r>
              <w:rPr>
                <w:rFonts w:ascii="宋体" w:hAnsi="宋体" w:cs="宋体" w:eastAsia="宋体" w:hint="default"/>
                <w:sz w:val="18"/>
                <w:szCs w:val="18"/>
              </w:rPr>
              <w:t> </w:t>
            </w:r>
            <w:r>
              <w:rPr>
                <w:rFonts w:ascii="宋体" w:hAnsi="宋体" w:cs="宋体" w:eastAsia="宋体" w:hint="default"/>
                <w:spacing w:val="-13"/>
                <w:sz w:val="18"/>
                <w:szCs w:val="18"/>
              </w:rPr>
              <w:t>人</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）监事，截</w:t>
            </w:r>
            <w:r>
              <w:rPr>
                <w:rFonts w:ascii="宋体" w:hAnsi="宋体" w:cs="宋体" w:eastAsia="宋体" w:hint="default"/>
                <w:sz w:val="18"/>
                <w:szCs w:val="18"/>
              </w:rPr>
              <w:t> 至本函出具 之日，本人通 过长春市京 达投资服务 中心（有限合 伙）间接持有 发行人股份。 其中，长春市 京达投资服 务中心（有限 合伙）持有发 行人</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771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000</w:t>
            </w:r>
            <w:r>
              <w:rPr>
                <w:rFonts w:ascii="Times New Roman" w:hAnsi="Times New Roman" w:cs="Times New Roman" w:eastAsia="Times New Roman" w:hint="default"/>
                <w:sz w:val="18"/>
                <w:szCs w:val="18"/>
              </w:rPr>
              <w:t> </w:t>
            </w:r>
            <w:r>
              <w:rPr>
                <w:rFonts w:ascii="宋体" w:hAnsi="宋体" w:cs="宋体" w:eastAsia="宋体" w:hint="default"/>
                <w:sz w:val="18"/>
                <w:szCs w:val="18"/>
              </w:rPr>
              <w:t>股股份，持股 比例为 </w:t>
            </w:r>
            <w:r>
              <w:rPr>
                <w:rFonts w:ascii="Times New Roman" w:hAnsi="Times New Roman" w:cs="Times New Roman" w:eastAsia="Times New Roman" w:hint="default"/>
                <w:sz w:val="18"/>
                <w:szCs w:val="18"/>
              </w:rPr>
              <w:t>1.1840%  </w:t>
            </w:r>
            <w:r>
              <w:rPr>
                <w:rFonts w:ascii="宋体" w:hAnsi="宋体" w:cs="宋体" w:eastAsia="宋体" w:hint="default"/>
                <w:spacing w:val="-26"/>
                <w:sz w:val="18"/>
                <w:szCs w:val="18"/>
              </w:rPr>
              <w:t>；本</w:t>
            </w:r>
            <w:r>
              <w:rPr>
                <w:rFonts w:ascii="宋体" w:hAnsi="宋体" w:cs="宋体" w:eastAsia="宋体" w:hint="default"/>
                <w:sz w:val="18"/>
                <w:szCs w:val="18"/>
              </w:rPr>
            </w:r>
          </w:p>
          <w:p>
            <w:pPr>
              <w:pStyle w:val="TableParagraph"/>
              <w:spacing w:line="316" w:lineRule="auto" w:before="1"/>
              <w:ind w:left="22" w:right="12"/>
              <w:jc w:val="left"/>
              <w:rPr>
                <w:rFonts w:ascii="宋体" w:hAnsi="宋体" w:cs="宋体" w:eastAsia="宋体" w:hint="default"/>
                <w:sz w:val="18"/>
                <w:szCs w:val="18"/>
              </w:rPr>
            </w:pPr>
            <w:r>
              <w:rPr>
                <w:rFonts w:ascii="宋体" w:hAnsi="宋体" w:cs="宋体" w:eastAsia="宋体" w:hint="default"/>
                <w:sz w:val="18"/>
                <w:szCs w:val="18"/>
              </w:rPr>
              <w:t>人持有长春 市京达投资 服务中心（有 限合伙）的合 伙企业出资 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万元，占合伙 企业出资总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w:t>
            </w:r>
            <w:r>
              <w:rPr>
                <w:rFonts w:ascii="宋体" w:hAnsi="宋体" w:cs="宋体" w:eastAsia="宋体" w:hint="default"/>
                <w:sz w:val="18"/>
                <w:szCs w:val="18"/>
              </w:rPr>
              <w:t>。 本人特此承 诺，自发行人 的股票在证 券交易所上 市之日起三 十六个月内， 不转让或者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2" w:right="0"/>
              <w:jc w:val="left"/>
              <w:rPr>
                <w:rFonts w:ascii="Times New Roman" w:hAnsi="Times New Roman" w:cs="Times New Roman" w:eastAsia="Times New Roman" w:hint="default"/>
                <w:sz w:val="18"/>
                <w:szCs w:val="18"/>
              </w:rPr>
            </w:pPr>
            <w:r>
              <w:rPr>
                <w:rFonts w:ascii="Times New Roman"/>
                <w:sz w:val="18"/>
              </w:rPr>
              <w:t>2019-05-05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理本人直接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股份，也不由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份。此外，本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人同时承诺：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限届满后，本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人在任职期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间内每年转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间接持有发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总数的百分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 二十五。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本人在发行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离职的，自申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起十八个月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起第七个月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至第十二个</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78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月之间申报 </w:t>
            </w:r>
            <w:r>
              <w:rPr>
                <w:rFonts w:ascii="宋体" w:hAnsi="宋体" w:cs="宋体" w:eastAsia="宋体" w:hint="default"/>
                <w:spacing w:val="-2"/>
                <w:sz w:val="18"/>
                <w:szCs w:val="18"/>
              </w:rPr>
              <w:t>离职的，自申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报离职之日 起十二个月 内不转让本 人直接或间 接持有的发 </w:t>
            </w:r>
            <w:r>
              <w:rPr>
                <w:rFonts w:ascii="宋体" w:hAnsi="宋体" w:cs="宋体" w:eastAsia="宋体" w:hint="default"/>
                <w:spacing w:val="-2"/>
                <w:sz w:val="18"/>
                <w:szCs w:val="18"/>
              </w:rPr>
              <w:t>行人股份；在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发行人首次 公开发行股 票上市之日 起十二个月 后申报离职 </w:t>
            </w:r>
            <w:r>
              <w:rPr>
                <w:rFonts w:ascii="宋体" w:hAnsi="宋体" w:cs="宋体" w:eastAsia="宋体" w:hint="default"/>
                <w:spacing w:val="-2"/>
                <w:sz w:val="18"/>
                <w:szCs w:val="18"/>
              </w:rPr>
              <w:t>的，自申报离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职之日起六 个月内不转 让本人直接 或间接持有 的发行人股 </w:t>
            </w:r>
            <w:r>
              <w:rPr>
                <w:rFonts w:ascii="宋体" w:hAnsi="宋体" w:cs="宋体" w:eastAsia="宋体" w:hint="default"/>
                <w:spacing w:val="-2"/>
                <w:sz w:val="18"/>
                <w:szCs w:val="18"/>
              </w:rPr>
              <w:t>份。因发行人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进行权益分 派等导致其 本人直接或 间接持有发 行人股份发 </w:t>
            </w:r>
            <w:r>
              <w:rPr>
                <w:rFonts w:ascii="宋体" w:hAnsi="宋体" w:cs="宋体" w:eastAsia="宋体" w:hint="default"/>
                <w:spacing w:val="-2"/>
                <w:sz w:val="18"/>
                <w:szCs w:val="18"/>
              </w:rPr>
              <w:t>生变化的，仍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应遵守上述 规定。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长春市京达 投资服务中 心（有限合 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截至本函出 </w:t>
            </w:r>
            <w:r>
              <w:rPr>
                <w:rFonts w:ascii="宋体" w:hAnsi="宋体" w:cs="宋体" w:eastAsia="宋体" w:hint="default"/>
                <w:spacing w:val="-2"/>
                <w:sz w:val="18"/>
                <w:szCs w:val="18"/>
              </w:rPr>
              <w:t>具之日，本公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司持有吉林 省金冠电气 股份有限公 </w:t>
            </w:r>
            <w:r>
              <w:rPr>
                <w:rFonts w:ascii="宋体" w:hAnsi="宋体" w:cs="宋体" w:eastAsia="宋体" w:hint="default"/>
                <w:spacing w:val="-13"/>
                <w:w w:val="100"/>
                <w:sz w:val="18"/>
                <w:szCs w:val="18"/>
              </w:rPr>
              <w:t>司（下称</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发行</w:t>
            </w:r>
            <w:r>
              <w:rPr>
                <w:rFonts w:ascii="宋体" w:hAnsi="宋体" w:cs="宋体" w:eastAsia="宋体" w:hint="default"/>
                <w:sz w:val="18"/>
                <w:szCs w:val="18"/>
              </w:rPr>
              <w:t> 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771,000</w:t>
            </w:r>
          </w:p>
          <w:p>
            <w:pPr>
              <w:pStyle w:val="TableParagraph"/>
              <w:spacing w:line="316" w:lineRule="auto" w:before="1"/>
              <w:ind w:left="22" w:right="21"/>
              <w:jc w:val="left"/>
              <w:rPr>
                <w:rFonts w:ascii="宋体" w:hAnsi="宋体" w:cs="宋体" w:eastAsia="宋体" w:hint="default"/>
                <w:sz w:val="18"/>
                <w:szCs w:val="18"/>
              </w:rPr>
            </w:pPr>
            <w:r>
              <w:rPr>
                <w:rFonts w:ascii="宋体" w:hAnsi="宋体" w:cs="宋体" w:eastAsia="宋体" w:hint="default"/>
                <w:spacing w:val="-2"/>
                <w:sz w:val="18"/>
                <w:szCs w:val="18"/>
              </w:rPr>
              <w:t>股股份，持股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比例为 </w:t>
            </w:r>
            <w:r>
              <w:rPr>
                <w:rFonts w:ascii="Times New Roman" w:hAnsi="Times New Roman" w:cs="Times New Roman" w:eastAsia="Times New Roman" w:hint="default"/>
                <w:sz w:val="18"/>
                <w:szCs w:val="18"/>
              </w:rPr>
              <w:t>1.1840%</w:t>
            </w:r>
            <w:r>
              <w:rPr>
                <w:rFonts w:ascii="宋体" w:hAnsi="宋体" w:cs="宋体" w:eastAsia="宋体" w:hint="default"/>
                <w:sz w:val="18"/>
                <w:szCs w:val="18"/>
              </w:rPr>
              <w:t>。本</w:t>
            </w: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公司特此承 </w:t>
            </w:r>
            <w:r>
              <w:rPr>
                <w:rFonts w:ascii="宋体" w:hAnsi="宋体" w:cs="宋体" w:eastAsia="宋体" w:hint="default"/>
                <w:spacing w:val="-2"/>
                <w:sz w:val="18"/>
                <w:szCs w:val="18"/>
              </w:rPr>
              <w:t>诺：自发行人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股票在证券 交易所上市 交易之日起 三十六个月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2019-05-05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7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内，不转让或 者委托他人 管理本公司 直接或者间 接持有的发 行人公开发 行股票前已 发行的股份， 也不由发行 人回购本公 司直接或者 间接持有的 发行人公开 发行股票前 已发行的股 份。本公司为 公司董事长 徐海江及其 他部分董事、 监事、高级管 理人员及员 工投资设立 的持股公司， 本公司股东 通过本公司 转让其间接 持有的发行 人股份时，应 当遵守其各 自出具的相 关承诺。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文莎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截至本函出 </w:t>
            </w:r>
            <w:r>
              <w:rPr>
                <w:rFonts w:ascii="宋体" w:hAnsi="宋体" w:cs="宋体" w:eastAsia="宋体" w:hint="default"/>
                <w:spacing w:val="-2"/>
                <w:sz w:val="18"/>
                <w:szCs w:val="18"/>
              </w:rPr>
              <w:t>具之日，本人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持有吉林省 金冠电气股 份有限公司</w:t>
            </w:r>
          </w:p>
          <w:p>
            <w:pPr>
              <w:pStyle w:val="TableParagraph"/>
              <w:spacing w:line="300" w:lineRule="auto" w:before="19"/>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（下称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 </w:t>
            </w:r>
            <w:r>
              <w:rPr>
                <w:rFonts w:ascii="宋体" w:hAnsi="宋体" w:cs="宋体" w:eastAsia="宋体" w:hint="default"/>
                <w:spacing w:val="-8"/>
                <w:w w:val="100"/>
                <w:sz w:val="18"/>
                <w:szCs w:val="18"/>
              </w:rPr>
              <w:t>人</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w:t>
            </w:r>
            <w:r>
              <w:rPr>
                <w:rFonts w:ascii="Times New Roman" w:hAnsi="Times New Roman" w:cs="Times New Roman" w:eastAsia="Times New Roman" w:hint="default"/>
                <w:spacing w:val="-8"/>
                <w:w w:val="100"/>
                <w:sz w:val="18"/>
                <w:szCs w:val="18"/>
              </w:rPr>
              <w:t>1,000,000</w:t>
            </w:r>
          </w:p>
          <w:p>
            <w:pPr>
              <w:pStyle w:val="TableParagraph"/>
              <w:spacing w:line="319" w:lineRule="auto" w:before="13"/>
              <w:ind w:left="22" w:right="21"/>
              <w:jc w:val="left"/>
              <w:rPr>
                <w:rFonts w:ascii="宋体" w:hAnsi="宋体" w:cs="宋体" w:eastAsia="宋体" w:hint="default"/>
                <w:sz w:val="18"/>
                <w:szCs w:val="18"/>
              </w:rPr>
            </w:pPr>
            <w:r>
              <w:rPr>
                <w:rFonts w:ascii="宋体" w:hAnsi="宋体" w:cs="宋体" w:eastAsia="宋体" w:hint="default"/>
                <w:spacing w:val="-2"/>
                <w:sz w:val="18"/>
                <w:szCs w:val="18"/>
              </w:rPr>
              <w:t>股股份，持股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 </w:t>
            </w:r>
            <w:r>
              <w:rPr>
                <w:rFonts w:ascii="Times New Roman" w:hAnsi="Times New Roman" w:cs="Times New Roman" w:eastAsia="Times New Roman" w:hint="default"/>
                <w:sz w:val="18"/>
                <w:szCs w:val="18"/>
              </w:rPr>
              <w:t>1.5356%</w:t>
            </w:r>
            <w:r>
              <w:rPr>
                <w:rFonts w:ascii="宋体" w:hAnsi="宋体" w:cs="宋体" w:eastAsia="宋体" w:hint="default"/>
                <w:sz w:val="18"/>
                <w:szCs w:val="18"/>
              </w:rPr>
              <w:t>。本</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人特此承诺： 自发行人股 票在证券交</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2017-05-05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易所上市之 日起十二个 </w:t>
            </w: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或者委托他 人管理本人 直接或间接 持有的发行 人公开发行 股票前已发 </w:t>
            </w:r>
            <w:r>
              <w:rPr>
                <w:rFonts w:ascii="宋体" w:hAnsi="宋体" w:cs="宋体" w:eastAsia="宋体" w:hint="default"/>
                <w:spacing w:val="-2"/>
                <w:sz w:val="18"/>
                <w:szCs w:val="18"/>
              </w:rPr>
              <w:t>行的股份，也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不由发行人 回购本人直 接或间接持 有的发行人 公开发行股 票前已发行 的股份。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2" w:lineRule="auto"/>
              <w:ind w:left="23" w:right="141"/>
              <w:jc w:val="left"/>
              <w:rPr>
                <w:rFonts w:ascii="宋体" w:hAnsi="宋体" w:cs="宋体" w:eastAsia="宋体" w:hint="default"/>
                <w:sz w:val="18"/>
                <w:szCs w:val="18"/>
              </w:rPr>
            </w:pPr>
            <w:r>
              <w:rPr>
                <w:rFonts w:ascii="宋体" w:hAnsi="宋体" w:cs="宋体" w:eastAsia="宋体" w:hint="default"/>
                <w:sz w:val="18"/>
                <w:szCs w:val="18"/>
              </w:rPr>
              <w:t>滕建伟</w:t>
            </w:r>
            <w:r>
              <w:rPr>
                <w:rFonts w:ascii="Times New Roman" w:hAnsi="Times New Roman" w:cs="Times New Roman" w:eastAsia="Times New Roman" w:hint="default"/>
                <w:sz w:val="18"/>
                <w:szCs w:val="18"/>
              </w:rPr>
              <w:t>;</w:t>
            </w:r>
            <w:r>
              <w:rPr>
                <w:rFonts w:ascii="宋体" w:hAnsi="宋体" w:cs="宋体" w:eastAsia="宋体" w:hint="default"/>
                <w:sz w:val="18"/>
                <w:szCs w:val="18"/>
              </w:rPr>
              <w:t>杨洪 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截至本函出 </w:t>
            </w:r>
            <w:r>
              <w:rPr>
                <w:rFonts w:ascii="宋体" w:hAnsi="宋体" w:cs="宋体" w:eastAsia="宋体" w:hint="default"/>
                <w:spacing w:val="-2"/>
                <w:sz w:val="18"/>
                <w:szCs w:val="18"/>
              </w:rPr>
              <w:t>具之日，本人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持有吉林省 金冠电气股 份有限公司</w:t>
            </w:r>
          </w:p>
          <w:p>
            <w:pPr>
              <w:pStyle w:val="TableParagraph"/>
              <w:spacing w:line="300" w:lineRule="auto" w:before="19"/>
              <w:ind w:left="22" w:right="66"/>
              <w:jc w:val="left"/>
              <w:rPr>
                <w:rFonts w:ascii="Times New Roman" w:hAnsi="Times New Roman" w:cs="Times New Roman" w:eastAsia="Times New Roman" w:hint="default"/>
                <w:sz w:val="18"/>
                <w:szCs w:val="18"/>
              </w:rPr>
            </w:pPr>
            <w:r>
              <w:rPr>
                <w:rFonts w:ascii="宋体" w:hAnsi="宋体" w:cs="宋体" w:eastAsia="宋体" w:hint="default"/>
                <w:sz w:val="18"/>
                <w:szCs w:val="18"/>
              </w:rPr>
              <w:t>（下称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 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500,000</w:t>
            </w:r>
          </w:p>
          <w:p>
            <w:pPr>
              <w:pStyle w:val="TableParagraph"/>
              <w:spacing w:line="316" w:lineRule="auto" w:before="13"/>
              <w:ind w:left="22" w:right="21"/>
              <w:jc w:val="left"/>
              <w:rPr>
                <w:rFonts w:ascii="宋体" w:hAnsi="宋体" w:cs="宋体" w:eastAsia="宋体" w:hint="default"/>
                <w:sz w:val="18"/>
                <w:szCs w:val="18"/>
              </w:rPr>
            </w:pPr>
            <w:r>
              <w:rPr>
                <w:rFonts w:ascii="宋体" w:hAnsi="宋体" w:cs="宋体" w:eastAsia="宋体" w:hint="default"/>
                <w:spacing w:val="-2"/>
                <w:sz w:val="18"/>
                <w:szCs w:val="18"/>
              </w:rPr>
              <w:t>股股份，持股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 </w:t>
            </w:r>
            <w:r>
              <w:rPr>
                <w:rFonts w:ascii="Times New Roman" w:hAnsi="Times New Roman" w:cs="Times New Roman" w:eastAsia="Times New Roman" w:hint="default"/>
                <w:sz w:val="18"/>
                <w:szCs w:val="18"/>
              </w:rPr>
              <w:t>0.7678%</w:t>
            </w:r>
            <w:r>
              <w:rPr>
                <w:rFonts w:ascii="宋体" w:hAnsi="宋体" w:cs="宋体" w:eastAsia="宋体" w:hint="default"/>
                <w:sz w:val="18"/>
                <w:szCs w:val="18"/>
              </w:rPr>
              <w:t>。本</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人特此承诺： 自发行人股 票在证券交 易所上市之 日起十二个 月内，不转让 或者委托他 人管理本人 直接或间接 持有的发行 人公开发行 股票前已发 行的股份，也 不由发行人 回购本人直 接或间接持 有的发行人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2017-05-05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公开发行股 票前已发行 的股份。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84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、自公司首 次公开发行 的股票上市 之日起三十 六个月内，不 转让或者委 托他人管理 本人直接或 间接持有的 公司公开发 行股票前已 发行的股份， 也不由公司 回购本人直 接或间接持 有的公司公 开发行股票 前已发行的 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．本 人作为公司 发起人、控股 股东，本人对 公司未来发 展充满信心， 锁定期满后 在一定时间 内将继续长 期持有公司 股份，如本人 锁定期满后 拟减持公司 股份，将通过 法律法规允 许的方式并 在符合以下 条件的前提 </w:t>
            </w:r>
            <w:r>
              <w:rPr>
                <w:rFonts w:ascii="宋体" w:hAnsi="宋体" w:cs="宋体" w:eastAsia="宋体" w:hint="default"/>
                <w:spacing w:val="-13"/>
                <w:sz w:val="18"/>
                <w:szCs w:val="18"/>
              </w:rPr>
              <w:t>下进行：（</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自本人上述 股份锁定期 满后两年内 减持的，减持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2019-05-05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9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价格不低于 发行价格，若 公司股票期 间有派息、送 股、资本公积 金转增股本 等除权除息 事项的，减持 价格将进行 除权除息相 </w:t>
            </w:r>
            <w:r>
              <w:rPr>
                <w:rFonts w:ascii="宋体" w:hAnsi="宋体" w:cs="宋体" w:eastAsia="宋体" w:hint="default"/>
                <w:spacing w:val="-13"/>
                <w:sz w:val="18"/>
                <w:szCs w:val="18"/>
              </w:rPr>
              <w:t>应调整；（</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自本人股份 锁定期满后 两年内，每年</w:t>
            </w:r>
            <w:r>
              <w:rPr>
                <w:rFonts w:ascii="宋体" w:hAnsi="宋体" w:cs="宋体" w:eastAsia="宋体" w:hint="default"/>
                <w:sz w:val="18"/>
                <w:szCs w:val="18"/>
              </w:rPr>
              <w:t> 转让的公司 股份数量不 超过其所持 有的公司股 份数量的 </w:t>
            </w:r>
            <w:r>
              <w:rPr>
                <w:rFonts w:ascii="Times New Roman" w:hAnsi="Times New Roman" w:cs="Times New Roman" w:eastAsia="Times New Roman" w:hint="default"/>
                <w:sz w:val="18"/>
                <w:szCs w:val="18"/>
              </w:rPr>
              <w:t>25%</w:t>
            </w:r>
            <w:r>
              <w:rPr>
                <w:rFonts w:ascii="宋体" w:hAnsi="宋体" w:cs="宋体" w:eastAsia="宋体" w:hint="default"/>
                <w:sz w:val="18"/>
                <w:szCs w:val="18"/>
              </w:rPr>
              <w:t>。如根据 本人作出的 其他公开承 诺需延长股 份锁定期的， 上述期限相 应顺延。</w:t>
            </w:r>
            <w:r>
              <w:rPr>
                <w:rFonts w:ascii="Times New Roman" w:hAnsi="Times New Roman" w:cs="Times New Roman" w:eastAsia="Times New Roman" w:hint="default"/>
                <w:sz w:val="18"/>
                <w:szCs w:val="18"/>
              </w:rPr>
              <w:t>3</w:t>
            </w:r>
            <w:r>
              <w:rPr>
                <w:rFonts w:ascii="宋体" w:hAnsi="宋体" w:cs="宋体" w:eastAsia="宋体" w:hint="default"/>
                <w:sz w:val="18"/>
                <w:szCs w:val="18"/>
              </w:rPr>
              <w:t>、 本人将遵守 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股东减持时 须提前三个 交易日予以 公告的要求。 </w:t>
            </w:r>
            <w:r>
              <w:rPr>
                <w:rFonts w:ascii="Times New Roman" w:hAnsi="Times New Roman" w:cs="Times New Roman" w:eastAsia="Times New Roman" w:hint="default"/>
                <w:sz w:val="18"/>
                <w:szCs w:val="18"/>
              </w:rPr>
              <w:t>4</w:t>
            </w:r>
            <w:r>
              <w:rPr>
                <w:rFonts w:ascii="宋体" w:hAnsi="宋体" w:cs="宋体" w:eastAsia="宋体" w:hint="default"/>
                <w:sz w:val="18"/>
                <w:szCs w:val="18"/>
              </w:rPr>
              <w:t>、如本人违 反上述承诺 进行减持的， 本人减持收 益无偿划归 公司所有。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9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金志毅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 首次公开发 行的股票上 市之日起十 </w:t>
            </w:r>
            <w:r>
              <w:rPr>
                <w:rFonts w:ascii="宋体" w:hAnsi="宋体" w:cs="宋体" w:eastAsia="宋体" w:hint="default"/>
                <w:spacing w:val="-2"/>
                <w:sz w:val="18"/>
                <w:szCs w:val="18"/>
              </w:rPr>
              <w:t>二个月内，不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转让或者委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2018-05-05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托他人管理</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份，也不由公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司回购本人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直接或者间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股票前已发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．本人对公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司未来发展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充满信心，锁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定期满后在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一定时间内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将继续持有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人自上述锁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定期满后，如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份，将通过法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律法规允许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的方式并在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符合以下条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件的前提下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上述股份锁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定期满后两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年内减持的，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格，若公司股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票期间有派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息、送股、资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本公积金转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增股本等除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权除息事项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的，减持价格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将进行除权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除息相应调</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3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15"/>
                <w:sz w:val="18"/>
                <w:szCs w:val="18"/>
              </w:rPr>
              <w:t>整；（</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）自本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人股份锁定 期满后两年 </w:t>
            </w:r>
            <w:r>
              <w:rPr>
                <w:rFonts w:ascii="宋体" w:hAnsi="宋体" w:cs="宋体" w:eastAsia="宋体" w:hint="default"/>
                <w:spacing w:val="-2"/>
                <w:sz w:val="18"/>
                <w:szCs w:val="18"/>
              </w:rPr>
              <w:t>内，前十二个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月内转让的 公司股份数 量不超过其 所持有的公 司股份数量 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50%</w:t>
            </w:r>
            <w:r>
              <w:rPr>
                <w:rFonts w:ascii="宋体" w:hAnsi="宋体" w:cs="宋体" w:eastAsia="宋体" w:hint="default"/>
                <w:spacing w:val="-5"/>
                <w:sz w:val="18"/>
                <w:szCs w:val="18"/>
              </w:rPr>
              <w:t>；后十</w:t>
            </w:r>
            <w:r>
              <w:rPr>
                <w:rFonts w:ascii="宋体" w:hAnsi="宋体" w:cs="宋体" w:eastAsia="宋体" w:hint="default"/>
                <w:sz w:val="18"/>
                <w:szCs w:val="18"/>
              </w:rPr>
              <w:t> 二个月内可 转让所持有 的剩余公司 </w:t>
            </w:r>
            <w:r>
              <w:rPr>
                <w:rFonts w:ascii="宋体" w:hAnsi="宋体" w:cs="宋体" w:eastAsia="宋体" w:hint="default"/>
                <w:spacing w:val="-2"/>
                <w:sz w:val="18"/>
                <w:szCs w:val="18"/>
              </w:rPr>
              <w:t>股份。如根据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本人作出的 其他公开承 诺需延长股</w:t>
            </w:r>
          </w:p>
          <w:p>
            <w:pPr>
              <w:pStyle w:val="TableParagraph"/>
              <w:spacing w:line="314"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份锁定期的， 上述期限相 </w:t>
            </w:r>
            <w:r>
              <w:rPr>
                <w:rFonts w:ascii="宋体" w:hAnsi="宋体" w:cs="宋体" w:eastAsia="宋体" w:hint="default"/>
                <w:spacing w:val="-22"/>
                <w:sz w:val="18"/>
                <w:szCs w:val="18"/>
              </w:rPr>
              <w:t>应顺延。</w:t>
            </w:r>
            <w:r>
              <w:rPr>
                <w:rFonts w:ascii="Times New Roman" w:hAnsi="Times New Roman" w:cs="Times New Roman" w:eastAsia="Times New Roman" w:hint="default"/>
                <w:spacing w:val="-22"/>
                <w:sz w:val="18"/>
                <w:szCs w:val="18"/>
              </w:rPr>
              <w:t>3</w:t>
            </w:r>
            <w:r>
              <w:rPr>
                <w:rFonts w:ascii="宋体" w:hAnsi="宋体" w:cs="宋体" w:eastAsia="宋体" w:hint="default"/>
                <w:spacing w:val="-22"/>
                <w:sz w:val="18"/>
                <w:szCs w:val="18"/>
              </w:rPr>
              <w:t>．如</w:t>
            </w:r>
            <w:r>
              <w:rPr>
                <w:rFonts w:ascii="宋体" w:hAnsi="宋体" w:cs="宋体" w:eastAsia="宋体" w:hint="default"/>
                <w:spacing w:val="-51"/>
                <w:sz w:val="18"/>
                <w:szCs w:val="18"/>
              </w:rPr>
              <w:t> </w:t>
            </w:r>
            <w:r>
              <w:rPr>
                <w:rFonts w:ascii="宋体" w:hAnsi="宋体" w:cs="宋体" w:eastAsia="宋体" w:hint="default"/>
                <w:sz w:val="18"/>
                <w:szCs w:val="18"/>
              </w:rPr>
              <w:t>公司上市后</w:t>
            </w:r>
            <w:r>
              <w:rPr>
                <w:rFonts w:ascii="宋体" w:hAnsi="宋体" w:cs="宋体" w:eastAsia="宋体" w:hint="default"/>
                <w:sz w:val="18"/>
                <w:szCs w:val="18"/>
              </w:rPr>
              <w:t> 本人持股仍 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，本 人在减持时 提前三个交 易日履行公 </w:t>
            </w:r>
            <w:r>
              <w:rPr>
                <w:rFonts w:ascii="宋体" w:hAnsi="宋体" w:cs="宋体" w:eastAsia="宋体" w:hint="default"/>
                <w:spacing w:val="-22"/>
                <w:sz w:val="18"/>
                <w:szCs w:val="18"/>
              </w:rPr>
              <w:t>告义务。</w:t>
            </w:r>
            <w:r>
              <w:rPr>
                <w:rFonts w:ascii="Times New Roman" w:hAnsi="Times New Roman" w:cs="Times New Roman" w:eastAsia="Times New Roman" w:hint="default"/>
                <w:spacing w:val="-22"/>
                <w:sz w:val="18"/>
                <w:szCs w:val="18"/>
              </w:rPr>
              <w:t>4</w:t>
            </w:r>
            <w:r>
              <w:rPr>
                <w:rFonts w:ascii="宋体" w:hAnsi="宋体" w:cs="宋体" w:eastAsia="宋体" w:hint="default"/>
                <w:spacing w:val="-22"/>
                <w:sz w:val="18"/>
                <w:szCs w:val="18"/>
              </w:rPr>
              <w:t>．如</w:t>
            </w:r>
            <w:r>
              <w:rPr>
                <w:rFonts w:ascii="宋体" w:hAnsi="宋体" w:cs="宋体" w:eastAsia="宋体" w:hint="default"/>
                <w:spacing w:val="-51"/>
                <w:sz w:val="18"/>
                <w:szCs w:val="18"/>
              </w:rPr>
              <w:t> </w:t>
            </w:r>
            <w:r>
              <w:rPr>
                <w:rFonts w:ascii="宋体" w:hAnsi="宋体" w:cs="宋体" w:eastAsia="宋体" w:hint="default"/>
                <w:sz w:val="18"/>
                <w:szCs w:val="18"/>
              </w:rPr>
              <w:t>本人违反上</w:t>
            </w:r>
            <w:r>
              <w:rPr>
                <w:rFonts w:ascii="宋体" w:hAnsi="宋体" w:cs="宋体" w:eastAsia="宋体" w:hint="default"/>
                <w:sz w:val="18"/>
                <w:szCs w:val="18"/>
              </w:rPr>
              <w:t> 述承诺进行 减持的，本人 减持收益无 偿划归公司 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．本人自公 司首次公开 发行的股票 上市之日起 十二个月内， 不转让或者 委托他人管 理本人直接 或间接持有 的公司公开 发行股票前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2017-05-05</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已发行的股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份，也不由公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司回购本人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票前已发行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2"/>
                <w:sz w:val="18"/>
                <w:szCs w:val="18"/>
              </w:rPr>
              <w:t>的股份。</w:t>
            </w: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人作为公司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发起人、董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人员，本人对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公司未来发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展充满信心，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在一定时间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内将继续长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期持有公司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拟减持公司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股份，将通过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许的方式并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在符合以下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条件的前提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下进行</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自本人上述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满后两年内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减持的，减持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发行价格，若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间有派息、送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股、资本公积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金转增股本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事项的，减持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价格将进行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应调整</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自本人股份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16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两年内，每年 转让的公司 股份数量不 超过其所持 有的公司股 份数量的 </w:t>
            </w:r>
            <w:r>
              <w:rPr>
                <w:rFonts w:ascii="Times New Roman" w:hAnsi="Times New Roman" w:cs="Times New Roman" w:eastAsia="Times New Roman" w:hint="default"/>
                <w:sz w:val="18"/>
                <w:szCs w:val="18"/>
              </w:rPr>
              <w:t>25%</w:t>
            </w:r>
            <w:r>
              <w:rPr>
                <w:rFonts w:ascii="宋体" w:hAnsi="宋体" w:cs="宋体" w:eastAsia="宋体" w:hint="default"/>
                <w:sz w:val="18"/>
                <w:szCs w:val="18"/>
              </w:rPr>
              <w:t>。如根据 本人作出的 其他公开承 诺需延长股 份锁定期的， 上述期限相 </w:t>
            </w:r>
            <w:r>
              <w:rPr>
                <w:rFonts w:ascii="宋体" w:hAnsi="宋体" w:cs="宋体" w:eastAsia="宋体" w:hint="default"/>
                <w:spacing w:val="-22"/>
                <w:sz w:val="18"/>
                <w:szCs w:val="18"/>
              </w:rPr>
              <w:t>应顺延。</w:t>
            </w:r>
            <w:r>
              <w:rPr>
                <w:rFonts w:ascii="Times New Roman" w:hAnsi="Times New Roman" w:cs="Times New Roman" w:eastAsia="Times New Roman" w:hint="default"/>
                <w:spacing w:val="-22"/>
                <w:sz w:val="18"/>
                <w:szCs w:val="18"/>
              </w:rPr>
              <w:t>3</w:t>
            </w:r>
            <w:r>
              <w:rPr>
                <w:rFonts w:ascii="宋体" w:hAnsi="宋体" w:cs="宋体" w:eastAsia="宋体" w:hint="default"/>
                <w:spacing w:val="-22"/>
                <w:sz w:val="18"/>
                <w:szCs w:val="18"/>
              </w:rPr>
              <w:t>．如</w:t>
            </w:r>
            <w:r>
              <w:rPr>
                <w:rFonts w:ascii="宋体" w:hAnsi="宋体" w:cs="宋体" w:eastAsia="宋体" w:hint="default"/>
                <w:spacing w:val="-51"/>
                <w:sz w:val="18"/>
                <w:szCs w:val="18"/>
              </w:rPr>
              <w:t> </w:t>
            </w:r>
            <w:r>
              <w:rPr>
                <w:rFonts w:ascii="宋体" w:hAnsi="宋体" w:cs="宋体" w:eastAsia="宋体" w:hint="default"/>
                <w:sz w:val="18"/>
                <w:szCs w:val="18"/>
              </w:rPr>
              <w:t>公司上市后</w:t>
            </w:r>
            <w:r>
              <w:rPr>
                <w:rFonts w:ascii="宋体" w:hAnsi="宋体" w:cs="宋体" w:eastAsia="宋体" w:hint="default"/>
                <w:sz w:val="18"/>
                <w:szCs w:val="18"/>
              </w:rPr>
              <w:t> 本人持股仍 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，本 人在减持时 提前三个交 易日履行公 </w:t>
            </w:r>
            <w:r>
              <w:rPr>
                <w:rFonts w:ascii="宋体" w:hAnsi="宋体" w:cs="宋体" w:eastAsia="宋体" w:hint="default"/>
                <w:spacing w:val="-22"/>
                <w:sz w:val="18"/>
                <w:szCs w:val="18"/>
              </w:rPr>
              <w:t>告义务。</w:t>
            </w:r>
            <w:r>
              <w:rPr>
                <w:rFonts w:ascii="Times New Roman" w:hAnsi="Times New Roman" w:cs="Times New Roman" w:eastAsia="Times New Roman" w:hint="default"/>
                <w:spacing w:val="-22"/>
                <w:sz w:val="18"/>
                <w:szCs w:val="18"/>
              </w:rPr>
              <w:t>4</w:t>
            </w:r>
            <w:r>
              <w:rPr>
                <w:rFonts w:ascii="宋体" w:hAnsi="宋体" w:cs="宋体" w:eastAsia="宋体" w:hint="default"/>
                <w:spacing w:val="-22"/>
                <w:sz w:val="18"/>
                <w:szCs w:val="18"/>
              </w:rPr>
              <w:t>．如</w:t>
            </w:r>
            <w:r>
              <w:rPr>
                <w:rFonts w:ascii="宋体" w:hAnsi="宋体" w:cs="宋体" w:eastAsia="宋体" w:hint="default"/>
                <w:spacing w:val="-51"/>
                <w:sz w:val="18"/>
                <w:szCs w:val="18"/>
              </w:rPr>
              <w:t> </w:t>
            </w:r>
            <w:r>
              <w:rPr>
                <w:rFonts w:ascii="宋体" w:hAnsi="宋体" w:cs="宋体" w:eastAsia="宋体" w:hint="default"/>
                <w:sz w:val="18"/>
                <w:szCs w:val="18"/>
              </w:rPr>
              <w:t>本人违反上</w:t>
            </w:r>
            <w:r>
              <w:rPr>
                <w:rFonts w:ascii="宋体" w:hAnsi="宋体" w:cs="宋体" w:eastAsia="宋体" w:hint="default"/>
                <w:sz w:val="18"/>
                <w:szCs w:val="18"/>
              </w:rPr>
              <w:t> 述承诺进行 减持的，本人 减持收益无 偿划归公司 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2"/>
              <w:ind w:left="23" w:right="89"/>
              <w:jc w:val="both"/>
              <w:rPr>
                <w:rFonts w:ascii="宋体" w:hAnsi="宋体" w:cs="宋体" w:eastAsia="宋体" w:hint="default"/>
                <w:sz w:val="18"/>
                <w:szCs w:val="18"/>
              </w:rPr>
            </w:pPr>
            <w:r>
              <w:rPr>
                <w:rFonts w:ascii="宋体" w:hAnsi="宋体" w:cs="宋体" w:eastAsia="宋体" w:hint="default"/>
                <w:sz w:val="18"/>
                <w:szCs w:val="18"/>
              </w:rPr>
              <w:t>陈建业</w:t>
            </w:r>
            <w:r>
              <w:rPr>
                <w:rFonts w:ascii="Times New Roman" w:hAnsi="Times New Roman" w:cs="Times New Roman" w:eastAsia="Times New Roman" w:hint="default"/>
                <w:sz w:val="18"/>
                <w:szCs w:val="18"/>
              </w:rPr>
              <w:t>;</w:t>
            </w:r>
            <w:r>
              <w:rPr>
                <w:rFonts w:ascii="宋体" w:hAnsi="宋体" w:cs="宋体" w:eastAsia="宋体" w:hint="default"/>
                <w:sz w:val="18"/>
                <w:szCs w:val="18"/>
              </w:rPr>
              <w:t>陈英 智</w:t>
            </w:r>
            <w:r>
              <w:rPr>
                <w:rFonts w:ascii="Times New Roman" w:hAnsi="Times New Roman" w:cs="Times New Roman" w:eastAsia="Times New Roman" w:hint="default"/>
                <w:sz w:val="18"/>
                <w:szCs w:val="18"/>
              </w:rPr>
              <w:t>;</w:t>
            </w:r>
            <w:r>
              <w:rPr>
                <w:rFonts w:ascii="宋体" w:hAnsi="宋体" w:cs="宋体" w:eastAsia="宋体" w:hint="default"/>
                <w:sz w:val="18"/>
                <w:szCs w:val="18"/>
              </w:rPr>
              <w:t>郭长兴</w:t>
            </w:r>
            <w:r>
              <w:rPr>
                <w:rFonts w:ascii="Times New Roman" w:hAnsi="Times New Roman" w:cs="Times New Roman" w:eastAsia="Times New Roman" w:hint="default"/>
                <w:sz w:val="18"/>
                <w:szCs w:val="18"/>
              </w:rPr>
              <w:t>;</w:t>
            </w:r>
            <w:r>
              <w:rPr>
                <w:rFonts w:ascii="宋体" w:hAnsi="宋体" w:cs="宋体" w:eastAsia="宋体" w:hint="default"/>
                <w:sz w:val="18"/>
                <w:szCs w:val="18"/>
              </w:rPr>
              <w:t>李 海永</w:t>
            </w:r>
            <w:r>
              <w:rPr>
                <w:rFonts w:ascii="Times New Roman" w:hAnsi="Times New Roman" w:cs="Times New Roman" w:eastAsia="Times New Roman" w:hint="default"/>
                <w:sz w:val="18"/>
                <w:szCs w:val="18"/>
              </w:rPr>
              <w:t>;</w:t>
            </w:r>
            <w:r>
              <w:rPr>
                <w:rFonts w:ascii="宋体" w:hAnsi="宋体" w:cs="宋体" w:eastAsia="宋体" w:hint="default"/>
                <w:sz w:val="18"/>
                <w:szCs w:val="18"/>
              </w:rPr>
              <w:t>李晓芳</w:t>
            </w:r>
            <w:r>
              <w:rPr>
                <w:rFonts w:ascii="Times New Roman" w:hAnsi="Times New Roman" w:cs="Times New Roman" w:eastAsia="Times New Roman" w:hint="default"/>
                <w:sz w:val="18"/>
                <w:szCs w:val="18"/>
              </w:rPr>
              <w:t>; </w:t>
            </w:r>
            <w:r>
              <w:rPr>
                <w:rFonts w:ascii="宋体" w:hAnsi="宋体" w:cs="宋体" w:eastAsia="宋体" w:hint="default"/>
                <w:sz w:val="18"/>
                <w:szCs w:val="18"/>
              </w:rPr>
              <w:t>毛志宏</w:t>
            </w:r>
            <w:r>
              <w:rPr>
                <w:rFonts w:ascii="Times New Roman" w:hAnsi="Times New Roman" w:cs="Times New Roman" w:eastAsia="Times New Roman" w:hint="default"/>
                <w:sz w:val="18"/>
                <w:szCs w:val="18"/>
              </w:rPr>
              <w:t>;</w:t>
            </w:r>
            <w:r>
              <w:rPr>
                <w:rFonts w:ascii="宋体" w:hAnsi="宋体" w:cs="宋体" w:eastAsia="宋体" w:hint="default"/>
                <w:sz w:val="18"/>
                <w:szCs w:val="18"/>
              </w:rPr>
              <w:t>王希 庆</w:t>
            </w:r>
            <w:r>
              <w:rPr>
                <w:rFonts w:ascii="Times New Roman" w:hAnsi="Times New Roman" w:cs="Times New Roman" w:eastAsia="Times New Roman" w:hint="default"/>
                <w:sz w:val="18"/>
                <w:szCs w:val="18"/>
              </w:rPr>
              <w:t>;</w:t>
            </w:r>
            <w:r>
              <w:rPr>
                <w:rFonts w:ascii="宋体" w:hAnsi="宋体" w:cs="宋体" w:eastAsia="宋体" w:hint="default"/>
                <w:sz w:val="18"/>
                <w:szCs w:val="18"/>
              </w:rPr>
              <w:t>吴宗南</w:t>
            </w:r>
            <w:r>
              <w:rPr>
                <w:rFonts w:ascii="Times New Roman" w:hAnsi="Times New Roman" w:cs="Times New Roman" w:eastAsia="Times New Roman" w:hint="default"/>
                <w:sz w:val="18"/>
                <w:szCs w:val="18"/>
              </w:rPr>
              <w:t>;</w:t>
            </w:r>
            <w:r>
              <w:rPr>
                <w:rFonts w:ascii="宋体" w:hAnsi="宋体" w:cs="宋体" w:eastAsia="宋体" w:hint="default"/>
                <w:sz w:val="18"/>
                <w:szCs w:val="18"/>
              </w:rPr>
              <w:t>徐 海滨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徐海江</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徐海涛</w:t>
            </w:r>
            <w:r>
              <w:rPr>
                <w:rFonts w:ascii="Times New Roman" w:hAnsi="Times New Roman" w:cs="Times New Roman" w:eastAsia="Times New Roman" w:hint="default"/>
                <w:sz w:val="18"/>
                <w:szCs w:val="18"/>
              </w:rPr>
              <w:t>;</w:t>
            </w:r>
            <w:r>
              <w:rPr>
                <w:rFonts w:ascii="宋体" w:hAnsi="宋体" w:cs="宋体" w:eastAsia="宋体" w:hint="default"/>
                <w:sz w:val="18"/>
                <w:szCs w:val="18"/>
              </w:rPr>
              <w:t>许哲</w:t>
            </w:r>
            <w:r>
              <w:rPr>
                <w:rFonts w:ascii="Times New Roman" w:hAnsi="Times New Roman" w:cs="Times New Roman" w:eastAsia="Times New Roman" w:hint="default"/>
                <w:sz w:val="18"/>
                <w:szCs w:val="18"/>
              </w:rPr>
              <w:t>; </w:t>
            </w:r>
            <w:r>
              <w:rPr>
                <w:rFonts w:ascii="宋体" w:hAnsi="宋体" w:cs="宋体" w:eastAsia="宋体" w:hint="default"/>
                <w:sz w:val="18"/>
                <w:szCs w:val="18"/>
              </w:rPr>
              <w:t>张文福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如公司招股 说明书有虚 假记载、误导 性陈述或者 重大遗漏，致 使投资者在 证券交易中 遭受损失的， 将依法赔偿 投资者损失。 如投资者发 现上述情形， 有权启动向 公司及本人 提出索赔要 求或提起民 事诉讼等救 济途径，公司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16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及本人对招 股说明书有 虚假记载、误 导性陈述或 者重大遗漏 的事实及赔 偿范围等无 异议，或经过 有权部门认 定该违法事 实及赔偿范 围后，本人于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日内安排 向投资者进 行赔偿。如未 来公司董事、 监事、高级管 理人员违反 了损害赔偿 的承诺，公司 有权暂时扣 留其工资、薪 酬及津贴，直 至其履行上 述相关义务 之日止。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公司控股股 东、实际控制 人徐海江就 社保和住房 公积金出具 承诺如下：若 公司因有关 政府部门或 司法机关认 定需补缴社 会保险费（包 括养老保险、 失业保险、医 疗保险、工伤 保险、生育保 险）和住房公 积金，或因社 会保险费和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5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住房公积金 事宜受到处 罚，或被任何 相关方以任 何方式提出 有关社会保 险费和住房 公积金的合 法权利要求， 本人将代公 司承担经有 关政府部门 或司法机关 认定的需由 公司补缴的 全部社会保 险费和住房 公积金、罚款 或赔偿款项， 全额承担被 任何相关方 以任何方式 要求的社会 保险费和住 房公积金或 赔偿款项，以 及因上述事 项而产生的 由公司支付 的或应由公 司支付的所 有相关费用。 本人进一步 承诺，在承担 上述款项和 费用后将不 向公司追偿， 保证公司不 会因此遭受 任何损失。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9"/>
              <w:jc w:val="both"/>
              <w:rPr>
                <w:rFonts w:ascii="宋体" w:hAnsi="宋体" w:cs="宋体" w:eastAsia="宋体" w:hint="default"/>
                <w:sz w:val="18"/>
                <w:szCs w:val="18"/>
              </w:rPr>
            </w:pPr>
            <w:r>
              <w:rPr>
                <w:rFonts w:ascii="宋体" w:hAnsi="宋体" w:cs="宋体" w:eastAsia="宋体" w:hint="default"/>
                <w:sz w:val="18"/>
                <w:szCs w:val="18"/>
              </w:rPr>
              <w:t>陈英智</w:t>
            </w:r>
            <w:r>
              <w:rPr>
                <w:rFonts w:ascii="Times New Roman" w:hAnsi="Times New Roman" w:cs="Times New Roman" w:eastAsia="Times New Roman" w:hint="default"/>
                <w:sz w:val="18"/>
                <w:szCs w:val="18"/>
              </w:rPr>
              <w:t>;</w:t>
            </w:r>
            <w:r>
              <w:rPr>
                <w:rFonts w:ascii="宋体" w:hAnsi="宋体" w:cs="宋体" w:eastAsia="宋体" w:hint="default"/>
                <w:sz w:val="18"/>
                <w:szCs w:val="18"/>
              </w:rPr>
              <w:t>郭长 兴</w:t>
            </w:r>
            <w:r>
              <w:rPr>
                <w:rFonts w:ascii="Times New Roman" w:hAnsi="Times New Roman" w:cs="Times New Roman" w:eastAsia="Times New Roman" w:hint="default"/>
                <w:sz w:val="18"/>
                <w:szCs w:val="18"/>
              </w:rPr>
              <w:t>;</w:t>
            </w:r>
            <w:r>
              <w:rPr>
                <w:rFonts w:ascii="宋体" w:hAnsi="宋体" w:cs="宋体" w:eastAsia="宋体" w:hint="default"/>
                <w:sz w:val="18"/>
                <w:szCs w:val="18"/>
              </w:rPr>
              <w:t>李海永</w:t>
            </w:r>
            <w:r>
              <w:rPr>
                <w:rFonts w:ascii="Times New Roman" w:hAnsi="Times New Roman" w:cs="Times New Roman" w:eastAsia="Times New Roman" w:hint="default"/>
                <w:sz w:val="18"/>
                <w:szCs w:val="18"/>
              </w:rPr>
              <w:t>;</w:t>
            </w:r>
            <w:r>
              <w:rPr>
                <w:rFonts w:ascii="宋体" w:hAnsi="宋体" w:cs="宋体" w:eastAsia="宋体" w:hint="default"/>
                <w:sz w:val="18"/>
                <w:szCs w:val="18"/>
              </w:rPr>
              <w:t>毛 志宏</w:t>
            </w:r>
            <w:r>
              <w:rPr>
                <w:rFonts w:ascii="Times New Roman" w:hAnsi="Times New Roman" w:cs="Times New Roman" w:eastAsia="Times New Roman" w:hint="default"/>
                <w:sz w:val="18"/>
                <w:szCs w:val="18"/>
              </w:rPr>
              <w:t>;</w:t>
            </w:r>
            <w:r>
              <w:rPr>
                <w:rFonts w:ascii="宋体" w:hAnsi="宋体" w:cs="宋体" w:eastAsia="宋体" w:hint="default"/>
                <w:sz w:val="18"/>
                <w:szCs w:val="18"/>
              </w:rPr>
              <w:t>王希庆</w:t>
            </w:r>
            <w:r>
              <w:rPr>
                <w:rFonts w:ascii="Times New Roman" w:hAnsi="Times New Roman" w:cs="Times New Roman" w:eastAsia="Times New Roman" w:hint="default"/>
                <w:sz w:val="18"/>
                <w:szCs w:val="18"/>
              </w:rPr>
              <w:t>; </w:t>
            </w:r>
            <w:r>
              <w:rPr>
                <w:rFonts w:ascii="宋体" w:hAnsi="宋体" w:cs="宋体" w:eastAsia="宋体" w:hint="default"/>
                <w:sz w:val="18"/>
                <w:szCs w:val="18"/>
              </w:rPr>
              <w:t>徐海滨</w:t>
            </w:r>
            <w:r>
              <w:rPr>
                <w:rFonts w:ascii="Times New Roman" w:hAnsi="Times New Roman" w:cs="Times New Roman" w:eastAsia="Times New Roman" w:hint="default"/>
                <w:sz w:val="18"/>
                <w:szCs w:val="18"/>
              </w:rPr>
              <w:t>;</w:t>
            </w:r>
            <w:r>
              <w:rPr>
                <w:rFonts w:ascii="宋体" w:hAnsi="宋体" w:cs="宋体" w:eastAsia="宋体" w:hint="default"/>
                <w:sz w:val="18"/>
                <w:szCs w:val="18"/>
              </w:rPr>
              <w:t>徐海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公司的董事、 高级管理人 员承诺以下 </w:t>
            </w:r>
            <w:r>
              <w:rPr>
                <w:rFonts w:ascii="宋体" w:hAnsi="宋体" w:cs="宋体" w:eastAsia="宋体" w:hint="default"/>
                <w:spacing w:val="-15"/>
                <w:sz w:val="18"/>
                <w:szCs w:val="18"/>
              </w:rPr>
              <w:t>事项：（</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）承</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0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89"/>
              <w:jc w:val="left"/>
              <w:rPr>
                <w:rFonts w:ascii="宋体" w:hAnsi="宋体" w:cs="宋体" w:eastAsia="宋体" w:hint="default"/>
                <w:sz w:val="18"/>
                <w:szCs w:val="18"/>
              </w:rPr>
            </w:pPr>
            <w:r>
              <w:rPr>
                <w:rFonts w:ascii="宋体" w:hAnsi="宋体" w:cs="宋体" w:eastAsia="宋体" w:hint="default"/>
                <w:sz w:val="18"/>
                <w:szCs w:val="18"/>
              </w:rPr>
              <w:t>江</w:t>
            </w:r>
            <w:r>
              <w:rPr>
                <w:rFonts w:ascii="Times New Roman" w:hAnsi="Times New Roman" w:cs="Times New Roman" w:eastAsia="Times New Roman" w:hint="default"/>
                <w:sz w:val="18"/>
                <w:szCs w:val="18"/>
              </w:rPr>
              <w:t>;</w:t>
            </w:r>
            <w:r>
              <w:rPr>
                <w:rFonts w:ascii="宋体" w:hAnsi="宋体" w:cs="宋体" w:eastAsia="宋体" w:hint="default"/>
                <w:sz w:val="18"/>
                <w:szCs w:val="18"/>
              </w:rPr>
              <w:t>徐海涛</w:t>
            </w:r>
            <w:r>
              <w:rPr>
                <w:rFonts w:ascii="Times New Roman" w:hAnsi="Times New Roman" w:cs="Times New Roman" w:eastAsia="Times New Roman" w:hint="default"/>
                <w:sz w:val="18"/>
                <w:szCs w:val="18"/>
              </w:rPr>
              <w:t>;</w:t>
            </w:r>
            <w:r>
              <w:rPr>
                <w:rFonts w:ascii="宋体" w:hAnsi="宋体" w:cs="宋体" w:eastAsia="宋体" w:hint="default"/>
                <w:sz w:val="18"/>
                <w:szCs w:val="18"/>
              </w:rPr>
              <w:t>徐 卫东</w:t>
            </w:r>
            <w:r>
              <w:rPr>
                <w:rFonts w:ascii="Times New Roman" w:hAnsi="Times New Roman" w:cs="Times New Roman" w:eastAsia="Times New Roman" w:hint="default"/>
                <w:sz w:val="18"/>
                <w:szCs w:val="18"/>
              </w:rPr>
              <w:t>;</w:t>
            </w:r>
            <w:r>
              <w:rPr>
                <w:rFonts w:ascii="宋体" w:hAnsi="宋体" w:cs="宋体" w:eastAsia="宋体" w:hint="default"/>
                <w:sz w:val="18"/>
                <w:szCs w:val="18"/>
              </w:rPr>
              <w:t>张文福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诺不无偿或 以不公平条 件向其他单 位或个人输 送利益，也不 采用其他方 式损害公司 </w:t>
            </w:r>
            <w:r>
              <w:rPr>
                <w:rFonts w:ascii="宋体" w:hAnsi="宋体" w:cs="宋体" w:eastAsia="宋体" w:hint="default"/>
                <w:spacing w:val="-15"/>
                <w:sz w:val="18"/>
                <w:szCs w:val="18"/>
              </w:rPr>
              <w:t>利益；（</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）承</w:t>
            </w:r>
            <w:r>
              <w:rPr>
                <w:rFonts w:ascii="宋体" w:hAnsi="宋体" w:cs="宋体" w:eastAsia="宋体" w:hint="default"/>
                <w:spacing w:val="-5"/>
                <w:sz w:val="18"/>
                <w:szCs w:val="18"/>
              </w:rPr>
              <w:t> </w:t>
            </w:r>
            <w:r>
              <w:rPr>
                <w:rFonts w:ascii="宋体" w:hAnsi="宋体" w:cs="宋体" w:eastAsia="宋体" w:hint="default"/>
                <w:sz w:val="18"/>
                <w:szCs w:val="18"/>
              </w:rPr>
              <w:t>诺对自身的</w:t>
            </w:r>
            <w:r>
              <w:rPr>
                <w:rFonts w:ascii="宋体" w:hAnsi="宋体" w:cs="宋体" w:eastAsia="宋体" w:hint="default"/>
                <w:sz w:val="18"/>
                <w:szCs w:val="18"/>
              </w:rPr>
              <w:t> 职务消费行 为进行约束；</w:t>
            </w:r>
          </w:p>
          <w:p>
            <w:pPr>
              <w:pStyle w:val="TableParagraph"/>
              <w:spacing w:line="314"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）承诺不 动用公司资 产从事与其 履行职责无 关的投资、消 </w:t>
            </w:r>
            <w:r>
              <w:rPr>
                <w:rFonts w:ascii="宋体" w:hAnsi="宋体" w:cs="宋体" w:eastAsia="宋体" w:hint="default"/>
                <w:spacing w:val="-13"/>
                <w:sz w:val="18"/>
                <w:szCs w:val="18"/>
              </w:rPr>
              <w:t>费活动；（</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w:t>
            </w:r>
            <w:r>
              <w:rPr>
                <w:rFonts w:ascii="宋体" w:hAnsi="宋体" w:cs="宋体" w:eastAsia="宋体" w:hint="default"/>
                <w:sz w:val="18"/>
                <w:szCs w:val="18"/>
              </w:rPr>
              <w:t> 承诺由董事 会或薪酬委 员会制定的 薪酬制度与 公司填补回 报措施的执 行情况相挂 </w:t>
            </w:r>
            <w:r>
              <w:rPr>
                <w:rFonts w:ascii="宋体" w:hAnsi="宋体" w:cs="宋体" w:eastAsia="宋体" w:hint="default"/>
                <w:spacing w:val="-15"/>
                <w:sz w:val="18"/>
                <w:szCs w:val="18"/>
              </w:rPr>
              <w:t>钩；（</w:t>
            </w:r>
            <w:r>
              <w:rPr>
                <w:rFonts w:ascii="Times New Roman" w:hAnsi="Times New Roman" w:cs="Times New Roman" w:eastAsia="Times New Roman" w:hint="default"/>
                <w:spacing w:val="-15"/>
                <w:sz w:val="18"/>
                <w:szCs w:val="18"/>
              </w:rPr>
              <w:t>5</w:t>
            </w:r>
            <w:r>
              <w:rPr>
                <w:rFonts w:ascii="宋体" w:hAnsi="宋体" w:cs="宋体" w:eastAsia="宋体" w:hint="default"/>
                <w:spacing w:val="-15"/>
                <w:sz w:val="18"/>
                <w:szCs w:val="18"/>
              </w:rPr>
              <w:t>）承诺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公司的股权 激励计划（如</w:t>
            </w:r>
            <w:r>
              <w:rPr>
                <w:rFonts w:ascii="宋体" w:hAnsi="宋体" w:cs="宋体" w:eastAsia="宋体" w:hint="default"/>
                <w:sz w:val="18"/>
                <w:szCs w:val="18"/>
              </w:rPr>
              <w:t> 有）的行权条 件与公司填 补回报措施 的执行情况 相挂钩。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2" w:lineRule="auto"/>
              <w:ind w:left="23" w:right="21"/>
              <w:jc w:val="left"/>
              <w:rPr>
                <w:rFonts w:ascii="宋体" w:hAnsi="宋体" w:cs="宋体" w:eastAsia="宋体" w:hint="default"/>
                <w:sz w:val="18"/>
                <w:szCs w:val="18"/>
              </w:rPr>
            </w:pPr>
            <w:r>
              <w:rPr>
                <w:rFonts w:ascii="宋体" w:hAnsi="宋体" w:cs="宋体" w:eastAsia="宋体" w:hint="default"/>
                <w:sz w:val="18"/>
                <w:szCs w:val="18"/>
              </w:rPr>
              <w:t>北京市金杜 律师事务所</w:t>
            </w:r>
            <w:r>
              <w:rPr>
                <w:rFonts w:ascii="Times New Roman" w:hAnsi="Times New Roman" w:cs="Times New Roman" w:eastAsia="Times New Roman" w:hint="default"/>
                <w:sz w:val="18"/>
                <w:szCs w:val="18"/>
              </w:rPr>
              <w:t>; </w:t>
            </w:r>
            <w:r>
              <w:rPr>
                <w:rFonts w:ascii="宋体" w:hAnsi="宋体" w:cs="宋体" w:eastAsia="宋体" w:hint="default"/>
                <w:sz w:val="18"/>
                <w:szCs w:val="18"/>
              </w:rPr>
              <w:t>天健会计师 </w:t>
            </w:r>
            <w:r>
              <w:rPr>
                <w:rFonts w:ascii="宋体" w:hAnsi="宋体" w:cs="宋体" w:eastAsia="宋体" w:hint="default"/>
                <w:spacing w:val="-2"/>
                <w:sz w:val="18"/>
                <w:szCs w:val="18"/>
              </w:rPr>
              <w:t>事务所（特殊</w:t>
            </w:r>
            <w:r>
              <w:rPr>
                <w:rFonts w:ascii="宋体" w:hAnsi="宋体" w:cs="宋体" w:eastAsia="宋体" w:hint="default"/>
                <w:sz w:val="18"/>
                <w:szCs w:val="18"/>
              </w:rPr>
              <w:t> 普通合伙）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兴业证券股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发行人保荐 </w:t>
            </w:r>
            <w:r>
              <w:rPr>
                <w:rFonts w:ascii="宋体" w:hAnsi="宋体" w:cs="宋体" w:eastAsia="宋体" w:hint="default"/>
                <w:spacing w:val="-2"/>
                <w:sz w:val="18"/>
                <w:szCs w:val="18"/>
              </w:rPr>
              <w:t>机构（主承销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商）兴业证券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股份有限公 </w:t>
            </w:r>
            <w:r>
              <w:rPr>
                <w:rFonts w:ascii="宋体" w:hAnsi="宋体" w:cs="宋体" w:eastAsia="宋体" w:hint="default"/>
                <w:spacing w:val="-2"/>
                <w:sz w:val="18"/>
                <w:szCs w:val="18"/>
              </w:rPr>
              <w:t>司承诺：如因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本公司为发 行人首次公 开发行股票 </w:t>
            </w:r>
            <w:r>
              <w:rPr>
                <w:rFonts w:ascii="宋体" w:hAnsi="宋体" w:cs="宋体" w:eastAsia="宋体" w:hint="default"/>
                <w:spacing w:val="-2"/>
                <w:sz w:val="18"/>
                <w:szCs w:val="18"/>
              </w:rPr>
              <w:t>制作、出具的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文件有虚假 </w:t>
            </w:r>
            <w:r>
              <w:rPr>
                <w:rFonts w:ascii="宋体" w:hAnsi="宋体" w:cs="宋体" w:eastAsia="宋体" w:hint="default"/>
                <w:spacing w:val="-2"/>
                <w:sz w:val="18"/>
                <w:szCs w:val="18"/>
              </w:rPr>
              <w:t>记载、误导性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陈述或者重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大遗漏，给投</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失的，将先行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律师北京市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金杜律师事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务所承诺：如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因本所为发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行制作、出具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的文件有虚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假记载、误导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性陈述或者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重大遗漏，给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损失的，经司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法机关生效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判决认定后，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本所将依法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因本所制作、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出具的文件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所载内容有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虚假记载、误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者重大遗漏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而遭受的损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失。发行人会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计师天健会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计师事务所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（特殊普通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如因本所为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发行制作、出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具的文件有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虚假记载、误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者重大遗漏，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给投资者造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成损失的，将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依法赔偿投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资者损失。如</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121.79998pt;width:55.85pt;height:303.25pt;mso-position-horizontal-relative:page;mso-position-vertical-relative:page;z-index:-2128240" coordorigin="7353,2436" coordsize="1117,6065">
            <v:shape style="position:absolute;left:7353;top:2436;width:1117;height:6065" coordorigin="7353,2436" coordsize="1117,6065" path="m7353,8500l8470,8500,8470,2436,7353,2436,7353,8500xe" filled="true" fillcolor="#ffffff" stroked="false">
              <v:path arrowok="t"/>
              <v:fill type="solid"/>
            </v:shape>
            <w10:wrap type="none"/>
          </v:group>
        </w:pict>
      </w:r>
      <w:r>
        <w:rPr/>
        <w:pict>
          <v:group style="position:absolute;margin-left:367.660004pt;margin-top:460.23999pt;width:55.85pt;height:303.2pt;mso-position-horizontal-relative:page;mso-position-vertical-relative:page;z-index:-2128216" coordorigin="7353,9205" coordsize="1117,6064">
            <v:shape style="position:absolute;left:7353;top:9205;width:1117;height:6064" coordorigin="7353,9205" coordsize="1117,6064" path="m7353,15269l8470,15269,8470,9205,7353,9205,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能证明本所 没有过错的 除外。</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84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吉林省金冠 电气股份有 </w:t>
            </w:r>
            <w:r>
              <w:rPr>
                <w:rFonts w:ascii="宋体" w:hAnsi="宋体" w:cs="宋体" w:eastAsia="宋体" w:hint="default"/>
                <w:spacing w:val="-2"/>
                <w:sz w:val="18"/>
                <w:szCs w:val="18"/>
              </w:rPr>
              <w:t>限公司（以下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 拟发行股份 及支付现金 购买南京能 瑞自动化设 备股份有限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 股份并募集 </w:t>
            </w:r>
            <w:r>
              <w:rPr>
                <w:rFonts w:ascii="宋体" w:hAnsi="宋体" w:cs="宋体" w:eastAsia="宋体" w:hint="default"/>
                <w:spacing w:val="-2"/>
                <w:sz w:val="18"/>
                <w:szCs w:val="18"/>
              </w:rPr>
              <w:t>配套资金。根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据《国务院关</w:t>
            </w:r>
            <w:r>
              <w:rPr>
                <w:rFonts w:ascii="宋体" w:hAnsi="宋体" w:cs="宋体" w:eastAsia="宋体" w:hint="default"/>
                <w:sz w:val="18"/>
                <w:szCs w:val="18"/>
              </w:rPr>
              <w:t> 于进一步促 进资本市场 健康发展的 若干意见》</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（国发</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[2014</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w w:val="99"/>
                <w:sz w:val="18"/>
                <w:szCs w:val="18"/>
              </w:rPr>
              <w:t>17</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号</w:t>
            </w:r>
            <w:r>
              <w:rPr>
                <w:rFonts w:ascii="宋体" w:hAnsi="宋体" w:cs="宋体" w:eastAsia="宋体" w:hint="default"/>
                <w:spacing w:val="-90"/>
                <w:w w:val="99"/>
                <w:sz w:val="18"/>
                <w:szCs w:val="18"/>
              </w:rPr>
              <w:t>）</w:t>
            </w:r>
            <w:r>
              <w:rPr>
                <w:rFonts w:ascii="宋体" w:hAnsi="宋体" w:cs="宋体" w:eastAsia="宋体" w:hint="default"/>
                <w:sz w:val="18"/>
                <w:szCs w:val="18"/>
              </w:rPr>
            </w:r>
          </w:p>
          <w:p>
            <w:pPr>
              <w:pStyle w:val="TableParagraph"/>
              <w:spacing w:line="316" w:lineRule="auto" w:before="63"/>
              <w:ind w:left="22" w:right="192"/>
              <w:jc w:val="both"/>
              <w:rPr>
                <w:rFonts w:ascii="宋体" w:hAnsi="宋体" w:cs="宋体" w:eastAsia="宋体" w:hint="default"/>
                <w:sz w:val="18"/>
                <w:szCs w:val="18"/>
              </w:rPr>
            </w:pPr>
            <w:r>
              <w:rPr>
                <w:rFonts w:ascii="宋体" w:hAnsi="宋体" w:cs="宋体" w:eastAsia="宋体" w:hint="default"/>
                <w:sz w:val="18"/>
                <w:szCs w:val="18"/>
              </w:rPr>
              <w:t>《国务院办 公厅关于进 一步加强资 本市场中小 投资者合法 权益保护工 作的意见》</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（国办发</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[2013]110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p>
            <w:pPr>
              <w:pStyle w:val="TableParagraph"/>
              <w:spacing w:line="316"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和《关于首发 及再融资、重 大资产重组 摊薄即期回 报有关事项 的指导意见》</w:t>
            </w:r>
          </w:p>
          <w:p>
            <w:pPr>
              <w:pStyle w:val="TableParagraph"/>
              <w:spacing w:line="316" w:lineRule="auto" w:before="19"/>
              <w:ind w:left="22" w:right="192"/>
              <w:jc w:val="left"/>
              <w:rPr>
                <w:rFonts w:ascii="Times New Roman" w:hAnsi="Times New Roman" w:cs="Times New Roman" w:eastAsia="Times New Roman" w:hint="default"/>
                <w:sz w:val="18"/>
                <w:szCs w:val="18"/>
              </w:rPr>
            </w:pPr>
            <w:r>
              <w:rPr>
                <w:rFonts w:ascii="宋体" w:hAnsi="宋体" w:cs="宋体" w:eastAsia="宋体" w:hint="default"/>
                <w:sz w:val="18"/>
                <w:szCs w:val="18"/>
              </w:rPr>
              <w:t>（证监会公 告</w:t>
            </w:r>
            <w:r>
              <w:rPr>
                <w:rFonts w:ascii="Times New Roman" w:hAnsi="Times New Roman" w:cs="Times New Roman" w:eastAsia="Times New Roman" w:hint="default"/>
                <w:sz w:val="18"/>
                <w:szCs w:val="18"/>
              </w:rPr>
              <w:t>[2015]31</w:t>
            </w:r>
          </w:p>
          <w:p>
            <w:pPr>
              <w:pStyle w:val="TableParagraph"/>
              <w:spacing w:line="319" w:lineRule="auto"/>
              <w:ind w:left="22" w:right="12"/>
              <w:jc w:val="left"/>
              <w:rPr>
                <w:rFonts w:ascii="宋体" w:hAnsi="宋体" w:cs="宋体" w:eastAsia="宋体" w:hint="default"/>
                <w:sz w:val="18"/>
                <w:szCs w:val="18"/>
              </w:rPr>
            </w:pPr>
            <w:r>
              <w:rPr>
                <w:rFonts w:ascii="宋体" w:hAnsi="宋体" w:cs="宋体" w:eastAsia="宋体" w:hint="default"/>
                <w:sz w:val="18"/>
                <w:szCs w:val="18"/>
              </w:rPr>
              <w:t>号）等法律、 法规、规范性 文件的要求， 吉林省金冠 电气股份有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9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限公司的控 股股东、实际 控制人徐海 江根据中国 证监会的相 关规定，对公 司填补回报 措施能够得 到切实履行 作出如下郑 重承诺：</w:t>
            </w:r>
            <w:r>
              <w:rPr>
                <w:rFonts w:ascii="Times New Roman" w:hAnsi="Times New Roman" w:cs="Times New Roman" w:eastAsia="Times New Roman" w:hint="default"/>
                <w:sz w:val="18"/>
                <w:szCs w:val="18"/>
              </w:rPr>
              <w:t>1</w:t>
            </w:r>
            <w:r>
              <w:rPr>
                <w:rFonts w:ascii="宋体" w:hAnsi="宋体" w:cs="宋体" w:eastAsia="宋体" w:hint="default"/>
                <w:sz w:val="18"/>
                <w:szCs w:val="18"/>
              </w:rPr>
              <w:t>、 不越权干预 公司经营管 理活动，不侵 占公司利益。 </w:t>
            </w:r>
            <w:r>
              <w:rPr>
                <w:rFonts w:ascii="Times New Roman" w:hAnsi="Times New Roman" w:cs="Times New Roman" w:eastAsia="Times New Roman" w:hint="default"/>
                <w:sz w:val="18"/>
                <w:szCs w:val="18"/>
              </w:rPr>
              <w:t>2</w:t>
            </w:r>
            <w:r>
              <w:rPr>
                <w:rFonts w:ascii="宋体" w:hAnsi="宋体" w:cs="宋体" w:eastAsia="宋体" w:hint="default"/>
                <w:sz w:val="18"/>
                <w:szCs w:val="18"/>
              </w:rPr>
              <w:t>、如违反上 述承诺公司 或者股东造 成损失的，本 人将依法承 担补偿责任。 特此承诺。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吉林省金冠 电气股份有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本公司承诺， 如公司招股 意向书有虚 假记载、误导 性陈述或者 重大遗漏，对 判断发行人 是否符合法 律规定的发 行条件可能 构成重大、实 质影响的，如 公司对上述 违法事实并 无异议或经 过有权部门 认定存在上 述违法事实 后，应于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日内安排回 购首次公开 发行的全部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新股。如公司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已完成本次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发行但尚未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上市的，回购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价格应按发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行价格加上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股票发行日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至回购日银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行同期存款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利率计算的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已完成上市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的，回购价格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应按市场价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进行回购，并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遵守上市公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规规定处理。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如公司招股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意向书有虚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假记载、误导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性陈述或者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重大遗漏，致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使投资者在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遭受损失的，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将依法赔偿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如投资者发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现上述情形，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有权启动向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公司提出索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赔要求或提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起民事诉讼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等救济途径，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公司对招股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意向书有虚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假记载、误导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性陈述或者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重大遗漏的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事实及赔偿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范围等无异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议，或经过有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5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权部门认定 该违法事实 及赔偿范围 后，公司应于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日内安排 向投资者进 行赔偿。关于 回购新股及 损害赔偿的 承诺，公司明 确以下约束 措施，接受社 </w:t>
            </w:r>
            <w:r>
              <w:rPr>
                <w:rFonts w:ascii="宋体" w:hAnsi="宋体" w:cs="宋体" w:eastAsia="宋体" w:hint="default"/>
                <w:spacing w:val="-22"/>
                <w:sz w:val="18"/>
                <w:szCs w:val="18"/>
              </w:rPr>
              <w:t>会监督：</w:t>
            </w:r>
            <w:r>
              <w:rPr>
                <w:rFonts w:ascii="Times New Roman" w:hAnsi="Times New Roman" w:cs="Times New Roman" w:eastAsia="Times New Roman" w:hint="default"/>
                <w:spacing w:val="-22"/>
                <w:sz w:val="18"/>
                <w:szCs w:val="18"/>
              </w:rPr>
              <w:t>1</w:t>
            </w:r>
            <w:r>
              <w:rPr>
                <w:rFonts w:ascii="宋体" w:hAnsi="宋体" w:cs="宋体" w:eastAsia="宋体" w:hint="default"/>
                <w:spacing w:val="-22"/>
                <w:sz w:val="18"/>
                <w:szCs w:val="18"/>
              </w:rPr>
              <w:t>．公</w:t>
            </w:r>
            <w:r>
              <w:rPr>
                <w:rFonts w:ascii="宋体" w:hAnsi="宋体" w:cs="宋体" w:eastAsia="宋体" w:hint="default"/>
                <w:spacing w:val="-51"/>
                <w:sz w:val="18"/>
                <w:szCs w:val="18"/>
              </w:rPr>
              <w:t> </w:t>
            </w:r>
            <w:r>
              <w:rPr>
                <w:rFonts w:ascii="宋体" w:hAnsi="宋体" w:cs="宋体" w:eastAsia="宋体" w:hint="default"/>
                <w:sz w:val="18"/>
                <w:szCs w:val="18"/>
              </w:rPr>
              <w:t>司董事会（由</w:t>
            </w:r>
            <w:r>
              <w:rPr>
                <w:rFonts w:ascii="宋体" w:hAnsi="宋体" w:cs="宋体" w:eastAsia="宋体" w:hint="default"/>
                <w:sz w:val="18"/>
                <w:szCs w:val="18"/>
              </w:rPr>
              <w:t> 董事会秘书 牵头）认真组 织论证关于 稳定公司股 价预案、回购 新股以及赔 偿投资者损 失的具体执 </w:t>
            </w:r>
            <w:r>
              <w:rPr>
                <w:rFonts w:ascii="宋体" w:hAnsi="宋体" w:cs="宋体" w:eastAsia="宋体" w:hint="default"/>
                <w:spacing w:val="-22"/>
                <w:sz w:val="18"/>
                <w:szCs w:val="18"/>
              </w:rPr>
              <w:t>行方案；</w:t>
            </w: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．公</w:t>
            </w:r>
            <w:r>
              <w:rPr>
                <w:rFonts w:ascii="宋体" w:hAnsi="宋体" w:cs="宋体" w:eastAsia="宋体" w:hint="default"/>
                <w:spacing w:val="-51"/>
                <w:sz w:val="18"/>
                <w:szCs w:val="18"/>
              </w:rPr>
              <w:t> </w:t>
            </w:r>
            <w:r>
              <w:rPr>
                <w:rFonts w:ascii="宋体" w:hAnsi="宋体" w:cs="宋体" w:eastAsia="宋体" w:hint="default"/>
                <w:sz w:val="18"/>
                <w:szCs w:val="18"/>
              </w:rPr>
              <w:t>司证券部及</w:t>
            </w:r>
            <w:r>
              <w:rPr>
                <w:rFonts w:ascii="宋体" w:hAnsi="宋体" w:cs="宋体" w:eastAsia="宋体" w:hint="default"/>
                <w:sz w:val="18"/>
                <w:szCs w:val="18"/>
              </w:rPr>
              <w:t> 负责人员，应 当及时向投 资者解释上 述具体执行 方案的制定、 讨论及实施 情况；</w:t>
            </w:r>
            <w:r>
              <w:rPr>
                <w:rFonts w:ascii="Times New Roman" w:hAnsi="Times New Roman" w:cs="Times New Roman" w:eastAsia="Times New Roman" w:hint="default"/>
                <w:sz w:val="18"/>
                <w:szCs w:val="18"/>
              </w:rPr>
              <w:t>3</w:t>
            </w:r>
            <w:r>
              <w:rPr>
                <w:rFonts w:ascii="宋体" w:hAnsi="宋体" w:cs="宋体" w:eastAsia="宋体" w:hint="default"/>
                <w:sz w:val="18"/>
                <w:szCs w:val="18"/>
              </w:rPr>
              <w:t>．上 述具体执行 方案的内容 及实施结果 应当依法履 行信息披露 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本次发行前， 公司控股股 东徐海江先 生对因虚假 记载、误导性 陈述或重大</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遗 漏需要回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购已发售的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原限售股及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损失作出了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 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司招股意向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书有虚假记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遗漏，对判断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发行人是 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符合法律规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定的发行条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件构成重大、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实质影响的，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人对上述违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法事 实并无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异议或经过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有权部门认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定存在上述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违法事实后，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本人应于 </w:t>
            </w:r>
            <w:r>
              <w:rPr>
                <w:rFonts w:ascii="Times New Roman" w:hAnsi="Times New Roman" w:cs="Times New Roman" w:eastAsia="Times New Roman" w:hint="default"/>
                <w:sz w:val="18"/>
                <w:szCs w:val="18"/>
              </w:rPr>
              <w:t>30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日内回购已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售股份。如公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司已完成本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次发行但尚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未上市的，回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购价格应按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 格加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上股票发行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日至回购日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银行同期存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款利率计算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的利息；如公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司已完成上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市的， 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价格应按市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场价进行回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购，并按照上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律法规规定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43.480011pt;margin-top:72.47998pt;width:80pt;height:686.5pt;mso-position-horizontal-relative:page;mso-position-vertical-relative:page;z-index:-2128168" type="#_x0000_t202" filled="false" stroked="false">
            <v:textbox inset="0,0,0,0">
              <w:txbxContent>
                <w:p>
                  <w:pPr>
                    <w:pStyle w:val="BodyText"/>
                    <w:spacing w:line="240" w:lineRule="auto" w:before="10"/>
                    <w:ind w:left="0" w:right="0"/>
                    <w:jc w:val="left"/>
                  </w:pPr>
                  <w:r>
                    <w:rPr/>
                    <w:t>此外，</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处理。</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如公司招股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意向书有虚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假记载、误导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性陈述或者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重大遗漏，致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使投资 者在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遭受损失的，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将依法赔偿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如投资者发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现上述情形，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有权启动向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提出索赔要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求或提起民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事诉讼等救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济途径，公司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及本人对 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股意向书有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虚假记载、误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者重大遗漏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的事实及赔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偿范围等无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异议， 或经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过有权部门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认定该违法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事实及赔偿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应于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内安排向投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 进行赔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 如未来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东违反了关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于回购原限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售股及损害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公司有权 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时扣留其现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金分红，直至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其履行上述</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67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相关义务之 日止。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3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9"/>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44"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4"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before="0"/>
        <w:ind w:right="40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313" w:lineRule="exact" w:before="51"/>
        <w:ind w:right="0"/>
        <w:jc w:val="left"/>
      </w:pPr>
      <w:r>
        <w:rPr/>
        <w:t>企业会计准则变化引起的会计政策变更</w:t>
      </w:r>
    </w:p>
    <w:p>
      <w:pPr>
        <w:pStyle w:val="Heading3"/>
        <w:spacing w:line="225" w:lineRule="auto"/>
        <w:ind w:right="0"/>
        <w:jc w:val="left"/>
      </w:pPr>
      <w:r>
        <w:rPr>
          <w:rFonts w:ascii="Times New Roman" w:hAnsi="Times New Roman" w:cs="Times New Roman" w:eastAsia="Times New Roman" w:hint="default"/>
        </w:rPr>
        <w:t>1.</w:t>
      </w:r>
      <w:r>
        <w:rPr/>
        <w:t>根据财政部《关于印发修订</w:t>
      </w:r>
      <w:r>
        <w:rPr>
          <w:rFonts w:ascii="Times New Roman" w:hAnsi="Times New Roman" w:cs="Times New Roman" w:eastAsia="Times New Roman" w:hint="default"/>
        </w:rPr>
        <w:t>&lt;</w:t>
      </w:r>
      <w:r>
        <w:rPr/>
        <w:t>企业会计准则第 </w:t>
      </w:r>
      <w:r>
        <w:rPr>
          <w:rFonts w:ascii="Times New Roman" w:hAnsi="Times New Roman" w:cs="Times New Roman" w:eastAsia="Times New Roman" w:hint="default"/>
        </w:rPr>
        <w:t>16 </w:t>
      </w:r>
      <w:r>
        <w:rPr>
          <w:spacing w:val="-3"/>
        </w:rPr>
        <w:t>号</w:t>
      </w:r>
      <w:r>
        <w:rPr>
          <w:rFonts w:ascii="Times New Roman" w:hAnsi="Times New Roman" w:cs="Times New Roman" w:eastAsia="Times New Roman" w:hint="default"/>
          <w:spacing w:val="-3"/>
        </w:rPr>
        <w:t>——</w:t>
      </w:r>
      <w:r>
        <w:rPr>
          <w:spacing w:val="-3"/>
        </w:rPr>
        <w:t>政府补助</w:t>
      </w:r>
      <w:r>
        <w:rPr>
          <w:rFonts w:ascii="Times New Roman" w:hAnsi="Times New Roman" w:cs="Times New Roman" w:eastAsia="Times New Roman" w:hint="default"/>
          <w:spacing w:val="-3"/>
        </w:rPr>
        <w:t>&gt;</w:t>
      </w:r>
      <w:r>
        <w:rPr>
          <w:spacing w:val="-3"/>
        </w:rPr>
        <w:t>的通知》（财会</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2"/>
        </w:rPr>
        <w:t> </w:t>
      </w:r>
      <w:r>
        <w:rPr>
          <w:rFonts w:ascii="Times New Roman" w:hAnsi="Times New Roman" w:cs="Times New Roman" w:eastAsia="Times New Roman" w:hint="default"/>
        </w:rPr>
        <w:t>15</w:t>
      </w:r>
      <w:r>
        <w:rPr>
          <w:rFonts w:ascii="Times New Roman" w:hAnsi="Times New Roman" w:cs="Times New Roman" w:eastAsia="Times New Roman" w:hint="default"/>
        </w:rPr>
        <w:t> </w:t>
      </w:r>
      <w:r>
        <w:rPr>
          <w:spacing w:val="-8"/>
        </w:rPr>
        <w:t>号）的要求，公司修改财务报表列报，与日常活动有关且与收益有关的政府补助，从利润表</w:t>
      </w:r>
      <w:r>
        <w:rPr>
          <w:rFonts w:ascii="Times New Roman" w:hAnsi="Times New Roman" w:cs="Times New Roman" w:eastAsia="Times New Roman" w:hint="default"/>
          <w:spacing w:val="-8"/>
        </w:rPr>
        <w:t>“</w:t>
      </w:r>
      <w:r>
        <w:rPr>
          <w:spacing w:val="-8"/>
        </w:rPr>
        <w:t>营</w:t>
      </w:r>
      <w:r>
        <w:rPr>
          <w:spacing w:val="-91"/>
        </w:rPr>
        <w:t> </w:t>
      </w:r>
      <w:r>
        <w:rPr/>
        <w:t>业外收入</w:t>
      </w:r>
      <w:r>
        <w:rPr>
          <w:rFonts w:ascii="Times New Roman" w:hAnsi="Times New Roman" w:cs="Times New Roman" w:eastAsia="Times New Roman" w:hint="default"/>
        </w:rPr>
        <w:t>”</w:t>
      </w:r>
      <w:r>
        <w:rPr/>
        <w:t>项目调整为利润表</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项目列报，该变更对财务状况、经营成果和现金无重 大影响。 </w:t>
      </w:r>
      <w:r>
        <w:rPr>
          <w:rFonts w:ascii="Times New Roman" w:hAnsi="Times New Roman" w:cs="Times New Roman" w:eastAsia="Times New Roman" w:hint="default"/>
        </w:rPr>
        <w:t>2.</w:t>
      </w:r>
      <w:r>
        <w:rPr/>
        <w:t>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日起执行财政部颁布的《关于印发〈企业会计准则第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 的非流动资产、处置组和终止经营〉的通知》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[2017]13</w:t>
      </w:r>
      <w:r>
        <w:rPr/>
        <w:t>号</w:t>
      </w:r>
      <w:r>
        <w:rPr>
          <w:rFonts w:ascii="Times New Roman" w:hAnsi="Times New Roman" w:cs="Times New Roman" w:eastAsia="Times New Roman" w:hint="default"/>
        </w:rPr>
        <w:t>)</w:t>
      </w:r>
      <w:r>
        <w:rPr/>
        <w:t>，上述政策变更采用未来适用 法处理。公司</w:t>
      </w:r>
      <w:r>
        <w:rPr>
          <w:rFonts w:ascii="Times New Roman" w:hAnsi="Times New Roman" w:cs="Times New Roman" w:eastAsia="Times New Roman" w:hint="default"/>
        </w:rPr>
        <w:t>2017</w:t>
      </w:r>
      <w:r>
        <w:rPr/>
        <w:t>年不涉及相关业务，故该政策对公司</w:t>
      </w:r>
      <w:r>
        <w:rPr>
          <w:rFonts w:ascii="Times New Roman" w:hAnsi="Times New Roman" w:cs="Times New Roman" w:eastAsia="Times New Roman" w:hint="default"/>
        </w:rPr>
        <w:t>2017</w:t>
      </w:r>
      <w:r>
        <w:rPr/>
        <w:t>年度财务报表不产生影响。 </w:t>
      </w:r>
      <w:r>
        <w:rPr>
          <w:rFonts w:ascii="Times New Roman" w:hAnsi="Times New Roman" w:cs="Times New Roman" w:eastAsia="Times New Roman" w:hint="default"/>
          <w:spacing w:val="-1"/>
        </w:rPr>
        <w:t>3.</w:t>
      </w:r>
      <w:r>
        <w:rPr>
          <w:spacing w:val="-1"/>
        </w:rPr>
        <w:t>根据财政部修订并颁布的《关于修订印发一般企业财务报表格式的通知》（财会</w:t>
      </w:r>
      <w:r>
        <w:rPr>
          <w:rFonts w:ascii="Times New Roman" w:hAnsi="Times New Roman" w:cs="Times New Roman" w:eastAsia="Times New Roman" w:hint="default"/>
          <w:spacing w:val="-1"/>
        </w:rPr>
        <w:t>[2017]30)</w:t>
      </w:r>
      <w:r>
        <w:rPr>
          <w:spacing w:val="-1"/>
        </w:rPr>
        <w:t>，</w:t>
      </w:r>
      <w:r>
        <w:rPr>
          <w:spacing w:val="-96"/>
        </w:rPr>
        <w:t> </w:t>
      </w:r>
      <w:r>
        <w:rPr/>
        <w:t>公司资产负债表在</w:t>
      </w:r>
      <w:r>
        <w:rPr>
          <w:rFonts w:ascii="Times New Roman" w:hAnsi="Times New Roman" w:cs="Times New Roman" w:eastAsia="Times New Roman" w:hint="default"/>
        </w:rPr>
        <w:t>“</w:t>
      </w:r>
      <w:r>
        <w:rPr/>
        <w:t>一年内到期的非流动资产</w:t>
      </w:r>
      <w:r>
        <w:rPr>
          <w:rFonts w:ascii="Times New Roman" w:hAnsi="Times New Roman" w:cs="Times New Roman" w:eastAsia="Times New Roman" w:hint="default"/>
        </w:rPr>
        <w:t>”</w:t>
      </w:r>
      <w:r>
        <w:rPr/>
        <w:t>之上新增</w:t>
      </w:r>
      <w:r>
        <w:rPr>
          <w:rFonts w:ascii="Times New Roman" w:hAnsi="Times New Roman" w:cs="Times New Roman" w:eastAsia="Times New Roman" w:hint="default"/>
        </w:rPr>
        <w:t>“</w:t>
      </w:r>
      <w:r>
        <w:rPr/>
        <w:t>持有待售资产</w:t>
      </w:r>
      <w:r>
        <w:rPr>
          <w:rFonts w:ascii="Times New Roman" w:hAnsi="Times New Roman" w:cs="Times New Roman" w:eastAsia="Times New Roman" w:hint="default"/>
        </w:rPr>
        <w:t>”</w:t>
      </w:r>
      <w:r>
        <w:rPr/>
        <w:t>项目，在</w:t>
      </w:r>
      <w:r>
        <w:rPr>
          <w:rFonts w:ascii="Times New Roman" w:hAnsi="Times New Roman" w:cs="Times New Roman" w:eastAsia="Times New Roman" w:hint="default"/>
        </w:rPr>
        <w:t>“</w:t>
      </w:r>
      <w:r>
        <w:rPr/>
        <w:t>一年内到期 的非流动负债</w:t>
      </w:r>
      <w:r>
        <w:rPr>
          <w:rFonts w:ascii="Times New Roman" w:hAnsi="Times New Roman" w:cs="Times New Roman" w:eastAsia="Times New Roman" w:hint="default"/>
        </w:rPr>
        <w:t>”</w:t>
      </w:r>
      <w:r>
        <w:rPr/>
        <w:t>之上新增</w:t>
      </w:r>
      <w:r>
        <w:rPr>
          <w:rFonts w:ascii="Times New Roman" w:hAnsi="Times New Roman" w:cs="Times New Roman" w:eastAsia="Times New Roman" w:hint="default"/>
        </w:rPr>
        <w:t>“</w:t>
      </w:r>
      <w:r>
        <w:rPr/>
        <w:t>持有待售负债</w:t>
      </w:r>
      <w:r>
        <w:rPr>
          <w:rFonts w:ascii="Times New Roman" w:hAnsi="Times New Roman" w:cs="Times New Roman" w:eastAsia="Times New Roman" w:hint="default"/>
        </w:rPr>
        <w:t>”</w:t>
      </w:r>
      <w:r>
        <w:rPr/>
        <w:t>项目；利润表在</w:t>
      </w:r>
      <w:r>
        <w:rPr>
          <w:rFonts w:ascii="Times New Roman" w:hAnsi="Times New Roman" w:cs="Times New Roman" w:eastAsia="Times New Roman" w:hint="default"/>
        </w:rPr>
        <w:t>“</w:t>
      </w:r>
      <w:r>
        <w:rPr/>
        <w:t>汇兑收益</w:t>
      </w:r>
      <w:r>
        <w:rPr>
          <w:rFonts w:ascii="Times New Roman" w:hAnsi="Times New Roman" w:cs="Times New Roman" w:eastAsia="Times New Roman" w:hint="default"/>
        </w:rPr>
        <w:t>”</w:t>
      </w:r>
      <w:r>
        <w:rPr/>
        <w:t>之上新增</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项目，在</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之上新增</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项目，在</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之下新增</w:t>
      </w:r>
      <w:r>
        <w:rPr>
          <w:rFonts w:ascii="Times New Roman" w:hAnsi="Times New Roman" w:cs="Times New Roman" w:eastAsia="Times New Roman" w:hint="default"/>
        </w:rPr>
        <w:t>“</w:t>
      </w:r>
      <w:r>
        <w:rPr/>
        <w:t>持续经营净利润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终</w:t>
      </w:r>
    </w:p>
    <w:p>
      <w:pPr>
        <w:spacing w:after="0" w:line="225" w:lineRule="auto"/>
        <w:jc w:val="left"/>
        <w:sectPr>
          <w:pgSz w:w="11910" w:h="16840"/>
          <w:pgMar w:header="747" w:footer="979" w:top="1060" w:bottom="1160" w:left="980" w:right="900"/>
        </w:sectPr>
      </w:pPr>
    </w:p>
    <w:p>
      <w:pPr>
        <w:spacing w:line="240" w:lineRule="auto" w:before="7"/>
        <w:rPr>
          <w:rFonts w:ascii="宋体" w:hAnsi="宋体" w:cs="宋体" w:eastAsia="宋体" w:hint="default"/>
          <w:sz w:val="23"/>
          <w:szCs w:val="23"/>
        </w:rPr>
      </w:pPr>
    </w:p>
    <w:p>
      <w:pPr>
        <w:pStyle w:val="Heading3"/>
        <w:spacing w:line="312" w:lineRule="exact" w:before="56"/>
        <w:ind w:right="1131"/>
        <w:jc w:val="left"/>
      </w:pPr>
      <w:r>
        <w:rPr>
          <w:spacing w:val="-2"/>
        </w:rPr>
        <w:t>止经营净利润</w:t>
      </w:r>
      <w:r>
        <w:rPr>
          <w:rFonts w:ascii="Times New Roman" w:hAnsi="Times New Roman" w:cs="Times New Roman" w:eastAsia="Times New Roman" w:hint="default"/>
          <w:spacing w:val="-2"/>
        </w:rPr>
        <w:t>”</w:t>
      </w:r>
      <w:r>
        <w:rPr>
          <w:spacing w:val="-2"/>
        </w:rPr>
        <w:t>项目。该会计政策变更采用追溯调整法处理，由于</w:t>
      </w:r>
      <w:r>
        <w:rPr>
          <w:rFonts w:ascii="Times New Roman" w:hAnsi="Times New Roman" w:cs="Times New Roman" w:eastAsia="Times New Roman" w:hint="default"/>
          <w:spacing w:val="-2"/>
        </w:rPr>
        <w:t>2016</w:t>
      </w:r>
      <w:r>
        <w:rPr>
          <w:spacing w:val="-2"/>
        </w:rPr>
        <w:t>年度不存在该项会计政</w:t>
      </w:r>
      <w:r>
        <w:rPr>
          <w:spacing w:val="-104"/>
        </w:rPr>
        <w:t> </w:t>
      </w:r>
      <w:r>
        <w:rPr/>
        <w:t>策变更所涉及的交易事项，故本次变更对</w:t>
      </w:r>
      <w:r>
        <w:rPr>
          <w:rFonts w:ascii="Times New Roman" w:hAnsi="Times New Roman" w:cs="Times New Roman" w:eastAsia="Times New Roman" w:hint="default"/>
        </w:rPr>
        <w:t>2017</w:t>
      </w:r>
      <w:r>
        <w:rPr/>
        <w:t>年度财务报表的可比数据无影响。</w:t>
      </w:r>
    </w:p>
    <w:p>
      <w:pPr>
        <w:spacing w:line="240" w:lineRule="auto" w:before="10"/>
        <w:rPr>
          <w:rFonts w:ascii="宋体" w:hAnsi="宋体" w:cs="宋体" w:eastAsia="宋体" w:hint="default"/>
          <w:sz w:val="20"/>
          <w:szCs w:val="20"/>
        </w:rPr>
      </w:pPr>
    </w:p>
    <w:p>
      <w:pPr>
        <w:pStyle w:val="Heading2"/>
        <w:spacing w:line="240" w:lineRule="auto"/>
        <w:ind w:right="1131"/>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40" w:lineRule="auto" w:before="75"/>
        <w:ind w:right="1131"/>
        <w:jc w:val="left"/>
      </w:pPr>
      <w:r>
        <w:rPr>
          <w:rFonts w:ascii="Times New Roman" w:hAnsi="Times New Roman" w:cs="Times New Roman" w:eastAsia="Times New Roman" w:hint="default"/>
        </w:rPr>
        <w:t>1.</w:t>
      </w:r>
      <w:r>
        <w:rPr/>
        <w:t>非同一控制下企业合并</w:t>
      </w:r>
    </w:p>
    <w:p>
      <w:pPr>
        <w:spacing w:line="240" w:lineRule="auto" w:before="13"/>
        <w:rPr>
          <w:rFonts w:ascii="宋体" w:hAnsi="宋体" w:cs="宋体" w:eastAsia="宋体" w:hint="default"/>
          <w:sz w:val="11"/>
          <w:szCs w:val="11"/>
        </w:rPr>
      </w:pPr>
    </w:p>
    <w:p>
      <w:pPr>
        <w:spacing w:line="1005" w:lineRule="exact"/>
        <w:ind w:left="154" w:right="0" w:firstLine="0"/>
        <w:rPr>
          <w:rFonts w:ascii="宋体" w:hAnsi="宋体" w:cs="宋体" w:eastAsia="宋体" w:hint="default"/>
          <w:sz w:val="20"/>
          <w:szCs w:val="20"/>
        </w:rPr>
      </w:pPr>
      <w:r>
        <w:rPr>
          <w:rFonts w:ascii="宋体" w:hAnsi="宋体" w:cs="宋体" w:eastAsia="宋体" w:hint="default"/>
          <w:position w:val="-19"/>
          <w:sz w:val="20"/>
          <w:szCs w:val="20"/>
        </w:rPr>
        <w:drawing>
          <wp:inline distT="0" distB="0" distL="0" distR="0">
            <wp:extent cx="6660872" cy="6381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6660872" cy="638175"/>
                    </a:xfrm>
                    <a:prstGeom prst="rect">
                      <a:avLst/>
                    </a:prstGeom>
                  </pic:spPr>
                </pic:pic>
              </a:graphicData>
            </a:graphic>
          </wp:inline>
        </w:drawing>
      </w:r>
      <w:r>
        <w:rPr>
          <w:rFonts w:ascii="宋体" w:hAnsi="宋体" w:cs="宋体" w:eastAsia="宋体" w:hint="default"/>
          <w:position w:val="-19"/>
          <w:sz w:val="20"/>
          <w:szCs w:val="20"/>
        </w:rPr>
      </w:r>
    </w:p>
    <w:p>
      <w:pPr>
        <w:pStyle w:val="BodyText"/>
        <w:spacing w:line="240" w:lineRule="auto" w:before="132"/>
        <w:ind w:right="1131"/>
        <w:jc w:val="left"/>
      </w:pPr>
      <w:r>
        <w:rPr/>
        <w:pict>
          <v:shape style="position:absolute;margin-left:56.700001pt;margin-top:43.9617pt;width:538.620007pt;height:64.5pt;mso-position-horizontal-relative:page;mso-position-vertical-relative:paragraph;z-index:2584" type="#_x0000_t75" stroked="false">
            <v:imagedata r:id="rId23" o:title=""/>
          </v:shape>
        </w:pict>
      </w:r>
      <w:r>
        <w:rPr>
          <w:rFonts w:ascii="Times New Roman" w:hAnsi="Times New Roman" w:cs="Times New Roman" w:eastAsia="Times New Roman" w:hint="default"/>
        </w:rPr>
        <w:t>2.</w:t>
      </w:r>
      <w:r>
        <w:rPr/>
        <w:t>其他原因的合并范围变动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Heading2"/>
        <w:spacing w:line="240" w:lineRule="auto" w:before="26"/>
        <w:ind w:right="1131"/>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131"/>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tabs>
                <w:tab w:pos="833" w:val="left" w:leader="none"/>
              </w:tabs>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齐晓丽</w:t>
              <w:tab/>
              <w:t>李灵辉</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31"/>
        <w:jc w:val="left"/>
      </w:pPr>
      <w:r>
        <w:rPr/>
        <w:t>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28"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本年度聘请华泰联合证券有限责任公司和国泰君安证券股份有限公司为独立财务顾问，报告期内公司未向华泰联合支付财务</w:t>
      </w:r>
      <w:r>
        <w:rPr>
          <w:spacing w:val="-64"/>
        </w:rPr>
        <w:t> </w:t>
      </w:r>
      <w:r>
        <w:rPr>
          <w:spacing w:val="-64"/>
        </w:rPr>
      </w:r>
      <w:r>
        <w:rPr/>
        <w:t>顾问费；向国泰君安支付财务顾问费</w:t>
      </w:r>
      <w:r>
        <w:rPr>
          <w:rFonts w:ascii="Times New Roman" w:hAnsi="Times New Roman" w:cs="Times New Roman" w:eastAsia="Times New Roman" w:hint="default"/>
        </w:rPr>
        <w:t>50</w:t>
      </w:r>
      <w:r>
        <w:rPr/>
        <w:t>万及承销费</w:t>
      </w:r>
      <w:r>
        <w:rPr>
          <w:rFonts w:ascii="Times New Roman" w:hAnsi="Times New Roman" w:cs="Times New Roman" w:eastAsia="Times New Roman" w:hint="default"/>
        </w:rPr>
        <w:t>1,444.95</w:t>
      </w:r>
      <w:r>
        <w:rPr/>
        <w:t>万元。</w:t>
      </w:r>
    </w:p>
    <w:p>
      <w:pPr>
        <w:spacing w:after="0" w:line="328"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3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5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65"/>
        <w:gridCol w:w="1073"/>
        <w:gridCol w:w="1077"/>
        <w:gridCol w:w="1224"/>
        <w:gridCol w:w="1080"/>
        <w:gridCol w:w="1349"/>
        <w:gridCol w:w="1347"/>
        <w:gridCol w:w="1330"/>
      </w:tblGrid>
      <w:tr>
        <w:trPr>
          <w:trHeight w:val="38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71"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2" w:right="0"/>
              <w:jc w:val="left"/>
              <w:rPr>
                <w:rFonts w:ascii="宋体" w:hAnsi="宋体" w:cs="宋体" w:eastAsia="宋体" w:hint="default"/>
                <w:sz w:val="18"/>
                <w:szCs w:val="18"/>
              </w:rPr>
            </w:pPr>
            <w:r>
              <w:rPr>
                <w:rFonts w:ascii="宋体" w:hAnsi="宋体" w:cs="宋体" w:eastAsia="宋体" w:hint="default"/>
                <w:sz w:val="18"/>
                <w:szCs w:val="18"/>
              </w:rPr>
              <w:t>被投资企业</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6" w:right="0"/>
              <w:jc w:val="left"/>
              <w:rPr>
                <w:rFonts w:ascii="宋体" w:hAnsi="宋体" w:cs="宋体" w:eastAsia="宋体" w:hint="default"/>
                <w:sz w:val="18"/>
                <w:szCs w:val="18"/>
              </w:rPr>
            </w:pPr>
            <w:r>
              <w:rPr>
                <w:rFonts w:ascii="宋体" w:hAnsi="宋体" w:cs="宋体" w:eastAsia="宋体" w:hint="default"/>
                <w:sz w:val="18"/>
                <w:szCs w:val="18"/>
              </w:rPr>
              <w:t>被投资企业的</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4" w:right="0"/>
              <w:jc w:val="left"/>
              <w:rPr>
                <w:rFonts w:ascii="宋体" w:hAnsi="宋体" w:cs="宋体" w:eastAsia="宋体" w:hint="default"/>
                <w:sz w:val="18"/>
                <w:szCs w:val="18"/>
              </w:rPr>
            </w:pPr>
            <w:r>
              <w:rPr>
                <w:rFonts w:ascii="宋体" w:hAnsi="宋体" w:cs="宋体" w:eastAsia="宋体" w:hint="default"/>
                <w:sz w:val="18"/>
                <w:szCs w:val="18"/>
              </w:rPr>
              <w:t>被投资企业</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被投资企业的总</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被投资企业的净</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被投资企业的净</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362"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62" w:right="0"/>
              <w:jc w:val="left"/>
              <w:rPr>
                <w:rFonts w:ascii="宋体" w:hAnsi="宋体" w:cs="宋体" w:eastAsia="宋体" w:hint="default"/>
                <w:sz w:val="18"/>
                <w:szCs w:val="18"/>
              </w:rPr>
            </w:pPr>
            <w:r>
              <w:rPr>
                <w:rFonts w:ascii="宋体" w:hAnsi="宋体" w:cs="宋体" w:eastAsia="宋体" w:hint="default"/>
                <w:sz w:val="18"/>
                <w:szCs w:val="18"/>
              </w:rPr>
              <w:t>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5" w:right="0"/>
              <w:jc w:val="left"/>
              <w:rPr>
                <w:rFonts w:ascii="宋体" w:hAnsi="宋体" w:cs="宋体" w:eastAsia="宋体" w:hint="default"/>
                <w:sz w:val="18"/>
                <w:szCs w:val="18"/>
              </w:rPr>
            </w:pPr>
            <w:r>
              <w:rPr>
                <w:rFonts w:ascii="宋体" w:hAnsi="宋体" w:cs="宋体" w:eastAsia="宋体" w:hint="default"/>
                <w:sz w:val="18"/>
                <w:szCs w:val="18"/>
              </w:rPr>
              <w:t>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9" w:right="0"/>
              <w:jc w:val="left"/>
              <w:rPr>
                <w:rFonts w:ascii="宋体" w:hAnsi="宋体" w:cs="宋体" w:eastAsia="宋体" w:hint="default"/>
                <w:sz w:val="18"/>
                <w:szCs w:val="18"/>
              </w:rPr>
            </w:pPr>
            <w:r>
              <w:rPr>
                <w:rFonts w:ascii="宋体" w:hAnsi="宋体" w:cs="宋体" w:eastAsia="宋体" w:hint="default"/>
                <w:sz w:val="18"/>
                <w:szCs w:val="18"/>
              </w:rPr>
              <w:t>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8" w:right="0"/>
              <w:jc w:val="left"/>
              <w:rPr>
                <w:rFonts w:ascii="宋体" w:hAnsi="宋体" w:cs="宋体" w:eastAsia="宋体" w:hint="default"/>
                <w:sz w:val="18"/>
                <w:szCs w:val="18"/>
              </w:rPr>
            </w:pPr>
            <w:r>
              <w:rPr>
                <w:rFonts w:ascii="宋体" w:hAnsi="宋体" w:cs="宋体" w:eastAsia="宋体" w:hint="default"/>
                <w:sz w:val="18"/>
                <w:szCs w:val="18"/>
              </w:rPr>
              <w:t>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5" w:right="0"/>
              <w:jc w:val="left"/>
              <w:rPr>
                <w:rFonts w:ascii="宋体" w:hAnsi="宋体" w:cs="宋体" w:eastAsia="宋体" w:hint="default"/>
                <w:sz w:val="18"/>
                <w:szCs w:val="18"/>
              </w:rPr>
            </w:pPr>
            <w:r>
              <w:rPr>
                <w:rFonts w:ascii="宋体" w:hAnsi="宋体" w:cs="宋体" w:eastAsia="宋体" w:hint="default"/>
                <w:sz w:val="18"/>
                <w:szCs w:val="18"/>
              </w:rPr>
              <w:t>利润（万元）</w:t>
            </w:r>
          </w:p>
        </w:tc>
      </w:tr>
      <w:tr>
        <w:trPr>
          <w:trHeight w:val="1026"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2"/>
              <w:jc w:val="both"/>
              <w:rPr>
                <w:rFonts w:ascii="宋体" w:hAnsi="宋体" w:cs="宋体" w:eastAsia="宋体" w:hint="default"/>
                <w:sz w:val="18"/>
                <w:szCs w:val="18"/>
              </w:rPr>
            </w:pPr>
            <w:r>
              <w:rPr>
                <w:rFonts w:ascii="宋体" w:hAnsi="宋体" w:cs="宋体" w:eastAsia="宋体" w:hint="default"/>
                <w:sz w:val="18"/>
                <w:szCs w:val="18"/>
              </w:rPr>
              <w:t>吉林省金冠 投资有限公 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公司控股股 东控股的公 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湖州金冠鸿 图隔膜科技 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8"/>
              <w:jc w:val="both"/>
              <w:rPr>
                <w:rFonts w:ascii="宋体" w:hAnsi="宋体" w:cs="宋体" w:eastAsia="宋体" w:hint="default"/>
                <w:sz w:val="18"/>
                <w:szCs w:val="18"/>
              </w:rPr>
            </w:pPr>
            <w:r>
              <w:rPr>
                <w:rFonts w:ascii="宋体" w:hAnsi="宋体" w:cs="宋体" w:eastAsia="宋体" w:hint="default"/>
                <w:sz w:val="18"/>
                <w:szCs w:val="18"/>
              </w:rPr>
              <w:t>锂离子电池隔 膜的研发、生 产、销售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1,299.99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4" w:right="0"/>
              <w:jc w:val="left"/>
              <w:rPr>
                <w:rFonts w:ascii="Times New Roman" w:hAnsi="Times New Roman" w:cs="Times New Roman" w:eastAsia="Times New Roman" w:hint="default"/>
                <w:sz w:val="18"/>
                <w:szCs w:val="18"/>
              </w:rPr>
            </w:pPr>
            <w:r>
              <w:rPr>
                <w:rFonts w:ascii="Times New Roman"/>
                <w:sz w:val="18"/>
              </w:rPr>
              <w:t>1,299.99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r>
      <w:tr>
        <w:trPr>
          <w:trHeight w:val="3210"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日，公司第四届董事会二十六次董事会审议同意公司拟与金冠投资共同出资</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万元人民币在浙江省湖州市经济技术开发区设立湖州金冠鸿图隔膜科技有限公司，湖州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金冠成立后，拟建设年产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亿㎡湖州锂离子电池隔膜生产基地项目。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司第四届董事会第三十二次会议审议通过湖州金冠拟使用自有资金以不超过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w:t>
            </w:r>
          </w:p>
          <w:p>
            <w:pPr>
              <w:pStyle w:val="TableParagraph"/>
              <w:spacing w:line="316" w:lineRule="auto" w:before="63"/>
              <w:ind w:left="22" w:right="21"/>
              <w:jc w:val="left"/>
              <w:rPr>
                <w:rFonts w:ascii="宋体" w:hAnsi="宋体" w:cs="宋体" w:eastAsia="宋体" w:hint="default"/>
                <w:sz w:val="18"/>
                <w:szCs w:val="18"/>
              </w:rPr>
            </w:pPr>
            <w:r>
              <w:rPr>
                <w:rFonts w:ascii="宋体" w:hAnsi="宋体" w:cs="宋体" w:eastAsia="宋体" w:hint="default"/>
                <w:spacing w:val="-1"/>
                <w:sz w:val="18"/>
                <w:szCs w:val="18"/>
              </w:rPr>
              <w:t>（最终价格以招拍挂确定的价格为准）的价格，通过招拍挂方式购买位于浙江省湖州市经济技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术开发区康山分区，康山大道以西、王家漾路以北、七里亭港以东的约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250.199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亩土地使用权</w:t>
            </w: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pacing w:val="-3"/>
                <w:sz w:val="18"/>
                <w:szCs w:val="18"/>
              </w:rPr>
              <w:t>（最终面积以实际出让文件为准），以作为湖州金冠锂离子电池隔膜产业基地的建设用地。湖</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州金冠按照国家土地出让的相关规定参与了竞拍，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日，湖州金冠与湖州市国土</w:t>
            </w:r>
          </w:p>
          <w:p>
            <w:pPr>
              <w:pStyle w:val="TableParagraph"/>
              <w:spacing w:line="302" w:lineRule="auto"/>
              <w:ind w:left="22" w:right="20"/>
              <w:jc w:val="left"/>
              <w:rPr>
                <w:rFonts w:ascii="宋体" w:hAnsi="宋体" w:cs="宋体" w:eastAsia="宋体" w:hint="default"/>
                <w:sz w:val="18"/>
                <w:szCs w:val="18"/>
              </w:rPr>
            </w:pPr>
            <w:r>
              <w:rPr>
                <w:rFonts w:ascii="宋体" w:hAnsi="宋体" w:cs="宋体" w:eastAsia="宋体" w:hint="default"/>
                <w:sz w:val="18"/>
                <w:szCs w:val="18"/>
              </w:rPr>
              <w:t>资源局开发区分局签订</w:t>
            </w:r>
            <w:r>
              <w:rPr>
                <w:rFonts w:ascii="宋体" w:hAnsi="宋体" w:cs="宋体" w:eastAsia="宋体" w:hint="default"/>
                <w:spacing w:val="-21"/>
                <w:sz w:val="18"/>
                <w:szCs w:val="18"/>
              </w:rPr>
              <w:t>了</w:t>
            </w:r>
            <w:r>
              <w:rPr>
                <w:rFonts w:ascii="宋体" w:hAnsi="宋体" w:cs="宋体" w:eastAsia="宋体" w:hint="default"/>
                <w:sz w:val="18"/>
                <w:szCs w:val="18"/>
              </w:rPr>
              <w:t>《国有建设用地使用权出让合同</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1"/>
                <w:sz w:val="18"/>
                <w:szCs w:val="18"/>
              </w:rPr>
              <w:t>，</w:t>
            </w:r>
            <w:r>
              <w:rPr>
                <w:rFonts w:ascii="宋体" w:hAnsi="宋体" w:cs="宋体" w:eastAsia="宋体" w:hint="default"/>
                <w:sz w:val="18"/>
                <w:szCs w:val="18"/>
              </w:rPr>
              <w:t>湖</w:t>
            </w:r>
            <w:r>
              <w:rPr>
                <w:rFonts w:ascii="宋体" w:hAnsi="宋体" w:cs="宋体" w:eastAsia="宋体" w:hint="default"/>
                <w:spacing w:val="1"/>
                <w:sz w:val="18"/>
                <w:szCs w:val="18"/>
              </w:rPr>
              <w:t>州</w:t>
            </w:r>
            <w:r>
              <w:rPr>
                <w:rFonts w:ascii="宋体" w:hAnsi="宋体" w:cs="宋体" w:eastAsia="宋体" w:hint="default"/>
                <w:sz w:val="18"/>
                <w:szCs w:val="18"/>
              </w:rPr>
              <w:t>金冠收到</w:t>
            </w:r>
            <w:r>
              <w:rPr>
                <w:rFonts w:ascii="宋体" w:hAnsi="宋体" w:cs="宋体" w:eastAsia="宋体" w:hint="default"/>
                <w:sz w:val="18"/>
                <w:szCs w:val="18"/>
              </w:rPr>
              <w:t> 了湖州市国土资源局颁发的《中华人民共和国不动产权证书</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3"/>
        <w:ind w:right="85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应收关联方债权</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934"/>
        <w:gridCol w:w="943"/>
        <w:gridCol w:w="958"/>
        <w:gridCol w:w="957"/>
        <w:gridCol w:w="958"/>
        <w:gridCol w:w="956"/>
        <w:gridCol w:w="958"/>
        <w:gridCol w:w="957"/>
        <w:gridCol w:w="958"/>
        <w:gridCol w:w="992"/>
      </w:tblGrid>
      <w:tr>
        <w:trPr>
          <w:trHeight w:val="1026"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026"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9"/>
              <w:jc w:val="both"/>
              <w:rPr>
                <w:rFonts w:ascii="宋体" w:hAnsi="宋体" w:cs="宋体" w:eastAsia="宋体" w:hint="default"/>
                <w:sz w:val="18"/>
                <w:szCs w:val="18"/>
              </w:rPr>
            </w:pPr>
            <w:r>
              <w:rPr>
                <w:rFonts w:ascii="宋体" w:hAnsi="宋体" w:cs="宋体" w:eastAsia="宋体" w:hint="default"/>
                <w:sz w:val="18"/>
                <w:szCs w:val="18"/>
              </w:rPr>
              <w:t>南京能策 投资管理 有限公司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84"/>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厂房及车辆 租赁</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62.38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108.52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170.9</w:t>
            </w:r>
          </w:p>
        </w:tc>
      </w:tr>
      <w:tr>
        <w:trPr>
          <w:trHeight w:val="715" w:hRule="exact"/>
        </w:trPr>
        <w:tc>
          <w:tcPr>
            <w:tcW w:w="18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增加公司期末应收账款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万元，本报告期内确认租赁收入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95.23 </w:t>
            </w:r>
            <w:r>
              <w:rPr>
                <w:rFonts w:ascii="宋体" w:hAnsi="宋体" w:cs="宋体" w:eastAsia="宋体" w:hint="default"/>
                <w:sz w:val="18"/>
                <w:szCs w:val="18"/>
              </w:rPr>
              <w:t>万元，影响净利润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51"/>
        <w:ind w:right="0"/>
        <w:jc w:val="left"/>
      </w:pPr>
      <w:r>
        <w:rPr/>
        <w:t>应付关联方债务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58"/>
        <w:gridCol w:w="1038"/>
        <w:gridCol w:w="1045"/>
        <w:gridCol w:w="1044"/>
        <w:gridCol w:w="1044"/>
        <w:gridCol w:w="1044"/>
        <w:gridCol w:w="1044"/>
        <w:gridCol w:w="1044"/>
        <w:gridCol w:w="1106"/>
      </w:tblGrid>
      <w:tr>
        <w:trPr>
          <w:trHeight w:val="713" w:hRule="exact"/>
        </w:trPr>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68" w:right="20"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402"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资金资助</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南京能策投资 管理有限公司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79"/>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资金资助</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3,078.85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3,078.85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2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增加公司期末资本公积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万元，增加财务费用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万元，影响净利润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00" w:lineRule="auto"/>
        <w:ind w:right="149"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日，公司第四届董事会第十八次会议审议通过了《关于向关联方借款事项的议案》，同日公司与公司</w:t>
      </w:r>
      <w:r>
        <w:rPr/>
        <w:t> 控股股东、实际控制人徐海江先生签署了《借款合同》，公司向关联方徐海江先生申请借款人民币</w:t>
      </w:r>
      <w:r>
        <w:rPr>
          <w:rFonts w:ascii="Times New Roman" w:hAnsi="Times New Roman" w:cs="Times New Roman" w:eastAsia="Times New Roman" w:hint="default"/>
        </w:rPr>
        <w:t>3,000</w:t>
      </w:r>
      <w:r>
        <w:rPr/>
        <w:t>万元，利息不高于 </w:t>
      </w:r>
      <w:r>
        <w:rPr>
          <w:spacing w:val="-1"/>
        </w:rPr>
        <w:t>徐海江先生获得上述资金所支付的成本，且不高于</w:t>
      </w:r>
      <w:r>
        <w:rPr>
          <w:rFonts w:ascii="Times New Roman" w:hAnsi="Times New Roman" w:cs="Times New Roman" w:eastAsia="Times New Roman" w:hint="default"/>
          <w:spacing w:val="-1"/>
        </w:rPr>
        <w:t>8%/</w:t>
      </w:r>
      <w:r>
        <w:rPr>
          <w:spacing w:val="-1"/>
        </w:rPr>
        <w:t>年，期限为自借款本金实际支付之日起</w:t>
      </w:r>
      <w:r>
        <w:rPr>
          <w:rFonts w:ascii="Times New Roman" w:hAnsi="Times New Roman" w:cs="Times New Roman" w:eastAsia="Times New Roman" w:hint="default"/>
          <w:spacing w:val="-1"/>
        </w:rPr>
        <w:t>12</w:t>
      </w:r>
      <w:r>
        <w:rPr>
          <w:spacing w:val="-1"/>
        </w:rPr>
        <w:t>个月。上述借款还款日期为</w:t>
      </w:r>
      <w:r>
        <w:rPr>
          <w:spacing w:val="-46"/>
        </w:rPr>
        <w:t> </w:t>
      </w:r>
      <w:r>
        <w:rPr>
          <w:spacing w:val="-46"/>
        </w:rPr>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17</w:t>
      </w:r>
      <w:r>
        <w:rPr>
          <w:spacing w:val="-1"/>
        </w:rPr>
        <w:t>日，借款实际时间为</w:t>
      </w:r>
      <w:r>
        <w:rPr>
          <w:rFonts w:ascii="Times New Roman" w:hAnsi="Times New Roman" w:cs="Times New Roman" w:eastAsia="Times New Roman" w:hint="default"/>
          <w:spacing w:val="-1"/>
        </w:rPr>
        <w:t>66</w:t>
      </w:r>
      <w:r>
        <w:rPr>
          <w:spacing w:val="-1"/>
        </w:rPr>
        <w:t>天，徐海江先生承诺自愿且永久地放弃因上述债权产生的利息。只收取本金人民币</w:t>
      </w:r>
      <w:r>
        <w:rPr>
          <w:rFonts w:ascii="Times New Roman" w:hAnsi="Times New Roman" w:cs="Times New Roman" w:eastAsia="Times New Roman" w:hint="default"/>
          <w:spacing w:val="-1"/>
        </w:rPr>
        <w:t>3,000</w:t>
      </w:r>
      <w:r>
        <w:rPr>
          <w:rFonts w:ascii="Times New Roman" w:hAnsi="Times New Roman" w:cs="Times New Roman" w:eastAsia="Times New Roman" w:hint="default"/>
          <w:spacing w:val="-23"/>
        </w:rPr>
        <w:t> </w:t>
      </w:r>
      <w:r>
        <w:rPr/>
        <w:t>万元整。</w:t>
      </w:r>
    </w:p>
    <w:p>
      <w:pPr>
        <w:pStyle w:val="BodyText"/>
        <w:spacing w:line="300" w:lineRule="auto" w:before="31"/>
        <w:ind w:right="151"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16</w:t>
      </w:r>
      <w:r>
        <w:rPr>
          <w:spacing w:val="-2"/>
        </w:rPr>
        <w:t>日，公司发行股份及支付现金购买南京能瑞并募集配套资金事宜经中国证监会上市公司并购重组审核</w:t>
      </w:r>
      <w:r>
        <w:rPr/>
        <w:t> 委员会</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13</w:t>
      </w:r>
      <w:r>
        <w:rPr/>
        <w:t>次并购重组委工作会议审核，获得无条件通过。</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日上述事项完成资产交割程序，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 </w:t>
      </w:r>
      <w:r>
        <w:rPr/>
        <w:t>日，新增股份正式上市。</w:t>
      </w:r>
    </w:p>
    <w:p>
      <w:pPr>
        <w:pStyle w:val="BodyText"/>
        <w:spacing w:line="300" w:lineRule="auto" w:before="31"/>
        <w:ind w:right="231" w:firstLine="360"/>
        <w:jc w:val="both"/>
      </w:pPr>
      <w:r>
        <w:rPr/>
        <w:t>（</w:t>
      </w:r>
      <w:r>
        <w:rPr>
          <w:rFonts w:ascii="Times New Roman" w:hAnsi="Times New Roman" w:cs="Times New Roman" w:eastAsia="Times New Roman" w:hint="default"/>
        </w:rPr>
        <w:t>3</w:t>
      </w:r>
      <w:r>
        <w:rPr/>
        <w:t>）经中国证监会上市公司并购重组审核委员会于召开的 </w:t>
      </w:r>
      <w:r>
        <w:rPr>
          <w:rFonts w:ascii="Times New Roman" w:hAnsi="Times New Roman" w:cs="Times New Roman" w:eastAsia="Times New Roman" w:hint="default"/>
        </w:rPr>
        <w:t>2017 </w:t>
      </w:r>
      <w:r>
        <w:rPr/>
        <w:t>年第 </w:t>
      </w:r>
      <w:r>
        <w:rPr>
          <w:rFonts w:ascii="Times New Roman" w:hAnsi="Times New Roman" w:cs="Times New Roman" w:eastAsia="Times New Roman" w:hint="default"/>
        </w:rPr>
        <w:t>76</w:t>
      </w:r>
      <w:r>
        <w:rPr>
          <w:rFonts w:ascii="Times New Roman" w:hAnsi="Times New Roman" w:cs="Times New Roman" w:eastAsia="Times New Roman" w:hint="default"/>
          <w:spacing w:val="16"/>
        </w:rPr>
        <w:t> </w:t>
      </w:r>
      <w:r>
        <w:rPr/>
        <w:t>次并购重组委工作会议审核，公司发行股份 及支付现金购买辽源鸿图并募集配套资金暨关联交易事项获得有条件通过。</w:t>
      </w:r>
    </w:p>
    <w:p>
      <w:pPr>
        <w:pStyle w:val="BodyText"/>
        <w:spacing w:line="240" w:lineRule="auto" w:before="72"/>
        <w:ind w:right="0"/>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吉林省金冠电气股份有限公司关于向关联 方申请借款暨关联交易的公告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关于公司发行股份及支付现金购买资产并 募集配套资金事项获得中国证监会上市公 司并购重组委员会审核通过的公告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1338"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关于公司发行股份及支付现金购买资产并 募集配套资金暨关联交易事项获得中国证 监会上市公司并购重组委员会审核有条件 通过暨公司股票复牌的公告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3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spacing w:after="0" w:line="33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1294" w:lineRule="exact"/>
        <w:ind w:left="154" w:right="0" w:firstLine="0"/>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6091249" cy="822198"/>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4" cstate="print"/>
                    <a:stretch>
                      <a:fillRect/>
                    </a:stretch>
                  </pic:blipFill>
                  <pic:spPr>
                    <a:xfrm>
                      <a:off x="0" y="0"/>
                      <a:ext cx="6091249" cy="822198"/>
                    </a:xfrm>
                    <a:prstGeom prst="rect">
                      <a:avLst/>
                    </a:prstGeom>
                  </pic:spPr>
                </pic:pic>
              </a:graphicData>
            </a:graphic>
          </wp:inline>
        </w:drawing>
      </w:r>
      <w:r>
        <w:rPr>
          <w:rFonts w:ascii="宋体" w:hAnsi="宋体" w:cs="宋体" w:eastAsia="宋体" w:hint="default"/>
          <w:position w:val="-25"/>
          <w:sz w:val="20"/>
          <w:szCs w:val="20"/>
        </w:rPr>
      </w:r>
    </w:p>
    <w:p>
      <w:pPr>
        <w:spacing w:line="240" w:lineRule="auto" w:before="10"/>
        <w:rPr>
          <w:rFonts w:ascii="宋体" w:hAnsi="宋体" w:cs="宋体" w:eastAsia="宋体" w:hint="default"/>
          <w:sz w:val="10"/>
          <w:szCs w:val="10"/>
        </w:rPr>
      </w:pPr>
    </w:p>
    <w:p>
      <w:pPr>
        <w:pStyle w:val="BodyText"/>
        <w:spacing w:line="240" w:lineRule="auto"/>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2"/>
        <w:gridCol w:w="1302"/>
        <w:gridCol w:w="956"/>
        <w:gridCol w:w="107"/>
        <w:gridCol w:w="1031"/>
        <w:gridCol w:w="140"/>
        <w:gridCol w:w="912"/>
        <w:gridCol w:w="790"/>
        <w:gridCol w:w="783"/>
      </w:tblGrid>
      <w:tr>
        <w:trPr>
          <w:trHeight w:val="402" w:hRule="exact"/>
        </w:trPr>
        <w:tc>
          <w:tcPr>
            <w:tcW w:w="95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6"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南京能瑞电力科技有 限公司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4"/>
              <w:jc w:val="left"/>
              <w:rPr>
                <w:rFonts w:ascii="宋体" w:hAnsi="宋体" w:cs="宋体" w:eastAsia="宋体" w:hint="default"/>
                <w:sz w:val="18"/>
                <w:szCs w:val="18"/>
              </w:rPr>
            </w:pPr>
            <w:r>
              <w:rPr>
                <w:rFonts w:ascii="宋体" w:hAnsi="宋体" w:cs="宋体" w:eastAsia="宋体" w:hint="default"/>
                <w:sz w:val="18"/>
                <w:szCs w:val="18"/>
              </w:rPr>
              <w:t>南京能瑞电力科技有 限公司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2,000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2"/>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3"/>
              <w:jc w:val="center"/>
              <w:rPr>
                <w:rFonts w:ascii="宋体" w:hAnsi="宋体" w:cs="宋体" w:eastAsia="宋体" w:hint="default"/>
                <w:sz w:val="18"/>
                <w:szCs w:val="18"/>
              </w:rPr>
            </w:pPr>
            <w:r>
              <w:rPr>
                <w:rFonts w:ascii="宋体" w:hAnsi="宋体" w:cs="宋体" w:eastAsia="宋体" w:hint="default"/>
                <w:sz w:val="18"/>
                <w:szCs w:val="18"/>
              </w:rPr>
              <w:t>南京能瑞自动化设备</w:t>
            </w: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z w:val="18"/>
              </w:rPr>
              <w:t>6,000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98"/>
        <w:gridCol w:w="910"/>
        <w:gridCol w:w="924"/>
        <w:gridCol w:w="1313"/>
        <w:gridCol w:w="957"/>
        <w:gridCol w:w="1136"/>
        <w:gridCol w:w="1051"/>
        <w:gridCol w:w="786"/>
        <w:gridCol w:w="790"/>
      </w:tblGrid>
      <w:tr>
        <w:trPr>
          <w:trHeight w:val="986"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91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 w:right="54"/>
              <w:jc w:val="left"/>
              <w:rPr>
                <w:rFonts w:ascii="宋体" w:hAnsi="宋体" w:cs="宋体" w:eastAsia="宋体" w:hint="default"/>
                <w:sz w:val="18"/>
                <w:szCs w:val="18"/>
              </w:rPr>
            </w:pPr>
            <w:r>
              <w:rPr>
                <w:rFonts w:ascii="宋体" w:hAnsi="宋体" w:cs="宋体" w:eastAsia="宋体" w:hint="default"/>
                <w:sz w:val="18"/>
                <w:szCs w:val="18"/>
              </w:rPr>
              <w:t>南京能瑞电力科技有 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6" w:right="0"/>
              <w:jc w:val="left"/>
              <w:rPr>
                <w:rFonts w:ascii="Times New Roman" w:hAnsi="Times New Roman" w:cs="Times New Roman" w:eastAsia="Times New Roman" w:hint="default"/>
                <w:sz w:val="18"/>
                <w:szCs w:val="18"/>
              </w:rPr>
            </w:pPr>
            <w:r>
              <w:rPr>
                <w:rFonts w:ascii="Times New Roman"/>
                <w:sz w:val="18"/>
              </w:rPr>
              <w:t>3,000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3,000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719"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714"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6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38"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单位：万元</w:t>
      </w:r>
    </w:p>
    <w:p>
      <w:pPr>
        <w:spacing w:after="0" w:line="240" w:lineRule="auto"/>
        <w:jc w:val="left"/>
        <w:sectPr>
          <w:type w:val="continuous"/>
          <w:pgSz w:w="11910" w:h="16840"/>
          <w:pgMar w:top="1060" w:bottom="1160" w:left="980" w:right="980"/>
          <w:cols w:num="2" w:equalWidth="0">
            <w:col w:w="1955" w:space="6785"/>
            <w:col w:w="12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338" w:lineRule="auto" w:before="117"/>
        <w:ind w:right="47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spacing w:after="0" w:line="338" w:lineRule="auto"/>
        <w:jc w:val="left"/>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6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6752"/>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6752"/>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6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227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3"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2"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长春市 地铁有 限责任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高压开 关柜</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合同已 签订</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吉林省 金冠电 气股份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长春市 地铁有 限责任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低压开 关柜</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合同已 签订</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r>
        <w:trPr>
          <w:trHeight w:val="133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3"/>
              <w:jc w:val="left"/>
              <w:rPr>
                <w:rFonts w:ascii="宋体" w:hAnsi="宋体" w:cs="宋体" w:eastAsia="宋体" w:hint="default"/>
                <w:sz w:val="18"/>
                <w:szCs w:val="18"/>
              </w:rPr>
            </w:pPr>
            <w:r>
              <w:rPr>
                <w:rFonts w:ascii="宋体" w:hAnsi="宋体" w:cs="宋体" w:eastAsia="宋体" w:hint="default"/>
                <w:sz w:val="18"/>
                <w:szCs w:val="18"/>
              </w:rPr>
              <w:t>南京能 瑞</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5"/>
              <w:jc w:val="left"/>
              <w:rPr>
                <w:rFonts w:ascii="宋体" w:hAnsi="宋体" w:cs="宋体" w:eastAsia="宋体" w:hint="default"/>
                <w:sz w:val="18"/>
                <w:szCs w:val="18"/>
              </w:rPr>
            </w:pPr>
            <w:r>
              <w:rPr>
                <w:rFonts w:ascii="宋体" w:hAnsi="宋体" w:cs="宋体" w:eastAsia="宋体" w:hint="default"/>
                <w:sz w:val="18"/>
                <w:szCs w:val="18"/>
              </w:rPr>
              <w:t>国家电 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智能电 表、集 中器、 专变等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2"/>
              <w:jc w:val="left"/>
              <w:rPr>
                <w:rFonts w:ascii="宋体" w:hAnsi="宋体" w:cs="宋体" w:eastAsia="宋体" w:hint="default"/>
                <w:sz w:val="18"/>
                <w:szCs w:val="18"/>
              </w:rPr>
            </w:pPr>
            <w:r>
              <w:rPr>
                <w:rFonts w:ascii="宋体" w:hAnsi="宋体" w:cs="宋体" w:eastAsia="宋体" w:hint="default"/>
                <w:sz w:val="18"/>
                <w:szCs w:val="18"/>
              </w:rPr>
              <w:t>招标形 式</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部分合 同已签 订</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95"/>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 om.cn</w:t>
            </w:r>
          </w:p>
        </w:tc>
      </w:tr>
    </w:tbl>
    <w:p>
      <w:pPr>
        <w:spacing w:line="240" w:lineRule="auto" w:before="2"/>
        <w:rPr>
          <w:rFonts w:ascii="宋体" w:hAnsi="宋体" w:cs="宋体" w:eastAsia="宋体" w:hint="default"/>
          <w:sz w:val="18"/>
          <w:szCs w:val="18"/>
        </w:rPr>
      </w:pPr>
    </w:p>
    <w:p>
      <w:pPr>
        <w:pStyle w:val="Heading2"/>
        <w:spacing w:line="240" w:lineRule="auto" w:before="26"/>
        <w:ind w:right="6752"/>
        <w:jc w:val="left"/>
        <w:rPr>
          <w:b w:val="0"/>
          <w:bCs w:val="0"/>
        </w:rPr>
      </w:pPr>
      <w:bookmarkStart w:name="十七、社会责任情况" w:id="96"/>
      <w:bookmarkEnd w:id="96"/>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6752"/>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宋体" w:hAnsi="宋体" w:cs="宋体" w:eastAsia="宋体" w:hint="default"/>
          <w:b/>
          <w:bCs/>
          <w:sz w:val="28"/>
          <w:szCs w:val="28"/>
        </w:rPr>
      </w:pPr>
    </w:p>
    <w:p>
      <w:pPr>
        <w:pStyle w:val="BodyText"/>
        <w:spacing w:line="357" w:lineRule="auto" w:before="0"/>
        <w:ind w:right="92" w:firstLine="420"/>
        <w:jc w:val="left"/>
      </w:pPr>
      <w:r>
        <w:rPr/>
        <w:t>（</w:t>
      </w:r>
      <w:r>
        <w:rPr>
          <w:rFonts w:ascii="Times New Roman" w:hAnsi="Times New Roman" w:cs="Times New Roman" w:eastAsia="Times New Roman" w:hint="default"/>
        </w:rPr>
        <w:t>1</w:t>
      </w:r>
      <w:r>
        <w:rPr/>
        <w:t>）公司治理方面。注重不断完善治理结构，规范公司运作，保障所有股东享有法律、法规、规章等所规定的各项合 </w:t>
      </w:r>
      <w:r>
        <w:rPr>
          <w:spacing w:val="-2"/>
        </w:rPr>
        <w:t>法权益。股东大会是公司的最高权力机构。公司设董事会，对股东大会负责。董事会职责清晰，全体董事根据公司和全体股</w:t>
      </w:r>
      <w:r>
        <w:rPr>
          <w:spacing w:val="-66"/>
        </w:rPr>
        <w:t> </w:t>
      </w:r>
      <w:r>
        <w:rPr>
          <w:spacing w:val="-66"/>
        </w:rPr>
      </w:r>
      <w:r>
        <w:rPr>
          <w:spacing w:val="-2"/>
        </w:rPr>
        <w:t>东利益最大化的原则，忠实、诚信、勤勉地履行职责。董事会下设战略、薪酬、审计、提名等专门委员会，并制订了相应的</w:t>
      </w:r>
      <w:r>
        <w:rPr>
          <w:spacing w:val="-67"/>
        </w:rPr>
        <w:t> </w:t>
      </w:r>
      <w:r>
        <w:rPr>
          <w:spacing w:val="-67"/>
        </w:rPr>
      </w:r>
      <w:r>
        <w:rPr/>
        <w:t>工作细则。公司设监事会，对股东大会负责。全体监事切实履行职责，对公司财务以及公司董事和高级管理人员进行监督， </w:t>
      </w:r>
      <w:r>
        <w:rPr>
          <w:spacing w:val="-2"/>
        </w:rPr>
        <w:t>向全体股东负责，有效维护了公司及股东合法权益。股东大会、董事会、监事会</w:t>
      </w:r>
      <w:r>
        <w:rPr>
          <w:rFonts w:ascii="Times New Roman" w:hAnsi="Times New Roman" w:cs="Times New Roman" w:eastAsia="Times New Roman" w:hint="default"/>
          <w:spacing w:val="-2"/>
        </w:rPr>
        <w:t>“</w:t>
      </w:r>
      <w:r>
        <w:rPr>
          <w:spacing w:val="-2"/>
        </w:rPr>
        <w:t>三会</w:t>
      </w:r>
      <w:r>
        <w:rPr>
          <w:rFonts w:ascii="Times New Roman" w:hAnsi="Times New Roman" w:cs="Times New Roman" w:eastAsia="Times New Roman" w:hint="default"/>
          <w:spacing w:val="-2"/>
        </w:rPr>
        <w:t>”</w:t>
      </w:r>
      <w:r>
        <w:rPr>
          <w:spacing w:val="-2"/>
        </w:rPr>
        <w:t>运作不断规范，不断完善法人治理结</w:t>
      </w:r>
      <w:r>
        <w:rPr>
          <w:spacing w:val="-45"/>
        </w:rPr>
        <w:t> </w:t>
      </w:r>
      <w:r>
        <w:rPr>
          <w:spacing w:val="-45"/>
        </w:rPr>
      </w:r>
      <w:r>
        <w:rPr/>
        <w:t>构，提升公司治理水平，提高公司质量。</w:t>
      </w:r>
    </w:p>
    <w:p>
      <w:pPr>
        <w:spacing w:after="0" w:line="357" w:lineRule="auto"/>
        <w:jc w:val="left"/>
        <w:sectPr>
          <w:pgSz w:w="11910" w:h="16840"/>
          <w:pgMar w:header="747" w:footer="979" w:top="1060" w:bottom="1160" w:left="980" w:right="940"/>
        </w:sectPr>
      </w:pPr>
    </w:p>
    <w:p>
      <w:pPr>
        <w:spacing w:line="240" w:lineRule="auto" w:before="8"/>
        <w:rPr>
          <w:rFonts w:ascii="宋体" w:hAnsi="宋体" w:cs="宋体" w:eastAsia="宋体" w:hint="default"/>
          <w:sz w:val="27"/>
          <w:szCs w:val="27"/>
        </w:rPr>
      </w:pPr>
    </w:p>
    <w:p>
      <w:pPr>
        <w:pStyle w:val="BodyText"/>
        <w:spacing w:line="345" w:lineRule="auto"/>
        <w:ind w:right="174" w:firstLine="420"/>
        <w:jc w:val="left"/>
      </w:pPr>
      <w:r>
        <w:rPr>
          <w:spacing w:val="-1"/>
        </w:rPr>
        <w:t>（</w:t>
      </w:r>
      <w:r>
        <w:rPr>
          <w:rFonts w:ascii="Times New Roman" w:hAnsi="Times New Roman" w:cs="Times New Roman" w:eastAsia="Times New Roman" w:hint="default"/>
          <w:spacing w:val="-1"/>
        </w:rPr>
        <w:t>2</w:t>
      </w:r>
      <w:r>
        <w:rPr>
          <w:spacing w:val="-1"/>
        </w:rPr>
        <w:t>）股东和债权人权益保护。在经济效益稳步增长的同时，公司十分重视对投资者的合理回报并切实保护债权人的利</w:t>
      </w:r>
      <w:r>
        <w:rPr/>
        <w:t> 益，公司的稳健发展能够取得公司股东和金融机构的信任与支持。</w:t>
      </w:r>
    </w:p>
    <w:p>
      <w:pPr>
        <w:pStyle w:val="BodyText"/>
        <w:spacing w:line="360" w:lineRule="auto"/>
        <w:ind w:right="99" w:firstLine="420"/>
        <w:jc w:val="left"/>
      </w:pPr>
      <w:r>
        <w:rPr/>
        <w:t>（</w:t>
      </w:r>
      <w:r>
        <w:rPr>
          <w:rFonts w:ascii="Times New Roman" w:hAnsi="Times New Roman" w:cs="Times New Roman" w:eastAsia="Times New Roman" w:hint="default"/>
        </w:rPr>
        <w:t>3</w:t>
      </w:r>
      <w:r>
        <w:rPr/>
        <w:t>）职工权益保护。</w:t>
      </w:r>
      <w:r>
        <w:rPr>
          <w:spacing w:val="4"/>
        </w:rPr>
        <w:t> </w:t>
      </w:r>
      <w:r>
        <w:rPr/>
        <w:t>在劳动用工方面，严格遵守国家法律法规以及企业有关规章制度、公司内部实行员工工作机会</w:t>
      </w:r>
      <w:r>
        <w:rPr/>
        <w:t> </w:t>
      </w:r>
      <w:r>
        <w:rPr>
          <w:spacing w:val="-2"/>
        </w:rPr>
        <w:t>平等，男女同工同酬的用人机制；在薪酬福利方面，建立了较为完善的薪酬考核体系、激励机制及人才选拔机制，提高员工</w:t>
      </w:r>
      <w:r>
        <w:rPr>
          <w:spacing w:val="-66"/>
        </w:rPr>
        <w:t> </w:t>
      </w:r>
      <w:r>
        <w:rPr>
          <w:spacing w:val="-66"/>
        </w:rPr>
      </w:r>
      <w:r>
        <w:rPr>
          <w:spacing w:val="-4"/>
        </w:rPr>
        <w:t>的福利待遇，建立健全规范的员工社会保险管理体系，促进劳资关系的和谐稳定；在培训管理方面，持续开展员工培训工作，</w:t>
      </w:r>
      <w:r>
        <w:rPr>
          <w:spacing w:val="-46"/>
        </w:rPr>
        <w:t> </w:t>
      </w:r>
      <w:r>
        <w:rPr>
          <w:spacing w:val="-46"/>
        </w:rPr>
      </w:r>
      <w:r>
        <w:rPr/>
        <w:t>通过培训提高员工技能，提高组织和个人的应变、适应能力，提高工作绩效水平和工作能力。</w:t>
      </w:r>
    </w:p>
    <w:p>
      <w:pPr>
        <w:pStyle w:val="BodyText"/>
        <w:spacing w:line="355" w:lineRule="auto" w:before="33"/>
        <w:ind w:right="99" w:firstLine="420"/>
        <w:jc w:val="left"/>
      </w:pPr>
      <w:r>
        <w:rPr>
          <w:spacing w:val="-3"/>
        </w:rPr>
        <w:t>（</w:t>
      </w:r>
      <w:r>
        <w:rPr>
          <w:rFonts w:ascii="Times New Roman" w:hAnsi="Times New Roman" w:cs="Times New Roman" w:eastAsia="Times New Roman" w:hint="default"/>
          <w:spacing w:val="-3"/>
        </w:rPr>
        <w:t>4</w:t>
      </w:r>
      <w:r>
        <w:rPr>
          <w:spacing w:val="-3"/>
        </w:rPr>
        <w:t>）供应商和客户权益保护。坚持</w:t>
      </w:r>
      <w:r>
        <w:rPr>
          <w:rFonts w:ascii="Times New Roman" w:hAnsi="Times New Roman" w:cs="Times New Roman" w:eastAsia="Times New Roman" w:hint="default"/>
          <w:spacing w:val="-3"/>
        </w:rPr>
        <w:t>“</w:t>
      </w:r>
      <w:r>
        <w:rPr>
          <w:spacing w:val="-3"/>
        </w:rPr>
        <w:t>诚实守信、互惠互利、合法合规</w:t>
      </w:r>
      <w:r>
        <w:rPr>
          <w:rFonts w:ascii="Times New Roman" w:hAnsi="Times New Roman" w:cs="Times New Roman" w:eastAsia="Times New Roman" w:hint="default"/>
          <w:spacing w:val="-3"/>
        </w:rPr>
        <w:t>”</w:t>
      </w:r>
      <w:r>
        <w:rPr>
          <w:spacing w:val="-3"/>
        </w:rPr>
        <w:t>的交易原则，注重与供应商相互促进、共同成长，</w:t>
      </w:r>
      <w:r>
        <w:rPr/>
        <w:t> </w:t>
      </w:r>
      <w:r>
        <w:rPr>
          <w:spacing w:val="-2"/>
        </w:rPr>
        <w:t>持续深化集团采购工作，致力于与上下游产业链建立稳固的战略合作联盟。通过双方在技术上、质量上、服务上的互相交流</w:t>
      </w:r>
      <w:r>
        <w:rPr>
          <w:spacing w:val="-66"/>
        </w:rPr>
        <w:t> </w:t>
      </w:r>
      <w:r>
        <w:rPr>
          <w:spacing w:val="-66"/>
        </w:rPr>
      </w:r>
      <w:r>
        <w:rPr/>
        <w:t>和学习，共同研讨行业及市场的发展方向，携手迈向更加广阔的发展未来。</w:t>
      </w:r>
    </w:p>
    <w:p>
      <w:pPr>
        <w:pStyle w:val="BodyText"/>
        <w:spacing w:line="364" w:lineRule="auto" w:before="37"/>
        <w:ind w:right="99" w:firstLine="420"/>
        <w:jc w:val="left"/>
      </w:pPr>
      <w:r>
        <w:rPr/>
        <w:t>为客户提供安全、可靠的产品和优质的服务是公司一贯追求的目标，通过持续技术创新来满足用户需求。通过加强产 品质量改善服务，提高客户满意度。</w:t>
      </w:r>
    </w:p>
    <w:p>
      <w:pPr>
        <w:spacing w:line="240" w:lineRule="auto" w:before="8"/>
        <w:rPr>
          <w:rFonts w:ascii="宋体" w:hAnsi="宋体" w:cs="宋体" w:eastAsia="宋体" w:hint="default"/>
          <w:sz w:val="21"/>
          <w:szCs w:val="21"/>
        </w:rPr>
      </w:pPr>
    </w:p>
    <w:p>
      <w:pPr>
        <w:pStyle w:val="Heading4"/>
        <w:spacing w:line="240" w:lineRule="auto"/>
        <w:ind w:right="6752"/>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6752"/>
        <w:jc w:val="left"/>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4"/>
        <w:spacing w:line="240" w:lineRule="auto"/>
        <w:ind w:right="6752"/>
        <w:jc w:val="left"/>
        <w:rPr>
          <w:b w:val="0"/>
          <w:bCs w:val="0"/>
        </w:rPr>
      </w:pPr>
      <w:bookmarkStart w:name="（2）年度精准扶贫概要" w:id="100"/>
      <w:bookmarkEnd w:id="100"/>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4"/>
        <w:spacing w:line="240" w:lineRule="auto"/>
        <w:ind w:right="6752"/>
        <w:jc w:val="left"/>
        <w:rPr>
          <w:b w:val="0"/>
          <w:bCs w:val="0"/>
        </w:rPr>
      </w:pPr>
      <w:bookmarkStart w:name="（3）精准扶贫成效" w:id="101"/>
      <w:bookmarkEnd w:id="101"/>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10"/>
        <w:rPr>
          <w:rFonts w:ascii="宋体" w:hAnsi="宋体" w:cs="宋体" w:eastAsia="宋体" w:hint="default"/>
          <w:b/>
          <w:bCs/>
          <w:sz w:val="24"/>
          <w:szCs w:val="24"/>
        </w:rPr>
      </w:pPr>
    </w:p>
    <w:p>
      <w:pPr>
        <w:pStyle w:val="Heading4"/>
        <w:spacing w:line="240" w:lineRule="auto" w:before="35"/>
        <w:ind w:right="6752"/>
        <w:jc w:val="left"/>
        <w:rPr>
          <w:b w:val="0"/>
          <w:bCs w:val="0"/>
        </w:rPr>
      </w:pPr>
      <w:bookmarkStart w:name="（4）后续精准扶贫计划" w:id="102"/>
      <w:bookmarkEnd w:id="102"/>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
        <w:jc w:val="left"/>
      </w:pPr>
      <w:r>
        <w:rPr/>
        <w:t>公司报告期内暂未开展精准扶贫工作，也暂无后续精准扶贫计划。</w:t>
      </w:r>
    </w:p>
    <w:p>
      <w:pPr>
        <w:spacing w:line="240" w:lineRule="auto" w:before="12"/>
        <w:rPr>
          <w:rFonts w:ascii="宋体" w:hAnsi="宋体" w:cs="宋体" w:eastAsia="宋体" w:hint="default"/>
          <w:sz w:val="26"/>
          <w:szCs w:val="26"/>
        </w:rPr>
      </w:pPr>
    </w:p>
    <w:p>
      <w:pPr>
        <w:pStyle w:val="Heading4"/>
        <w:spacing w:line="240" w:lineRule="auto"/>
        <w:ind w:right="6752"/>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4772"/>
        <w:jc w:val="left"/>
      </w:pPr>
      <w:r>
        <w:rPr/>
        <w:t>上市公司及其子公司是否属于环境保护部门公布的重点排污单位 否 本公司及其子公司均不属于环境保护部门公布的重点排污单位。</w:t>
      </w:r>
    </w:p>
    <w:p>
      <w:pPr>
        <w:spacing w:line="240" w:lineRule="auto" w:before="5"/>
        <w:rPr>
          <w:rFonts w:ascii="宋体" w:hAnsi="宋体" w:cs="宋体" w:eastAsia="宋体" w:hint="default"/>
          <w:sz w:val="18"/>
          <w:szCs w:val="18"/>
        </w:rPr>
      </w:pPr>
    </w:p>
    <w:p>
      <w:pPr>
        <w:pStyle w:val="Heading2"/>
        <w:spacing w:line="240" w:lineRule="auto"/>
        <w:ind w:right="6752"/>
        <w:jc w:val="left"/>
        <w:rPr>
          <w:b w:val="0"/>
          <w:bCs w:val="0"/>
        </w:rPr>
      </w:pPr>
      <w:bookmarkStart w:name="十八、其他重大事项的说明" w:id="104"/>
      <w:bookmarkEnd w:id="104"/>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6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50" w:lineRule="auto" w:before="124"/>
        <w:ind w:right="190" w:firstLine="360"/>
        <w:jc w:val="both"/>
      </w:pPr>
      <w:r>
        <w:rPr>
          <w:rFonts w:ascii="Times New Roman" w:hAnsi="Times New Roman" w:cs="Times New Roman" w:eastAsia="Times New Roman" w:hint="default"/>
        </w:rPr>
        <w:t>1</w:t>
      </w:r>
      <w:r>
        <w:rPr/>
        <w:t>、报告期内，公司购买南京能瑞自动化</w:t>
      </w:r>
      <w:r>
        <w:rPr>
          <w:rFonts w:ascii="Times New Roman" w:hAnsi="Times New Roman" w:cs="Times New Roman" w:eastAsia="Times New Roman" w:hint="default"/>
        </w:rPr>
        <w:t>100%</w:t>
      </w:r>
      <w:r>
        <w:rPr/>
        <w:t>股份事项得到中国证监会批复，</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日，南京市工商行政管理局 </w:t>
      </w:r>
      <w:r>
        <w:rPr>
          <w:spacing w:val="-2"/>
        </w:rPr>
        <w:t>核准了南京能瑞自动化设备有限公司（以下简称</w:t>
      </w:r>
      <w:r>
        <w:rPr>
          <w:rFonts w:ascii="Times New Roman" w:hAnsi="Times New Roman" w:cs="Times New Roman" w:eastAsia="Times New Roman" w:hint="default"/>
          <w:spacing w:val="-2"/>
        </w:rPr>
        <w:t>“</w:t>
      </w:r>
      <w:r>
        <w:rPr>
          <w:spacing w:val="-2"/>
        </w:rPr>
        <w:t>南京能瑞</w:t>
      </w:r>
      <w:r>
        <w:rPr>
          <w:rFonts w:ascii="Times New Roman" w:hAnsi="Times New Roman" w:cs="Times New Roman" w:eastAsia="Times New Roman" w:hint="default"/>
          <w:spacing w:val="-2"/>
        </w:rPr>
        <w:t>”</w:t>
      </w:r>
      <w:r>
        <w:rPr>
          <w:spacing w:val="-2"/>
        </w:rPr>
        <w:t>）的股东变更，并核发了《企业法人营业执照》（统一社会信用</w:t>
      </w:r>
      <w:r>
        <w:rPr>
          <w:spacing w:val="-45"/>
        </w:rPr>
        <w:t> </w:t>
      </w:r>
      <w:r>
        <w:rPr>
          <w:spacing w:val="-45"/>
        </w:rPr>
      </w:r>
      <w:r>
        <w:rPr>
          <w:spacing w:val="-1"/>
        </w:rPr>
        <w:t>代码：</w:t>
      </w:r>
      <w:r>
        <w:rPr>
          <w:rFonts w:ascii="Times New Roman" w:hAnsi="Times New Roman" w:cs="Times New Roman" w:eastAsia="Times New Roman" w:hint="default"/>
          <w:spacing w:val="-1"/>
        </w:rPr>
        <w:t>913201007712746910</w:t>
      </w:r>
      <w:r>
        <w:rPr>
          <w:spacing w:val="-1"/>
        </w:rPr>
        <w:t>），本次南京能瑞股东变更完成后，公司持有南京能瑞</w:t>
      </w:r>
      <w:r>
        <w:rPr>
          <w:rFonts w:ascii="Times New Roman" w:hAnsi="Times New Roman" w:cs="Times New Roman" w:eastAsia="Times New Roman" w:hint="default"/>
          <w:spacing w:val="-1"/>
        </w:rPr>
        <w:t>100%</w:t>
      </w:r>
      <w:r>
        <w:rPr>
          <w:spacing w:val="-1"/>
        </w:rPr>
        <w:t>股份。具体详见公司于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19</w:t>
      </w:r>
      <w:r>
        <w:rPr>
          <w:rFonts w:ascii="Times New Roman" w:hAnsi="Times New Roman" w:cs="Times New Roman" w:eastAsia="Times New Roman" w:hint="default"/>
          <w:spacing w:val="-30"/>
        </w:rPr>
        <w:t> </w:t>
      </w:r>
      <w:r>
        <w:rPr>
          <w:spacing w:val="-2"/>
        </w:rPr>
        <w:t>日巨潮资讯网披露的《关于发行股份及支付现金购买资产并募集配套资金暨关联交易之标的资产过户情况的公告》（公告编</w:t>
      </w:r>
      <w:r>
        <w:rPr>
          <w:spacing w:val="-65"/>
        </w:rPr>
        <w:t> </w:t>
      </w:r>
      <w:r>
        <w:rPr>
          <w:spacing w:val="-65"/>
        </w:rPr>
      </w:r>
      <w:r>
        <w:rPr>
          <w:spacing w:val="-1"/>
        </w:rPr>
        <w:t>号：</w:t>
      </w:r>
      <w:r>
        <w:rPr>
          <w:rFonts w:ascii="Times New Roman" w:hAnsi="Times New Roman" w:cs="Times New Roman" w:eastAsia="Times New Roman" w:hint="default"/>
          <w:spacing w:val="-1"/>
        </w:rPr>
        <w:t>2017-061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21</w:t>
      </w:r>
      <w:r>
        <w:rPr>
          <w:spacing w:val="-1"/>
        </w:rPr>
        <w:t>日完成非公开发行募集配套资金新增股份上市工作具体详见公司于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21</w:t>
      </w:r>
      <w:r>
        <w:rPr>
          <w:spacing w:val="-1"/>
        </w:rPr>
        <w:t>日巨潮资讯网</w:t>
      </w:r>
      <w:r>
        <w:rPr>
          <w:spacing w:val="-77"/>
        </w:rPr>
        <w:t> </w:t>
      </w:r>
      <w:r>
        <w:rPr/>
        <w:t>披露的《吉林省金冠电气股份有限公司发行股份购买资产并募集配套资金暨关联交易实施情况暨新增股份上市公告书。</w:t>
      </w:r>
    </w:p>
    <w:p>
      <w:pPr>
        <w:spacing w:line="240" w:lineRule="auto" w:before="5"/>
        <w:rPr>
          <w:rFonts w:ascii="宋体" w:hAnsi="宋体" w:cs="宋体" w:eastAsia="宋体" w:hint="default"/>
          <w:sz w:val="18"/>
          <w:szCs w:val="18"/>
        </w:rPr>
      </w:pPr>
    </w:p>
    <w:p>
      <w:pPr>
        <w:pStyle w:val="BodyText"/>
        <w:spacing w:line="352" w:lineRule="auto" w:before="0"/>
        <w:ind w:right="99" w:firstLine="360"/>
        <w:jc w:val="left"/>
      </w:pPr>
      <w:r>
        <w:rPr>
          <w:rFonts w:ascii="Times New Roman" w:hAnsi="Times New Roman" w:cs="Times New Roman" w:eastAsia="Times New Roman" w:hint="default"/>
          <w:spacing w:val="-2"/>
        </w:rPr>
        <w:t>2</w:t>
      </w:r>
      <w:r>
        <w:rPr>
          <w:spacing w:val="-2"/>
        </w:rPr>
        <w:t>、报告期内，公司收购辽源鸿图锂电隔膜有限公司</w:t>
      </w:r>
      <w:r>
        <w:rPr>
          <w:rFonts w:ascii="Times New Roman" w:hAnsi="Times New Roman" w:cs="Times New Roman" w:eastAsia="Times New Roman" w:hint="default"/>
          <w:spacing w:val="-2"/>
        </w:rPr>
        <w:t>100</w:t>
      </w:r>
      <w:r>
        <w:rPr>
          <w:spacing w:val="-2"/>
        </w:rPr>
        <w:t>％股权于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日获得中国证监会上市公司并购重组委员</w:t>
      </w:r>
      <w:r>
        <w:rPr/>
        <w:t> </w:t>
      </w:r>
      <w:r>
        <w:rPr>
          <w:spacing w:val="-2"/>
        </w:rPr>
        <w:t>会审核有条件通过，具体详见公司于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日巨潮资讯网披露的《吉林省金冠电气股份有限公司关于公司发行股份及</w:t>
      </w:r>
      <w:r>
        <w:rPr>
          <w:spacing w:val="-56"/>
        </w:rPr>
        <w:t> </w:t>
      </w:r>
      <w:r>
        <w:rPr>
          <w:spacing w:val="-56"/>
        </w:rPr>
      </w:r>
      <w:r>
        <w:rPr/>
        <w:t>支付现金购买资产并募集配套资金暨关联交易事项获得中国证监会上市公司并购重组委员会审核有条件通过暨公司股票复 牌的公告》等相关公告，截至报告期末，公司及各机构正在积极进行下一步工作。</w:t>
      </w:r>
    </w:p>
    <w:p>
      <w:pPr>
        <w:spacing w:line="240" w:lineRule="auto" w:before="7"/>
        <w:rPr>
          <w:rFonts w:ascii="宋体" w:hAnsi="宋体" w:cs="宋体" w:eastAsia="宋体" w:hint="default"/>
          <w:sz w:val="20"/>
          <w:szCs w:val="20"/>
        </w:rPr>
      </w:pPr>
    </w:p>
    <w:p>
      <w:pPr>
        <w:pStyle w:val="Heading2"/>
        <w:spacing w:line="240" w:lineRule="auto"/>
        <w:ind w:right="6752"/>
        <w:jc w:val="left"/>
        <w:rPr>
          <w:b w:val="0"/>
          <w:bCs w:val="0"/>
        </w:rPr>
      </w:pPr>
      <w:bookmarkStart w:name="十九、公司子公司重大事项" w:id="105"/>
      <w:bookmarkEnd w:id="105"/>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6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50" w:lineRule="auto" w:before="124"/>
        <w:ind w:right="92" w:firstLine="30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日，公司第四届董事会第二十六次董事会，审议通过公司拟通过对全资子公司深圳市华胤投资有限公司 </w:t>
      </w:r>
      <w:r>
        <w:rPr>
          <w:spacing w:val="-1"/>
        </w:rPr>
        <w:t>投资</w:t>
      </w:r>
      <w:r>
        <w:rPr>
          <w:rFonts w:ascii="Times New Roman" w:hAnsi="Times New Roman" w:cs="Times New Roman" w:eastAsia="Times New Roman" w:hint="default"/>
          <w:spacing w:val="-1"/>
        </w:rPr>
        <w:t>6,520</w:t>
      </w:r>
      <w:r>
        <w:rPr>
          <w:spacing w:val="-1"/>
        </w:rPr>
        <w:t>万元设立二级子公司：深圳华胤智能电气科技有限公司、深圳华胤移动储能有限公司、深圳华胤新能源有限公司、</w:t>
      </w:r>
      <w:r>
        <w:rPr>
          <w:spacing w:val="-74"/>
        </w:rPr>
        <w:t> </w:t>
      </w:r>
      <w:r>
        <w:rPr>
          <w:spacing w:val="-74"/>
        </w:rPr>
      </w:r>
      <w:r>
        <w:rPr/>
        <w:t>深圳华胤文旅发展有限公司及深圳华胤新材料有限公司。资金来源为自有资金或自筹资金。华胤投资现已变更为华胤集团； </w:t>
      </w:r>
      <w:r>
        <w:rPr>
          <w:spacing w:val="2"/>
        </w:rPr>
        <w:t>审议通过了公司拟将持有的控股子公司浙江开盛电气有限公司的</w:t>
      </w:r>
      <w:r>
        <w:rPr>
          <w:rFonts w:ascii="Times New Roman" w:hAnsi="Times New Roman" w:cs="Times New Roman" w:eastAsia="Times New Roman" w:hint="default"/>
          <w:spacing w:val="2"/>
        </w:rPr>
        <w:t>70%</w:t>
      </w:r>
      <w:r>
        <w:rPr>
          <w:spacing w:val="2"/>
        </w:rPr>
        <w:t>的股权转让给公司全资二级子公司深圳华胤智能电气</w:t>
      </w:r>
      <w:r>
        <w:rPr>
          <w:spacing w:val="-84"/>
        </w:rPr>
        <w:t> </w:t>
      </w:r>
      <w:r>
        <w:rPr>
          <w:spacing w:val="-84"/>
        </w:rPr>
      </w:r>
      <w:r>
        <w:rPr/>
        <w:t>科技有限公司。并于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日前完成工商变更登记及注册登记。</w:t>
      </w:r>
    </w:p>
    <w:p>
      <w:pPr>
        <w:pStyle w:val="BodyText"/>
        <w:spacing w:line="345" w:lineRule="auto" w:before="18"/>
        <w:ind w:right="189" w:firstLine="300"/>
        <w:jc w:val="both"/>
      </w:pPr>
      <w:r>
        <w:rPr>
          <w:rFonts w:ascii="Times New Roman" w:hAnsi="Times New Roman" w:cs="Times New Roman" w:eastAsia="Times New Roman" w:hint="default"/>
        </w:rPr>
        <w:t>2</w:t>
      </w:r>
      <w:r>
        <w:rPr/>
        <w:t>、为扩大公司的控股子公司吉林省埃尔顿电气有限公司的资本规模，促进公司业务发展，提高公司可持续发展能力和 </w:t>
      </w:r>
      <w:r>
        <w:rPr>
          <w:spacing w:val="-1"/>
        </w:rPr>
        <w:t>核心竞争力，于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16</w:t>
      </w:r>
      <w:r>
        <w:rPr>
          <w:spacing w:val="-1"/>
        </w:rPr>
        <w:t>日披露公司认缴</w:t>
      </w:r>
      <w:r>
        <w:rPr>
          <w:rFonts w:ascii="Times New Roman" w:hAnsi="Times New Roman" w:cs="Times New Roman" w:eastAsia="Times New Roman" w:hint="default"/>
          <w:spacing w:val="-1"/>
        </w:rPr>
        <w:t>3,762.00</w:t>
      </w:r>
      <w:r>
        <w:rPr>
          <w:spacing w:val="-1"/>
        </w:rPr>
        <w:t>万元对埃尔顿电气进行增资，艾克镁森有限公司认缴出资人民币</w:t>
      </w:r>
      <w:r>
        <w:rPr>
          <w:rFonts w:ascii="Times New Roman" w:hAnsi="Times New Roman" w:cs="Times New Roman" w:eastAsia="Times New Roman" w:hint="default"/>
          <w:spacing w:val="-1"/>
        </w:rPr>
        <w:t>188.00</w:t>
      </w:r>
      <w:r>
        <w:rPr>
          <w:rFonts w:ascii="Times New Roman" w:hAnsi="Times New Roman" w:cs="Times New Roman" w:eastAsia="Times New Roman" w:hint="default"/>
          <w:spacing w:val="-18"/>
        </w:rPr>
        <w:t> </w:t>
      </w:r>
      <w:r>
        <w:rPr/>
        <w:t>万元，埃尔顿电气的注册资本增至人民币</w:t>
      </w:r>
      <w:r>
        <w:rPr>
          <w:rFonts w:ascii="Times New Roman" w:hAnsi="Times New Roman" w:cs="Times New Roman" w:eastAsia="Times New Roman" w:hint="default"/>
        </w:rPr>
        <w:t>5,000.00</w:t>
      </w:r>
      <w:r>
        <w:rPr/>
        <w:t>万元。</w:t>
      </w:r>
    </w:p>
    <w:p>
      <w:pPr>
        <w:pStyle w:val="BodyText"/>
        <w:spacing w:line="355" w:lineRule="auto" w:before="22"/>
        <w:ind w:right="191" w:firstLine="30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7</w:t>
      </w:r>
      <w:r>
        <w:rPr>
          <w:spacing w:val="-1"/>
        </w:rPr>
        <w:t>日，公司第四届董事会第二十八次会议，审议通过南京能瑞自动化设备股份有限公司为主体吸收合并南</w:t>
      </w:r>
      <w:r>
        <w:rPr/>
        <w:t> </w:t>
      </w:r>
      <w:r>
        <w:rPr>
          <w:spacing w:val="-2"/>
        </w:rPr>
        <w:t>京能远汽车充电服务有限公司及南京新能汽车充电服务有限公司，吸收合并完成后，能远充电、新能充电依法注销，其全部</w:t>
      </w:r>
      <w:r>
        <w:rPr>
          <w:spacing w:val="-66"/>
        </w:rPr>
        <w:t> </w:t>
      </w:r>
      <w:r>
        <w:rPr>
          <w:spacing w:val="-66"/>
        </w:rPr>
      </w:r>
      <w:r>
        <w:rPr/>
        <w:t>业务、资产、债权、债务由能瑞自动化依法承继。能瑞自动化将作为经营主体对吸收的资产和业务进行管理。</w:t>
      </w:r>
    </w:p>
    <w:p>
      <w:pPr>
        <w:pStyle w:val="BodyText"/>
        <w:spacing w:line="345" w:lineRule="auto" w:before="37"/>
        <w:ind w:right="192" w:firstLine="30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日，公司第四届董事会第三十二次会议，审议通过公司控股子公司湖州金冠鸿图膈膜科技有限公司拟 使用自有资金以不超过</w:t>
      </w:r>
      <w:r>
        <w:rPr>
          <w:rFonts w:ascii="Times New Roman" w:hAnsi="Times New Roman" w:cs="Times New Roman" w:eastAsia="Times New Roman" w:hint="default"/>
        </w:rPr>
        <w:t>6,500</w:t>
      </w:r>
      <w:r>
        <w:rPr/>
        <w:t>万元人民币（最终价格以招拍挂确定的价格为准）的价格，通过招拍挂方式购买位于浙江省湖</w:t>
      </w:r>
    </w:p>
    <w:p>
      <w:pPr>
        <w:spacing w:after="0" w:line="345" w:lineRule="auto"/>
        <w:jc w:val="both"/>
        <w:sectPr>
          <w:pgSz w:w="11910" w:h="16840"/>
          <w:pgMar w:header="747" w:footer="979" w:top="1060" w:bottom="1160" w:left="980" w:right="940"/>
        </w:sectPr>
      </w:pPr>
    </w:p>
    <w:p>
      <w:pPr>
        <w:spacing w:line="240" w:lineRule="auto" w:before="8"/>
        <w:rPr>
          <w:rFonts w:ascii="宋体" w:hAnsi="宋体" w:cs="宋体" w:eastAsia="宋体" w:hint="default"/>
          <w:sz w:val="27"/>
          <w:szCs w:val="27"/>
        </w:rPr>
      </w:pPr>
    </w:p>
    <w:p>
      <w:pPr>
        <w:pStyle w:val="BodyText"/>
        <w:spacing w:line="350" w:lineRule="auto"/>
        <w:ind w:right="86"/>
        <w:jc w:val="left"/>
      </w:pPr>
      <w:r>
        <w:rPr/>
        <w:t>州市经济技术开发区康山分区，康山大道以西、王家漾路以北、七里亭港以东的约</w:t>
      </w:r>
      <w:r>
        <w:rPr>
          <w:rFonts w:ascii="Times New Roman" w:hAnsi="Times New Roman" w:cs="Times New Roman" w:eastAsia="Times New Roman" w:hint="default"/>
        </w:rPr>
        <w:t>250.199</w:t>
      </w:r>
      <w:r>
        <w:rPr/>
        <w:t>亩土地使用权（最终面积以实际</w:t>
      </w:r>
      <w:r>
        <w:rPr>
          <w:spacing w:val="-45"/>
        </w:rPr>
        <w:t> </w:t>
      </w:r>
      <w:r>
        <w:rPr>
          <w:spacing w:val="-45"/>
        </w:rPr>
      </w:r>
      <w:r>
        <w:rPr>
          <w:spacing w:val="-2"/>
        </w:rPr>
        <w:t>出让文件为准），以作为湖州金冠锂离子电池隔膜产业基地的建设用地。湖州金冠按照国家土地出让的相关规定参与了竞拍</w:t>
      </w:r>
      <w:r>
        <w:rPr>
          <w:spacing w:val="-66"/>
        </w:rPr>
        <w:t> </w:t>
      </w:r>
      <w:r>
        <w:rPr>
          <w:spacing w:val="-66"/>
        </w:rPr>
      </w:r>
      <w:r>
        <w:rPr>
          <w:spacing w:val="-3"/>
        </w:rPr>
        <w:t>并于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4</w:t>
      </w:r>
      <w:r>
        <w:rPr>
          <w:spacing w:val="-3"/>
        </w:rPr>
        <w:t>日湖州金冠鸿图隔膜科技有限公司与湖州市国土资源局开发区分局签订了《国有建设用地使用权出让合同》。</w:t>
      </w:r>
      <w:r>
        <w:rPr/>
        <w:t> 并且于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日公司控股子公司湖州金冠鸿图隔膜科技有限公司收到了湖州市国土资源局颁发的《中华人民共和国不</w:t>
      </w:r>
      <w:r>
        <w:rPr>
          <w:spacing w:val="-83"/>
        </w:rPr>
        <w:t> </w:t>
      </w:r>
      <w:r>
        <w:rPr>
          <w:spacing w:val="-83"/>
        </w:rPr>
      </w:r>
      <w:r>
        <w:rPr/>
        <w:t>动产权证书》。</w:t>
      </w:r>
    </w:p>
    <w:p>
      <w:pPr>
        <w:pStyle w:val="BodyText"/>
        <w:spacing w:line="345" w:lineRule="auto" w:before="160"/>
        <w:ind w:right="99" w:firstLine="30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日，经中国证监会上市公司并购重组审核委员会并购重组委工作会议审核，公司发行股份及支付现金 购买辽源鸿图锂电隔膜科技股份有限公司</w:t>
      </w:r>
      <w:r>
        <w:rPr>
          <w:rFonts w:ascii="Times New Roman" w:hAnsi="Times New Roman" w:cs="Times New Roman" w:eastAsia="Times New Roman" w:hint="default"/>
        </w:rPr>
        <w:t>100%</w:t>
      </w:r>
      <w:r>
        <w:rPr/>
        <w:t>股权并募集配套资金暨关联交易事项获得有条件通过。</w:t>
      </w:r>
    </w:p>
    <w:p>
      <w:pPr>
        <w:spacing w:after="0" w:line="345"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_TOC_250006" w:id="106"/>
      <w:bookmarkStart w:name="第六节 股份变动及股东情况" w:id="107"/>
      <w:r>
        <w:rPr>
          <w:b w:val="0"/>
          <w:bCs w:val="0"/>
        </w:rPr>
      </w:r>
      <w:r>
        <w:rPr/>
        <w:t>第六节</w:t>
      </w:r>
      <w:r>
        <w:rPr>
          <w:spacing w:val="-10"/>
        </w:rPr>
        <w:t> </w:t>
      </w:r>
      <w:r>
        <w:rPr/>
        <w:t>股份变动及股东情况</w:t>
      </w:r>
      <w:bookmarkEnd w:id="10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130,242,0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74.92%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52,441,35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-30,458,1</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21,983,19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152,225,1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67.27%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130,242,0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74.92%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52,441,35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-30,458,1</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21,983,19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152,225,1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67.27%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19,542,00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11.24%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28,896,20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-18,000,0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10,896,20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30,438,20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13.45%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63.68%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23,545,15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-12,458,1</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11,086,98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121,786,9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53.82%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25.08%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30,458,16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30,458,16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74,058,16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32.73%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25.08%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30,458,16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30,458,16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74,058,16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32.73%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173,842,0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52,441,35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52,441,35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226,283,3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5" w:lineRule="auto" w:before="124"/>
        <w:ind w:right="0"/>
        <w:jc w:val="left"/>
      </w:pPr>
      <w:r>
        <w:rPr>
          <w:spacing w:val="-2"/>
        </w:rPr>
        <w:t>（</w:t>
      </w:r>
      <w:r>
        <w:rPr>
          <w:rFonts w:ascii="Times New Roman" w:hAnsi="Times New Roman" w:cs="Times New Roman" w:eastAsia="Times New Roman" w:hint="default"/>
          <w:spacing w:val="-2"/>
        </w:rPr>
        <w:t>1</w:t>
      </w:r>
      <w:r>
        <w:rPr>
          <w:spacing w:val="-2"/>
        </w:rPr>
        <w:t>）吉林省金冠电气股份有限公司（以下简称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）因筹划重大事项于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14</w:t>
      </w:r>
      <w:r>
        <w:rPr>
          <w:spacing w:val="-2"/>
        </w:rPr>
        <w:t>日当日开市起停牌，发行股份及支付</w:t>
      </w:r>
      <w:r>
        <w:rPr>
          <w:spacing w:val="-37"/>
        </w:rPr>
        <w:t> </w:t>
      </w:r>
      <w:r>
        <w:rPr>
          <w:spacing w:val="-37"/>
        </w:rPr>
      </w:r>
      <w:r>
        <w:rPr/>
        <w:t>现金购买资产并募集配套资金暨关联交易事项于</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43"/>
        </w:rPr>
        <w:t> </w:t>
      </w:r>
      <w:r>
        <w:rPr/>
        <w:t>日经中国证监会上市公司并购重组审核委员会召开的</w:t>
      </w:r>
    </w:p>
    <w:p>
      <w:pPr>
        <w:spacing w:after="0" w:line="345" w:lineRule="auto"/>
        <w:jc w:val="left"/>
        <w:sectPr>
          <w:pgSz w:w="11910" w:h="16840"/>
          <w:pgMar w:header="747" w:footer="979" w:top="1060" w:bottom="1160" w:left="980" w:right="980"/>
        </w:sectPr>
      </w:pPr>
    </w:p>
    <w:p>
      <w:pPr>
        <w:spacing w:line="240" w:lineRule="auto" w:before="8"/>
        <w:rPr>
          <w:rFonts w:ascii="宋体" w:hAnsi="宋体" w:cs="宋体" w:eastAsia="宋体" w:hint="default"/>
          <w:sz w:val="27"/>
          <w:szCs w:val="27"/>
        </w:rPr>
      </w:pPr>
    </w:p>
    <w:p>
      <w:pPr>
        <w:pStyle w:val="BodyText"/>
        <w:spacing w:line="240" w:lineRule="auto"/>
        <w:ind w:right="0"/>
        <w:jc w:val="both"/>
      </w:pPr>
      <w:r>
        <w:rPr>
          <w:rFonts w:ascii="Times New Roman" w:hAnsi="Times New Roman" w:cs="Times New Roman" w:eastAsia="Times New Roman" w:hint="default"/>
        </w:rPr>
        <w:t>2017  </w:t>
      </w:r>
      <w:r>
        <w:rPr/>
        <w:t>年第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次并购重组委工作会议审核，获得无条件通过。</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日取得中国证监会的正式批复。</w:t>
      </w:r>
    </w:p>
    <w:p>
      <w:pPr>
        <w:pStyle w:val="BodyText"/>
        <w:spacing w:line="345" w:lineRule="auto" w:before="109"/>
        <w:ind w:right="99"/>
        <w:jc w:val="left"/>
      </w:pPr>
      <w:r>
        <w:rPr>
          <w:spacing w:val="-5"/>
        </w:rPr>
        <w:t>（</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6</w:t>
      </w:r>
      <w:r>
        <w:rPr>
          <w:spacing w:val="-5"/>
        </w:rPr>
        <w:t>日，公司发布《发行股份及支付现金购买资产并募集配套资金暨关联交易实施情况之新增股份上市报告书》，</w:t>
      </w:r>
      <w:r>
        <w:rPr>
          <w:spacing w:val="-61"/>
        </w:rPr>
        <w:t> </w:t>
      </w:r>
      <w:r>
        <w:rPr>
          <w:spacing w:val="-61"/>
        </w:rPr>
      </w:r>
      <w:r>
        <w:rPr/>
        <w:t>本次交易中股份购买资产对应的发行数量为</w:t>
      </w:r>
      <w:r>
        <w:rPr>
          <w:rFonts w:ascii="Times New Roman" w:hAnsi="Times New Roman" w:cs="Times New Roman" w:eastAsia="Times New Roman" w:hint="default"/>
        </w:rPr>
        <w:t>31,007,751</w:t>
      </w:r>
      <w:r>
        <w:rPr>
          <w:rFonts w:ascii="Times New Roman" w:hAnsi="Times New Roman" w:cs="Times New Roman" w:eastAsia="Times New Roman" w:hint="default"/>
          <w:spacing w:val="-2"/>
        </w:rPr>
        <w:t> </w:t>
      </w:r>
      <w:r>
        <w:rPr/>
        <w:t>股，新增股份上市日期为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日，本次发行后，公司总股本增 至 </w:t>
      </w:r>
      <w:r>
        <w:rPr>
          <w:rFonts w:ascii="Times New Roman" w:hAnsi="Times New Roman" w:cs="Times New Roman" w:eastAsia="Times New Roman" w:hint="default"/>
        </w:rPr>
        <w:t>204,849,751</w:t>
      </w:r>
      <w:r>
        <w:rPr>
          <w:rFonts w:ascii="Times New Roman" w:hAnsi="Times New Roman" w:cs="Times New Roman" w:eastAsia="Times New Roman" w:hint="default"/>
          <w:spacing w:val="7"/>
        </w:rPr>
        <w:t> </w:t>
      </w:r>
      <w:r>
        <w:rPr/>
        <w:t>股。</w:t>
      </w:r>
    </w:p>
    <w:p>
      <w:pPr>
        <w:pStyle w:val="BodyText"/>
        <w:spacing w:line="345" w:lineRule="auto" w:before="22"/>
        <w:ind w:right="89"/>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20</w:t>
      </w:r>
      <w:r>
        <w:rPr>
          <w:spacing w:val="-3"/>
        </w:rPr>
        <w:t>日，公司发布《发行股份及支付现金购买资产并募集配套资金暨关联交易实施情况暨新增股份上市公告书》，</w:t>
      </w:r>
      <w:r>
        <w:rPr/>
        <w:t> 本次非公开发行募集配套资金发行数量为</w:t>
      </w:r>
      <w:r>
        <w:rPr>
          <w:spacing w:val="-43"/>
        </w:rPr>
        <w:t> </w:t>
      </w:r>
      <w:r>
        <w:rPr>
          <w:rFonts w:ascii="Times New Roman" w:hAnsi="Times New Roman" w:cs="Times New Roman" w:eastAsia="Times New Roman" w:hint="default"/>
        </w:rPr>
        <w:t>21,433,606</w:t>
      </w:r>
      <w:r>
        <w:rPr>
          <w:rFonts w:ascii="Times New Roman" w:hAnsi="Times New Roman" w:cs="Times New Roman" w:eastAsia="Times New Roman" w:hint="default"/>
          <w:spacing w:val="2"/>
        </w:rPr>
        <w:t> </w:t>
      </w:r>
      <w:r>
        <w:rPr/>
        <w:t>股，新增股份上市日为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日，本次发行后，公司总股本增至</w:t>
      </w:r>
    </w:p>
    <w:p>
      <w:pPr>
        <w:pStyle w:val="BodyText"/>
        <w:spacing w:line="240" w:lineRule="auto" w:before="22"/>
        <w:ind w:right="0"/>
        <w:jc w:val="both"/>
      </w:pPr>
      <w:r>
        <w:rPr>
          <w:rFonts w:ascii="Times New Roman" w:hAnsi="Times New Roman" w:cs="Times New Roman" w:eastAsia="Times New Roman" w:hint="default"/>
        </w:rPr>
        <w:t>226,283,357</w:t>
      </w:r>
      <w:r>
        <w:rPr>
          <w:rFonts w:ascii="Times New Roman" w:hAnsi="Times New Roman" w:cs="Times New Roman" w:eastAsia="Times New Roman" w:hint="default"/>
          <w:spacing w:val="23"/>
        </w:rPr>
        <w:t> </w:t>
      </w:r>
      <w:r>
        <w:rPr/>
        <w:t>股。</w:t>
      </w:r>
    </w:p>
    <w:p>
      <w:pPr>
        <w:pStyle w:val="BodyText"/>
        <w:spacing w:line="240" w:lineRule="auto" w:before="127"/>
        <w:ind w:right="0"/>
        <w:jc w:val="both"/>
      </w:pPr>
      <w:r>
        <w:rPr/>
        <w:t>股份变动的批准情况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55" w:lineRule="auto" w:before="124"/>
        <w:ind w:right="193"/>
        <w:jc w:val="both"/>
      </w:pPr>
      <w:r>
        <w:rPr/>
        <w:t>（</w:t>
      </w:r>
      <w:r>
        <w:rPr>
          <w:rFonts w:ascii="Times New Roman" w:hAnsi="Times New Roman" w:cs="Times New Roman" w:eastAsia="Times New Roman" w:hint="default"/>
        </w:rPr>
        <w:t>1</w:t>
      </w:r>
      <w:r>
        <w:rPr/>
        <w:t>）公司发行股份支付现金购买南京能瑞并募集配套资金事项，于</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日，上市公司召开第四届董事会第八 </w:t>
      </w:r>
      <w:r>
        <w:rPr>
          <w:spacing w:val="-2"/>
        </w:rPr>
        <w:t>次会议，审议通过了《关于公司发行股份及支付现金购买资产并募集配套资金暨关联交易方案的议案》等与本次交易相关的</w:t>
      </w:r>
      <w:r>
        <w:rPr>
          <w:spacing w:val="-66"/>
        </w:rPr>
        <w:t> </w:t>
      </w:r>
      <w:r>
        <w:rPr>
          <w:spacing w:val="-66"/>
        </w:rPr>
      </w:r>
      <w:r>
        <w:rPr/>
        <w:t>议案。</w:t>
      </w:r>
    </w:p>
    <w:p>
      <w:pPr>
        <w:pStyle w:val="BodyText"/>
        <w:spacing w:line="345" w:lineRule="auto" w:before="37"/>
        <w:ind w:right="9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23 </w:t>
      </w:r>
      <w:r>
        <w:rPr/>
        <w:t>日，上市公司召开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年第四次临时股东大会，审议通过了《关于公司发行股份及支付现金购买 资产并募集配套资金暨关联交易方案的议案》等与本次交易相关的议案。</w:t>
      </w:r>
    </w:p>
    <w:p>
      <w:pPr>
        <w:pStyle w:val="BodyText"/>
        <w:spacing w:line="240" w:lineRule="auto"/>
        <w:ind w:right="0"/>
        <w:jc w:val="both"/>
      </w:pPr>
      <w:r>
        <w:rPr/>
        <w:t>（</w:t>
      </w:r>
      <w:r>
        <w:rPr>
          <w:rFonts w:ascii="Times New Roman" w:hAnsi="Times New Roman" w:cs="Times New Roman" w:eastAsia="Times New Roman" w:hint="default"/>
        </w:rPr>
        <w:t>3</w:t>
      </w:r>
      <w:r>
        <w:rPr/>
        <w:t>）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20"/>
        </w:rPr>
        <w:t> </w:t>
      </w:r>
      <w:r>
        <w:rPr/>
        <w:t>日收到中国证券监督管理委员会（以下简称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）通知，经中国证监会上市公司并购重组</w:t>
      </w:r>
    </w:p>
    <w:p>
      <w:pPr>
        <w:pStyle w:val="BodyText"/>
        <w:spacing w:line="345" w:lineRule="auto" w:before="109"/>
        <w:ind w:right="185"/>
        <w:jc w:val="left"/>
      </w:pPr>
      <w:r>
        <w:rPr/>
        <w:t>审核委员会于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16 </w:t>
      </w:r>
      <w:r>
        <w:rPr/>
        <w:t>日召开的 </w:t>
      </w:r>
      <w:r>
        <w:rPr>
          <w:rFonts w:ascii="Times New Roman" w:hAnsi="Times New Roman" w:cs="Times New Roman" w:eastAsia="Times New Roman" w:hint="default"/>
        </w:rPr>
        <w:t>2017 </w:t>
      </w:r>
      <w:r>
        <w:rPr/>
        <w:t>年第 </w:t>
      </w:r>
      <w:r>
        <w:rPr>
          <w:rFonts w:ascii="Times New Roman" w:hAnsi="Times New Roman" w:cs="Times New Roman" w:eastAsia="Times New Roman" w:hint="default"/>
        </w:rPr>
        <w:t>13</w:t>
      </w:r>
      <w:r>
        <w:rPr>
          <w:rFonts w:ascii="Times New Roman" w:hAnsi="Times New Roman" w:cs="Times New Roman" w:eastAsia="Times New Roman" w:hint="default"/>
          <w:spacing w:val="42"/>
        </w:rPr>
        <w:t> </w:t>
      </w:r>
      <w:r>
        <w:rPr/>
        <w:t>次并购重组委工作会议审核，公司本次发行股份及支付现金购买资 产并募集配套资金事项获得无条件通过。</w:t>
      </w:r>
    </w:p>
    <w:p>
      <w:pPr>
        <w:pStyle w:val="BodyText"/>
        <w:spacing w:line="345" w:lineRule="auto"/>
        <w:ind w:right="99"/>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 </w:t>
      </w:r>
      <w:r>
        <w:rPr/>
        <w:t>日，上市公司取得证监许可</w:t>
      </w:r>
      <w:r>
        <w:rPr>
          <w:rFonts w:ascii="Times New Roman" w:hAnsi="Times New Roman" w:cs="Times New Roman" w:eastAsia="Times New Roman" w:hint="default"/>
        </w:rPr>
        <w:t>[2017]577</w:t>
      </w:r>
      <w:r>
        <w:rPr>
          <w:rFonts w:ascii="Times New Roman" w:hAnsi="Times New Roman" w:cs="Times New Roman" w:eastAsia="Times New Roman" w:hint="default"/>
          <w:spacing w:val="25"/>
        </w:rPr>
        <w:t> </w:t>
      </w:r>
      <w:r>
        <w:rPr/>
        <w:t>号《关于核准吉林省金冠电气股份有限公司向南京能策投资管 理有限公司等发行股份购买资产并募集配套资金的批复》。</w:t>
      </w:r>
    </w:p>
    <w:p>
      <w:pPr>
        <w:pStyle w:val="BodyText"/>
        <w:spacing w:line="240" w:lineRule="auto" w:before="62"/>
        <w:ind w:right="0"/>
        <w:jc w:val="both"/>
      </w:pPr>
      <w:r>
        <w:rPr/>
        <w:t>股份变动的过户情况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24"/>
        <w:ind w:left="588" w:right="9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日，南京市工商行政管理局核准了南京能瑞的股东变更，并签发了新的《企业法人营业执照》</w:t>
      </w:r>
    </w:p>
    <w:p>
      <w:pPr>
        <w:pStyle w:val="BodyText"/>
        <w:spacing w:line="240" w:lineRule="auto" w:before="109"/>
        <w:ind w:right="0"/>
        <w:jc w:val="both"/>
        <w:rPr>
          <w:rFonts w:ascii="Times New Roman" w:hAnsi="Times New Roman" w:cs="Times New Roman" w:eastAsia="Times New Roman" w:hint="default"/>
        </w:rPr>
      </w:pPr>
      <w:r>
        <w:rPr/>
        <w:t>（统一社会信用代码：</w:t>
      </w:r>
      <w:r>
        <w:rPr>
          <w:rFonts w:ascii="Times New Roman" w:hAnsi="Times New Roman" w:cs="Times New Roman" w:eastAsia="Times New Roman" w:hint="default"/>
        </w:rPr>
        <w:t>913201007712746910</w:t>
      </w:r>
      <w:r>
        <w:rPr/>
        <w:t>）。截至本报告出具日，金冠电气对能瑞自动化的控制比例为 </w:t>
      </w:r>
      <w:r>
        <w:rPr>
          <w:rFonts w:ascii="Times New Roman" w:hAnsi="Times New Roman" w:cs="Times New Roman" w:eastAsia="Times New Roman" w:hint="default"/>
          <w:spacing w:val="-3"/>
        </w:rPr>
        <w:t>100%</w:t>
      </w:r>
      <w:r>
        <w:rPr>
          <w:spacing w:val="-3"/>
        </w:rPr>
        <w:t>。</w:t>
      </w:r>
      <w:r>
        <w:rPr>
          <w:rFonts w:ascii="Times New Roman" w:hAnsi="Times New Roman" w:cs="Times New Roman" w:eastAsia="Times New Roman" w:hint="default"/>
          <w:spacing w:val="-3"/>
        </w:rPr>
        <w:t>2017 </w:t>
      </w:r>
      <w:r>
        <w:rPr/>
        <w:t>年</w:t>
      </w:r>
      <w:r>
        <w:rPr>
          <w:spacing w:val="-67"/>
        </w:rPr>
        <w:t> </w:t>
      </w:r>
      <w:r>
        <w:rPr>
          <w:rFonts w:ascii="Times New Roman" w:hAnsi="Times New Roman" w:cs="Times New Roman" w:eastAsia="Times New Roman" w:hint="default"/>
        </w:rPr>
        <w:t>5</w:t>
      </w:r>
    </w:p>
    <w:p>
      <w:pPr>
        <w:pStyle w:val="BodyText"/>
        <w:spacing w:line="240" w:lineRule="auto" w:before="109"/>
        <w:ind w:right="0"/>
        <w:jc w:val="both"/>
      </w:pPr>
      <w:r>
        <w:rPr/>
        <w:t>月 </w:t>
      </w:r>
      <w:r>
        <w:rPr>
          <w:rFonts w:ascii="Times New Roman" w:hAnsi="Times New Roman" w:cs="Times New Roman" w:eastAsia="Times New Roman" w:hint="default"/>
        </w:rPr>
        <w:t>17 </w:t>
      </w:r>
      <w:r>
        <w:rPr/>
        <w:t>日，天健出具了天健验</w:t>
      </w:r>
      <w:r>
        <w:rPr>
          <w:rFonts w:ascii="Times New Roman" w:hAnsi="Times New Roman" w:cs="Times New Roman" w:eastAsia="Times New Roman" w:hint="default"/>
        </w:rPr>
        <w:t>[2017]7-32 </w:t>
      </w:r>
      <w:r>
        <w:rPr/>
        <w:t>号《验资报告》。经其审验，截至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17  </w:t>
      </w:r>
      <w:r>
        <w:rPr/>
        <w:t>日，金冠电气已收到能策投资</w:t>
      </w:r>
    </w:p>
    <w:p>
      <w:pPr>
        <w:pStyle w:val="BodyText"/>
        <w:spacing w:line="240" w:lineRule="auto" w:before="109"/>
        <w:ind w:right="0"/>
        <w:jc w:val="both"/>
      </w:pPr>
      <w:r>
        <w:rPr/>
        <w:t>等 </w:t>
      </w:r>
      <w:r>
        <w:rPr>
          <w:rFonts w:ascii="Times New Roman" w:hAnsi="Times New Roman" w:cs="Times New Roman" w:eastAsia="Times New Roman" w:hint="default"/>
        </w:rPr>
        <w:t>32 </w:t>
      </w:r>
      <w:r>
        <w:rPr/>
        <w:t>名交易对方以股权认缴的新增注册资本合计 </w:t>
      </w:r>
      <w:r>
        <w:rPr>
          <w:rFonts w:ascii="Times New Roman" w:hAnsi="Times New Roman" w:cs="Times New Roman" w:eastAsia="Times New Roman" w:hint="default"/>
        </w:rPr>
        <w:t>31,007,751 </w:t>
      </w:r>
      <w:r>
        <w:rPr>
          <w:spacing w:val="-3"/>
        </w:rPr>
        <w:t>元。本次变更后，金冠电气的累计注册资本为</w:t>
      </w:r>
      <w:r>
        <w:rPr>
          <w:rFonts w:ascii="Times New Roman" w:hAnsi="Times New Roman" w:cs="Times New Roman" w:eastAsia="Times New Roman" w:hint="default"/>
          <w:spacing w:val="-3"/>
        </w:rPr>
        <w:t>204,849,751 </w:t>
      </w:r>
      <w:r>
        <w:rPr>
          <w:rFonts w:ascii="Times New Roman" w:hAnsi="Times New Roman" w:cs="Times New Roman" w:eastAsia="Times New Roman" w:hint="default"/>
          <w:spacing w:val="7"/>
        </w:rPr>
        <w:t> </w:t>
      </w:r>
      <w:r>
        <w:rPr/>
        <w:t>元。</w:t>
      </w:r>
    </w:p>
    <w:p>
      <w:pPr>
        <w:pStyle w:val="BodyText"/>
        <w:spacing w:line="345" w:lineRule="auto" w:before="109"/>
        <w:ind w:right="190"/>
        <w:jc w:val="both"/>
      </w:pPr>
      <w:r>
        <w:rPr/>
        <w:t>上市公司已取得中登公司于</w:t>
      </w:r>
      <w:r>
        <w:rPr>
          <w:spacing w:val="-3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t>年</w:t>
      </w:r>
      <w:r>
        <w:rPr>
          <w:spacing w:val="-30"/>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spacing w:val="-30"/>
        </w:rPr>
        <w:t> </w:t>
      </w:r>
      <w:r>
        <w:rPr>
          <w:rFonts w:ascii="Times New Roman" w:hAnsi="Times New Roman" w:cs="Times New Roman" w:eastAsia="Times New Roman" w:hint="default"/>
        </w:rPr>
        <w:t>25</w:t>
      </w:r>
      <w:r>
        <w:rPr>
          <w:rFonts w:ascii="Times New Roman" w:hAnsi="Times New Roman" w:cs="Times New Roman" w:eastAsia="Times New Roman" w:hint="default"/>
          <w:spacing w:val="16"/>
        </w:rPr>
        <w:t> </w:t>
      </w:r>
      <w:r>
        <w:rPr/>
        <w:t>日出具的《股份登记申请受理确认书》。经确认，本次增发股份将于该批股份 </w:t>
      </w:r>
      <w:r>
        <w:rPr>
          <w:spacing w:val="-3"/>
        </w:rPr>
        <w:t>上市日的前一交易日日终登记到账，并正式列入上市公司的股东名册。本次新增股份为限售条件流通股，上市时间为</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37"/>
        </w:rPr>
        <w:t>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日。</w:t>
      </w:r>
    </w:p>
    <w:p>
      <w:pPr>
        <w:pStyle w:val="BodyText"/>
        <w:spacing w:line="345" w:lineRule="auto" w:before="22"/>
        <w:ind w:right="100" w:firstLine="36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日，本次交易对方持有的南京能瑞</w:t>
      </w:r>
      <w:r>
        <w:rPr>
          <w:rFonts w:ascii="Times New Roman" w:hAnsi="Times New Roman" w:cs="Times New Roman" w:eastAsia="Times New Roman" w:hint="default"/>
        </w:rPr>
        <w:t>100%</w:t>
      </w:r>
      <w:r>
        <w:rPr/>
        <w:t>股权已过户至公司名下，并在南京市工商行政管理局办理完 </w:t>
      </w:r>
      <w:r>
        <w:rPr>
          <w:spacing w:val="-3"/>
        </w:rPr>
        <w:t>毕相关工商变更登记手续，能瑞自动化领取了重新核发的《营业执照》（统一社会信用代码：</w:t>
      </w:r>
      <w:r>
        <w:rPr>
          <w:rFonts w:ascii="Times New Roman" w:hAnsi="Times New Roman" w:cs="Times New Roman" w:eastAsia="Times New Roman" w:hint="default"/>
          <w:spacing w:val="-3"/>
        </w:rPr>
        <w:t>913201007712746910</w:t>
      </w:r>
      <w:r>
        <w:rPr>
          <w:spacing w:val="-3"/>
        </w:rPr>
        <w:t>）。至此，</w:t>
      </w:r>
      <w:r>
        <w:rPr>
          <w:spacing w:val="-73"/>
        </w:rPr>
        <w:t> </w:t>
      </w:r>
      <w:r>
        <w:rPr>
          <w:spacing w:val="-73"/>
        </w:rPr>
      </w:r>
      <w:r>
        <w:rPr>
          <w:spacing w:val="-3"/>
        </w:rPr>
        <w:t>标的资产过户手续已办理完成，上市公司已持有南京能瑞</w:t>
      </w:r>
      <w:r>
        <w:rPr>
          <w:rFonts w:ascii="Times New Roman" w:hAnsi="Times New Roman" w:cs="Times New Roman" w:eastAsia="Times New Roman" w:hint="default"/>
          <w:spacing w:val="-3"/>
        </w:rPr>
        <w:t>100%</w:t>
      </w:r>
      <w:r>
        <w:rPr>
          <w:spacing w:val="-3"/>
        </w:rPr>
        <w:t>股权。</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17</w:t>
      </w:r>
      <w:r>
        <w:rPr>
          <w:spacing w:val="-3"/>
        </w:rPr>
        <w:t>日，天健会计师出具了天健验字</w:t>
      </w:r>
      <w:r>
        <w:rPr>
          <w:rFonts w:ascii="Times New Roman" w:hAnsi="Times New Roman" w:cs="Times New Roman" w:eastAsia="Times New Roman" w:hint="default"/>
          <w:spacing w:val="-3"/>
        </w:rPr>
        <w:t>[2017]7-32</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号《验资报告》，经其审验，截至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日止，南京能瑞</w:t>
      </w:r>
      <w:r>
        <w:rPr>
          <w:rFonts w:ascii="Times New Roman" w:hAnsi="Times New Roman" w:cs="Times New Roman" w:eastAsia="Times New Roman" w:hint="default"/>
        </w:rPr>
        <w:t>100%</w:t>
      </w:r>
      <w:r>
        <w:rPr/>
        <w:t>股权已交割过户至公司名下，其股权作价金额为 </w:t>
      </w:r>
      <w:r>
        <w:rPr>
          <w:rFonts w:ascii="Times New Roman" w:hAnsi="Times New Roman" w:cs="Times New Roman" w:eastAsia="Times New Roman" w:hint="default"/>
        </w:rPr>
        <w:t>1,503,999,966.12</w:t>
      </w:r>
      <w:r>
        <w:rPr>
          <w:rFonts w:ascii="Times New Roman" w:hAnsi="Times New Roman" w:cs="Times New Roman" w:eastAsia="Times New Roman" w:hint="default"/>
          <w:spacing w:val="-3"/>
        </w:rPr>
        <w:t> </w:t>
      </w:r>
      <w:r>
        <w:rPr/>
        <w:t>元，扣除需要支付的合计人民币</w:t>
      </w:r>
      <w:r>
        <w:rPr>
          <w:rFonts w:ascii="Times New Roman" w:hAnsi="Times New Roman" w:cs="Times New Roman" w:eastAsia="Times New Roman" w:hint="default"/>
        </w:rPr>
        <w:t>384,000,000.00</w:t>
      </w:r>
      <w:r>
        <w:rPr/>
        <w:t>元现金对价后，公司实际以每股发行价</w:t>
      </w:r>
      <w:r>
        <w:rPr>
          <w:rFonts w:ascii="Times New Roman" w:hAnsi="Times New Roman" w:cs="Times New Roman" w:eastAsia="Times New Roman" w:hint="default"/>
        </w:rPr>
        <w:t>36.12</w:t>
      </w:r>
      <w:r>
        <w:rPr/>
        <w:t>元发行人民币普 </w:t>
      </w:r>
      <w:r>
        <w:rPr>
          <w:spacing w:val="-3"/>
        </w:rPr>
        <w:t>通股（</w:t>
      </w:r>
      <w:r>
        <w:rPr>
          <w:rFonts w:ascii="Times New Roman" w:hAnsi="Times New Roman" w:cs="Times New Roman" w:eastAsia="Times New Roman" w:hint="default"/>
          <w:spacing w:val="-3"/>
        </w:rPr>
        <w:t>A</w:t>
      </w:r>
      <w:r>
        <w:rPr>
          <w:spacing w:val="-3"/>
        </w:rPr>
        <w:t>股）股票</w:t>
      </w:r>
      <w:r>
        <w:rPr>
          <w:rFonts w:ascii="Times New Roman" w:hAnsi="Times New Roman" w:cs="Times New Roman" w:eastAsia="Times New Roman" w:hint="default"/>
          <w:spacing w:val="-3"/>
        </w:rPr>
        <w:t>31,007,751</w:t>
      </w:r>
      <w:r>
        <w:rPr>
          <w:spacing w:val="-3"/>
        </w:rPr>
        <w:t>股。其中，计入股本人民币叁仟壹佰万柒仟柒佰伍拾壹元（</w:t>
      </w:r>
      <w:r>
        <w:rPr>
          <w:rFonts w:ascii="Times New Roman" w:hAnsi="Times New Roman" w:cs="Times New Roman" w:eastAsia="Times New Roman" w:hint="default"/>
          <w:spacing w:val="-3"/>
        </w:rPr>
        <w:t>¥31,007,751.00</w:t>
      </w:r>
      <w:r>
        <w:rPr>
          <w:spacing w:val="-3"/>
        </w:rPr>
        <w:t>），计入资本公积（股</w:t>
      </w:r>
      <w:r>
        <w:rPr>
          <w:spacing w:val="-63"/>
        </w:rPr>
        <w:t> </w:t>
      </w:r>
      <w:r>
        <w:rPr>
          <w:spacing w:val="-63"/>
        </w:rPr>
      </w:r>
      <w:r>
        <w:rPr/>
        <w:t>本溢价）</w:t>
      </w:r>
      <w:r>
        <w:rPr>
          <w:rFonts w:ascii="Times New Roman" w:hAnsi="Times New Roman" w:cs="Times New Roman" w:eastAsia="Times New Roman" w:hint="default"/>
        </w:rPr>
        <w:t>1,088,992,215.12</w:t>
      </w:r>
      <w:r>
        <w:rPr/>
        <w:t>元。</w:t>
      </w:r>
    </w:p>
    <w:p>
      <w:pPr>
        <w:pStyle w:val="BodyText"/>
        <w:spacing w:line="355" w:lineRule="auto" w:before="22"/>
        <w:ind w:right="190" w:firstLine="362"/>
        <w:jc w:val="both"/>
      </w:pPr>
      <w:r>
        <w:rPr/>
        <w:t>上市公司已取得中登公司于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spacing w:val="-3"/>
        </w:rPr>
        <w:t>日出具的《股份登记申请受理确认书》。经确认，本次发行股份购买资产</w:t>
      </w:r>
      <w:r>
        <w:rPr/>
        <w:t> </w:t>
      </w:r>
      <w:r>
        <w:rPr>
          <w:spacing w:val="-2"/>
        </w:rPr>
        <w:t>对应增发股份将于该批股份上市日的前一交易日日终登记到账，并正式列入上市公司的股东名册。本次新增股份为限售条件</w:t>
      </w:r>
      <w:r>
        <w:rPr>
          <w:spacing w:val="-64"/>
        </w:rPr>
        <w:t> </w:t>
      </w:r>
      <w:r>
        <w:rPr>
          <w:spacing w:val="-64"/>
        </w:rPr>
      </w:r>
      <w:r>
        <w:rPr>
          <w:spacing w:val="-3"/>
        </w:rPr>
        <w:t>流通股，上市时间为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9 </w:t>
      </w:r>
      <w:r>
        <w:rPr>
          <w:spacing w:val="-5"/>
        </w:rPr>
        <w:t>日。</w:t>
      </w:r>
      <w:r>
        <w:rPr>
          <w:rFonts w:ascii="Times New Roman" w:hAnsi="Times New Roman" w:cs="Times New Roman" w:eastAsia="Times New Roman" w:hint="default"/>
          <w:spacing w:val="-5"/>
        </w:rPr>
        <w:t>2017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30"/>
        </w:rPr>
        <w:t> </w:t>
      </w:r>
      <w:r>
        <w:rPr/>
        <w:t>日，中国证券登记结算有限责任公司深圳分公司已受理完成本公</w:t>
      </w:r>
    </w:p>
    <w:p>
      <w:pPr>
        <w:spacing w:after="0" w:line="355" w:lineRule="auto"/>
        <w:jc w:val="both"/>
        <w:sectPr>
          <w:pgSz w:w="11910" w:h="16840"/>
          <w:pgMar w:header="747" w:footer="979" w:top="1060" w:bottom="1160" w:left="980" w:right="940"/>
        </w:sectPr>
      </w:pPr>
    </w:p>
    <w:p>
      <w:pPr>
        <w:spacing w:line="240" w:lineRule="auto" w:before="8"/>
        <w:rPr>
          <w:rFonts w:ascii="宋体" w:hAnsi="宋体" w:cs="宋体" w:eastAsia="宋体" w:hint="default"/>
          <w:sz w:val="27"/>
          <w:szCs w:val="27"/>
        </w:rPr>
      </w:pPr>
    </w:p>
    <w:p>
      <w:pPr>
        <w:pStyle w:val="BodyText"/>
        <w:spacing w:line="355" w:lineRule="auto"/>
        <w:ind w:right="171"/>
        <w:jc w:val="both"/>
      </w:pPr>
      <w:r>
        <w:rPr/>
        <w:t>司非公开发行募集配套资金新增的 </w:t>
      </w:r>
      <w:r>
        <w:rPr>
          <w:rFonts w:ascii="Times New Roman" w:hAnsi="Times New Roman" w:cs="Times New Roman" w:eastAsia="Times New Roman" w:hint="default"/>
        </w:rPr>
        <w:t>21,433,606</w:t>
      </w:r>
      <w:r>
        <w:rPr>
          <w:rFonts w:ascii="Times New Roman" w:hAnsi="Times New Roman" w:cs="Times New Roman" w:eastAsia="Times New Roman" w:hint="default"/>
          <w:spacing w:val="7"/>
        </w:rPr>
        <w:t> </w:t>
      </w:r>
      <w:r>
        <w:rPr/>
        <w:t>股股份的相关登记申请，并出具了《股份登记申请受理确认书》。经确认， </w:t>
      </w:r>
      <w:r>
        <w:rPr>
          <w:spacing w:val="-2"/>
        </w:rPr>
        <w:t>本次非公开发行募集配套资金对应增发股份将于该批股份上市日的前一交易日日终登记到账，并正式列入上市公司的股东名</w:t>
      </w:r>
      <w:r>
        <w:rPr>
          <w:spacing w:val="-64"/>
        </w:rPr>
        <w:t> </w:t>
      </w:r>
      <w:r>
        <w:rPr>
          <w:spacing w:val="-64"/>
        </w:rPr>
      </w:r>
      <w:r>
        <w:rPr/>
        <w:t>册。本次新增股份为限售条件流通股，上市时间为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24"/>
        </w:rPr>
        <w:t> </w:t>
      </w:r>
      <w:r>
        <w:rPr/>
        <w:t>日。</w:t>
      </w:r>
    </w:p>
    <w:p>
      <w:pPr>
        <w:spacing w:line="240" w:lineRule="auto" w:before="4"/>
        <w:rPr>
          <w:rFonts w:ascii="宋体" w:hAnsi="宋体" w:cs="宋体" w:eastAsia="宋体" w:hint="default"/>
          <w:sz w:val="26"/>
          <w:szCs w:val="26"/>
        </w:rPr>
      </w:pPr>
    </w:p>
    <w:p>
      <w:pPr>
        <w:pStyle w:val="BodyText"/>
        <w:spacing w:line="240" w:lineRule="auto" w:before="0"/>
        <w:ind w:right="0"/>
        <w:jc w:val="both"/>
      </w:pPr>
      <w:r>
        <w:rPr/>
        <w:t>股份变动对最近一年和最近一期基本每股收益和稀释每股收益、归属于公司普通股股东的每股净资产等财务指标的影响</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spacing w:line="1382" w:lineRule="exact"/>
        <w:ind w:left="154" w:right="0" w:firstLine="0"/>
        <w:rPr>
          <w:rFonts w:ascii="宋体" w:hAnsi="宋体" w:cs="宋体" w:eastAsia="宋体" w:hint="default"/>
          <w:sz w:val="20"/>
          <w:szCs w:val="20"/>
        </w:rPr>
      </w:pPr>
      <w:r>
        <w:rPr>
          <w:rFonts w:ascii="宋体" w:hAnsi="宋体" w:cs="宋体" w:eastAsia="宋体" w:hint="default"/>
          <w:position w:val="-27"/>
          <w:sz w:val="20"/>
          <w:szCs w:val="20"/>
        </w:rPr>
        <w:drawing>
          <wp:inline distT="0" distB="0" distL="0" distR="0">
            <wp:extent cx="6158698" cy="877728"/>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5" cstate="print"/>
                    <a:stretch>
                      <a:fillRect/>
                    </a:stretch>
                  </pic:blipFill>
                  <pic:spPr>
                    <a:xfrm>
                      <a:off x="0" y="0"/>
                      <a:ext cx="6158698" cy="877728"/>
                    </a:xfrm>
                    <a:prstGeom prst="rect">
                      <a:avLst/>
                    </a:prstGeom>
                  </pic:spPr>
                </pic:pic>
              </a:graphicData>
            </a:graphic>
          </wp:inline>
        </w:drawing>
      </w:r>
      <w:r>
        <w:rPr>
          <w:rFonts w:ascii="宋体" w:hAnsi="宋体" w:cs="宋体" w:eastAsia="宋体" w:hint="default"/>
          <w:position w:val="-27"/>
          <w:sz w:val="20"/>
          <w:szCs w:val="20"/>
        </w:rPr>
      </w:r>
    </w:p>
    <w:p>
      <w:pPr>
        <w:pStyle w:val="BodyText"/>
        <w:spacing w:line="240" w:lineRule="auto" w:before="141"/>
        <w:ind w:right="0"/>
        <w:jc w:val="both"/>
      </w:pPr>
      <w:r>
        <w:rPr/>
        <w:t>公司认为必要或证券监管机构要求披露的其他内容</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7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791,834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79,191,834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首发上市限售股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2019-05-05</w:t>
            </w:r>
          </w:p>
        </w:tc>
      </w:tr>
      <w:tr>
        <w:trPr>
          <w:trHeight w:val="6291"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2" w:right="69"/>
              <w:jc w:val="left"/>
              <w:rPr>
                <w:rFonts w:ascii="宋体" w:hAnsi="宋体" w:cs="宋体" w:eastAsia="宋体" w:hint="default"/>
                <w:sz w:val="18"/>
                <w:szCs w:val="18"/>
              </w:rPr>
            </w:pPr>
            <w:r>
              <w:rPr>
                <w:rFonts w:ascii="宋体" w:hAnsi="宋体" w:cs="宋体" w:eastAsia="宋体" w:hint="default"/>
                <w:sz w:val="18"/>
                <w:szCs w:val="18"/>
              </w:rPr>
              <w:t>南京能策投资管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23,039,998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23,039,998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自本次交易取得 的金冠电气股份 自该等股份上市 之日起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 内不得转让，且 业绩承诺期间 内，标的公司截 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年末当 期累积承诺净利 润实现后，可解 锁能策投资于本 次交易取得的 </w:t>
            </w:r>
            <w:r>
              <w:rPr>
                <w:rFonts w:ascii="Times New Roman" w:hAnsi="Times New Roman" w:cs="Times New Roman" w:eastAsia="Times New Roman" w:hint="default"/>
                <w:sz w:val="18"/>
                <w:szCs w:val="18"/>
              </w:rPr>
              <w:t>25%</w:t>
            </w:r>
            <w:r>
              <w:rPr>
                <w:rFonts w:ascii="宋体" w:hAnsi="宋体" w:cs="宋体" w:eastAsia="宋体" w:hint="default"/>
                <w:sz w:val="18"/>
                <w:szCs w:val="18"/>
              </w:rPr>
              <w:t>对价股份； 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年末 当期累积承诺净 利润实现后，可 解锁能策投资于 本次交易取得的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 截至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年末</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1611"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7"/>
              <w:jc w:val="both"/>
              <w:rPr>
                <w:rFonts w:ascii="宋体" w:hAnsi="宋体" w:cs="宋体" w:eastAsia="宋体" w:hint="default"/>
                <w:sz w:val="18"/>
                <w:szCs w:val="18"/>
              </w:rPr>
            </w:pPr>
            <w:r>
              <w:rPr>
                <w:rFonts w:ascii="宋体" w:hAnsi="宋体" w:cs="宋体" w:eastAsia="宋体" w:hint="default"/>
                <w:sz w:val="18"/>
                <w:szCs w:val="18"/>
              </w:rPr>
              <w:t>当期累积承诺净 利润实现后，可 解锁能策投资于 本次交易取得的 剩余对价股份。</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16,660,000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12,495,000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任职期间内每年 转让的发行人股 份不超过本人直 接或间接持有发 行人的股份总数 的百分之二十 五。</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11,268,914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11,268,914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2018-09-20</w:t>
            </w:r>
          </w:p>
        </w:tc>
      </w:tr>
      <w:tr>
        <w:trPr>
          <w:trHeight w:val="789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孙金良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z w:val="18"/>
              </w:rPr>
              <w:t>4,449,782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4,449,782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自本次交易取得 的金冠电气股份 自该等股份上市 之日起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 内不得转让，且 业绩承诺期间 内，标的公司截 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年末当 期累积承诺净利 润实现后，可解 锁孙金良于本次 交易取得的 </w:t>
            </w:r>
            <w:r>
              <w:rPr>
                <w:rFonts w:ascii="Times New Roman" w:hAnsi="Times New Roman" w:cs="Times New Roman" w:eastAsia="Times New Roman" w:hint="default"/>
                <w:sz w:val="18"/>
                <w:szCs w:val="18"/>
              </w:rPr>
              <w:t>25%</w:t>
            </w:r>
            <w:r>
              <w:rPr>
                <w:rFonts w:ascii="宋体" w:hAnsi="宋体" w:cs="宋体" w:eastAsia="宋体" w:hint="default"/>
                <w:sz w:val="18"/>
                <w:szCs w:val="18"/>
              </w:rPr>
              <w:t>对价股份； 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年末 当期累积承诺净 利润实现后，可 解锁孙金良于本 次交易取得的 </w:t>
            </w:r>
            <w:r>
              <w:rPr>
                <w:rFonts w:ascii="Times New Roman" w:hAnsi="Times New Roman" w:cs="Times New Roman" w:eastAsia="Times New Roman" w:hint="default"/>
                <w:sz w:val="18"/>
                <w:szCs w:val="18"/>
              </w:rPr>
              <w:t>30%</w:t>
            </w:r>
            <w:r>
              <w:rPr>
                <w:rFonts w:ascii="宋体" w:hAnsi="宋体" w:cs="宋体" w:eastAsia="宋体" w:hint="default"/>
                <w:sz w:val="18"/>
                <w:szCs w:val="18"/>
              </w:rPr>
              <w:t>对价股份； 截至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年末 当期累积承诺净 利润实现后，可 解锁孙金良于本 次交易取得的剩 余对价股份。</w:t>
            </w:r>
          </w:p>
        </w:tc>
      </w:tr>
      <w:tr>
        <w:trPr>
          <w:trHeight w:val="1611"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金志毅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首发上市限售股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 可解除限售的股 份合计为 </w:t>
            </w:r>
            <w:r>
              <w:rPr>
                <w:rFonts w:ascii="Times New Roman" w:hAnsi="Times New Roman" w:cs="Times New Roman" w:eastAsia="Times New Roman" w:hint="default"/>
                <w:sz w:val="18"/>
                <w:szCs w:val="18"/>
              </w:rPr>
              <w:t>4,350,000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股，其 中</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8,600,000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处于</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4419"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7"/>
              <w:jc w:val="both"/>
              <w:rPr>
                <w:rFonts w:ascii="宋体" w:hAnsi="宋体" w:cs="宋体" w:eastAsia="宋体" w:hint="default"/>
                <w:sz w:val="18"/>
                <w:szCs w:val="18"/>
              </w:rPr>
            </w:pPr>
            <w:r>
              <w:rPr>
                <w:rFonts w:ascii="宋体" w:hAnsi="宋体" w:cs="宋体" w:eastAsia="宋体" w:hint="default"/>
                <w:sz w:val="18"/>
                <w:szCs w:val="18"/>
              </w:rPr>
              <w:t>质押状态，本次 可实际上市流通 股合计为</w:t>
            </w:r>
          </w:p>
          <w:p>
            <w:pPr>
              <w:pStyle w:val="TableParagraph"/>
              <w:spacing w:line="312" w:lineRule="auto" w:before="19"/>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股，上述</w:t>
            </w:r>
            <w:r>
              <w:rPr>
                <w:rFonts w:ascii="宋体" w:hAnsi="宋体" w:cs="宋体" w:eastAsia="宋体" w:hint="default"/>
                <w:sz w:val="18"/>
                <w:szCs w:val="18"/>
              </w:rPr>
              <w:t> 质押状态股如在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 前解除质押，则 其所持的 </w:t>
            </w:r>
            <w:r>
              <w:rPr>
                <w:rFonts w:ascii="Times New Roman" w:hAnsi="Times New Roman" w:cs="Times New Roman" w:eastAsia="Times New Roman" w:hint="default"/>
                <w:sz w:val="18"/>
                <w:szCs w:val="18"/>
              </w:rPr>
              <w:t>4,250,000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股可上</w:t>
            </w:r>
          </w:p>
          <w:p>
            <w:pPr>
              <w:pStyle w:val="TableParagraph"/>
              <w:spacing w:line="240" w:lineRule="auto" w:before="3"/>
              <w:ind w:left="22" w:right="0"/>
              <w:jc w:val="both"/>
              <w:rPr>
                <w:rFonts w:ascii="宋体" w:hAnsi="宋体" w:cs="宋体" w:eastAsia="宋体" w:hint="default"/>
                <w:sz w:val="18"/>
                <w:szCs w:val="18"/>
              </w:rPr>
            </w:pPr>
            <w:r>
              <w:rPr>
                <w:rFonts w:ascii="宋体" w:hAnsi="宋体" w:cs="宋体" w:eastAsia="宋体" w:hint="default"/>
                <w:sz w:val="18"/>
                <w:szCs w:val="18"/>
              </w:rPr>
              <w:t>市流通，剩余</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4,350,000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股将在</w:t>
            </w:r>
          </w:p>
          <w:p>
            <w:pPr>
              <w:pStyle w:val="TableParagraph"/>
              <w:spacing w:line="309" w:lineRule="auto" w:before="6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 后可申请上市流 通。</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李从文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4,308,487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4,308,487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2018-09-20</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徐海涛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735,000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任职期间内每年 转让的发行人股 份不超过本人直 接或间接持有发 行人的股份总数 的百分之二十 五。</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上海钧犀实业有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1,981,904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1,981,904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2018-09-20</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诺远资产管理有 限公司－景欣定 增精选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 投资基金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1,938,819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1,938,819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2018-09-20</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1,542,000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5,453,453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6,995,453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2018-06-08/2018</w:t>
            </w:r>
          </w:p>
          <w:p>
            <w:pPr>
              <w:pStyle w:val="TableParagraph"/>
              <w:spacing w:line="362" w:lineRule="auto" w:before="104"/>
              <w:ind w:left="22" w:right="48"/>
              <w:jc w:val="left"/>
              <w:rPr>
                <w:rFonts w:ascii="Times New Roman" w:hAnsi="Times New Roman" w:cs="Times New Roman" w:eastAsia="Times New Roman" w:hint="default"/>
                <w:sz w:val="18"/>
                <w:szCs w:val="18"/>
              </w:rPr>
            </w:pPr>
            <w:r>
              <w:rPr>
                <w:rFonts w:ascii="Times New Roman"/>
                <w:sz w:val="18"/>
              </w:rPr>
              <w:t>-09-20/2019-05-0</w:t>
            </w:r>
            <w:r>
              <w:rPr>
                <w:rFonts w:ascii="Times New Roman"/>
                <w:w w:val="99"/>
                <w:sz w:val="18"/>
              </w:rPr>
              <w:t> </w:t>
            </w:r>
            <w:r>
              <w:rPr>
                <w:rFonts w:ascii="Times New Roman"/>
                <w:sz w:val="18"/>
              </w:rPr>
              <w:t>5</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108,242,000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53,233,191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152,225,191</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1026"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pacing w:val="-11"/>
                <w:sz w:val="18"/>
                <w:szCs w:val="18"/>
              </w:rPr>
              <w:t>金冠电气（收购南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京能瑞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36.12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31,007,751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31,007,751</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1"/>
                <w:sz w:val="18"/>
                <w:szCs w:val="18"/>
              </w:rPr>
              <w:t>金冠电气（配套募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集资金）</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23.21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21,433,606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21,433,606</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1"/>
        <w:ind w:right="99"/>
        <w:jc w:val="left"/>
      </w:pPr>
      <w:r>
        <w:rPr/>
        <w:t>报告期内证券发行（不含优先股）情况的说明</w:t>
      </w:r>
    </w:p>
    <w:p>
      <w:pPr>
        <w:pStyle w:val="BodyText"/>
        <w:spacing w:line="345" w:lineRule="auto" w:before="139"/>
        <w:ind w:right="201" w:firstLine="360"/>
        <w:jc w:val="left"/>
      </w:pPr>
      <w:r>
        <w:rPr/>
        <w:t>（</w:t>
      </w:r>
      <w:r>
        <w:rPr>
          <w:rFonts w:ascii="Times New Roman" w:hAnsi="Times New Roman" w:cs="Times New Roman" w:eastAsia="Times New Roman" w:hint="default"/>
        </w:rPr>
        <w:t>1</w:t>
      </w:r>
      <w:r>
        <w:rPr/>
        <w:t>）公司发行股份及支付现金购买南京能瑞自动化设备有限公司</w:t>
      </w:r>
      <w:r>
        <w:rPr>
          <w:rFonts w:ascii="Times New Roman" w:hAnsi="Times New Roman" w:cs="Times New Roman" w:eastAsia="Times New Roman" w:hint="default"/>
        </w:rPr>
        <w:t>100%</w:t>
      </w:r>
      <w:r>
        <w:rPr/>
        <w:t>股权并募集配套资金事项，于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日获 得中国证监会上市公司并购重组委无条件审核通过，并于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日接到中国证监会的正式批复，本次发行股票购 买资产部分新增股份</w:t>
      </w:r>
      <w:r>
        <w:rPr>
          <w:rFonts w:ascii="Times New Roman" w:hAnsi="Times New Roman" w:cs="Times New Roman" w:eastAsia="Times New Roman" w:hint="default"/>
        </w:rPr>
        <w:t>31,007,751</w:t>
      </w:r>
      <w:r>
        <w:rPr>
          <w:rFonts w:ascii="Times New Roman" w:hAnsi="Times New Roman" w:cs="Times New Roman" w:eastAsia="Times New Roman" w:hint="default"/>
          <w:spacing w:val="24"/>
        </w:rPr>
        <w:t> </w:t>
      </w:r>
      <w:r>
        <w:rPr/>
        <w:t>股，公司已递交新增股份登记申请，并于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日取得了中国证券登记结算有限公司 深圳分公司出具的《股份登记申请受理确认书》，本次新增股份上市日为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日，本次发行后，公司总股本增至 </w:t>
      </w:r>
      <w:r>
        <w:rPr>
          <w:rFonts w:ascii="Times New Roman" w:hAnsi="Times New Roman" w:cs="Times New Roman" w:eastAsia="Times New Roman" w:hint="default"/>
        </w:rPr>
        <w:t>204,849,751 </w:t>
      </w:r>
      <w:r>
        <w:rPr/>
        <w:t>股。截至报告期末，本公司已办理完毕发行股份购买资产部分新增股份</w:t>
      </w:r>
      <w:r>
        <w:rPr>
          <w:rFonts w:ascii="Times New Roman" w:hAnsi="Times New Roman" w:cs="Times New Roman" w:eastAsia="Times New Roman" w:hint="default"/>
        </w:rPr>
        <w:t>31,007,751</w:t>
      </w:r>
      <w:r>
        <w:rPr>
          <w:rFonts w:ascii="Times New Roman" w:hAnsi="Times New Roman" w:cs="Times New Roman" w:eastAsia="Times New Roman" w:hint="default"/>
          <w:spacing w:val="5"/>
        </w:rPr>
        <w:t> </w:t>
      </w:r>
      <w:r>
        <w:rPr/>
        <w:t>股的登记手续并就本次新增 股份上市事宜办理了公司注册资本及公司章程等工商登记变更手续。</w:t>
      </w:r>
    </w:p>
    <w:p>
      <w:pPr>
        <w:pStyle w:val="BodyText"/>
        <w:spacing w:line="345" w:lineRule="auto"/>
        <w:ind w:right="86" w:firstLine="360"/>
        <w:jc w:val="left"/>
      </w:pPr>
      <w:r>
        <w:rPr/>
        <w:t>（</w:t>
      </w:r>
      <w:r>
        <w:rPr>
          <w:rFonts w:ascii="Times New Roman" w:hAnsi="Times New Roman" w:cs="Times New Roman" w:eastAsia="Times New Roman" w:hint="default"/>
        </w:rPr>
        <w:t>2</w:t>
      </w:r>
      <w:r>
        <w:rPr/>
        <w:t>）公司发行股份及支付现金购买南京能瑞自动化设备有限公司</w:t>
      </w:r>
      <w:r>
        <w:rPr>
          <w:rFonts w:ascii="Times New Roman" w:hAnsi="Times New Roman" w:cs="Times New Roman" w:eastAsia="Times New Roman" w:hint="default"/>
        </w:rPr>
        <w:t>100%</w:t>
      </w:r>
      <w:r>
        <w:rPr/>
        <w:t>股权并募集配套资金事项，于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日获 得中国证监会上市公司并购重组委无条件审核通过，并于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日接到中国证监会的正式批复，本次非公开发行 募集配套资金发行数量为 </w:t>
      </w:r>
      <w:r>
        <w:rPr>
          <w:rFonts w:ascii="Times New Roman" w:hAnsi="Times New Roman" w:cs="Times New Roman" w:eastAsia="Times New Roman" w:hint="default"/>
        </w:rPr>
        <w:t>21,433,606 </w:t>
      </w:r>
      <w:r>
        <w:rPr/>
        <w:t>股，新增股份上市日为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日，本次发行后，公司总股本增至</w:t>
      </w:r>
      <w:r>
        <w:rPr>
          <w:rFonts w:ascii="Times New Roman" w:hAnsi="Times New Roman" w:cs="Times New Roman" w:eastAsia="Times New Roman" w:hint="default"/>
        </w:rPr>
        <w:t>226,283,357</w:t>
      </w:r>
      <w:r>
        <w:rPr>
          <w:rFonts w:ascii="Times New Roman" w:hAnsi="Times New Roman" w:cs="Times New Roman" w:eastAsia="Times New Roman" w:hint="default"/>
          <w:spacing w:val="6"/>
        </w:rPr>
        <w:t> </w:t>
      </w:r>
      <w:r>
        <w:rPr/>
        <w:t>股。 截至报告期末，本公司已办理完毕发行股份购买资产部分新增股份为 </w:t>
      </w:r>
      <w:r>
        <w:rPr>
          <w:rFonts w:ascii="Times New Roman" w:hAnsi="Times New Roman" w:cs="Times New Roman" w:eastAsia="Times New Roman" w:hint="default"/>
        </w:rPr>
        <w:t>21,433,606</w:t>
      </w:r>
      <w:r>
        <w:rPr>
          <w:rFonts w:ascii="Times New Roman" w:hAnsi="Times New Roman" w:cs="Times New Roman" w:eastAsia="Times New Roman" w:hint="default"/>
          <w:spacing w:val="8"/>
        </w:rPr>
        <w:t> </w:t>
      </w:r>
      <w:r>
        <w:rPr/>
        <w:t>股的登记手续并就本次新增股份上市事宜 办理了公司注册资本及公司章程等工商登记变更手续。</w:t>
      </w:r>
    </w:p>
    <w:p>
      <w:pPr>
        <w:spacing w:line="240" w:lineRule="auto" w:before="10"/>
        <w:rPr>
          <w:rFonts w:ascii="宋体" w:hAnsi="宋体" w:cs="宋体" w:eastAsia="宋体" w:hint="default"/>
          <w:sz w:val="22"/>
          <w:szCs w:val="22"/>
        </w:rPr>
      </w:pPr>
    </w:p>
    <w:p>
      <w:pPr>
        <w:pStyle w:val="Heading4"/>
        <w:spacing w:line="240" w:lineRule="auto"/>
        <w:ind w:right="99"/>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6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5" w:lineRule="auto" w:before="124"/>
        <w:ind w:right="201" w:firstLine="360"/>
        <w:jc w:val="left"/>
      </w:pPr>
      <w:r>
        <w:rPr/>
        <w:t>（</w:t>
      </w:r>
      <w:r>
        <w:rPr>
          <w:rFonts w:ascii="Times New Roman" w:hAnsi="Times New Roman" w:cs="Times New Roman" w:eastAsia="Times New Roman" w:hint="default"/>
        </w:rPr>
        <w:t>1</w:t>
      </w:r>
      <w:r>
        <w:rPr/>
        <w:t>）公司发行股份及支付现金购买南京能瑞自动化设备有限公司</w:t>
      </w:r>
      <w:r>
        <w:rPr>
          <w:rFonts w:ascii="Times New Roman" w:hAnsi="Times New Roman" w:cs="Times New Roman" w:eastAsia="Times New Roman" w:hint="default"/>
        </w:rPr>
        <w:t>100%</w:t>
      </w:r>
      <w:r>
        <w:rPr/>
        <w:t>股权并募集配套资金事项，于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日获 得中国证监会上市公司并购重组委无条件审核通过，并于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日接到中国证监会的正式批复，本次发行股票购 买资产部分新增股份</w:t>
      </w:r>
      <w:r>
        <w:rPr>
          <w:rFonts w:ascii="Times New Roman" w:hAnsi="Times New Roman" w:cs="Times New Roman" w:eastAsia="Times New Roman" w:hint="default"/>
        </w:rPr>
        <w:t>31,007,751</w:t>
      </w:r>
      <w:r>
        <w:rPr>
          <w:rFonts w:ascii="Times New Roman" w:hAnsi="Times New Roman" w:cs="Times New Roman" w:eastAsia="Times New Roman" w:hint="default"/>
          <w:spacing w:val="24"/>
        </w:rPr>
        <w:t> </w:t>
      </w:r>
      <w:r>
        <w:rPr/>
        <w:t>股，公司已递交新增股份登记申请，并于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日取得了中国证券登记结算有限公司 深圳分公司出具的《股份登记申请受理确认书》，本次新增股份上市日为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日，本次发行后，公司总股本增至 </w:t>
      </w:r>
      <w:r>
        <w:rPr>
          <w:rFonts w:ascii="Times New Roman" w:hAnsi="Times New Roman" w:cs="Times New Roman" w:eastAsia="Times New Roman" w:hint="default"/>
        </w:rPr>
        <w:t>204,849,751 </w:t>
      </w:r>
      <w:r>
        <w:rPr/>
        <w:t>股。截至报告期末，本公司已办理完毕发行股份购买资产部分新增股份</w:t>
      </w:r>
      <w:r>
        <w:rPr>
          <w:rFonts w:ascii="Times New Roman" w:hAnsi="Times New Roman" w:cs="Times New Roman" w:eastAsia="Times New Roman" w:hint="default"/>
        </w:rPr>
        <w:t>31,007,751</w:t>
      </w:r>
      <w:r>
        <w:rPr>
          <w:rFonts w:ascii="Times New Roman" w:hAnsi="Times New Roman" w:cs="Times New Roman" w:eastAsia="Times New Roman" w:hint="default"/>
          <w:spacing w:val="5"/>
        </w:rPr>
        <w:t> </w:t>
      </w:r>
      <w:r>
        <w:rPr/>
        <w:t>股的登记手续并就本次新增 股份上市事宜办理了公司注册资本及公司章程等工商登记变更手续。</w:t>
      </w:r>
    </w:p>
    <w:p>
      <w:pPr>
        <w:pStyle w:val="BodyText"/>
        <w:spacing w:line="345" w:lineRule="auto"/>
        <w:ind w:right="86" w:firstLine="360"/>
        <w:jc w:val="left"/>
      </w:pPr>
      <w:r>
        <w:rPr/>
        <w:t>（</w:t>
      </w:r>
      <w:r>
        <w:rPr>
          <w:rFonts w:ascii="Times New Roman" w:hAnsi="Times New Roman" w:cs="Times New Roman" w:eastAsia="Times New Roman" w:hint="default"/>
        </w:rPr>
        <w:t>2</w:t>
      </w:r>
      <w:r>
        <w:rPr/>
        <w:t>）公司发行股份及支付现金购买南京能瑞自动化设备有限公司</w:t>
      </w:r>
      <w:r>
        <w:rPr>
          <w:rFonts w:ascii="Times New Roman" w:hAnsi="Times New Roman" w:cs="Times New Roman" w:eastAsia="Times New Roman" w:hint="default"/>
        </w:rPr>
        <w:t>100%</w:t>
      </w:r>
      <w:r>
        <w:rPr/>
        <w:t>股权并募集配套资金事项，于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日获 得中国证监会上市公司并购重组委无条件审核通过，并于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日接到中国证监会的正式批复，本次非公开发行 募集配套资金发行数量为 </w:t>
      </w:r>
      <w:r>
        <w:rPr>
          <w:rFonts w:ascii="Times New Roman" w:hAnsi="Times New Roman" w:cs="Times New Roman" w:eastAsia="Times New Roman" w:hint="default"/>
        </w:rPr>
        <w:t>21,433,606 </w:t>
      </w:r>
      <w:r>
        <w:rPr/>
        <w:t>股，新增股份上市日为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日，本次发行后，公司总股本增至</w:t>
      </w:r>
      <w:r>
        <w:rPr>
          <w:rFonts w:ascii="Times New Roman" w:hAnsi="Times New Roman" w:cs="Times New Roman" w:eastAsia="Times New Roman" w:hint="default"/>
        </w:rPr>
        <w:t>226,283,357</w:t>
      </w:r>
      <w:r>
        <w:rPr>
          <w:rFonts w:ascii="Times New Roman" w:hAnsi="Times New Roman" w:cs="Times New Roman" w:eastAsia="Times New Roman" w:hint="default"/>
          <w:spacing w:val="6"/>
        </w:rPr>
        <w:t> </w:t>
      </w:r>
      <w:r>
        <w:rPr/>
        <w:t>股。 截至报告期末，本公司已办理完毕发行股份购买资产部分新增股份为 </w:t>
      </w:r>
      <w:r>
        <w:rPr>
          <w:rFonts w:ascii="Times New Roman" w:hAnsi="Times New Roman" w:cs="Times New Roman" w:eastAsia="Times New Roman" w:hint="default"/>
        </w:rPr>
        <w:t>21,433,606</w:t>
      </w:r>
      <w:r>
        <w:rPr>
          <w:rFonts w:ascii="Times New Roman" w:hAnsi="Times New Roman" w:cs="Times New Roman" w:eastAsia="Times New Roman" w:hint="default"/>
          <w:spacing w:val="8"/>
        </w:rPr>
        <w:t> </w:t>
      </w:r>
      <w:r>
        <w:rPr/>
        <w:t>股的登记手续并就本次新增股份上市事宜 办理了公司注册资本及公司章程等工商登记变更手续。</w:t>
      </w:r>
    </w:p>
    <w:p>
      <w:pPr>
        <w:pStyle w:val="BodyText"/>
        <w:spacing w:line="240" w:lineRule="auto"/>
        <w:ind w:left="514" w:right="99"/>
        <w:jc w:val="left"/>
      </w:pPr>
      <w:r>
        <w:rPr/>
        <w:t>（</w:t>
      </w:r>
      <w:r>
        <w:rPr>
          <w:rFonts w:ascii="Times New Roman" w:hAnsi="Times New Roman" w:cs="Times New Roman" w:eastAsia="Times New Roman" w:hint="default"/>
        </w:rPr>
        <w:t>3</w:t>
      </w:r>
      <w:r>
        <w:rPr/>
        <w:t>）本次重组完成后，公司资产负债规模大幅上升。</w:t>
      </w:r>
    </w:p>
    <w:p>
      <w:pPr>
        <w:spacing w:line="240" w:lineRule="auto" w:before="0"/>
        <w:rPr>
          <w:rFonts w:ascii="宋体" w:hAnsi="宋体" w:cs="宋体" w:eastAsia="宋体" w:hint="default"/>
          <w:sz w:val="18"/>
          <w:szCs w:val="18"/>
        </w:rPr>
      </w:pPr>
    </w:p>
    <w:p>
      <w:pPr>
        <w:pStyle w:val="Heading4"/>
        <w:spacing w:line="240" w:lineRule="auto" w:before="127"/>
        <w:ind w:right="6752"/>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6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pict>
          <v:shape style="position:absolute;margin-left:449.277008pt;margin-top:70.491699pt;width:85.6pt;height:31.2pt;mso-position-horizontal-relative:page;mso-position-vertical-relative:paragraph;z-index:-2128120" type="#_x0000_t202" filled="false" stroked="false">
            <v:textbox inset="0,0,0,0">
              <w:txbxContent>
                <w:p>
                  <w:pPr>
                    <w:pStyle w:val="BodyText"/>
                    <w:spacing w:line="207" w:lineRule="exact" w:before="0"/>
                    <w:ind w:left="0" w:right="0"/>
                    <w:jc w:val="left"/>
                  </w:pPr>
                  <w:r>
                    <w:rPr/>
                    <w:t>（如有）</w:t>
                  </w:r>
                </w:p>
              </w:txbxContent>
            </v:textbox>
            <w10:wrap type="none"/>
          </v:shape>
        </w:pict>
      </w:r>
      <w:r>
        <w:rPr/>
        <w:pict>
          <v:group style="position:absolute;margin-left:482.399994pt;margin-top:70.491699pt;width:52.45pt;height:31.2pt;mso-position-horizontal-relative:page;mso-position-vertical-relative:paragraph;z-index:-2128096" coordorigin="9648,1410" coordsize="1049,624">
            <v:shape style="position:absolute;left:9648;top:1410;width:1049;height:624" coordorigin="9648,1410" coordsize="1049,624" path="m9648,2034l10697,2034,10697,1410,9648,1410,96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5"/>
        <w:gridCol w:w="134"/>
        <w:gridCol w:w="673"/>
        <w:gridCol w:w="739"/>
        <w:gridCol w:w="744"/>
        <w:gridCol w:w="830"/>
        <w:gridCol w:w="344"/>
        <w:gridCol w:w="445"/>
        <w:gridCol w:w="824"/>
        <w:gridCol w:w="802"/>
        <w:gridCol w:w="323"/>
        <w:gridCol w:w="1027"/>
        <w:gridCol w:w="279"/>
        <w:gridCol w:w="513"/>
        <w:gridCol w:w="558"/>
      </w:tblGrid>
      <w:tr>
        <w:trPr>
          <w:trHeight w:val="162"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13,318</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35" w:right="0"/>
              <w:jc w:val="left"/>
              <w:rPr>
                <w:rFonts w:ascii="Times New Roman" w:hAnsi="Times New Roman" w:cs="Times New Roman" w:eastAsia="Times New Roman" w:hint="default"/>
                <w:sz w:val="18"/>
                <w:szCs w:val="18"/>
              </w:rPr>
            </w:pPr>
            <w:r>
              <w:rPr>
                <w:rFonts w:ascii="Times New Roman"/>
                <w:sz w:val="18"/>
              </w:rPr>
              <w:t>11,761</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35.08%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79,380,77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980,779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79,191,83</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188,945</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46,050,000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4"/>
              <w:jc w:val="left"/>
              <w:rPr>
                <w:rFonts w:ascii="宋体" w:hAnsi="宋体" w:cs="宋体" w:eastAsia="宋体" w:hint="default"/>
                <w:sz w:val="18"/>
                <w:szCs w:val="18"/>
              </w:rPr>
            </w:pPr>
            <w:r>
              <w:rPr>
                <w:rFonts w:ascii="宋体" w:hAnsi="宋体" w:cs="宋体" w:eastAsia="宋体" w:hint="default"/>
                <w:sz w:val="18"/>
                <w:szCs w:val="18"/>
              </w:rPr>
              <w:t>南京能策投资管 理有限公司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10.18%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23,039,99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23,039,99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23,039,99</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7.36%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未变</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12,495,00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4,165,000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10,580,000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11,654,11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11,654,11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pacing w:val="-1"/>
                <w:sz w:val="18"/>
              </w:rPr>
              <w:t>11,268,91</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金志毅</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3.84%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8,700,000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未变</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4,350,000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4,350,000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6" w:right="0"/>
              <w:jc w:val="left"/>
              <w:rPr>
                <w:rFonts w:ascii="Times New Roman" w:hAnsi="Times New Roman" w:cs="Times New Roman" w:eastAsia="Times New Roman" w:hint="default"/>
                <w:sz w:val="18"/>
                <w:szCs w:val="18"/>
              </w:rPr>
            </w:pPr>
            <w:r>
              <w:rPr>
                <w:rFonts w:ascii="Times New Roman"/>
                <w:sz w:val="18"/>
              </w:rPr>
              <w:t>8,700,000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吉林省红土创业 投资有限公司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5,441,600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558,400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5,441,600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孙金良</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4,449,782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4,449,782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4,449,782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李从文</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4,308,487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4,308,487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4,308,487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深圳市红土信息 创业投资有限公 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3,843,000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157,000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3,843,000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3,135,796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864,204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3,135,796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2"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w:t>
            </w:r>
          </w:p>
        </w:tc>
        <w:tc>
          <w:tcPr>
            <w:tcW w:w="6688"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pacing w:val="-1"/>
                <w:sz w:val="18"/>
                <w:szCs w:val="18"/>
              </w:rPr>
              <w:t>徐海江与郭长兴是亲属关系，同时担任长春市京达投资服务中心（有限合伙）执行事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80"/>
        <w:gridCol w:w="3989"/>
        <w:gridCol w:w="1349"/>
        <w:gridCol w:w="1350"/>
      </w:tblGrid>
      <w:tr>
        <w:trPr>
          <w:trHeight w:val="358" w:hRule="exact"/>
        </w:trPr>
        <w:tc>
          <w:tcPr>
            <w:tcW w:w="288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明</w:t>
            </w:r>
          </w:p>
        </w:tc>
        <w:tc>
          <w:tcPr>
            <w:tcW w:w="6688" w:type="dxa"/>
            <w:gridSpan w:val="3"/>
            <w:vMerge w:val="restart"/>
            <w:tcBorders>
              <w:top w:val="single" w:sz="4" w:space="0" w:color="000000"/>
              <w:left w:val="single" w:sz="9" w:space="0" w:color="D2D2D2"/>
              <w:right w:val="single" w:sz="4" w:space="0" w:color="000000"/>
            </w:tcBorders>
          </w:tcPr>
          <w:p>
            <w:pPr>
              <w:pStyle w:val="TableParagraph"/>
              <w:spacing w:line="319" w:lineRule="auto" w:before="10"/>
              <w:ind w:left="16" w:right="22"/>
              <w:jc w:val="left"/>
              <w:rPr>
                <w:rFonts w:ascii="宋体" w:hAnsi="宋体" w:cs="宋体" w:eastAsia="宋体" w:hint="default"/>
                <w:sz w:val="18"/>
                <w:szCs w:val="18"/>
              </w:rPr>
            </w:pPr>
            <w:r>
              <w:rPr>
                <w:rFonts w:ascii="宋体" w:hAnsi="宋体" w:cs="宋体" w:eastAsia="宋体" w:hint="default"/>
                <w:spacing w:val="-1"/>
                <w:sz w:val="18"/>
                <w:szCs w:val="18"/>
              </w:rPr>
              <w:t>务合伙人。孙金良与南京能策为一致行动人，公司未知其他股东之间是否存在关联关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系，也未知是否属于一致行动人。</w:t>
            </w:r>
          </w:p>
        </w:tc>
      </w:tr>
      <w:tr>
        <w:trPr>
          <w:trHeight w:val="317" w:hRule="exact"/>
        </w:trPr>
        <w:tc>
          <w:tcPr>
            <w:tcW w:w="28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3"/>
            <w:vMerge/>
            <w:tcBorders>
              <w:left w:val="single" w:sz="9" w:space="0" w:color="D2D2D2"/>
              <w:bottom w:val="single" w:sz="4" w:space="0" w:color="000000"/>
              <w:right w:val="single" w:sz="4" w:space="0" w:color="000000"/>
            </w:tcBorders>
          </w:tcPr>
          <w:p>
            <w:pP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vMerge/>
            <w:tcBorders>
              <w:left w:val="single" w:sz="4" w:space="0" w:color="000000"/>
              <w:bottom w:val="nil" w:sz="6" w:space="0" w:color="auto"/>
              <w:right w:val="single" w:sz="4" w:space="0" w:color="000000"/>
            </w:tcBorders>
            <w:shd w:val="clear" w:color="auto" w:fill="D2D2D2"/>
          </w:tcPr>
          <w:p>
            <w:pPr/>
          </w:p>
        </w:tc>
        <w:tc>
          <w:tcPr>
            <w:tcW w:w="3989"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吉林省红土创业投资有限公司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5,441,600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5,441,600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金志毅</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4,165,000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深圳市红土信息创业投资有限公司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3,843,000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3,135,796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3,135,796</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吉林省诺金创业投资有限公司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文莎</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1,476,200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1,476,200</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光大兴陇信托有限责任公司－光大 信托－臻享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号证券投资集合资金 信托计划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1,050,552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1,050,552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徐海涛</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735,000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中意资管－招商银行－云南国际信 托有限公司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519,500</w:t>
            </w:r>
          </w:p>
        </w:tc>
      </w:tr>
      <w:tr>
        <w:trPr>
          <w:trHeight w:val="1650"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前十名无限售流通股股东之间：徐海涛与郭长兴是亲属关系，其他有限售条件股东之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间不存在关联关系。前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名股东之间：徐海涛与徐海江</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是兄妹关系，郭长兴与徐海江是亲属关系，公司未知其余前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302" w:lineRule="auto" w:before="63"/>
              <w:ind w:left="22" w:right="83"/>
              <w:jc w:val="left"/>
              <w:rPr>
                <w:rFonts w:ascii="宋体" w:hAnsi="宋体" w:cs="宋体" w:eastAsia="宋体" w:hint="default"/>
                <w:sz w:val="18"/>
                <w:szCs w:val="18"/>
              </w:rPr>
            </w:pPr>
            <w:r>
              <w:rPr>
                <w:rFonts w:ascii="宋体" w:hAnsi="宋体" w:cs="宋体" w:eastAsia="宋体" w:hint="default"/>
                <w:sz w:val="18"/>
                <w:szCs w:val="18"/>
              </w:rPr>
              <w:t>之间，以及其余无限售流通股股东与前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名股东之间是否存在关联关系，也未知是 否属于一致行动人。</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1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控股股东报告期内变更</w:t>
      </w:r>
    </w:p>
    <w:p>
      <w:pPr>
        <w:pStyle w:val="BodyText"/>
        <w:spacing w:line="340" w:lineRule="auto" w:before="116"/>
        <w:ind w:right="7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3、公司实际控制人情况" w:id="118"/>
      <w:bookmarkEnd w:id="118"/>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43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48" w:lineRule="auto" w:before="116"/>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2"/>
        <w:rPr>
          <w:rFonts w:ascii="宋体" w:hAnsi="宋体" w:cs="宋体" w:eastAsia="宋体" w:hint="default"/>
          <w:sz w:val="20"/>
          <w:szCs w:val="20"/>
        </w:rPr>
      </w:pPr>
    </w:p>
    <w:p>
      <w:pPr>
        <w:spacing w:line="5430" w:lineRule="exact"/>
        <w:ind w:left="1356" w:right="0" w:firstLine="0"/>
        <w:rPr>
          <w:rFonts w:ascii="宋体" w:hAnsi="宋体" w:cs="宋体" w:eastAsia="宋体" w:hint="default"/>
          <w:sz w:val="20"/>
          <w:szCs w:val="20"/>
        </w:rPr>
      </w:pPr>
      <w:r>
        <w:rPr>
          <w:rFonts w:ascii="宋体" w:hAnsi="宋体" w:cs="宋体" w:eastAsia="宋体" w:hint="default"/>
          <w:position w:val="-108"/>
          <w:sz w:val="20"/>
          <w:szCs w:val="20"/>
        </w:rPr>
        <w:drawing>
          <wp:inline distT="0" distB="0" distL="0" distR="0">
            <wp:extent cx="4591898" cy="3448050"/>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26" cstate="print"/>
                    <a:stretch>
                      <a:fillRect/>
                    </a:stretch>
                  </pic:blipFill>
                  <pic:spPr>
                    <a:xfrm>
                      <a:off x="0" y="0"/>
                      <a:ext cx="4591898" cy="3448050"/>
                    </a:xfrm>
                    <a:prstGeom prst="rect">
                      <a:avLst/>
                    </a:prstGeom>
                  </pic:spPr>
                </pic:pic>
              </a:graphicData>
            </a:graphic>
          </wp:inline>
        </w:drawing>
      </w:r>
      <w:r>
        <w:rPr>
          <w:rFonts w:ascii="宋体" w:hAnsi="宋体" w:cs="宋体" w:eastAsia="宋体" w:hint="default"/>
          <w:position w:val="-108"/>
          <w:sz w:val="20"/>
          <w:szCs w:val="20"/>
        </w:rPr>
      </w:r>
    </w:p>
    <w:p>
      <w:pPr>
        <w:spacing w:line="240" w:lineRule="auto" w:before="5"/>
        <w:rPr>
          <w:rFonts w:ascii="宋体" w:hAnsi="宋体" w:cs="宋体" w:eastAsia="宋体" w:hint="default"/>
          <w:sz w:val="23"/>
          <w:szCs w:val="23"/>
        </w:rPr>
      </w:pPr>
    </w:p>
    <w:p>
      <w:pPr>
        <w:pStyle w:val="BodyText"/>
        <w:spacing w:line="240" w:lineRule="auto" w:before="0"/>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left="0" w:right="158"/>
        <w:jc w:val="right"/>
      </w:pPr>
      <w:r>
        <w:rPr/>
        <w:pict>
          <v:shape style="position:absolute;margin-left:56.459999pt;margin-top:-176.968292pt;width:479.2pt;height:337.1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6018"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南京能策投资管理有限公司</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孙金良</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投资咨询；投资管理；电 子产品、通讯产品（不含 卫星电视广播地面接收设 </w:t>
                        </w:r>
                        <w:r>
                          <w:rPr>
                            <w:rFonts w:ascii="宋体" w:hAnsi="宋体" w:cs="宋体" w:eastAsia="宋体" w:hint="default"/>
                            <w:spacing w:val="-8"/>
                            <w:sz w:val="18"/>
                            <w:szCs w:val="18"/>
                          </w:rPr>
                          <w:t>备）、物联网设备、电子元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器件、节能产品的研发、 设计、生产和销售；计算 机网络系统集成；软件开 发和销售；电子产品、物 联网技术、芯片的技术开 发、技术转让、技术咨询 技术服务；芯片销售；农 业技术研发；初级农产品 销售；自营和代理各类商 品及技术的进出口业务</w:t>
                        </w:r>
                      </w:p>
                      <w:p>
                        <w:pPr>
                          <w:pStyle w:val="TableParagraph"/>
                          <w:spacing w:line="319" w:lineRule="auto" w:before="19"/>
                          <w:ind w:left="22" w:right="109"/>
                          <w:jc w:val="both"/>
                          <w:rPr>
                            <w:rFonts w:ascii="宋体" w:hAnsi="宋体" w:cs="宋体" w:eastAsia="宋体" w:hint="default"/>
                            <w:sz w:val="18"/>
                            <w:szCs w:val="18"/>
                          </w:rPr>
                        </w:pPr>
                        <w:r>
                          <w:rPr>
                            <w:rFonts w:ascii="宋体" w:hAnsi="宋体" w:cs="宋体" w:eastAsia="宋体" w:hint="default"/>
                            <w:sz w:val="18"/>
                            <w:szCs w:val="18"/>
                          </w:rPr>
                          <w:t>（国家限定公司经营或禁 止进出口的商品和技术除 </w:t>
                        </w:r>
                        <w:r>
                          <w:rPr>
                            <w:rFonts w:ascii="宋体" w:hAnsi="宋体" w:cs="宋体" w:eastAsia="宋体" w:hint="default"/>
                            <w:spacing w:val="-15"/>
                            <w:sz w:val="18"/>
                            <w:szCs w:val="18"/>
                          </w:rPr>
                          <w:t>外）。（依法须经批准的项</w:t>
                        </w:r>
                        <w:r>
                          <w:rPr>
                            <w:rFonts w:ascii="宋体" w:hAnsi="宋体" w:cs="宋体" w:eastAsia="宋体" w:hint="default"/>
                            <w:sz w:val="18"/>
                            <w:szCs w:val="18"/>
                          </w:rPr>
                          <w:t> 目，经相关部门批准后方 可开展经营活动）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spacing w:line="240" w:lineRule="auto" w:before="35"/>
        <w:ind w:right="0"/>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21"/>
      <w:bookmarkStart w:name="第七节 优先股相关情况" w:id="122"/>
      <w:r>
        <w:rPr>
          <w:b w:val="0"/>
          <w:bCs w:val="0"/>
        </w:rPr>
      </w:r>
      <w:r>
        <w:rPr/>
        <w:t>第七节</w:t>
      </w:r>
      <w:r>
        <w:rPr>
          <w:spacing w:val="-8"/>
        </w:rPr>
        <w:t> </w:t>
      </w:r>
      <w:r>
        <w:rPr/>
        <w:t>优先股相关情况</w:t>
      </w:r>
      <w:bookmarkEnd w:id="121"/>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right="7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23"/>
      <w:bookmarkStart w:name="第八节 董事、监事、高级管理人员和员工情况" w:id="124"/>
      <w:r>
        <w:rPr>
          <w:b w:val="0"/>
          <w:bCs w:val="0"/>
        </w:rPr>
      </w:r>
      <w:r>
        <w:rPr/>
        <w:t>第八节</w:t>
      </w:r>
      <w:r>
        <w:rPr>
          <w:spacing w:val="-16"/>
        </w:rPr>
        <w:t> </w:t>
      </w:r>
      <w:r>
        <w:rPr/>
        <w:t>董事、监事、高级管理人员和员工情况</w:t>
      </w:r>
      <w:bookmarkEnd w:id="123"/>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79,380,77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副董事 长、副总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孙益兵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67,078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王希庆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李晓芳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许哲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吴宗南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徐海滨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赵红云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文聪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李海永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张文福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98,067,07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99,047,85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李海永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张文福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徐海滨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工作调整</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公司现任董事、监事、高级管理人员专业背景、主要工作经历以及目前在公司的主要职责</w:t>
      </w:r>
    </w:p>
    <w:p>
      <w:pPr>
        <w:pStyle w:val="BodyText"/>
        <w:spacing w:line="478" w:lineRule="exact" w:before="46"/>
        <w:ind w:left="636" w:right="0"/>
        <w:jc w:val="left"/>
      </w:pPr>
      <w:r>
        <w:rPr>
          <w:rFonts w:ascii="宋体" w:hAnsi="宋体" w:cs="宋体" w:eastAsia="宋体" w:hint="default"/>
          <w:b/>
          <w:bCs/>
        </w:rPr>
        <w:t>（一）董事会成员</w:t>
      </w:r>
      <w:r>
        <w:rPr>
          <w:rFonts w:ascii="宋体" w:hAnsi="宋体" w:cs="宋体" w:eastAsia="宋体" w:hint="default"/>
          <w:b/>
          <w:bCs/>
          <w:w w:val="99"/>
        </w:rPr>
        <w:t> </w:t>
      </w:r>
      <w:r>
        <w:rPr>
          <w:rFonts w:ascii="宋体" w:hAnsi="宋体" w:cs="宋体" w:eastAsia="宋体" w:hint="default"/>
          <w:b/>
          <w:bCs/>
          <w:spacing w:val="-1"/>
        </w:rPr>
        <w:t>徐海江</w:t>
      </w:r>
      <w:r>
        <w:rPr>
          <w:spacing w:val="-1"/>
        </w:rPr>
        <w:t>，男，中国国籍，无境外永久居留权，</w:t>
      </w:r>
      <w:r>
        <w:rPr>
          <w:rFonts w:ascii="Times New Roman" w:hAnsi="Times New Roman" w:cs="Times New Roman" w:eastAsia="Times New Roman" w:hint="default"/>
          <w:spacing w:val="-1"/>
        </w:rPr>
        <w:t>1975</w:t>
      </w:r>
      <w:r>
        <w:rPr>
          <w:spacing w:val="-1"/>
        </w:rPr>
        <w:t>年出生，本科学历。</w:t>
      </w:r>
      <w:r>
        <w:rPr>
          <w:rFonts w:ascii="Times New Roman" w:hAnsi="Times New Roman" w:cs="Times New Roman" w:eastAsia="Times New Roman" w:hint="default"/>
          <w:spacing w:val="-1"/>
        </w:rPr>
        <w:t>1997</w:t>
      </w:r>
      <w:r>
        <w:rPr>
          <w:spacing w:val="-1"/>
        </w:rPr>
        <w:t>年至</w:t>
      </w:r>
      <w:r>
        <w:rPr>
          <w:rFonts w:ascii="Times New Roman" w:hAnsi="Times New Roman" w:cs="Times New Roman" w:eastAsia="Times New Roman" w:hint="default"/>
          <w:spacing w:val="-1"/>
        </w:rPr>
        <w:t>2003</w:t>
      </w:r>
      <w:r>
        <w:rPr>
          <w:spacing w:val="-1"/>
        </w:rPr>
        <w:t>年担任深圳市长园新材料股份有</w:t>
      </w:r>
    </w:p>
    <w:p>
      <w:pPr>
        <w:pStyle w:val="BodyText"/>
        <w:spacing w:line="345" w:lineRule="auto" w:before="53"/>
        <w:ind w:right="0"/>
        <w:jc w:val="left"/>
      </w:pPr>
      <w:r>
        <w:rPr>
          <w:spacing w:val="-2"/>
        </w:rPr>
        <w:t>限公司地区经理；</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2003</w:t>
      </w:r>
      <w:r>
        <w:rPr>
          <w:spacing w:val="-2"/>
        </w:rPr>
        <w:t>年担任杭州长园总经理；</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2007</w:t>
      </w:r>
      <w:r>
        <w:rPr>
          <w:spacing w:val="-2"/>
        </w:rPr>
        <w:t>年担任浙江恒坤总经理。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10</w:t>
      </w:r>
      <w:r>
        <w:rPr>
          <w:spacing w:val="-2"/>
        </w:rPr>
        <w:t>月至今担任公司董</w:t>
      </w:r>
      <w:r>
        <w:rPr>
          <w:spacing w:val="-44"/>
        </w:rPr>
        <w:t> </w:t>
      </w:r>
      <w:r>
        <w:rPr/>
        <w:t>事长，现任公司董事长、总经理。</w:t>
      </w:r>
    </w:p>
    <w:p>
      <w:pPr>
        <w:spacing w:line="240" w:lineRule="auto" w:before="7"/>
        <w:rPr>
          <w:rFonts w:ascii="宋体" w:hAnsi="宋体" w:cs="宋体" w:eastAsia="宋体" w:hint="default"/>
          <w:sz w:val="12"/>
          <w:szCs w:val="12"/>
        </w:rPr>
      </w:pPr>
    </w:p>
    <w:p>
      <w:pPr>
        <w:pStyle w:val="BodyText"/>
        <w:spacing w:line="240" w:lineRule="auto" w:before="0"/>
        <w:ind w:left="634" w:right="0"/>
        <w:jc w:val="left"/>
      </w:pPr>
      <w:r>
        <w:rPr/>
        <w:t>徐海江目前担任天正水电董事、金冠投资执行董事、长春京达执行事务合伙人。天正水电是金冠投资参股的公司，金</w:t>
      </w:r>
    </w:p>
    <w:p>
      <w:pPr>
        <w:spacing w:after="0" w:line="240" w:lineRule="auto"/>
        <w:jc w:val="left"/>
        <w:sectPr>
          <w:pgSz w:w="11910" w:h="16840"/>
          <w:pgMar w:header="747" w:footer="979" w:top="1060" w:bottom="1160" w:left="980" w:right="980"/>
        </w:sectPr>
      </w:pPr>
    </w:p>
    <w:p>
      <w:pPr>
        <w:spacing w:line="240" w:lineRule="auto" w:before="8"/>
        <w:rPr>
          <w:rFonts w:ascii="宋体" w:hAnsi="宋体" w:cs="宋体" w:eastAsia="宋体" w:hint="default"/>
          <w:sz w:val="27"/>
          <w:szCs w:val="27"/>
        </w:rPr>
      </w:pPr>
    </w:p>
    <w:p>
      <w:pPr>
        <w:pStyle w:val="BodyText"/>
        <w:spacing w:line="364" w:lineRule="auto"/>
        <w:ind w:right="99"/>
        <w:jc w:val="left"/>
      </w:pPr>
      <w:r>
        <w:rPr>
          <w:spacing w:val="-2"/>
        </w:rPr>
        <w:t>冠投资、长春京达与公司是同一实际控制人控制的企业，长春京达同时是公司股东。徐海江与徐海涛是兄妹关系，与徐海滨</w:t>
      </w:r>
      <w:r>
        <w:rPr>
          <w:spacing w:val="-66"/>
        </w:rPr>
        <w:t> </w:t>
      </w:r>
      <w:r>
        <w:rPr>
          <w:spacing w:val="-66"/>
        </w:rPr>
      </w:r>
      <w:r>
        <w:rPr/>
        <w:t>是姐弟关系，郭长兴是徐海滨配偶。除此之外，徐海江与其他董事、监事、高级管理人员及核心技术人员无亲属关系。</w:t>
      </w:r>
    </w:p>
    <w:p>
      <w:pPr>
        <w:pStyle w:val="BodyText"/>
        <w:spacing w:line="352" w:lineRule="auto" w:before="149"/>
        <w:ind w:right="189" w:firstLine="482"/>
        <w:jc w:val="both"/>
      </w:pPr>
      <w:r>
        <w:rPr>
          <w:rFonts w:ascii="宋体" w:hAnsi="宋体" w:cs="宋体" w:eastAsia="宋体" w:hint="default"/>
          <w:b/>
          <w:bCs/>
          <w:spacing w:val="-1"/>
        </w:rPr>
        <w:t>郭长兴</w:t>
      </w:r>
      <w:r>
        <w:rPr>
          <w:spacing w:val="-1"/>
        </w:rPr>
        <w:t>，男，中国国籍，无境外永久居留权，</w:t>
      </w:r>
      <w:r>
        <w:rPr>
          <w:rFonts w:ascii="Times New Roman" w:hAnsi="Times New Roman" w:cs="Times New Roman" w:eastAsia="Times New Roman" w:hint="default"/>
          <w:spacing w:val="-1"/>
        </w:rPr>
        <w:t>1971</w:t>
      </w:r>
      <w:r>
        <w:rPr>
          <w:spacing w:val="-1"/>
        </w:rPr>
        <w:t>年出生，大专学历，行政管理专业。</w:t>
      </w:r>
      <w:r>
        <w:rPr>
          <w:rFonts w:ascii="Times New Roman" w:hAnsi="Times New Roman" w:cs="Times New Roman" w:eastAsia="Times New Roman" w:hint="default"/>
          <w:spacing w:val="-1"/>
        </w:rPr>
        <w:t>1998</w:t>
      </w:r>
      <w:r>
        <w:rPr>
          <w:spacing w:val="-1"/>
        </w:rPr>
        <w:t>年至</w:t>
      </w:r>
      <w:r>
        <w:rPr>
          <w:rFonts w:ascii="Times New Roman" w:hAnsi="Times New Roman" w:cs="Times New Roman" w:eastAsia="Times New Roman" w:hint="default"/>
          <w:spacing w:val="-1"/>
        </w:rPr>
        <w:t>2001</w:t>
      </w:r>
      <w:r>
        <w:rPr>
          <w:spacing w:val="-1"/>
        </w:rPr>
        <w:t>年任职于坦桑尼</w:t>
      </w:r>
      <w:r>
        <w:rPr/>
        <w:t> </w:t>
      </w:r>
      <w:r>
        <w:rPr>
          <w:spacing w:val="-2"/>
        </w:rPr>
        <w:t>亚中达医院；</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2003</w:t>
      </w:r>
      <w:r>
        <w:rPr>
          <w:spacing w:val="-2"/>
        </w:rPr>
        <w:t>年从事个体经营；</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2006</w:t>
      </w:r>
      <w:r>
        <w:rPr>
          <w:spacing w:val="-2"/>
        </w:rPr>
        <w:t>年担任吉林恒坤副总经理。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10</w:t>
      </w:r>
      <w:r>
        <w:rPr>
          <w:spacing w:val="-2"/>
        </w:rPr>
        <w:t>月至今历任公司总经理、副</w:t>
      </w:r>
      <w:r>
        <w:rPr>
          <w:spacing w:val="-43"/>
        </w:rPr>
        <w:t> </w:t>
      </w:r>
      <w:r>
        <w:rPr>
          <w:spacing w:val="-43"/>
        </w:rPr>
      </w:r>
      <w:r>
        <w:rPr>
          <w:spacing w:val="-2"/>
        </w:rPr>
        <w:t>总经理、副董事长，现任公司副董事长、副总经理。郭长兴无在外兼职情况，与其他董事、监事和高级管理人员亲属关系参</w:t>
      </w:r>
      <w:r>
        <w:rPr>
          <w:spacing w:val="-68"/>
        </w:rPr>
        <w:t> </w:t>
      </w:r>
      <w:r>
        <w:rPr>
          <w:spacing w:val="-68"/>
        </w:rPr>
      </w:r>
      <w:r>
        <w:rPr/>
        <w:t>见上述徐海江简介。</w:t>
      </w:r>
    </w:p>
    <w:p>
      <w:pPr>
        <w:pStyle w:val="BodyText"/>
        <w:spacing w:line="345" w:lineRule="auto" w:before="158"/>
        <w:ind w:right="189" w:firstLine="482"/>
        <w:jc w:val="both"/>
      </w:pPr>
      <w:r>
        <w:rPr>
          <w:rFonts w:ascii="宋体" w:hAnsi="宋体" w:cs="宋体" w:eastAsia="宋体" w:hint="default"/>
          <w:b/>
          <w:bCs/>
          <w:spacing w:val="-1"/>
        </w:rPr>
        <w:t>徐海涛</w:t>
      </w:r>
      <w:r>
        <w:rPr>
          <w:spacing w:val="-1"/>
        </w:rPr>
        <w:t>，女，中国国籍，无境外永久居留权，</w:t>
      </w:r>
      <w:r>
        <w:rPr>
          <w:rFonts w:ascii="Times New Roman" w:hAnsi="Times New Roman" w:cs="Times New Roman" w:eastAsia="Times New Roman" w:hint="default"/>
          <w:spacing w:val="-1"/>
        </w:rPr>
        <w:t>1976</w:t>
      </w:r>
      <w:r>
        <w:rPr>
          <w:spacing w:val="-1"/>
        </w:rPr>
        <w:t>年出生，大专学历，行政管理专业。</w:t>
      </w:r>
      <w:r>
        <w:rPr>
          <w:rFonts w:ascii="Times New Roman" w:hAnsi="Times New Roman" w:cs="Times New Roman" w:eastAsia="Times New Roman" w:hint="default"/>
          <w:spacing w:val="-1"/>
        </w:rPr>
        <w:t>2004</w:t>
      </w:r>
      <w:r>
        <w:rPr>
          <w:spacing w:val="-1"/>
        </w:rPr>
        <w:t>年至</w:t>
      </w:r>
      <w:r>
        <w:rPr>
          <w:rFonts w:ascii="Times New Roman" w:hAnsi="Times New Roman" w:cs="Times New Roman" w:eastAsia="Times New Roman" w:hint="default"/>
          <w:spacing w:val="-1"/>
        </w:rPr>
        <w:t>2006</w:t>
      </w:r>
      <w:r>
        <w:rPr>
          <w:spacing w:val="-1"/>
        </w:rPr>
        <w:t>年担任吉林恒坤</w:t>
      </w:r>
      <w:r>
        <w:rPr/>
        <w:t> </w:t>
      </w:r>
      <w:r>
        <w:rPr>
          <w:spacing w:val="-2"/>
        </w:rPr>
        <w:t>采购主管。</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10</w:t>
      </w:r>
      <w:r>
        <w:rPr>
          <w:spacing w:val="-2"/>
        </w:rPr>
        <w:t>月至今任公司董事、采购部长。目前兼任金冠投资监事，金冠投资与发行人属于同一实际控制人控制的</w:t>
      </w:r>
      <w:r>
        <w:rPr>
          <w:spacing w:val="-59"/>
        </w:rPr>
        <w:t> </w:t>
      </w:r>
      <w:r>
        <w:rPr>
          <w:spacing w:val="-59"/>
        </w:rPr>
      </w:r>
      <w:r>
        <w:rPr/>
        <w:t>企业。徐海涛与其他董事、监事和高级管理人员亲属关系参见上述徐海江简介。</w:t>
      </w:r>
    </w:p>
    <w:p>
      <w:pPr>
        <w:pStyle w:val="BodyText"/>
        <w:spacing w:line="345" w:lineRule="auto"/>
        <w:ind w:right="189" w:firstLine="480"/>
        <w:jc w:val="both"/>
      </w:pPr>
      <w:r>
        <w:rPr>
          <w:rFonts w:ascii="宋体" w:hAnsi="宋体" w:cs="宋体" w:eastAsia="宋体" w:hint="default"/>
          <w:b/>
          <w:bCs/>
          <w:spacing w:val="-1"/>
        </w:rPr>
        <w:t>孙益兵</w:t>
      </w:r>
      <w:r>
        <w:rPr>
          <w:spacing w:val="-1"/>
        </w:rPr>
        <w:t>，男，中国国籍，无境外永久居留权，</w:t>
      </w:r>
      <w:r>
        <w:rPr>
          <w:rFonts w:ascii="Times New Roman" w:hAnsi="Times New Roman" w:cs="Times New Roman" w:eastAsia="Times New Roman" w:hint="default"/>
          <w:spacing w:val="-1"/>
        </w:rPr>
        <w:t>1978</w:t>
      </w:r>
      <w:r>
        <w:rPr>
          <w:spacing w:val="-1"/>
        </w:rPr>
        <w:t>年出生，毕业于淮阴电子工业学校，</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8</w:t>
      </w:r>
      <w:r>
        <w:rPr>
          <w:spacing w:val="-1"/>
        </w:rPr>
        <w:t>月至</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8</w:t>
      </w:r>
      <w:r>
        <w:rPr>
          <w:spacing w:val="-1"/>
        </w:rPr>
        <w:t>月担任南</w:t>
      </w:r>
      <w:r>
        <w:rPr/>
        <w:t> 京能瑞自动化设备股份有限公司经理，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月至今担任南京能瑞电力科技有限公司总监，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月至今担任南京能瑞</w:t>
      </w:r>
      <w:r>
        <w:rPr>
          <w:spacing w:val="-82"/>
        </w:rPr>
        <w:t> </w:t>
      </w:r>
      <w:r>
        <w:rPr>
          <w:spacing w:val="-82"/>
        </w:rPr>
      </w:r>
      <w:r>
        <w:rPr/>
        <w:t>自动化设备股份有限公司董事。孙益兵与其他董事、监事、高级管理人员及核心技术人员无亲属关系。</w:t>
      </w:r>
    </w:p>
    <w:p>
      <w:pPr>
        <w:spacing w:line="240" w:lineRule="auto" w:before="7"/>
        <w:rPr>
          <w:rFonts w:ascii="宋体" w:hAnsi="宋体" w:cs="宋体" w:eastAsia="宋体" w:hint="default"/>
          <w:sz w:val="12"/>
          <w:szCs w:val="12"/>
        </w:rPr>
      </w:pPr>
    </w:p>
    <w:p>
      <w:pPr>
        <w:pStyle w:val="BodyText"/>
        <w:spacing w:line="345" w:lineRule="auto" w:before="0"/>
        <w:ind w:right="189" w:firstLine="482"/>
        <w:jc w:val="both"/>
      </w:pPr>
      <w:r>
        <w:rPr>
          <w:rFonts w:ascii="宋体" w:hAnsi="宋体" w:cs="宋体" w:eastAsia="宋体" w:hint="default"/>
          <w:b/>
          <w:bCs/>
          <w:spacing w:val="-1"/>
        </w:rPr>
        <w:t>王希庆</w:t>
      </w:r>
      <w:r>
        <w:rPr>
          <w:spacing w:val="-1"/>
        </w:rPr>
        <w:t>，男，中国国籍，无境外永久居留权，</w:t>
      </w:r>
      <w:r>
        <w:rPr>
          <w:rFonts w:ascii="Times New Roman" w:hAnsi="Times New Roman" w:cs="Times New Roman" w:eastAsia="Times New Roman" w:hint="default"/>
          <w:spacing w:val="-1"/>
        </w:rPr>
        <w:t>1962</w:t>
      </w:r>
      <w:r>
        <w:rPr>
          <w:spacing w:val="-1"/>
        </w:rPr>
        <w:t>年出生，研究生学历，工商管理专业；吉林大学副教授。</w:t>
      </w:r>
      <w:r>
        <w:rPr>
          <w:rFonts w:ascii="Times New Roman" w:hAnsi="Times New Roman" w:cs="Times New Roman" w:eastAsia="Times New Roman" w:hint="default"/>
          <w:spacing w:val="-1"/>
        </w:rPr>
        <w:t>1988</w:t>
      </w:r>
      <w:r>
        <w:rPr>
          <w:spacing w:val="-1"/>
        </w:rPr>
        <w:t>年至</w:t>
      </w:r>
      <w:r>
        <w:rPr>
          <w:spacing w:val="1"/>
        </w:rPr>
        <w:t> </w:t>
      </w:r>
      <w:r>
        <w:rPr>
          <w:rFonts w:ascii="Times New Roman" w:hAnsi="Times New Roman" w:cs="Times New Roman" w:eastAsia="Times New Roman" w:hint="default"/>
        </w:rPr>
        <w:t>1991</w:t>
      </w:r>
      <w:r>
        <w:rPr/>
        <w:t>年在长春地质学院任教；</w:t>
      </w:r>
      <w:r>
        <w:rPr>
          <w:rFonts w:ascii="Times New Roman" w:hAnsi="Times New Roman" w:cs="Times New Roman" w:eastAsia="Times New Roman" w:hint="default"/>
        </w:rPr>
        <w:t>1992</w:t>
      </w:r>
      <w:r>
        <w:rPr/>
        <w:t>年至</w:t>
      </w:r>
      <w:r>
        <w:rPr>
          <w:rFonts w:ascii="Times New Roman" w:hAnsi="Times New Roman" w:cs="Times New Roman" w:eastAsia="Times New Roman" w:hint="default"/>
        </w:rPr>
        <w:t>2000</w:t>
      </w:r>
      <w:r>
        <w:rPr/>
        <w:t>年在长春科技大学任教；</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月至今，吉林大学讲师、副教授。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spacing w:val="-83"/>
        </w:rPr>
        <w:t> </w:t>
      </w:r>
      <w:r>
        <w:rPr/>
        <w:t>至今担任长春天工环境系统有限公司独立董事，上述单位与发行人无关联关系。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月至今任公司独立董事。王希庆与</w:t>
      </w:r>
      <w:r>
        <w:rPr>
          <w:spacing w:val="-82"/>
        </w:rPr>
        <w:t> </w:t>
      </w:r>
      <w:r>
        <w:rPr>
          <w:spacing w:val="-82"/>
        </w:rPr>
      </w:r>
      <w:r>
        <w:rPr/>
        <w:t>其他董事、监事、高级管理人员及核心技术人员无亲属关系。</w:t>
      </w:r>
    </w:p>
    <w:p>
      <w:pPr>
        <w:spacing w:line="240" w:lineRule="auto" w:before="7"/>
        <w:rPr>
          <w:rFonts w:ascii="宋体" w:hAnsi="宋体" w:cs="宋体" w:eastAsia="宋体" w:hint="default"/>
          <w:sz w:val="12"/>
          <w:szCs w:val="12"/>
        </w:rPr>
      </w:pPr>
    </w:p>
    <w:p>
      <w:pPr>
        <w:pStyle w:val="BodyText"/>
        <w:spacing w:line="345" w:lineRule="auto" w:before="0"/>
        <w:ind w:right="188" w:firstLine="482"/>
        <w:jc w:val="both"/>
      </w:pPr>
      <w:r>
        <w:rPr>
          <w:rFonts w:ascii="宋体" w:hAnsi="宋体" w:cs="宋体" w:eastAsia="宋体" w:hint="default"/>
          <w:b/>
          <w:bCs/>
        </w:rPr>
        <w:t>毛志宏</w:t>
      </w:r>
      <w:r>
        <w:rPr/>
        <w:t>，男，中国国籍，无境外永久居留权，</w:t>
      </w:r>
      <w:r>
        <w:rPr>
          <w:rFonts w:ascii="Times New Roman" w:hAnsi="Times New Roman" w:cs="Times New Roman" w:eastAsia="Times New Roman" w:hint="default"/>
        </w:rPr>
        <w:t>1961</w:t>
      </w:r>
      <w:r>
        <w:rPr/>
        <w:t>年出生，博士，企业管理专业。</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月在吉林财</w:t>
      </w:r>
      <w:r>
        <w:rPr>
          <w:spacing w:val="1"/>
        </w:rPr>
        <w:t> </w:t>
      </w:r>
      <w:r>
        <w:rPr>
          <w:spacing w:val="-2"/>
        </w:rPr>
        <w:t>经大学（原长春税务学院）任教；</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12</w:t>
      </w:r>
      <w:r>
        <w:rPr>
          <w:spacing w:val="-2"/>
        </w:rPr>
        <w:t>月至今，吉林大学商学院会计系主任、教授、博士生导师。</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9"/>
        </w:rPr>
        <w:t> </w:t>
      </w:r>
      <w:r>
        <w:rPr>
          <w:spacing w:val="-2"/>
        </w:rPr>
        <w:t>月担任长春一东离合器股份有限公司独立董事；</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月担任山东蓬翔汽车有限公司独立董事；</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月至今担</w:t>
      </w:r>
      <w:r>
        <w:rPr>
          <w:spacing w:val="-49"/>
        </w:rPr>
        <w:t> </w:t>
      </w:r>
      <w:r>
        <w:rPr/>
        <w:t>任长春市会计学会副会长；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月至今担任中通国脉通信股份有限公司独立董事；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月至今担任吉林吉恩镍业股</w:t>
      </w:r>
      <w:r>
        <w:rPr>
          <w:spacing w:val="-83"/>
        </w:rPr>
        <w:t> </w:t>
      </w:r>
      <w:r>
        <w:rPr>
          <w:spacing w:val="-83"/>
        </w:rPr>
      </w:r>
      <w:r>
        <w:rPr>
          <w:spacing w:val="-3"/>
        </w:rPr>
        <w:t>份有限公司独立董事；</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9</w:t>
      </w:r>
      <w:r>
        <w:rPr>
          <w:spacing w:val="-3"/>
        </w:rPr>
        <w:t>月至今担任安华农业保险股份有限公司独立董事，</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月至今担任长春高新技术产业（集</w:t>
      </w:r>
      <w:r>
        <w:rPr>
          <w:spacing w:val="-84"/>
        </w:rPr>
        <w:t> </w:t>
      </w:r>
      <w:r>
        <w:rPr>
          <w:spacing w:val="-84"/>
        </w:rPr>
      </w:r>
      <w:r>
        <w:rPr/>
        <w:t>团）股份有限公司独立董事，上述单位与公司无关联关系。</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月至今任公司独立董事。毛志宏与其他董事、监事、高</w:t>
      </w:r>
      <w:r>
        <w:rPr>
          <w:spacing w:val="-82"/>
        </w:rPr>
        <w:t> </w:t>
      </w:r>
      <w:r>
        <w:rPr>
          <w:spacing w:val="-82"/>
        </w:rPr>
      </w:r>
      <w:r>
        <w:rPr/>
        <w:t>级管理人员及核心技术人员无亲属关系。</w:t>
      </w:r>
    </w:p>
    <w:p>
      <w:pPr>
        <w:pStyle w:val="BodyText"/>
        <w:spacing w:line="345" w:lineRule="auto"/>
        <w:ind w:right="95" w:firstLine="422"/>
        <w:jc w:val="left"/>
      </w:pPr>
      <w:r>
        <w:rPr>
          <w:rFonts w:ascii="宋体" w:hAnsi="宋体" w:cs="宋体" w:eastAsia="宋体" w:hint="default"/>
          <w:b/>
          <w:bCs/>
        </w:rPr>
        <w:t>徐卫东</w:t>
      </w:r>
      <w:r>
        <w:rPr/>
        <w:t>，男，中国国籍，</w:t>
      </w:r>
      <w:r>
        <w:rPr>
          <w:rFonts w:ascii="Times New Roman" w:hAnsi="Times New Roman" w:cs="Times New Roman" w:eastAsia="Times New Roman" w:hint="default"/>
        </w:rPr>
        <w:t>1959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日生，党员，</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月于吉林大学获得政治经济学博士学位，具备 律师执业资格证书</w:t>
      </w:r>
      <w:r>
        <w:rPr>
          <w:spacing w:val="-10"/>
        </w:rPr>
        <w:t> </w:t>
      </w:r>
      <w:r>
        <w:rPr>
          <w:spacing w:val="-5"/>
        </w:rPr>
        <w:t>，</w:t>
      </w:r>
      <w:r>
        <w:rPr>
          <w:rFonts w:ascii="Times New Roman" w:hAnsi="Times New Roman" w:cs="Times New Roman" w:eastAsia="Times New Roman" w:hint="default"/>
          <w:spacing w:val="-5"/>
        </w:rPr>
        <w:t>1982</w:t>
      </w:r>
      <w:r>
        <w:rPr>
          <w:spacing w:val="-5"/>
        </w:rPr>
        <w:t>年</w:t>
      </w:r>
      <w:r>
        <w:rPr>
          <w:rFonts w:ascii="Times New Roman" w:hAnsi="Times New Roman" w:cs="Times New Roman" w:eastAsia="Times New Roman" w:hint="default"/>
          <w:spacing w:val="-5"/>
        </w:rPr>
        <w:t>3</w:t>
      </w:r>
      <w:r>
        <w:rPr>
          <w:spacing w:val="-5"/>
        </w:rPr>
        <w:t>月至今任职于吉林大学法学院教师，教授职称。</w:t>
      </w:r>
      <w:r>
        <w:rPr>
          <w:rFonts w:ascii="Times New Roman" w:hAnsi="Times New Roman" w:cs="Times New Roman" w:eastAsia="Times New Roman" w:hint="default"/>
          <w:spacing w:val="-5"/>
        </w:rPr>
        <w:t>2006</w:t>
      </w:r>
      <w:r>
        <w:rPr>
          <w:spacing w:val="-5"/>
        </w:rPr>
        <w:t>年至今兼任中国商法学研究会副会长，</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36"/>
        </w:rPr>
        <w:t> </w:t>
      </w:r>
      <w:r>
        <w:rPr>
          <w:spacing w:val="-2"/>
        </w:rPr>
        <w:t>年至今国家司法考试协调委员会委员，</w:t>
      </w:r>
      <w:r>
        <w:rPr>
          <w:rFonts w:ascii="Times New Roman" w:hAnsi="Times New Roman" w:cs="Times New Roman" w:eastAsia="Times New Roman" w:hint="default"/>
          <w:spacing w:val="-2"/>
        </w:rPr>
        <w:t>2008</w:t>
      </w:r>
      <w:r>
        <w:rPr>
          <w:spacing w:val="-2"/>
        </w:rPr>
        <w:t>年至今任中国国际贸易仲裁委员会仲裁员，</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2014</w:t>
      </w:r>
      <w:r>
        <w:rPr>
          <w:spacing w:val="-2"/>
        </w:rPr>
        <w:t>年任教育部高等学校法</w:t>
      </w:r>
      <w:r>
        <w:rPr>
          <w:spacing w:val="-52"/>
        </w:rPr>
        <w:t> </w:t>
      </w:r>
      <w:r>
        <w:rPr>
          <w:spacing w:val="-2"/>
        </w:rPr>
        <w:t>学教育指导委员会委员兼秘书长，</w:t>
      </w:r>
      <w:r>
        <w:rPr>
          <w:rFonts w:ascii="Times New Roman" w:hAnsi="Times New Roman" w:cs="Times New Roman" w:eastAsia="Times New Roman" w:hint="default"/>
          <w:spacing w:val="-2"/>
        </w:rPr>
        <w:t>2012</w:t>
      </w:r>
      <w:r>
        <w:rPr>
          <w:spacing w:val="-2"/>
        </w:rPr>
        <w:t>年至今任中国拍卖协会法律专业委员会委员，</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2013</w:t>
      </w:r>
      <w:r>
        <w:rPr>
          <w:spacing w:val="-2"/>
        </w:rPr>
        <w:t>年任吉林省第十一届人民代</w:t>
      </w:r>
      <w:r>
        <w:rPr>
          <w:spacing w:val="-52"/>
        </w:rPr>
        <w:t> </w:t>
      </w:r>
      <w:r>
        <w:rPr>
          <w:spacing w:val="-2"/>
        </w:rPr>
        <w:t>表大会代表兼法律委员会委员，吉林省委法律咨询委员会委员，</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2010</w:t>
      </w:r>
      <w:r>
        <w:rPr>
          <w:spacing w:val="-2"/>
        </w:rPr>
        <w:t>年任吉林省人民政府法律顾问，</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4"/>
        </w:rPr>
        <w:t> </w:t>
      </w:r>
      <w:r>
        <w:rPr>
          <w:spacing w:val="-3"/>
        </w:rPr>
        <w:t>年任长春市人民政府法律顾问，</w:t>
      </w:r>
      <w:r>
        <w:rPr>
          <w:rFonts w:ascii="Times New Roman" w:hAnsi="Times New Roman" w:cs="Times New Roman" w:eastAsia="Times New Roman" w:hint="default"/>
          <w:spacing w:val="-3"/>
        </w:rPr>
        <w:t>2004</w:t>
      </w:r>
      <w:r>
        <w:rPr>
          <w:spacing w:val="-3"/>
        </w:rPr>
        <w:t>年至今任长春仲裁委员会委员兼仲裁员，</w:t>
      </w:r>
      <w:r>
        <w:rPr>
          <w:rFonts w:ascii="Times New Roman" w:hAnsi="Times New Roman" w:cs="Times New Roman" w:eastAsia="Times New Roman" w:hint="default"/>
          <w:spacing w:val="-3"/>
        </w:rPr>
        <w:t>2006</w:t>
      </w:r>
      <w:r>
        <w:rPr>
          <w:spacing w:val="-3"/>
        </w:rPr>
        <w:t>年至</w:t>
      </w:r>
      <w:r>
        <w:rPr>
          <w:rFonts w:ascii="Times New Roman" w:hAnsi="Times New Roman" w:cs="Times New Roman" w:eastAsia="Times New Roman" w:hint="default"/>
          <w:spacing w:val="-3"/>
        </w:rPr>
        <w:t>2011</w:t>
      </w:r>
      <w:r>
        <w:rPr>
          <w:spacing w:val="-3"/>
        </w:rPr>
        <w:t>年任吉林知识产权研究会理事长，</w:t>
      </w:r>
      <w:r>
        <w:rPr>
          <w:spacing w:val="-79"/>
        </w:rPr>
        <w:t> </w:t>
      </w:r>
      <w:r>
        <w:rPr>
          <w:rFonts w:ascii="Times New Roman" w:hAnsi="Times New Roman" w:cs="Times New Roman" w:eastAsia="Times New Roman" w:hint="default"/>
          <w:spacing w:val="-2"/>
        </w:rPr>
        <w:t>2013</w:t>
      </w:r>
      <w:r>
        <w:rPr>
          <w:spacing w:val="-2"/>
        </w:rPr>
        <w:t>年至今任吉林省法学会商法学研究会会长，</w:t>
      </w:r>
      <w:r>
        <w:rPr>
          <w:rFonts w:ascii="Times New Roman" w:hAnsi="Times New Roman" w:cs="Times New Roman" w:eastAsia="Times New Roman" w:hint="default"/>
          <w:spacing w:val="-2"/>
        </w:rPr>
        <w:t>2014</w:t>
      </w:r>
      <w:r>
        <w:rPr>
          <w:spacing w:val="-2"/>
        </w:rPr>
        <w:t>年至今任吉林省企业法治研究会副会长，</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2008</w:t>
      </w:r>
      <w:r>
        <w:rPr>
          <w:spacing w:val="-2"/>
        </w:rPr>
        <w:t>年任吉林大学党</w:t>
      </w:r>
      <w:r>
        <w:rPr>
          <w:spacing w:val="-47"/>
        </w:rPr>
        <w:t> </w:t>
      </w:r>
      <w:r>
        <w:rPr/>
        <w:t>委委员、纪律检查委员会常委，</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月至今在吉林科隆建筑节能科技股份有限公司任职，</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2009</w:t>
      </w:r>
      <w:r>
        <w:rPr/>
        <w:t>年任吉林紫鑫药</w:t>
      </w:r>
      <w:r>
        <w:rPr>
          <w:spacing w:val="-82"/>
        </w:rPr>
        <w:t> </w:t>
      </w:r>
      <w:r>
        <w:rPr>
          <w:spacing w:val="-82"/>
        </w:rPr>
      </w:r>
      <w:r>
        <w:rPr>
          <w:spacing w:val="-2"/>
        </w:rPr>
        <w:t>业股份有限公司独立董事，</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2014</w:t>
      </w:r>
      <w:r>
        <w:rPr>
          <w:spacing w:val="-2"/>
        </w:rPr>
        <w:t>年任格力地产股份有限公司独立董事，</w:t>
      </w:r>
      <w:r>
        <w:rPr>
          <w:rFonts w:ascii="Times New Roman" w:hAnsi="Times New Roman" w:cs="Times New Roman" w:eastAsia="Times New Roman" w:hint="default"/>
          <w:spacing w:val="-2"/>
        </w:rPr>
        <w:t>2014</w:t>
      </w:r>
      <w:r>
        <w:rPr>
          <w:spacing w:val="-2"/>
        </w:rPr>
        <w:t>年至今任珠海恒基达鑫国际化工仓储股</w:t>
      </w:r>
      <w:r>
        <w:rPr>
          <w:spacing w:val="-52"/>
        </w:rPr>
        <w:t> </w:t>
      </w:r>
      <w:r>
        <w:rPr/>
        <w:t>份有限公司独立董事，上述单位与公司无关联关系。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月至今任公司独立董事。徐卫东先生与持有公司百分之五以上</w:t>
      </w:r>
      <w:r>
        <w:rPr>
          <w:spacing w:val="-82"/>
        </w:rPr>
        <w:t> </w:t>
      </w:r>
      <w:r>
        <w:rPr>
          <w:spacing w:val="-82"/>
        </w:rPr>
      </w:r>
      <w:r>
        <w:rPr/>
        <w:t>股份的股东、实际控制人及公司董事、监事、高级管理人员及核心技术人员无亲属关系。</w:t>
      </w:r>
    </w:p>
    <w:p>
      <w:pPr>
        <w:spacing w:line="240" w:lineRule="auto" w:before="7"/>
        <w:rPr>
          <w:rFonts w:ascii="宋体" w:hAnsi="宋体" w:cs="宋体" w:eastAsia="宋体" w:hint="default"/>
          <w:sz w:val="12"/>
          <w:szCs w:val="12"/>
        </w:rPr>
      </w:pPr>
    </w:p>
    <w:p>
      <w:pPr>
        <w:pStyle w:val="Heading6"/>
        <w:spacing w:line="240" w:lineRule="auto" w:before="0"/>
        <w:ind w:left="636" w:right="6752"/>
        <w:jc w:val="left"/>
        <w:rPr>
          <w:b w:val="0"/>
          <w:bCs w:val="0"/>
        </w:rPr>
      </w:pPr>
      <w:r>
        <w:rPr/>
        <w:t>（二）监事会成员</w:t>
      </w:r>
      <w:r>
        <w:rPr>
          <w:b w:val="0"/>
          <w:bCs w:val="0"/>
        </w:rPr>
      </w:r>
    </w:p>
    <w:p>
      <w:pPr>
        <w:spacing w:line="240" w:lineRule="auto" w:before="8"/>
        <w:rPr>
          <w:rFonts w:ascii="宋体" w:hAnsi="宋体" w:cs="宋体" w:eastAsia="宋体" w:hint="default"/>
          <w:b/>
          <w:bCs/>
          <w:sz w:val="18"/>
          <w:szCs w:val="18"/>
        </w:rPr>
      </w:pPr>
    </w:p>
    <w:p>
      <w:pPr>
        <w:pStyle w:val="BodyText"/>
        <w:spacing w:line="345" w:lineRule="auto" w:before="0"/>
        <w:ind w:right="189" w:firstLine="482"/>
        <w:jc w:val="both"/>
      </w:pPr>
      <w:r>
        <w:rPr>
          <w:rFonts w:ascii="宋体" w:hAnsi="宋体" w:cs="宋体" w:eastAsia="宋体" w:hint="default"/>
          <w:b/>
          <w:bCs/>
          <w:spacing w:val="-1"/>
        </w:rPr>
        <w:t>李晓芳</w:t>
      </w:r>
      <w:r>
        <w:rPr>
          <w:spacing w:val="-1"/>
        </w:rPr>
        <w:t>，女，中国国籍，无境外永久居留权，</w:t>
      </w:r>
      <w:r>
        <w:rPr>
          <w:rFonts w:ascii="Times New Roman" w:hAnsi="Times New Roman" w:cs="Times New Roman" w:eastAsia="Times New Roman" w:hint="default"/>
          <w:spacing w:val="-1"/>
        </w:rPr>
        <w:t>1978</w:t>
      </w:r>
      <w:r>
        <w:rPr>
          <w:spacing w:val="-1"/>
        </w:rPr>
        <w:t>年出生，大专学历，市场营销专业。</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9</w:t>
      </w:r>
      <w:r>
        <w:rPr>
          <w:spacing w:val="-1"/>
        </w:rPr>
        <w:t>月金士百</w:t>
      </w:r>
      <w:r>
        <w:rPr/>
        <w:t> 啤酒有限公司促销主管，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月华润雪花啤酒有限公司业务经理，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月吉林省耐德电气</w:t>
      </w:r>
    </w:p>
    <w:p>
      <w:pPr>
        <w:spacing w:after="0" w:line="345" w:lineRule="auto"/>
        <w:jc w:val="both"/>
        <w:sectPr>
          <w:pgSz w:w="11910" w:h="16840"/>
          <w:pgMar w:header="747" w:footer="979" w:top="1060" w:bottom="1160" w:left="980" w:right="940"/>
        </w:sectPr>
      </w:pPr>
    </w:p>
    <w:p>
      <w:pPr>
        <w:spacing w:line="240" w:lineRule="auto" w:before="8"/>
        <w:rPr>
          <w:rFonts w:ascii="宋体" w:hAnsi="宋体" w:cs="宋体" w:eastAsia="宋体" w:hint="default"/>
          <w:sz w:val="27"/>
          <w:szCs w:val="27"/>
        </w:rPr>
      </w:pPr>
    </w:p>
    <w:p>
      <w:pPr>
        <w:pStyle w:val="BodyText"/>
        <w:spacing w:line="345" w:lineRule="auto"/>
        <w:ind w:right="182"/>
        <w:jc w:val="left"/>
      </w:pPr>
      <w:r>
        <w:rPr/>
        <w:t>有限公司销售经理，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月至今担任吉林省金冠电气股份有限公司销售经理、地区经理、大客户经理，现任公司监事会</w:t>
      </w:r>
      <w:r>
        <w:rPr>
          <w:spacing w:val="-83"/>
        </w:rPr>
        <w:t> </w:t>
      </w:r>
      <w:r>
        <w:rPr>
          <w:spacing w:val="-83"/>
        </w:rPr>
      </w:r>
      <w:r>
        <w:rPr/>
        <w:t>主席、大客户经理。李晓芳无在外兼职情况，与其他董事、监事、高级管理人员及核心技术人员无亲属关系。</w:t>
      </w:r>
    </w:p>
    <w:p>
      <w:pPr>
        <w:spacing w:line="240" w:lineRule="auto" w:before="7"/>
        <w:rPr>
          <w:rFonts w:ascii="宋体" w:hAnsi="宋体" w:cs="宋体" w:eastAsia="宋体" w:hint="default"/>
          <w:sz w:val="12"/>
          <w:szCs w:val="12"/>
        </w:rPr>
      </w:pPr>
    </w:p>
    <w:p>
      <w:pPr>
        <w:pStyle w:val="BodyText"/>
        <w:spacing w:line="345" w:lineRule="auto" w:before="0"/>
        <w:ind w:right="92" w:firstLine="482"/>
        <w:jc w:val="left"/>
      </w:pPr>
      <w:r>
        <w:rPr>
          <w:rFonts w:ascii="宋体" w:hAnsi="宋体" w:cs="宋体" w:eastAsia="宋体" w:hint="default"/>
          <w:b/>
          <w:bCs/>
        </w:rPr>
        <w:t>许哲</w:t>
      </w:r>
      <w:r>
        <w:rPr/>
        <w:t>，女，中国国籍，无境外永久居留权，</w:t>
      </w:r>
      <w:r>
        <w:rPr>
          <w:rFonts w:ascii="Times New Roman" w:hAnsi="Times New Roman" w:cs="Times New Roman" w:eastAsia="Times New Roman" w:hint="default"/>
        </w:rPr>
        <w:t>1985</w:t>
      </w:r>
      <w:r>
        <w:rPr/>
        <w:t>年出生，大专学历，旅游服务与管理。</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2008</w:t>
      </w:r>
      <w:r>
        <w:rPr/>
        <w:t>年担任吉林省兄 弟木业集团担任人力资源部负责人。</w:t>
      </w:r>
      <w:r>
        <w:rPr>
          <w:rFonts w:ascii="Times New Roman" w:hAnsi="Times New Roman" w:cs="Times New Roman" w:eastAsia="Times New Roman" w:hint="default"/>
        </w:rPr>
        <w:t>2008</w:t>
      </w:r>
      <w:r>
        <w:rPr/>
        <w:t>年至今担任公司市场部部长，现任公司监事、市场部部长。许哲无在外兼职情况， 与其他董事、监事、高级管理人员及核心技术人员无亲属关系。</w:t>
      </w:r>
    </w:p>
    <w:p>
      <w:pPr>
        <w:spacing w:line="240" w:lineRule="auto" w:before="7"/>
        <w:rPr>
          <w:rFonts w:ascii="宋体" w:hAnsi="宋体" w:cs="宋体" w:eastAsia="宋体" w:hint="default"/>
          <w:sz w:val="12"/>
          <w:szCs w:val="12"/>
        </w:rPr>
      </w:pPr>
    </w:p>
    <w:p>
      <w:pPr>
        <w:pStyle w:val="BodyText"/>
        <w:spacing w:line="345" w:lineRule="auto" w:before="0"/>
        <w:ind w:right="99" w:firstLine="482"/>
        <w:jc w:val="left"/>
      </w:pPr>
      <w:r>
        <w:rPr>
          <w:rFonts w:ascii="宋体" w:hAnsi="宋体" w:cs="宋体" w:eastAsia="宋体" w:hint="default"/>
          <w:b/>
          <w:bCs/>
        </w:rPr>
        <w:t>吴宗南</w:t>
      </w:r>
      <w:r>
        <w:rPr/>
        <w:t>，男，中国国籍，无境外永久居留权，</w:t>
      </w:r>
      <w:r>
        <w:rPr>
          <w:rFonts w:ascii="Times New Roman" w:hAnsi="Times New Roman" w:cs="Times New Roman" w:eastAsia="Times New Roman" w:hint="default"/>
        </w:rPr>
        <w:t>1975</w:t>
      </w:r>
      <w:r>
        <w:rPr/>
        <w:t>年出生，大专学历，机电一体化技术。</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2007</w:t>
      </w:r>
      <w:r>
        <w:rPr/>
        <w:t>年担任吉林龙 </w:t>
      </w:r>
      <w:r>
        <w:rPr>
          <w:spacing w:val="-4"/>
        </w:rPr>
        <w:t>鼎电气股份有限公司数控编程员。</w:t>
      </w:r>
      <w:r>
        <w:rPr>
          <w:rFonts w:ascii="Times New Roman" w:hAnsi="Times New Roman" w:cs="Times New Roman" w:eastAsia="Times New Roman" w:hint="default"/>
          <w:spacing w:val="-4"/>
        </w:rPr>
        <w:t>2007</w:t>
      </w:r>
      <w:r>
        <w:rPr>
          <w:spacing w:val="-4"/>
        </w:rPr>
        <w:t>年至今于公司历任生产部钣金车间主任、生产部副部长、生产部部长；现任职工监事、</w:t>
      </w:r>
      <w:r>
        <w:rPr>
          <w:spacing w:val="-37"/>
        </w:rPr>
        <w:t> </w:t>
      </w:r>
      <w:r>
        <w:rPr>
          <w:spacing w:val="-37"/>
        </w:rPr>
      </w:r>
      <w:r>
        <w:rPr/>
        <w:t>生产总监。吴宗南无在外兼职情况，与其他董事、监事、高级管理人员及核心技术人员无亲属关系。</w:t>
      </w:r>
    </w:p>
    <w:p>
      <w:pPr>
        <w:spacing w:line="240" w:lineRule="auto" w:before="7"/>
        <w:rPr>
          <w:rFonts w:ascii="宋体" w:hAnsi="宋体" w:cs="宋体" w:eastAsia="宋体" w:hint="default"/>
          <w:sz w:val="12"/>
          <w:szCs w:val="12"/>
        </w:rPr>
      </w:pPr>
    </w:p>
    <w:p>
      <w:pPr>
        <w:pStyle w:val="Heading6"/>
        <w:spacing w:line="240" w:lineRule="auto" w:before="0"/>
        <w:ind w:left="636" w:right="6752"/>
        <w:jc w:val="left"/>
        <w:rPr>
          <w:b w:val="0"/>
          <w:bCs w:val="0"/>
        </w:rPr>
      </w:pPr>
      <w:r>
        <w:rPr/>
        <w:t>（三）高级管理人员</w:t>
      </w:r>
      <w:r>
        <w:rPr>
          <w:b w:val="0"/>
          <w:bCs w:val="0"/>
        </w:rPr>
      </w:r>
    </w:p>
    <w:p>
      <w:pPr>
        <w:spacing w:line="240" w:lineRule="auto" w:before="8"/>
        <w:rPr>
          <w:rFonts w:ascii="宋体" w:hAnsi="宋体" w:cs="宋体" w:eastAsia="宋体" w:hint="default"/>
          <w:b/>
          <w:bCs/>
          <w:sz w:val="18"/>
          <w:szCs w:val="18"/>
        </w:rPr>
      </w:pPr>
    </w:p>
    <w:p>
      <w:pPr>
        <w:pStyle w:val="BodyText"/>
        <w:spacing w:line="345" w:lineRule="auto" w:before="0"/>
        <w:ind w:right="192" w:firstLine="482"/>
        <w:jc w:val="both"/>
      </w:pPr>
      <w:r>
        <w:rPr>
          <w:rFonts w:ascii="宋体" w:hAnsi="宋体" w:cs="宋体" w:eastAsia="宋体" w:hint="default"/>
          <w:b/>
          <w:bCs/>
          <w:spacing w:val="-1"/>
        </w:rPr>
        <w:t>徐海江</w:t>
      </w:r>
      <w:r>
        <w:rPr>
          <w:spacing w:val="-1"/>
        </w:rPr>
        <w:t>，男，中国国籍，无境外永久居留权，</w:t>
      </w:r>
      <w:r>
        <w:rPr>
          <w:rFonts w:ascii="Times New Roman" w:hAnsi="Times New Roman" w:cs="Times New Roman" w:eastAsia="Times New Roman" w:hint="default"/>
          <w:spacing w:val="-1"/>
        </w:rPr>
        <w:t>1975</w:t>
      </w:r>
      <w:r>
        <w:rPr>
          <w:spacing w:val="-1"/>
        </w:rPr>
        <w:t>年出生，本科学历。</w:t>
      </w:r>
      <w:r>
        <w:rPr>
          <w:rFonts w:ascii="Times New Roman" w:hAnsi="Times New Roman" w:cs="Times New Roman" w:eastAsia="Times New Roman" w:hint="default"/>
          <w:spacing w:val="-1"/>
        </w:rPr>
        <w:t>1997</w:t>
      </w:r>
      <w:r>
        <w:rPr>
          <w:spacing w:val="-1"/>
        </w:rPr>
        <w:t>年至</w:t>
      </w:r>
      <w:r>
        <w:rPr>
          <w:rFonts w:ascii="Times New Roman" w:hAnsi="Times New Roman" w:cs="Times New Roman" w:eastAsia="Times New Roman" w:hint="default"/>
          <w:spacing w:val="-1"/>
        </w:rPr>
        <w:t>2003</w:t>
      </w:r>
      <w:r>
        <w:rPr>
          <w:spacing w:val="-1"/>
        </w:rPr>
        <w:t>年担任深圳市长园新材料股份有</w:t>
      </w:r>
      <w:r>
        <w:rPr/>
        <w:t> </w:t>
      </w:r>
      <w:r>
        <w:rPr>
          <w:spacing w:val="-2"/>
        </w:rPr>
        <w:t>限公司地区经理；</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2003</w:t>
      </w:r>
      <w:r>
        <w:rPr>
          <w:spacing w:val="-2"/>
        </w:rPr>
        <w:t>年担任杭州长园总经理；</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2007</w:t>
      </w:r>
      <w:r>
        <w:rPr>
          <w:spacing w:val="-2"/>
        </w:rPr>
        <w:t>年担任浙江恒坤总经理。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10</w:t>
      </w:r>
      <w:r>
        <w:rPr>
          <w:spacing w:val="-2"/>
        </w:rPr>
        <w:t>月至今担任公司董</w:t>
      </w:r>
      <w:r>
        <w:rPr>
          <w:spacing w:val="-44"/>
        </w:rPr>
        <w:t> </w:t>
      </w:r>
      <w:r>
        <w:rPr/>
        <w:t>事长，现任公司董事长、总经理。</w:t>
      </w:r>
    </w:p>
    <w:p>
      <w:pPr>
        <w:spacing w:line="240" w:lineRule="auto" w:before="7"/>
        <w:rPr>
          <w:rFonts w:ascii="宋体" w:hAnsi="宋体" w:cs="宋体" w:eastAsia="宋体" w:hint="default"/>
          <w:sz w:val="12"/>
          <w:szCs w:val="12"/>
        </w:rPr>
      </w:pPr>
    </w:p>
    <w:p>
      <w:pPr>
        <w:pStyle w:val="BodyText"/>
        <w:spacing w:line="364" w:lineRule="auto" w:before="0"/>
        <w:ind w:right="191" w:firstLine="480"/>
        <w:jc w:val="both"/>
      </w:pPr>
      <w:r>
        <w:rPr>
          <w:spacing w:val="-1"/>
        </w:rPr>
        <w:t>徐海江目前担任天正水电董事、金冠投资执行董事、长春京达执行事务合伙人。天正水电是金冠投资参股的公司，金</w:t>
      </w:r>
      <w:r>
        <w:rPr/>
        <w:t> </w:t>
      </w:r>
      <w:r>
        <w:rPr>
          <w:spacing w:val="-2"/>
        </w:rPr>
        <w:t>冠投资、长春京达与公司是同一实际控制人控制的企业，长春京达同时是公司股东。徐海江与徐海涛是兄妹关系，与徐海滨</w:t>
      </w:r>
      <w:r>
        <w:rPr>
          <w:spacing w:val="-66"/>
        </w:rPr>
        <w:t> </w:t>
      </w:r>
      <w:r>
        <w:rPr>
          <w:spacing w:val="-66"/>
        </w:rPr>
      </w:r>
      <w:r>
        <w:rPr/>
        <w:t>是姐弟关系，郭长兴是徐海滨配偶。除此之外，徐海江与其他董事、监事、高级管理人员及核心技术人员无亲属关系。</w:t>
      </w:r>
    </w:p>
    <w:p>
      <w:pPr>
        <w:pStyle w:val="BodyText"/>
        <w:spacing w:line="352" w:lineRule="auto" w:before="149"/>
        <w:ind w:right="189" w:firstLine="482"/>
        <w:jc w:val="both"/>
      </w:pPr>
      <w:r>
        <w:rPr>
          <w:rFonts w:ascii="宋体" w:hAnsi="宋体" w:cs="宋体" w:eastAsia="宋体" w:hint="default"/>
          <w:b/>
          <w:bCs/>
          <w:spacing w:val="-1"/>
        </w:rPr>
        <w:t>郭长兴</w:t>
      </w:r>
      <w:r>
        <w:rPr>
          <w:spacing w:val="-1"/>
        </w:rPr>
        <w:t>，男，中国国籍，无境外永久居留权，</w:t>
      </w:r>
      <w:r>
        <w:rPr>
          <w:rFonts w:ascii="Times New Roman" w:hAnsi="Times New Roman" w:cs="Times New Roman" w:eastAsia="Times New Roman" w:hint="default"/>
          <w:spacing w:val="-1"/>
        </w:rPr>
        <w:t>1971</w:t>
      </w:r>
      <w:r>
        <w:rPr>
          <w:spacing w:val="-1"/>
        </w:rPr>
        <w:t>年出生，大专学历，行政管理专业。</w:t>
      </w:r>
      <w:r>
        <w:rPr>
          <w:rFonts w:ascii="Times New Roman" w:hAnsi="Times New Roman" w:cs="Times New Roman" w:eastAsia="Times New Roman" w:hint="default"/>
          <w:spacing w:val="-1"/>
        </w:rPr>
        <w:t>1998</w:t>
      </w:r>
      <w:r>
        <w:rPr>
          <w:spacing w:val="-1"/>
        </w:rPr>
        <w:t>年至</w:t>
      </w:r>
      <w:r>
        <w:rPr>
          <w:rFonts w:ascii="Times New Roman" w:hAnsi="Times New Roman" w:cs="Times New Roman" w:eastAsia="Times New Roman" w:hint="default"/>
          <w:spacing w:val="-1"/>
        </w:rPr>
        <w:t>2001</w:t>
      </w:r>
      <w:r>
        <w:rPr>
          <w:spacing w:val="-1"/>
        </w:rPr>
        <w:t>年任职于坦桑尼</w:t>
      </w:r>
      <w:r>
        <w:rPr/>
        <w:t> </w:t>
      </w:r>
      <w:r>
        <w:rPr>
          <w:spacing w:val="-2"/>
        </w:rPr>
        <w:t>亚中达医院；</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2003</w:t>
      </w:r>
      <w:r>
        <w:rPr>
          <w:spacing w:val="-2"/>
        </w:rPr>
        <w:t>年从事个体经营；</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2006</w:t>
      </w:r>
      <w:r>
        <w:rPr>
          <w:spacing w:val="-2"/>
        </w:rPr>
        <w:t>年担任吉林恒坤副总经理。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10</w:t>
      </w:r>
      <w:r>
        <w:rPr>
          <w:spacing w:val="-2"/>
        </w:rPr>
        <w:t>月至今历任公司总经理、副</w:t>
      </w:r>
      <w:r>
        <w:rPr>
          <w:spacing w:val="-43"/>
        </w:rPr>
        <w:t> </w:t>
      </w:r>
      <w:r>
        <w:rPr>
          <w:spacing w:val="-43"/>
        </w:rPr>
      </w:r>
      <w:r>
        <w:rPr>
          <w:spacing w:val="-2"/>
        </w:rPr>
        <w:t>总经理、副董事长，现任公司副董事长、副总经理。郭长兴无在外兼职情况，与其他董事、监事和高级管理人员亲属关系参</w:t>
      </w:r>
      <w:r>
        <w:rPr>
          <w:spacing w:val="-68"/>
        </w:rPr>
        <w:t> </w:t>
      </w:r>
      <w:r>
        <w:rPr>
          <w:spacing w:val="-68"/>
        </w:rPr>
      </w:r>
      <w:r>
        <w:rPr/>
        <w:t>见上述徐海江简介。</w:t>
      </w:r>
    </w:p>
    <w:p>
      <w:pPr>
        <w:pStyle w:val="BodyText"/>
        <w:spacing w:line="345" w:lineRule="auto" w:before="158"/>
        <w:ind w:right="189" w:firstLine="482"/>
        <w:jc w:val="both"/>
      </w:pPr>
      <w:r>
        <w:rPr>
          <w:rFonts w:ascii="宋体" w:hAnsi="宋体" w:cs="宋体" w:eastAsia="宋体" w:hint="default"/>
          <w:b/>
          <w:bCs/>
          <w:spacing w:val="-1"/>
        </w:rPr>
        <w:t>徐海滨</w:t>
      </w:r>
      <w:r>
        <w:rPr>
          <w:spacing w:val="-1"/>
        </w:rPr>
        <w:t>，女，中国国籍，无境外永久居留权，</w:t>
      </w:r>
      <w:r>
        <w:rPr>
          <w:rFonts w:ascii="Times New Roman" w:hAnsi="Times New Roman" w:cs="Times New Roman" w:eastAsia="Times New Roman" w:hint="default"/>
          <w:spacing w:val="-1"/>
        </w:rPr>
        <w:t>1973</w:t>
      </w:r>
      <w:r>
        <w:rPr>
          <w:spacing w:val="-1"/>
        </w:rPr>
        <w:t>年出生，大专学历，行政管理专业。</w:t>
      </w:r>
      <w:r>
        <w:rPr>
          <w:rFonts w:ascii="Times New Roman" w:hAnsi="Times New Roman" w:cs="Times New Roman" w:eastAsia="Times New Roman" w:hint="default"/>
          <w:spacing w:val="-1"/>
        </w:rPr>
        <w:t>1998</w:t>
      </w:r>
      <w:r>
        <w:rPr>
          <w:spacing w:val="-1"/>
        </w:rPr>
        <w:t>年至</w:t>
      </w:r>
      <w:r>
        <w:rPr>
          <w:rFonts w:ascii="Times New Roman" w:hAnsi="Times New Roman" w:cs="Times New Roman" w:eastAsia="Times New Roman" w:hint="default"/>
          <w:spacing w:val="-1"/>
        </w:rPr>
        <w:t>2001</w:t>
      </w:r>
      <w:r>
        <w:rPr>
          <w:spacing w:val="-1"/>
        </w:rPr>
        <w:t>年任职于坦桑尼</w:t>
      </w:r>
      <w:r>
        <w:rPr/>
        <w:t> 亚中达医院；</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2003</w:t>
      </w:r>
      <w:r>
        <w:rPr/>
        <w:t>年从事个体经营；</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2011</w:t>
      </w:r>
      <w:r>
        <w:rPr/>
        <w:t>年担任吉林恒坤总经理。</w:t>
      </w:r>
      <w:r>
        <w:rPr>
          <w:rFonts w:ascii="Times New Roman" w:hAnsi="Times New Roman" w:cs="Times New Roman" w:eastAsia="Times New Roman" w:hint="default"/>
        </w:rPr>
        <w:t>2006</w:t>
      </w:r>
      <w:r>
        <w:rPr/>
        <w:t>年至今担任公司副总经理，</w:t>
      </w:r>
      <w:r>
        <w:rPr>
          <w:rFonts w:ascii="Times New Roman" w:hAnsi="Times New Roman" w:cs="Times New Roman" w:eastAsia="Times New Roman" w:hint="default"/>
        </w:rPr>
        <w:t>2017</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4</w:t>
      </w:r>
      <w:r>
        <w:rPr>
          <w:spacing w:val="-2"/>
        </w:rPr>
        <w:t>月兼任财务负责人。目前兼任长春星熠光电产品有限公司监事。徐海滨与其他董事、监事和高级管理人员亲属关系</w:t>
      </w:r>
      <w:r>
        <w:rPr>
          <w:spacing w:val="-64"/>
        </w:rPr>
        <w:t> </w:t>
      </w:r>
      <w:r>
        <w:rPr>
          <w:spacing w:val="-64"/>
        </w:rPr>
      </w:r>
      <w:r>
        <w:rPr/>
        <w:t>参见上述徐海江简介。</w:t>
      </w:r>
    </w:p>
    <w:p>
      <w:pPr>
        <w:pStyle w:val="BodyText"/>
        <w:spacing w:line="348" w:lineRule="auto"/>
        <w:ind w:right="189" w:firstLine="480"/>
        <w:jc w:val="both"/>
      </w:pPr>
      <w:r>
        <w:rPr>
          <w:rFonts w:ascii="宋体" w:hAnsi="宋体" w:cs="宋体" w:eastAsia="宋体" w:hint="default"/>
          <w:b/>
          <w:bCs/>
        </w:rPr>
        <w:t>赵红云</w:t>
      </w:r>
      <w:r>
        <w:rPr/>
        <w:t>，男，中国国籍，无境外永久居留权，</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2</w:t>
      </w:r>
      <w:r>
        <w:rPr/>
        <w:t>月出生，中共党员，本科学历。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月，任职 </w:t>
      </w:r>
      <w:r>
        <w:rPr>
          <w:spacing w:val="-2"/>
        </w:rPr>
        <w:t>于中外运吉林省分公司财务部，</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月担任长春长影世纪城有限公司保障部经理，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月担</w:t>
      </w:r>
      <w:r>
        <w:rPr>
          <w:spacing w:val="-44"/>
        </w:rPr>
        <w:t> </w:t>
      </w:r>
      <w:r>
        <w:rPr>
          <w:spacing w:val="-2"/>
        </w:rPr>
        <w:t>任长影集团有限责任公司物流部经理，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月担任长影集团有限责任公司总经理助理、党委成员、董事会成</w:t>
      </w:r>
      <w:r>
        <w:rPr>
          <w:spacing w:val="-56"/>
        </w:rPr>
        <w:t> </w:t>
      </w:r>
      <w:r>
        <w:rPr>
          <w:spacing w:val="-56"/>
        </w:rPr>
      </w:r>
      <w:r>
        <w:rPr/>
        <w:t>员、长影老区工程现场总指挥，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月担任长影旧址博物馆有限公司总经理，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月担任</w:t>
      </w:r>
      <w:r>
        <w:rPr>
          <w:spacing w:val="-83"/>
        </w:rPr>
        <w:t> </w:t>
      </w:r>
      <w:r>
        <w:rPr>
          <w:spacing w:val="-2"/>
        </w:rPr>
        <w:t>长影集团有限责任公司总经理助理、办公室主任。</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月至今担任公司董事会秘书，</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月担任湖州金冠鸿图隔膜科</w:t>
      </w:r>
      <w:r>
        <w:rPr>
          <w:spacing w:val="-55"/>
        </w:rPr>
        <w:t> </w:t>
      </w:r>
      <w:r>
        <w:rPr/>
        <w:t>技有限公司监事，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月至今担任南京能瑞自动化设备股份有限公司董事，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月至今任深圳华胤智能电气科技有</w:t>
      </w:r>
      <w:r>
        <w:rPr>
          <w:spacing w:val="-83"/>
        </w:rPr>
        <w:t> </w:t>
      </w:r>
      <w:r>
        <w:rPr>
          <w:spacing w:val="-83"/>
        </w:rPr>
      </w:r>
      <w:r>
        <w:rPr>
          <w:spacing w:val="-2"/>
        </w:rPr>
        <w:t>限公司法定代表人、深圳华胤文旅发展有限公司法定代表人、深圳华胤新材料有限公司法定代表人。除此之外，赵红云与其</w:t>
      </w:r>
      <w:r>
        <w:rPr>
          <w:spacing w:val="-66"/>
        </w:rPr>
        <w:t> </w:t>
      </w:r>
      <w:r>
        <w:rPr>
          <w:spacing w:val="-66"/>
        </w:rPr>
      </w:r>
      <w:r>
        <w:rPr/>
        <w:t>他董事、监事、高级管理人员及核心技术人员无亲属关系。</w:t>
      </w:r>
    </w:p>
    <w:p>
      <w:pPr>
        <w:pStyle w:val="BodyText"/>
        <w:spacing w:line="345" w:lineRule="auto" w:before="42"/>
        <w:ind w:right="189" w:firstLine="480"/>
        <w:jc w:val="both"/>
      </w:pPr>
      <w:r>
        <w:rPr>
          <w:rFonts w:ascii="宋体" w:hAnsi="宋体" w:cs="宋体" w:eastAsia="宋体" w:hint="default"/>
          <w:b/>
          <w:bCs/>
        </w:rPr>
        <w:t>文聪</w:t>
      </w:r>
      <w:r>
        <w:rPr/>
        <w:t>，男，中国国籍，</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2</w:t>
      </w:r>
      <w:r>
        <w:rPr/>
        <w:t>月出生无境外永久居留权。</w:t>
      </w:r>
      <w:r>
        <w:rPr>
          <w:rFonts w:ascii="Times New Roman" w:hAnsi="Times New Roman" w:cs="Times New Roman" w:eastAsia="Times New Roman" w:hint="default"/>
        </w:rPr>
        <w:t>2006</w:t>
      </w:r>
      <w:r>
        <w:rPr/>
        <w:t>年毕业于长春税务学院注册会计专业，本科学历，注 册会计师。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月任天健信德会计事务所项目经理；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月任职于香港上市公司中国水</w:t>
      </w:r>
      <w:r>
        <w:rPr>
          <w:spacing w:val="-83"/>
        </w:rPr>
        <w:t> </w:t>
      </w:r>
      <w:r>
        <w:rPr>
          <w:spacing w:val="-83"/>
        </w:rPr>
      </w:r>
      <w:r>
        <w:rPr/>
        <w:t>务集团深圳代表处，先后外派至上海、深圳、广州等项目公司任财务总监；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月于深圳市格家美居网络</w:t>
      </w:r>
      <w:r>
        <w:rPr>
          <w:spacing w:val="-82"/>
        </w:rPr>
        <w:t> </w:t>
      </w:r>
      <w:r>
        <w:rPr>
          <w:spacing w:val="-82"/>
        </w:rPr>
      </w:r>
      <w:r>
        <w:rPr>
          <w:spacing w:val="-2"/>
        </w:rPr>
        <w:t>有限公司任财务总监兼董秘；</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月任职于深圳市城市投资发展集团有限公司，并先后委派至深圳市车厘子</w:t>
      </w:r>
      <w:r>
        <w:rPr>
          <w:spacing w:val="-54"/>
        </w:rPr>
        <w:t> </w:t>
      </w:r>
      <w:r>
        <w:rPr>
          <w:spacing w:val="-54"/>
        </w:rPr>
      </w:r>
      <w:r>
        <w:rPr/>
        <w:t>网络科技有限公司和深圳市深港机动车驾驶培训集团有限公司任财务总监；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月任深圳前海移联科技有</w:t>
      </w:r>
    </w:p>
    <w:p>
      <w:pPr>
        <w:spacing w:after="0" w:line="345" w:lineRule="auto"/>
        <w:jc w:val="both"/>
        <w:sectPr>
          <w:pgSz w:w="11910" w:h="16840"/>
          <w:pgMar w:header="747" w:footer="979" w:top="1060" w:bottom="1160" w:left="980" w:right="940"/>
        </w:sectPr>
      </w:pPr>
    </w:p>
    <w:p>
      <w:pPr>
        <w:spacing w:line="240" w:lineRule="auto" w:before="8"/>
        <w:rPr>
          <w:rFonts w:ascii="宋体" w:hAnsi="宋体" w:cs="宋体" w:eastAsia="宋体" w:hint="default"/>
          <w:sz w:val="27"/>
          <w:szCs w:val="27"/>
        </w:rPr>
      </w:pPr>
    </w:p>
    <w:p>
      <w:pPr>
        <w:pStyle w:val="BodyText"/>
        <w:spacing w:line="240" w:lineRule="auto"/>
        <w:ind w:right="0"/>
        <w:jc w:val="left"/>
      </w:pPr>
      <w:r>
        <w:rPr/>
        <w:t>限公司财务总监。除此之外，文聪与其他董事、监事、高级管理人员及核心技术人员无亲属关系。</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BodyText"/>
        <w:spacing w:line="240" w:lineRule="auto" w:before="0"/>
        <w:ind w:right="0"/>
        <w:jc w:val="left"/>
      </w:pPr>
      <w:r>
        <w:rPr/>
        <w:t>在股东单位任职情况</w:t>
      </w:r>
    </w:p>
    <w:p>
      <w:pPr>
        <w:pStyle w:val="BodyText"/>
        <w:spacing w:line="338" w:lineRule="auto" w:before="117"/>
        <w:ind w:right="8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340" w:lineRule="auto" w:before="42"/>
        <w:ind w:right="31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公司现任及报告期内离任董事、监事和高级管理人员近三年证券监管机构处罚的情况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5"/>
        <w:rPr>
          <w:rFonts w:ascii="宋体" w:hAnsi="宋体" w:cs="宋体" w:eastAsia="宋体" w:hint="default"/>
          <w:b/>
          <w:bCs/>
          <w:sz w:val="28"/>
          <w:szCs w:val="28"/>
        </w:rPr>
      </w:pPr>
    </w:p>
    <w:p>
      <w:pPr>
        <w:pStyle w:val="BodyText"/>
        <w:spacing w:line="405" w:lineRule="auto" w:before="0"/>
        <w:ind w:left="574" w:right="0" w:hanging="420"/>
        <w:jc w:val="left"/>
      </w:pPr>
      <w:r>
        <w:rPr/>
        <w:t>董事、监事、高级管理人员报酬的决策程序、确定依据、实际支付情况 公司董事会下设薪酬与考核委员会，负责制定、审查公司董事及高级管理人员的薪酬政策与方案，董事、监事及高级</w:t>
      </w:r>
    </w:p>
    <w:p>
      <w:pPr>
        <w:pStyle w:val="BodyText"/>
        <w:spacing w:line="386" w:lineRule="auto" w:before="0"/>
        <w:ind w:right="0"/>
        <w:jc w:val="left"/>
      </w:pPr>
      <w:r>
        <w:rPr>
          <w:spacing w:val="-2"/>
        </w:rPr>
        <w:t>管理人员的报酬经薪酬与考核委员会审议通过后提请董事会审议批准，董事和监事的薪酬还需提交股东大会审议批准，决策</w:t>
      </w:r>
      <w:r>
        <w:rPr>
          <w:spacing w:val="-64"/>
        </w:rPr>
        <w:t> </w:t>
      </w:r>
      <w:r>
        <w:rPr>
          <w:spacing w:val="-64"/>
        </w:rPr>
      </w:r>
      <w:r>
        <w:rPr/>
        <w:t>程序符合《董事会议事规则》和《董事会薪酬与考核委员会议事规则》等相关规定。 </w:t>
      </w:r>
      <w:r>
        <w:rPr>
          <w:spacing w:val="-2"/>
        </w:rPr>
        <w:t>报告期内，公司对董事、监事和高管人员实行了绩效考核，并根据绩效考核结果，结合公司年度经营业绩、经营发展状况及</w:t>
      </w:r>
    </w:p>
    <w:p>
      <w:pPr>
        <w:pStyle w:val="BodyText"/>
        <w:spacing w:line="240" w:lineRule="auto" w:before="14"/>
        <w:ind w:right="0"/>
        <w:jc w:val="left"/>
      </w:pPr>
      <w:r>
        <w:rPr/>
        <w:t>岗位职责、工作业绩等因素确定董事、监事及高级管理人员报酬。</w:t>
      </w:r>
    </w:p>
    <w:p>
      <w:pPr>
        <w:pStyle w:val="BodyText"/>
        <w:spacing w:line="240" w:lineRule="auto" w:before="140"/>
        <w:ind w:right="0"/>
        <w:jc w:val="left"/>
      </w:pPr>
      <w:r>
        <w:rPr/>
        <w:t>公司报告期内董事、监事和高级管理人员报酬情况</w:t>
      </w:r>
    </w:p>
    <w:p>
      <w:pPr>
        <w:pStyle w:val="BodyText"/>
        <w:spacing w:line="240" w:lineRule="auto" w:before="116"/>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郭长兴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徐海滨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徐海涛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孙益兵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王希庆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吴宗南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李海永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陈建业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张文福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赵红云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7"/>
        <w:gridCol w:w="1368"/>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1" w:right="0"/>
              <w:jc w:val="left"/>
              <w:rPr>
                <w:rFonts w:ascii="Times New Roman" w:hAnsi="Times New Roman" w:cs="Times New Roman" w:eastAsia="Times New Roman" w:hint="default"/>
                <w:sz w:val="18"/>
                <w:szCs w:val="18"/>
              </w:rPr>
            </w:pPr>
            <w:r>
              <w:rPr>
                <w:rFonts w:ascii="Times New Roman"/>
                <w:sz w:val="18"/>
              </w:rPr>
              <w:t>207.12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153" w:firstLine="420"/>
        <w:jc w:val="both"/>
      </w:pPr>
      <w:r>
        <w:rPr/>
        <w:t>为实现公司的整体战略发展目标，公司在原有的激励性薪酬管理体系基础上，制定了更具竞争性的市场化薪酬政策， </w:t>
      </w:r>
      <w:r>
        <w:rPr>
          <w:spacing w:val="-2"/>
        </w:rPr>
        <w:t>在以职位管理为定薪依据的基础薪酬体系之外，以薪酬市场化为理念，以高端人才的战略特殊性为依据，设计具有针对性的</w:t>
      </w:r>
      <w:r>
        <w:rPr>
          <w:spacing w:val="-66"/>
        </w:rPr>
        <w:t> </w:t>
      </w:r>
      <w:r>
        <w:rPr>
          <w:spacing w:val="-66"/>
        </w:rPr>
      </w:r>
      <w:r>
        <w:rPr/>
        <w:t>独立薪酬系统，该薪酬系统主要有以下特点：</w:t>
      </w:r>
    </w:p>
    <w:p>
      <w:pPr>
        <w:pStyle w:val="BodyText"/>
        <w:spacing w:line="309" w:lineRule="auto" w:before="17"/>
        <w:ind w:right="152" w:firstLine="420"/>
        <w:jc w:val="both"/>
      </w:pPr>
      <w:r>
        <w:rPr>
          <w:spacing w:val="-2"/>
        </w:rPr>
        <w:t>（</w:t>
      </w:r>
      <w:r>
        <w:rPr>
          <w:rFonts w:ascii="Times New Roman" w:hAnsi="Times New Roman" w:cs="Times New Roman" w:eastAsia="Times New Roman" w:hint="default"/>
          <w:spacing w:val="-2"/>
        </w:rPr>
        <w:t>1</w:t>
      </w:r>
      <w:r>
        <w:rPr>
          <w:spacing w:val="-2"/>
        </w:rPr>
        <w:t>）高于行业标准的薪酬总额。对于具有战略意义的高端人才和稀缺人才，采用市场领先型的薪酬策略，针对不同的</w:t>
      </w:r>
      <w:r>
        <w:rPr/>
        <w:t> </w:t>
      </w:r>
      <w:r>
        <w:rPr>
          <w:spacing w:val="-2"/>
        </w:rPr>
        <w:t>人力资源市场情况，对特殊人力资源进行一对一定薪，确保对高端人才和稀缺人才具有高度的吸引力，能够为公司寻求更好</w:t>
      </w:r>
      <w:r>
        <w:rPr>
          <w:spacing w:val="-66"/>
        </w:rPr>
        <w:t> </w:t>
      </w:r>
      <w:r>
        <w:rPr>
          <w:spacing w:val="-66"/>
        </w:rPr>
      </w:r>
      <w:r>
        <w:rPr/>
        <w:t>的人才，提供全面的人力资源供给保障，使公司的战略能够得到有效落实。</w:t>
      </w:r>
    </w:p>
    <w:p>
      <w:pPr>
        <w:spacing w:after="0" w:line="309" w:lineRule="auto"/>
        <w:jc w:val="both"/>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09" w:lineRule="auto"/>
        <w:ind w:right="99" w:firstLine="420"/>
        <w:jc w:val="left"/>
      </w:pPr>
      <w:r>
        <w:rPr>
          <w:spacing w:val="-2"/>
        </w:rPr>
        <w:t>（</w:t>
      </w:r>
      <w:r>
        <w:rPr>
          <w:rFonts w:ascii="Times New Roman" w:hAnsi="Times New Roman" w:cs="Times New Roman" w:eastAsia="Times New Roman" w:hint="default"/>
          <w:spacing w:val="-2"/>
        </w:rPr>
        <w:t>2</w:t>
      </w:r>
      <w:r>
        <w:rPr>
          <w:spacing w:val="-2"/>
        </w:rPr>
        <w:t>）以价值创造为核心进行薪酬激励。在制定基于</w:t>
      </w:r>
      <w:r>
        <w:rPr>
          <w:rFonts w:ascii="Times New Roman" w:hAnsi="Times New Roman" w:cs="Times New Roman" w:eastAsia="Times New Roman" w:hint="default"/>
          <w:spacing w:val="-2"/>
        </w:rPr>
        <w:t>EVA</w:t>
      </w:r>
      <w:r>
        <w:rPr>
          <w:spacing w:val="-2"/>
        </w:rPr>
        <w:t>的利润分享计划中，通过将</w:t>
      </w:r>
      <w:r>
        <w:rPr>
          <w:rFonts w:ascii="Times New Roman" w:hAnsi="Times New Roman" w:cs="Times New Roman" w:eastAsia="Times New Roman" w:hint="default"/>
          <w:spacing w:val="-2"/>
        </w:rPr>
        <w:t>EVA</w:t>
      </w:r>
      <w:r>
        <w:rPr>
          <w:spacing w:val="-2"/>
        </w:rPr>
        <w:t>作为度量的指标，把管理者的</w:t>
      </w:r>
      <w:r>
        <w:rPr/>
        <w:t> </w:t>
      </w:r>
      <w:r>
        <w:rPr>
          <w:spacing w:val="-4"/>
        </w:rPr>
        <w:t>目标和股东财富结合起来，没有上限的奖金促使职业经理人不断地改进业绩，并成功实施可以使股东财富增值的行动。同时，</w:t>
      </w:r>
      <w:r>
        <w:rPr>
          <w:spacing w:val="-44"/>
        </w:rPr>
        <w:t> </w:t>
      </w:r>
      <w:r>
        <w:rPr>
          <w:spacing w:val="-44"/>
        </w:rPr>
      </w:r>
      <w:r>
        <w:rPr/>
        <w:t>利用奖金库将一部分奖金保存起来，以备日后业绩不佳时补偿损失，从而使管理者集中精力开发具有持久价值的项目。</w:t>
      </w:r>
    </w:p>
    <w:p>
      <w:pPr>
        <w:pStyle w:val="BodyText"/>
        <w:spacing w:line="309" w:lineRule="auto" w:before="24"/>
        <w:ind w:right="189" w:firstLine="420"/>
        <w:jc w:val="both"/>
      </w:pPr>
      <w:r>
        <w:rPr>
          <w:spacing w:val="-1"/>
        </w:rPr>
        <w:t>（</w:t>
      </w:r>
      <w:r>
        <w:rPr>
          <w:rFonts w:ascii="Times New Roman" w:hAnsi="Times New Roman" w:cs="Times New Roman" w:eastAsia="Times New Roman" w:hint="default"/>
          <w:spacing w:val="-1"/>
        </w:rPr>
        <w:t>3</w:t>
      </w:r>
      <w:r>
        <w:rPr>
          <w:spacing w:val="-1"/>
        </w:rPr>
        <w:t>）依据阶段性业绩完成情况发放薪酬。在与高端人才进行一对一定薪后，制定明确的阶段性业绩目标并签订业绩合</w:t>
      </w:r>
      <w:r>
        <w:rPr/>
        <w:t> </w:t>
      </w:r>
      <w:r>
        <w:rPr>
          <w:spacing w:val="-2"/>
        </w:rPr>
        <w:t>同，在业绩合同中，详细约定实现各阶段性目标后应当取得的报酬。薪酬结构设计方面以结果为导向，基础薪酬在整体薪酬</w:t>
      </w:r>
      <w:r>
        <w:rPr>
          <w:spacing w:val="-66"/>
        </w:rPr>
        <w:t> </w:t>
      </w:r>
      <w:r>
        <w:rPr>
          <w:spacing w:val="-66"/>
        </w:rPr>
      </w:r>
      <w:r>
        <w:rPr/>
        <w:t>构成中仅占</w:t>
      </w:r>
      <w:r>
        <w:rPr>
          <w:rFonts w:ascii="Times New Roman" w:hAnsi="Times New Roman" w:cs="Times New Roman" w:eastAsia="Times New Roman" w:hint="default"/>
        </w:rPr>
        <w:t>30%</w:t>
      </w:r>
      <w:r>
        <w:rPr/>
        <w:t>，绩效薪酬比重高达</w:t>
      </w:r>
      <w:r>
        <w:rPr>
          <w:rFonts w:ascii="Times New Roman" w:hAnsi="Times New Roman" w:cs="Times New Roman" w:eastAsia="Times New Roman" w:hint="default"/>
        </w:rPr>
        <w:t>50%</w:t>
      </w:r>
      <w:r>
        <w:rPr/>
        <w:t>，实现薪酬激励与人力资源成本控制能够有效平衡。</w:t>
      </w:r>
    </w:p>
    <w:p>
      <w:pPr>
        <w:spacing w:line="240" w:lineRule="auto" w:before="6"/>
        <w:rPr>
          <w:rFonts w:ascii="宋体" w:hAnsi="宋体" w:cs="宋体" w:eastAsia="宋体" w:hint="default"/>
          <w:sz w:val="21"/>
          <w:szCs w:val="21"/>
        </w:rPr>
      </w:pPr>
    </w:p>
    <w:p>
      <w:pPr>
        <w:pStyle w:val="Heading4"/>
        <w:spacing w:line="240" w:lineRule="auto"/>
        <w:ind w:right="6752"/>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92" w:firstLine="420"/>
        <w:jc w:val="both"/>
      </w:pPr>
      <w:r>
        <w:rPr/>
        <w:t>公司在对上一年度的培训效果及信息反馈进行分析和评估的基础上，综合考虑公司的战略发展目标对人力资源管理的 </w:t>
      </w:r>
      <w:r>
        <w:rPr>
          <w:spacing w:val="-2"/>
        </w:rPr>
        <w:t>要求，制定本年度的培训计划。该培训计划将公司的总体发展战略细化至人力资源管理战略，并将培训管理作为实现战略人</w:t>
      </w:r>
      <w:r>
        <w:rPr>
          <w:spacing w:val="-66"/>
        </w:rPr>
        <w:t> </w:t>
      </w:r>
      <w:r>
        <w:rPr>
          <w:spacing w:val="-66"/>
        </w:rPr>
      </w:r>
      <w:r>
        <w:rPr>
          <w:spacing w:val="-2"/>
        </w:rPr>
        <w:t>力资源管理的重要手段。从而不断提升企业的内部管理能力和外部竞争力，实现公司的可持续发展。培训计划主要有以下特</w:t>
      </w:r>
      <w:r>
        <w:rPr>
          <w:spacing w:val="-66"/>
        </w:rPr>
        <w:t> </w:t>
      </w:r>
      <w:r>
        <w:rPr>
          <w:spacing w:val="-66"/>
        </w:rPr>
      </w:r>
      <w:r>
        <w:rPr/>
        <w:t>点：</w:t>
      </w:r>
    </w:p>
    <w:p>
      <w:pPr>
        <w:pStyle w:val="BodyText"/>
        <w:spacing w:line="309" w:lineRule="auto" w:before="19"/>
        <w:ind w:right="192" w:firstLine="420"/>
        <w:jc w:val="both"/>
      </w:pPr>
      <w:r>
        <w:rPr>
          <w:spacing w:val="-2"/>
        </w:rPr>
        <w:t>（</w:t>
      </w:r>
      <w:r>
        <w:rPr>
          <w:rFonts w:ascii="Times New Roman" w:hAnsi="Times New Roman" w:cs="Times New Roman" w:eastAsia="Times New Roman" w:hint="default"/>
          <w:spacing w:val="-2"/>
        </w:rPr>
        <w:t>1</w:t>
      </w:r>
      <w:r>
        <w:rPr>
          <w:spacing w:val="-2"/>
        </w:rPr>
        <w:t>）对上一年的培训实施效果进行评估，确认培训目标达成情况、部门绩效达成情况、员工技能提升情况。在员工对</w:t>
      </w:r>
      <w:r>
        <w:rPr/>
        <w:t> </w:t>
      </w:r>
      <w:r>
        <w:rPr>
          <w:spacing w:val="-2"/>
        </w:rPr>
        <w:t>培训课程的满意度方面进行适度评估，将评估重点放在培训课程的需求针对性，确认上一年度的课程是否适合公司各部门当</w:t>
      </w:r>
      <w:r>
        <w:rPr>
          <w:spacing w:val="-64"/>
        </w:rPr>
        <w:t> </w:t>
      </w:r>
      <w:r>
        <w:rPr>
          <w:spacing w:val="-64"/>
        </w:rPr>
      </w:r>
      <w:r>
        <w:rPr/>
        <w:t>前的培训需求。</w:t>
      </w:r>
    </w:p>
    <w:p>
      <w:pPr>
        <w:pStyle w:val="BodyText"/>
        <w:spacing w:line="309" w:lineRule="auto" w:before="24"/>
        <w:ind w:right="192" w:firstLine="420"/>
        <w:jc w:val="both"/>
      </w:pPr>
      <w:r>
        <w:rPr>
          <w:spacing w:val="-2"/>
        </w:rPr>
        <w:t>（</w:t>
      </w:r>
      <w:r>
        <w:rPr>
          <w:rFonts w:ascii="Times New Roman" w:hAnsi="Times New Roman" w:cs="Times New Roman" w:eastAsia="Times New Roman" w:hint="default"/>
          <w:spacing w:val="-2"/>
        </w:rPr>
        <w:t>2</w:t>
      </w:r>
      <w:r>
        <w:rPr>
          <w:spacing w:val="-2"/>
        </w:rPr>
        <w:t>）在综合评估的基础上，制定了本年度培训方案。本年度的培训方案重点以提升高层管理人员格局、中层管理人员</w:t>
      </w:r>
      <w:r>
        <w:rPr/>
        <w:t> </w:t>
      </w:r>
      <w:r>
        <w:rPr>
          <w:spacing w:val="-2"/>
        </w:rPr>
        <w:t>绩效和行政办公人员的职业化素养为主，与长春当地的主流培训机构和管理咨询公司进行合作，开设更具有针对性的运行管</w:t>
      </w:r>
      <w:r>
        <w:rPr>
          <w:spacing w:val="-64"/>
        </w:rPr>
        <w:t> </w:t>
      </w:r>
      <w:r>
        <w:rPr>
          <w:spacing w:val="-64"/>
        </w:rPr>
      </w:r>
      <w:r>
        <w:rPr/>
        <w:t>理培训课程，引入新的</w:t>
      </w:r>
      <w:r>
        <w:rPr>
          <w:rFonts w:ascii="Times New Roman" w:hAnsi="Times New Roman" w:cs="Times New Roman" w:eastAsia="Times New Roman" w:hint="default"/>
        </w:rPr>
        <w:t>5i</w:t>
      </w:r>
      <w:r>
        <w:rPr/>
        <w:t>运营管理理念，并在全公司范围内进行推广。</w:t>
      </w:r>
    </w:p>
    <w:p>
      <w:pPr>
        <w:pStyle w:val="BodyText"/>
        <w:spacing w:line="309" w:lineRule="auto" w:before="5"/>
        <w:ind w:right="192" w:firstLine="420"/>
        <w:jc w:val="both"/>
      </w:pPr>
      <w:r>
        <w:rPr>
          <w:spacing w:val="-2"/>
        </w:rPr>
        <w:t>（</w:t>
      </w:r>
      <w:r>
        <w:rPr>
          <w:rFonts w:ascii="Times New Roman" w:hAnsi="Times New Roman" w:cs="Times New Roman" w:eastAsia="Times New Roman" w:hint="default"/>
          <w:spacing w:val="-2"/>
        </w:rPr>
        <w:t>3</w:t>
      </w:r>
      <w:r>
        <w:rPr>
          <w:spacing w:val="-2"/>
        </w:rPr>
        <w:t>）对生产管理中心的培训课程设计，以改善生产工艺、提升制造效率、降低生产成本为主，聘请专业的精益生产管</w:t>
      </w:r>
      <w:r>
        <w:rPr/>
        <w:t> </w:t>
      </w:r>
      <w:r>
        <w:rPr>
          <w:spacing w:val="-2"/>
        </w:rPr>
        <w:t>理咨询师驻厂进行生产现场管理培训，通过价值流分析，开发具有针对性地能够最大程度实现工艺改良、效率提升和降低成</w:t>
      </w:r>
      <w:r>
        <w:rPr>
          <w:spacing w:val="-66"/>
        </w:rPr>
        <w:t> </w:t>
      </w:r>
      <w:r>
        <w:rPr>
          <w:spacing w:val="-66"/>
        </w:rPr>
      </w:r>
      <w:r>
        <w:rPr/>
        <w:t>本的管控方式，确保生产管理中心的管理者和员工能够推行精益生产管理。</w:t>
      </w:r>
    </w:p>
    <w:p>
      <w:pPr>
        <w:pStyle w:val="BodyText"/>
        <w:spacing w:line="300" w:lineRule="auto" w:before="24"/>
        <w:ind w:right="189" w:firstLine="420"/>
        <w:jc w:val="both"/>
      </w:pPr>
      <w:r>
        <w:rPr/>
        <w:t>（</w:t>
      </w:r>
      <w:r>
        <w:rPr>
          <w:rFonts w:ascii="Times New Roman" w:hAnsi="Times New Roman" w:cs="Times New Roman" w:eastAsia="Times New Roman" w:hint="default"/>
        </w:rPr>
        <w:t>4</w:t>
      </w:r>
      <w:r>
        <w:rPr/>
        <w:t>）本年度通过</w:t>
      </w:r>
      <w:r>
        <w:rPr>
          <w:rFonts w:ascii="Times New Roman" w:hAnsi="Times New Roman" w:cs="Times New Roman" w:eastAsia="Times New Roman" w:hint="default"/>
        </w:rPr>
        <w:t>E-learning</w:t>
      </w:r>
      <w:r>
        <w:rPr/>
        <w:t>的形式创建了公司内部的学习平台，目的在于通过网络培训让员工能够进行自主学习，从 </w:t>
      </w:r>
      <w:r>
        <w:rPr>
          <w:spacing w:val="-1"/>
        </w:rPr>
        <w:t>而实现由单一的职能型组织向学习型组织过渡。同时，本年度通过对新员工不断地进行</w:t>
      </w:r>
      <w:r>
        <w:rPr>
          <w:rFonts w:ascii="Times New Roman" w:hAnsi="Times New Roman" w:cs="Times New Roman" w:eastAsia="Times New Roman" w:hint="default"/>
          <w:spacing w:val="-1"/>
        </w:rPr>
        <w:t>“</w:t>
      </w:r>
      <w:r>
        <w:rPr>
          <w:spacing w:val="-1"/>
        </w:rPr>
        <w:t>工匠精神</w:t>
      </w:r>
      <w:r>
        <w:rPr>
          <w:rFonts w:ascii="Times New Roman" w:hAnsi="Times New Roman" w:cs="Times New Roman" w:eastAsia="Times New Roman" w:hint="default"/>
          <w:spacing w:val="-1"/>
        </w:rPr>
        <w:t>”</w:t>
      </w:r>
      <w:r>
        <w:rPr>
          <w:spacing w:val="-1"/>
        </w:rPr>
        <w:t>培训，将</w:t>
      </w:r>
      <w:r>
        <w:rPr>
          <w:rFonts w:ascii="Times New Roman" w:hAnsi="Times New Roman" w:cs="Times New Roman" w:eastAsia="Times New Roman" w:hint="default"/>
          <w:spacing w:val="-1"/>
        </w:rPr>
        <w:t>“</w:t>
      </w:r>
      <w:r>
        <w:rPr>
          <w:spacing w:val="-1"/>
        </w:rPr>
        <w:t>工匠精神</w:t>
      </w:r>
      <w:r>
        <w:rPr>
          <w:rFonts w:ascii="Times New Roman" w:hAnsi="Times New Roman" w:cs="Times New Roman" w:eastAsia="Times New Roman" w:hint="default"/>
          <w:spacing w:val="-1"/>
        </w:rPr>
        <w:t>”</w:t>
      </w:r>
      <w:r>
        <w:rPr>
          <w:spacing w:val="-1"/>
        </w:rPr>
        <w:t>融入</w:t>
      </w:r>
      <w:r>
        <w:rPr>
          <w:spacing w:val="-78"/>
        </w:rPr>
        <w:t> </w:t>
      </w:r>
      <w:r>
        <w:rPr/>
        <w:t>进公司的企业文化。</w:t>
      </w:r>
    </w:p>
    <w:p>
      <w:pPr>
        <w:spacing w:line="240" w:lineRule="auto" w:before="6"/>
        <w:rPr>
          <w:rFonts w:ascii="宋体" w:hAnsi="宋体" w:cs="宋体" w:eastAsia="宋体" w:hint="default"/>
          <w:sz w:val="23"/>
          <w:szCs w:val="23"/>
        </w:rPr>
      </w:pPr>
    </w:p>
    <w:p>
      <w:pPr>
        <w:pStyle w:val="Heading4"/>
        <w:spacing w:line="240" w:lineRule="auto"/>
        <w:ind w:right="6752"/>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6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99,350</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1,688,963.78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31" w:right="3469"/>
        <w:jc w:val="center"/>
        <w:rPr>
          <w:b w:val="0"/>
          <w:bCs w:val="0"/>
        </w:rPr>
      </w:pPr>
      <w:bookmarkStart w:name="_TOC_250003" w:id="134"/>
      <w:bookmarkStart w:name="第九节 公司治理" w:id="135"/>
      <w:r>
        <w:rPr>
          <w:b w:val="0"/>
          <w:bCs w:val="0"/>
        </w:rPr>
      </w:r>
      <w:r>
        <w:rPr/>
        <w:t>第九节</w:t>
      </w:r>
      <w:r>
        <w:rPr>
          <w:spacing w:val="-5"/>
        </w:rPr>
        <w:t> </w:t>
      </w:r>
      <w:r>
        <w:rPr/>
        <w:t>公司治理</w:t>
      </w:r>
      <w:bookmarkEnd w:id="13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6752"/>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175" w:firstLine="296"/>
        <w:jc w:val="both"/>
      </w:pPr>
      <w:r>
        <w:rPr/>
        <w:t>公司根据《公司法》、《上市公司治理准则》、《上市公司章程指引》、《上市公司股东大会规则》及其他相关法律、 </w:t>
      </w:r>
      <w:r>
        <w:rPr>
          <w:spacing w:val="-2"/>
        </w:rPr>
        <w:t>法规的要求，确立了由股东大会、董事会、监事会和经营管理层组成的公司治理结构，建立健全了股东大会、董事会、监事</w:t>
      </w:r>
      <w:r>
        <w:rPr>
          <w:spacing w:val="-68"/>
        </w:rPr>
        <w:t> </w:t>
      </w:r>
      <w:r>
        <w:rPr>
          <w:spacing w:val="-68"/>
        </w:rPr>
      </w:r>
      <w:r>
        <w:rPr/>
        <w:t>会、独立董事、董事会秘书等相关制度。</w:t>
      </w:r>
    </w:p>
    <w:p>
      <w:pPr>
        <w:pStyle w:val="BodyText"/>
        <w:spacing w:line="364" w:lineRule="auto" w:before="29"/>
        <w:ind w:right="191" w:firstLine="426"/>
        <w:jc w:val="both"/>
      </w:pPr>
      <w:r>
        <w:rPr/>
        <w:t>报告期内，公司建立了规范的公司治理结构，股东大会、董事会及专门委员会、监事会、独立董事、董事会秘书和管 </w:t>
      </w:r>
      <w:r>
        <w:rPr>
          <w:spacing w:val="-2"/>
        </w:rPr>
        <w:t>理层均严格按照《公司法》、《证券法》、《上市公司治理准则》、《深圳证券交易所创业板股票上市规则》、《深圳证券</w:t>
      </w:r>
      <w:r>
        <w:rPr>
          <w:spacing w:val="-70"/>
        </w:rPr>
        <w:t> </w:t>
      </w:r>
      <w:r>
        <w:rPr>
          <w:spacing w:val="-70"/>
        </w:rPr>
      </w:r>
      <w:r>
        <w:rPr>
          <w:spacing w:val="-2"/>
        </w:rPr>
        <w:t>交易所创业板上市公司规范运作指引》等法律、法规和中国证监会有关法律法规等的要求，履行各自的权利和义务，公司重</w:t>
      </w:r>
      <w:r>
        <w:rPr>
          <w:spacing w:val="-66"/>
        </w:rPr>
        <w:t> </w:t>
      </w:r>
      <w:r>
        <w:rPr>
          <w:spacing w:val="-66"/>
        </w:rPr>
      </w:r>
      <w:r>
        <w:rPr>
          <w:spacing w:val="-2"/>
        </w:rPr>
        <w:t>大生产经营决策、投资决策及财务决策均按照《公司章程》及有关内控制度规定的程序和规则进行，截至报告期末，上述机</w:t>
      </w:r>
      <w:r>
        <w:rPr>
          <w:spacing w:val="-66"/>
        </w:rPr>
        <w:t> </w:t>
      </w:r>
      <w:r>
        <w:rPr>
          <w:spacing w:val="-66"/>
        </w:rPr>
      </w:r>
      <w:r>
        <w:rPr>
          <w:spacing w:val="-2"/>
        </w:rPr>
        <w:t>构和人员依法运作，未出现违法、违规现象，能够切实履行应尽的职责和义务，公司治理的实际状况符合《上市公司治理准</w:t>
      </w:r>
      <w:r>
        <w:rPr>
          <w:spacing w:val="-66"/>
        </w:rPr>
        <w:t> </w:t>
      </w:r>
      <w:r>
        <w:rPr>
          <w:spacing w:val="-66"/>
        </w:rPr>
      </w:r>
      <w:r>
        <w:rPr/>
        <w:t>则》和《深圳证券交易所创业板上市公司规范运作指引》的要求。</w:t>
      </w:r>
    </w:p>
    <w:p>
      <w:pPr>
        <w:pStyle w:val="BodyText"/>
        <w:spacing w:line="364" w:lineRule="auto" w:before="29"/>
        <w:ind w:left="580" w:right="206"/>
        <w:jc w:val="left"/>
      </w:pPr>
      <w:r>
        <w:rPr/>
        <w:t>（一）关于股东与股东大会 公司严格按照《上市公司股东大会规则》、《公司章程》、《股东大会议事规则》等规定和要求，规范地召集、召开</w:t>
      </w:r>
    </w:p>
    <w:p>
      <w:pPr>
        <w:pStyle w:val="BodyText"/>
        <w:spacing w:line="364" w:lineRule="auto" w:before="29"/>
        <w:ind w:right="99"/>
        <w:jc w:val="left"/>
      </w:pPr>
      <w:r>
        <w:rPr>
          <w:spacing w:val="-2"/>
        </w:rPr>
        <w:t>股东大会，对公司的相关事项做出了决策，程序规范，决策科学，效果良好。为了方便中小股东行使股东大会投票权，公司</w:t>
      </w:r>
      <w:r>
        <w:rPr>
          <w:spacing w:val="-67"/>
        </w:rPr>
        <w:t> </w:t>
      </w:r>
      <w:r>
        <w:rPr>
          <w:spacing w:val="-67"/>
        </w:rPr>
      </w:r>
      <w:r>
        <w:rPr/>
        <w:t>股东大会均提供网络投票参会方式，维护了流通股股东权益。</w:t>
      </w:r>
    </w:p>
    <w:p>
      <w:pPr>
        <w:pStyle w:val="BodyText"/>
        <w:spacing w:line="345" w:lineRule="auto" w:before="29"/>
        <w:ind w:right="192" w:firstLine="426"/>
        <w:jc w:val="both"/>
      </w:pPr>
      <w:r>
        <w:rPr>
          <w:spacing w:val="-2"/>
        </w:rPr>
        <w:t>报告期内，公司共召开</w:t>
      </w:r>
      <w:r>
        <w:rPr>
          <w:rFonts w:ascii="Times New Roman" w:hAnsi="Times New Roman" w:cs="Times New Roman" w:eastAsia="Times New Roman" w:hint="default"/>
          <w:spacing w:val="-2"/>
        </w:rPr>
        <w:t>6</w:t>
      </w:r>
      <w:r>
        <w:rPr>
          <w:spacing w:val="-2"/>
        </w:rPr>
        <w:t>次股东大会，会议的召集与召开程序、出席会议人员的资格、会议表决程序、表决结果和决议</w:t>
      </w:r>
      <w:r>
        <w:rPr/>
        <w:t> 内容均符合法律法规和《公司章程》的规定。</w:t>
      </w:r>
    </w:p>
    <w:p>
      <w:pPr>
        <w:pStyle w:val="BodyText"/>
        <w:spacing w:line="364" w:lineRule="auto"/>
        <w:ind w:left="580" w:right="99"/>
        <w:jc w:val="left"/>
      </w:pPr>
      <w:r>
        <w:rPr/>
        <w:t>（二）关于公司与控股股东 </w:t>
      </w:r>
      <w:r>
        <w:rPr>
          <w:spacing w:val="-2"/>
        </w:rPr>
        <w:t>公司控股股东严格规范自身行为，没有直接或间接干预公司的决策和经营活动情况。公司在业务、人员、资产、机构、</w:t>
      </w:r>
    </w:p>
    <w:p>
      <w:pPr>
        <w:pStyle w:val="BodyText"/>
        <w:spacing w:line="240" w:lineRule="auto" w:before="29"/>
        <w:ind w:right="99"/>
        <w:jc w:val="left"/>
      </w:pPr>
      <w:r>
        <w:rPr/>
        <w:t>财务上独立于控股股东，有独立完整的业务和自主经营能力，公司董事会、监事会和内部机构独立运作。</w:t>
      </w:r>
    </w:p>
    <w:p>
      <w:pPr>
        <w:pStyle w:val="BodyText"/>
        <w:spacing w:line="364" w:lineRule="auto" w:before="123"/>
        <w:ind w:left="580" w:right="206"/>
        <w:jc w:val="left"/>
      </w:pPr>
      <w:r>
        <w:rPr/>
        <w:t>（三）关于董事和董事会 公司董事会设董事</w:t>
      </w:r>
      <w:r>
        <w:rPr>
          <w:rFonts w:ascii="Times New Roman" w:hAnsi="Times New Roman" w:cs="Times New Roman" w:eastAsia="Times New Roman" w:hint="default"/>
        </w:rPr>
        <w:t>7</w:t>
      </w:r>
      <w:r>
        <w:rPr/>
        <w:t>名，其中独立董事</w:t>
      </w:r>
      <w:r>
        <w:rPr>
          <w:rFonts w:ascii="Times New Roman" w:hAnsi="Times New Roman" w:cs="Times New Roman" w:eastAsia="Times New Roman" w:hint="default"/>
        </w:rPr>
        <w:t>3</w:t>
      </w:r>
      <w:r>
        <w:rPr/>
        <w:t>名，董事会的人数及人员构成符合法律、法规和《公司章程》的要求。各董事</w:t>
      </w:r>
    </w:p>
    <w:p>
      <w:pPr>
        <w:pStyle w:val="BodyText"/>
        <w:spacing w:line="364" w:lineRule="auto" w:before="6"/>
        <w:ind w:right="99"/>
        <w:jc w:val="left"/>
      </w:pPr>
      <w:r>
        <w:rPr>
          <w:spacing w:val="-2"/>
        </w:rPr>
        <w:t>能够依据《公司法》、《深圳证券交易所创业板上市公司规范运作指引》、《公司董事会议事规则》等法律法规、规章制度</w:t>
      </w:r>
      <w:r>
        <w:rPr>
          <w:spacing w:val="-68"/>
        </w:rPr>
        <w:t> </w:t>
      </w:r>
      <w:r>
        <w:rPr>
          <w:spacing w:val="-68"/>
        </w:rPr>
      </w:r>
      <w:r>
        <w:rPr/>
        <w:t>开展工作，出席董事会和股东大会，勤勉尽责地履行职责和义务，同时积极参加相关培训，熟悉相关法律法规。</w:t>
      </w:r>
    </w:p>
    <w:p>
      <w:pPr>
        <w:pStyle w:val="BodyText"/>
        <w:spacing w:line="345" w:lineRule="auto" w:before="29"/>
        <w:ind w:right="225" w:firstLine="426"/>
        <w:jc w:val="both"/>
      </w:pPr>
      <w:r>
        <w:rPr/>
        <w:t>报告期内，公司共召开</w:t>
      </w:r>
      <w:r>
        <w:rPr>
          <w:rFonts w:ascii="Times New Roman" w:hAnsi="Times New Roman" w:cs="Times New Roman" w:eastAsia="Times New Roman" w:hint="default"/>
        </w:rPr>
        <w:t>23</w:t>
      </w:r>
      <w:r>
        <w:rPr/>
        <w:t>次董事会会议，会议的召集与召开程序、出席会议人员的资格、会议表决程序、表决结果和 决议内容均符合法律法规和《公司章程》的规定。</w:t>
      </w:r>
    </w:p>
    <w:p>
      <w:pPr>
        <w:pStyle w:val="BodyText"/>
        <w:spacing w:line="364" w:lineRule="auto"/>
        <w:ind w:left="580" w:right="206"/>
        <w:jc w:val="left"/>
      </w:pPr>
      <w:r>
        <w:rPr/>
        <w:t>（四）关于监事和监事会 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名，监事会的人数和构成符合法律、法规的要求。各位监事能够按照《公司监</w:t>
      </w:r>
    </w:p>
    <w:p>
      <w:pPr>
        <w:pStyle w:val="BodyText"/>
        <w:spacing w:line="364" w:lineRule="auto" w:before="6"/>
        <w:ind w:right="99"/>
        <w:jc w:val="left"/>
      </w:pPr>
      <w:r>
        <w:rPr>
          <w:spacing w:val="-2"/>
        </w:rPr>
        <w:t>事会议事规则》的要求，认真履行自己的职责，对公司重大事项、关联交易、财务状况以及董事、高级管理人员履行职责的</w:t>
      </w:r>
      <w:r>
        <w:rPr>
          <w:spacing w:val="-68"/>
        </w:rPr>
        <w:t> </w:t>
      </w:r>
      <w:r>
        <w:rPr>
          <w:spacing w:val="-68"/>
        </w:rPr>
      </w:r>
      <w:r>
        <w:rPr/>
        <w:t>合法合规性进行监督。</w:t>
      </w:r>
    </w:p>
    <w:p>
      <w:pPr>
        <w:pStyle w:val="BodyText"/>
        <w:spacing w:line="345" w:lineRule="auto" w:before="29"/>
        <w:ind w:right="193" w:firstLine="426"/>
        <w:jc w:val="both"/>
      </w:pPr>
      <w:r>
        <w:rPr>
          <w:spacing w:val="-2"/>
        </w:rPr>
        <w:t>报告期内，公司共召开</w:t>
      </w:r>
      <w:r>
        <w:rPr>
          <w:rFonts w:ascii="Times New Roman" w:hAnsi="Times New Roman" w:cs="Times New Roman" w:eastAsia="Times New Roman" w:hint="default"/>
          <w:spacing w:val="-2"/>
        </w:rPr>
        <w:t>9</w:t>
      </w:r>
      <w:r>
        <w:rPr>
          <w:spacing w:val="-2"/>
        </w:rPr>
        <w:t>次监事会会议，会议的召集与召开程序、出席会议人员的资格、会议表决程序、表决结果和决</w:t>
      </w:r>
      <w:r>
        <w:rPr/>
        <w:t> 议内容均符合法律法规和《公司章程》的规定。</w:t>
      </w:r>
    </w:p>
    <w:p>
      <w:pPr>
        <w:pStyle w:val="BodyText"/>
        <w:spacing w:line="364" w:lineRule="auto"/>
        <w:ind w:left="580" w:right="206"/>
        <w:jc w:val="left"/>
      </w:pPr>
      <w:r>
        <w:rPr/>
        <w:t>（五）关于信息披露与透明度 公司严格按照《上市公司信息披露管理办法》《公司信息披露管理制度》《公司投资者关系管理制度》等规章制度的</w:t>
      </w:r>
    </w:p>
    <w:p>
      <w:pPr>
        <w:pStyle w:val="BodyText"/>
        <w:spacing w:line="240" w:lineRule="auto" w:before="29"/>
        <w:ind w:right="99"/>
        <w:jc w:val="left"/>
      </w:pPr>
      <w:r>
        <w:rPr>
          <w:spacing w:val="-4"/>
        </w:rPr>
        <w:t>要求，真实、准确、及时、公平、完整地披露有关信息。公司指定董事会秘书负责信息披露工作，协调公司与投资者的关系，</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7"/>
          <w:szCs w:val="27"/>
        </w:rPr>
      </w:pPr>
    </w:p>
    <w:p>
      <w:pPr>
        <w:pStyle w:val="BodyText"/>
        <w:spacing w:line="364" w:lineRule="auto"/>
        <w:ind w:right="92"/>
        <w:jc w:val="left"/>
      </w:pPr>
      <w:r>
        <w:rPr/>
        <w:t>回答投资者咨询，接待投资者来访，向投资者提供公司已披露的资料；并指定《证券时报》《中国证券报》《上海证券报》 和巨潮资讯网</w:t>
      </w:r>
      <w:r>
        <w:rPr>
          <w:rFonts w:ascii="Times New Roman" w:hAnsi="Times New Roman" w:cs="Times New Roman" w:eastAsia="Times New Roman" w:hint="default"/>
        </w:rPr>
        <w:t>(www.cninfo.com.cn)</w:t>
      </w:r>
      <w:r>
        <w:rPr/>
        <w:t>为公司信息披露的指定报纸和网站，确保公司所有股东能够以平等的机会获得信息。</w:t>
      </w:r>
    </w:p>
    <w:p>
      <w:pPr>
        <w:pStyle w:val="BodyText"/>
        <w:spacing w:line="364" w:lineRule="auto" w:before="6"/>
        <w:ind w:left="580" w:right="206"/>
        <w:jc w:val="left"/>
      </w:pPr>
      <w:r>
        <w:rPr/>
        <w:t>（六）关于相关利益者 公司充分尊重和维护相关利益者的合法权益，实现股东、员工、社会等各方利益的协调平衡，共同推动公司持续、健</w:t>
      </w:r>
    </w:p>
    <w:p>
      <w:pPr>
        <w:pStyle w:val="BodyText"/>
        <w:spacing w:line="240" w:lineRule="auto" w:before="30"/>
        <w:ind w:right="6752"/>
        <w:jc w:val="left"/>
      </w:pPr>
      <w:r>
        <w:rPr/>
        <w:t>康的发展。</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BodyText"/>
        <w:spacing w:line="240" w:lineRule="auto" w:before="0"/>
        <w:ind w:right="99"/>
        <w:jc w:val="left"/>
      </w:pPr>
      <w:r>
        <w:rPr/>
        <w:t>公司治理的实际状况与中国证监会发布的有关上市公司治理的规范性文件是否存在重大差异</w:t>
      </w:r>
    </w:p>
    <w:p>
      <w:pPr>
        <w:pStyle w:val="BodyText"/>
        <w:spacing w:line="338" w:lineRule="auto" w:before="117"/>
        <w:ind w:right="2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99"/>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4" w:right="99"/>
        <w:jc w:val="left"/>
      </w:pPr>
      <w:r>
        <w:rPr/>
        <w:t>公司相对于控股股东在业务、人员、资产、机构、财产等方面具备独立性，具有完整的业务体系和独立经营的能力。</w:t>
      </w:r>
    </w:p>
    <w:p>
      <w:pPr>
        <w:spacing w:line="240" w:lineRule="auto" w:before="2"/>
        <w:rPr>
          <w:rFonts w:ascii="宋体" w:hAnsi="宋体" w:cs="宋体" w:eastAsia="宋体" w:hint="default"/>
          <w:sz w:val="25"/>
          <w:szCs w:val="25"/>
        </w:rPr>
      </w:pPr>
    </w:p>
    <w:p>
      <w:pPr>
        <w:pStyle w:val="Heading2"/>
        <w:spacing w:line="240" w:lineRule="auto"/>
        <w:ind w:right="6752"/>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6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9"/>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6752"/>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1"/>
              <w:jc w:val="left"/>
              <w:rPr>
                <w:rFonts w:ascii="Times New Roman" w:hAnsi="Times New Roman" w:cs="Times New Roman" w:eastAsia="Times New Roman" w:hint="default"/>
                <w:sz w:val="18"/>
                <w:szCs w:val="18"/>
              </w:rPr>
            </w:pPr>
            <w:hyperlink r:id="rId27">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1"/>
              <w:jc w:val="left"/>
              <w:rPr>
                <w:rFonts w:ascii="Times New Roman" w:hAnsi="Times New Roman" w:cs="Times New Roman" w:eastAsia="Times New Roman" w:hint="default"/>
                <w:sz w:val="18"/>
                <w:szCs w:val="18"/>
              </w:rPr>
            </w:pPr>
            <w:hyperlink r:id="rId27">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1"/>
              <w:jc w:val="left"/>
              <w:rPr>
                <w:rFonts w:ascii="Times New Roman" w:hAnsi="Times New Roman" w:cs="Times New Roman" w:eastAsia="Times New Roman" w:hint="default"/>
                <w:sz w:val="18"/>
                <w:szCs w:val="18"/>
              </w:rPr>
            </w:pPr>
            <w:hyperlink r:id="rId27">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1"/>
              <w:jc w:val="left"/>
              <w:rPr>
                <w:rFonts w:ascii="Times New Roman" w:hAnsi="Times New Roman" w:cs="Times New Roman" w:eastAsia="Times New Roman" w:hint="default"/>
                <w:sz w:val="18"/>
                <w:szCs w:val="18"/>
              </w:rPr>
            </w:pPr>
            <w:hyperlink r:id="rId27">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1"/>
              <w:jc w:val="left"/>
              <w:rPr>
                <w:rFonts w:ascii="Times New Roman" w:hAnsi="Times New Roman" w:cs="Times New Roman" w:eastAsia="Times New Roman" w:hint="default"/>
                <w:sz w:val="18"/>
                <w:szCs w:val="18"/>
              </w:rPr>
            </w:pPr>
            <w:hyperlink r:id="rId27">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1"/>
              <w:jc w:val="left"/>
              <w:rPr>
                <w:rFonts w:ascii="Times New Roman" w:hAnsi="Times New Roman" w:cs="Times New Roman" w:eastAsia="Times New Roman" w:hint="default"/>
                <w:sz w:val="18"/>
                <w:szCs w:val="18"/>
              </w:rPr>
            </w:pPr>
            <w:hyperlink r:id="rId27">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bl>
    <w:p>
      <w:pPr>
        <w:spacing w:line="240" w:lineRule="auto" w:before="2"/>
        <w:rPr>
          <w:rFonts w:ascii="宋体" w:hAnsi="宋体" w:cs="宋体" w:eastAsia="宋体" w:hint="default"/>
          <w:b/>
          <w:bCs/>
          <w:sz w:val="19"/>
          <w:szCs w:val="19"/>
        </w:rPr>
      </w:pPr>
    </w:p>
    <w:p>
      <w:pPr>
        <w:pStyle w:val="Heading4"/>
        <w:spacing w:line="240" w:lineRule="auto" w:before="35"/>
        <w:ind w:right="99"/>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6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王希庆</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51"/>
        <w:ind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独立董事对公司有关事项是否提出异议</w:t>
      </w:r>
    </w:p>
    <w:p>
      <w:pPr>
        <w:pStyle w:val="BodyText"/>
        <w:spacing w:line="340" w:lineRule="auto" w:before="116"/>
        <w:ind w:right="5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独立董事对公司有关建议是否被采纳</w:t>
      </w:r>
    </w:p>
    <w:p>
      <w:pPr>
        <w:pStyle w:val="BodyText"/>
        <w:spacing w:line="338" w:lineRule="auto" w:before="116"/>
        <w:ind w:right="58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64" w:lineRule="auto" w:before="65"/>
        <w:ind w:right="0" w:firstLine="390"/>
        <w:jc w:val="left"/>
      </w:pPr>
      <w:r>
        <w:rPr/>
        <w:t>报告期内，公司独立董事按照《公司法》、《证券法》、《关于在上市公司建立独立董事制度的指导意见》及《公司 </w:t>
      </w:r>
      <w:r>
        <w:rPr>
          <w:spacing w:val="-2"/>
        </w:rPr>
        <w:t>章程》、《独立董事工作制度》等相关规定和要求，本着对公司、股东负责的态度，勤勉尽责，忠实履行职责，积极出席相</w:t>
      </w:r>
      <w:r>
        <w:rPr>
          <w:spacing w:val="-69"/>
        </w:rPr>
        <w:t> </w:t>
      </w:r>
      <w:r>
        <w:rPr>
          <w:spacing w:val="-69"/>
        </w:rPr>
      </w:r>
      <w:r>
        <w:rPr>
          <w:spacing w:val="-2"/>
        </w:rPr>
        <w:t>关会议，认真审议各项议案，客观地发表自己的看法及观点，与公司的董事、高级管理人员及现相关工作人员保持密切的联</w:t>
      </w:r>
      <w:r>
        <w:rPr>
          <w:spacing w:val="-66"/>
        </w:rPr>
        <w:t> </w:t>
      </w:r>
      <w:r>
        <w:rPr>
          <w:spacing w:val="-66"/>
        </w:rPr>
      </w:r>
      <w:r>
        <w:rPr>
          <w:spacing w:val="-2"/>
        </w:rPr>
        <w:t>系，及时获悉公司的重大事项的进展情况，并利用自己的专业知识做出独立的判断。在报告期内，对公司利润分配、董监高</w:t>
      </w:r>
      <w:r>
        <w:rPr>
          <w:spacing w:val="-66"/>
        </w:rPr>
        <w:t> </w:t>
      </w:r>
      <w:r>
        <w:rPr>
          <w:spacing w:val="-66"/>
        </w:rPr>
      </w:r>
      <w:r>
        <w:rPr>
          <w:spacing w:val="-2"/>
        </w:rPr>
        <w:t>薪酬、审计报告、关联交易、募集资金的使用等事项发表意见，切实维护了公司的整体利益和全体股东的利益。公司对独立</w:t>
      </w:r>
      <w:r>
        <w:rPr>
          <w:spacing w:val="-65"/>
        </w:rPr>
        <w:t> </w:t>
      </w:r>
      <w:r>
        <w:rPr>
          <w:spacing w:val="-65"/>
        </w:rPr>
      </w:r>
      <w:r>
        <w:rPr/>
        <w:t>董事关于经营发展及公司治理等各方面的意见均积极听取，并予以采纳。</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Heading2"/>
        <w:spacing w:line="240" w:lineRule="auto"/>
        <w:ind w:right="0"/>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3"/>
        <w:rPr>
          <w:rFonts w:ascii="宋体" w:hAnsi="宋体" w:cs="宋体" w:eastAsia="宋体" w:hint="default"/>
          <w:b/>
          <w:bCs/>
          <w:sz w:val="28"/>
          <w:szCs w:val="28"/>
        </w:rPr>
      </w:pPr>
    </w:p>
    <w:p>
      <w:pPr>
        <w:pStyle w:val="BodyText"/>
        <w:spacing w:line="240" w:lineRule="auto" w:before="0"/>
        <w:ind w:right="0"/>
        <w:jc w:val="left"/>
      </w:pPr>
      <w:r>
        <w:rPr>
          <w:rFonts w:ascii="Times New Roman" w:hAnsi="Times New Roman" w:cs="Times New Roman" w:eastAsia="Times New Roman" w:hint="default"/>
        </w:rPr>
        <w:t>1.</w:t>
      </w:r>
      <w:r>
        <w:rPr/>
        <w:t>报告期内，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spacing w:val="-38"/>
        </w:rPr>
        <w:t> </w:t>
      </w:r>
      <w:r>
        <w:rPr>
          <w:rFonts w:ascii="Times New Roman" w:hAnsi="Times New Roman" w:cs="Times New Roman" w:eastAsia="Times New Roman" w:hint="default"/>
        </w:rPr>
        <w:t>10</w:t>
      </w:r>
      <w:r>
        <w:rPr/>
        <w:t>日，公司召开了薪酬委员会</w:t>
      </w:r>
      <w:r>
        <w:rPr>
          <w:rFonts w:ascii="Times New Roman" w:hAnsi="Times New Roman" w:cs="Times New Roman" w:eastAsia="Times New Roman" w:hint="default"/>
        </w:rPr>
        <w:t>2017</w:t>
      </w:r>
      <w:r>
        <w:rPr/>
        <w:t>第一次会议，审议通过了如下议案：</w:t>
      </w:r>
    </w:p>
    <w:p>
      <w:pPr>
        <w:pStyle w:val="BodyText"/>
        <w:spacing w:line="240" w:lineRule="auto" w:before="109"/>
        <w:ind w:right="0"/>
        <w:jc w:val="left"/>
      </w:pPr>
      <w:r>
        <w:rPr/>
        <w:t>①</w:t>
      </w:r>
      <w:r>
        <w:rPr>
          <w:rFonts w:ascii="Times New Roman" w:hAnsi="Times New Roman" w:cs="Times New Roman" w:eastAsia="Times New Roman" w:hint="default"/>
        </w:rPr>
        <w:t>.</w:t>
      </w:r>
      <w:r>
        <w:rPr/>
        <w:t>《吉林省金冠电气股份有限公司</w:t>
      </w:r>
      <w:r>
        <w:rPr>
          <w:rFonts w:ascii="Times New Roman" w:hAnsi="Times New Roman" w:cs="Times New Roman" w:eastAsia="Times New Roman" w:hint="default"/>
        </w:rPr>
        <w:t>2016</w:t>
      </w:r>
      <w:r>
        <w:rPr/>
        <w:t>年董监高薪酬的议案》</w:t>
      </w:r>
    </w:p>
    <w:p>
      <w:pPr>
        <w:pStyle w:val="BodyText"/>
        <w:spacing w:line="240" w:lineRule="auto" w:before="109"/>
        <w:ind w:right="0"/>
        <w:jc w:val="left"/>
      </w:pPr>
      <w:r>
        <w:rPr>
          <w:rFonts w:ascii="Times New Roman" w:hAnsi="Times New Roman" w:cs="Times New Roman" w:eastAsia="Times New Roman" w:hint="default"/>
        </w:rPr>
        <w:t>2.</w:t>
      </w:r>
      <w:r>
        <w:rPr/>
        <w:t>报告期内，提名委员会共召开了两次会议，具体会议内容如下：</w:t>
      </w:r>
    </w:p>
    <w:p>
      <w:pPr>
        <w:pStyle w:val="BodyText"/>
        <w:spacing w:line="240" w:lineRule="auto" w:before="110"/>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日，公司召开提名委员会</w:t>
      </w:r>
      <w:r>
        <w:rPr>
          <w:rFonts w:ascii="Times New Roman" w:hAnsi="Times New Roman" w:cs="Times New Roman" w:eastAsia="Times New Roman" w:hint="default"/>
        </w:rPr>
        <w:t>2017</w:t>
      </w:r>
      <w:r>
        <w:rPr/>
        <w:t>年第一次会议，会议审议通过了如下议案：</w:t>
      </w:r>
    </w:p>
    <w:p>
      <w:pPr>
        <w:pStyle w:val="BodyText"/>
        <w:spacing w:line="240" w:lineRule="auto" w:before="109"/>
        <w:ind w:right="0"/>
        <w:jc w:val="left"/>
      </w:pPr>
      <w:r>
        <w:rPr/>
        <w:t>①</w:t>
      </w:r>
      <w:r>
        <w:rPr>
          <w:rFonts w:ascii="Times New Roman" w:hAnsi="Times New Roman" w:cs="Times New Roman" w:eastAsia="Times New Roman" w:hint="default"/>
        </w:rPr>
        <w:t>.</w:t>
      </w:r>
      <w:r>
        <w:rPr/>
        <w:t>《关于提名公司副总经理、董事会秘书的议案》；</w:t>
      </w:r>
    </w:p>
    <w:p>
      <w:pPr>
        <w:pStyle w:val="BodyText"/>
        <w:spacing w:line="240" w:lineRule="auto" w:before="109"/>
        <w:ind w:right="0"/>
        <w:jc w:val="left"/>
      </w:pPr>
      <w:r>
        <w:rPr/>
        <w:t>②</w:t>
      </w:r>
      <w:r>
        <w:rPr>
          <w:rFonts w:ascii="Times New Roman" w:hAnsi="Times New Roman" w:cs="Times New Roman" w:eastAsia="Times New Roman" w:hint="default"/>
        </w:rPr>
        <w:t>.</w:t>
      </w:r>
      <w:r>
        <w:rPr/>
        <w:t>《关于提名公司财务负责人的议案》。</w:t>
      </w:r>
    </w:p>
    <w:p>
      <w:pPr>
        <w:pStyle w:val="BodyText"/>
        <w:spacing w:line="240" w:lineRule="auto" w:before="109"/>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日，公司召开提名委员会</w:t>
      </w:r>
      <w:r>
        <w:rPr>
          <w:rFonts w:ascii="Times New Roman" w:hAnsi="Times New Roman" w:cs="Times New Roman" w:eastAsia="Times New Roman" w:hint="default"/>
        </w:rPr>
        <w:t>2017</w:t>
      </w:r>
      <w:r>
        <w:rPr/>
        <w:t>年第二次会议，会议审议通过了如下议案：</w:t>
      </w:r>
    </w:p>
    <w:p>
      <w:pPr>
        <w:spacing w:after="0" w:line="240" w:lineRule="auto"/>
        <w:jc w:val="left"/>
        <w:sectPr>
          <w:pgSz w:w="11910" w:h="16840"/>
          <w:pgMar w:header="747" w:footer="979" w:top="1060" w:bottom="1160" w:left="980" w:right="980"/>
        </w:sectPr>
      </w:pPr>
    </w:p>
    <w:p>
      <w:pPr>
        <w:spacing w:line="240" w:lineRule="auto" w:before="8"/>
        <w:rPr>
          <w:rFonts w:ascii="宋体" w:hAnsi="宋体" w:cs="宋体" w:eastAsia="宋体" w:hint="default"/>
          <w:sz w:val="27"/>
          <w:szCs w:val="27"/>
        </w:rPr>
      </w:pPr>
    </w:p>
    <w:p>
      <w:pPr>
        <w:pStyle w:val="BodyText"/>
        <w:spacing w:line="240" w:lineRule="auto"/>
        <w:ind w:right="0"/>
        <w:jc w:val="left"/>
      </w:pPr>
      <w:r>
        <w:rPr/>
        <w:t>①</w:t>
      </w:r>
      <w:r>
        <w:rPr>
          <w:rFonts w:ascii="Times New Roman" w:hAnsi="Times New Roman" w:cs="Times New Roman" w:eastAsia="Times New Roman" w:hint="default"/>
        </w:rPr>
        <w:t>.</w:t>
      </w:r>
      <w:r>
        <w:rPr/>
        <w:t>《关于提名孙益兵为公司第四届董事会董事的议案》</w:t>
      </w:r>
    </w:p>
    <w:p>
      <w:pPr>
        <w:pStyle w:val="BodyText"/>
        <w:spacing w:line="240" w:lineRule="auto" w:before="109"/>
        <w:ind w:right="0"/>
        <w:jc w:val="left"/>
      </w:pPr>
      <w:r>
        <w:rPr>
          <w:rFonts w:ascii="Times New Roman" w:hAnsi="Times New Roman" w:cs="Times New Roman" w:eastAsia="Times New Roman" w:hint="default"/>
        </w:rPr>
        <w:t>3.</w:t>
      </w:r>
      <w:r>
        <w:rPr/>
        <w:t>报告期内，</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日，公司召开了审计委员会</w:t>
      </w:r>
      <w:r>
        <w:rPr>
          <w:rFonts w:ascii="Times New Roman" w:hAnsi="Times New Roman" w:cs="Times New Roman" w:eastAsia="Times New Roman" w:hint="default"/>
        </w:rPr>
        <w:t>2017</w:t>
      </w:r>
      <w:r>
        <w:rPr/>
        <w:t>第一次会议，会议审议通过了如下议案：</w:t>
      </w:r>
    </w:p>
    <w:p>
      <w:pPr>
        <w:pStyle w:val="BodyText"/>
        <w:spacing w:line="240" w:lineRule="auto" w:before="109"/>
        <w:ind w:right="0"/>
        <w:jc w:val="left"/>
      </w:pPr>
      <w:r>
        <w:rPr/>
        <w:t>①</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2016</w:t>
      </w:r>
      <w:r>
        <w:rPr/>
        <w:t>年度报告及摘要的议案》</w:t>
      </w:r>
    </w:p>
    <w:p>
      <w:pPr>
        <w:pStyle w:val="BodyText"/>
        <w:spacing w:line="240" w:lineRule="auto" w:before="109"/>
        <w:ind w:right="0"/>
        <w:jc w:val="left"/>
      </w:pPr>
      <w:r>
        <w:rPr>
          <w:rFonts w:ascii="Times New Roman" w:hAnsi="Times New Roman" w:cs="Times New Roman" w:eastAsia="Times New Roman" w:hint="default"/>
        </w:rPr>
        <w:t>4.</w:t>
      </w:r>
      <w:r>
        <w:rPr/>
        <w:t>报告期内，</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日，公司召开了战略委员会</w:t>
      </w:r>
      <w:r>
        <w:rPr>
          <w:rFonts w:ascii="Times New Roman" w:hAnsi="Times New Roman" w:cs="Times New Roman" w:eastAsia="Times New Roman" w:hint="default"/>
        </w:rPr>
        <w:t>2017</w:t>
      </w:r>
      <w:r>
        <w:rPr/>
        <w:t>第一次会议，会议审议通过了如下议案：</w:t>
      </w:r>
    </w:p>
    <w:p>
      <w:pPr>
        <w:pStyle w:val="BodyText"/>
        <w:spacing w:line="240" w:lineRule="auto" w:before="110"/>
        <w:ind w:right="0"/>
        <w:jc w:val="left"/>
      </w:pPr>
      <w:r>
        <w:rPr/>
        <w:t>①</w:t>
      </w:r>
      <w:r>
        <w:rPr>
          <w:rFonts w:ascii="Times New Roman" w:hAnsi="Times New Roman" w:cs="Times New Roman" w:eastAsia="Times New Roman" w:hint="default"/>
        </w:rPr>
        <w:t>.</w:t>
      </w:r>
      <w:r>
        <w:rPr/>
        <w:t>《关于设立子公司建设年产</w:t>
      </w:r>
      <w:r>
        <w:rPr>
          <w:rFonts w:ascii="Times New Roman" w:hAnsi="Times New Roman" w:cs="Times New Roman" w:eastAsia="Times New Roman" w:hint="default"/>
        </w:rPr>
        <w:t>2.7</w:t>
      </w:r>
      <w:r>
        <w:rPr/>
        <w:t>亿㎡湖州锂离子电池隔膜生产基地项目暨关联交易的议案》</w:t>
      </w:r>
    </w:p>
    <w:p>
      <w:pPr>
        <w:spacing w:line="240" w:lineRule="auto" w:before="12"/>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监事会在报告期内的监督活动中发现公司是否存在风险</w:t>
      </w:r>
    </w:p>
    <w:p>
      <w:pPr>
        <w:pStyle w:val="BodyText"/>
        <w:spacing w:line="340" w:lineRule="auto" w:before="116"/>
        <w:ind w:right="63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8"/>
          <w:szCs w:val="28"/>
        </w:rPr>
      </w:pPr>
    </w:p>
    <w:p>
      <w:pPr>
        <w:pStyle w:val="BodyText"/>
        <w:spacing w:line="364" w:lineRule="auto" w:before="0"/>
        <w:ind w:right="0" w:firstLine="390"/>
        <w:jc w:val="left"/>
      </w:pPr>
      <w:r>
        <w:rPr/>
        <w:t>公司执行对高级管理人员的考核管理制度，年初按照战略目标分解机制，向各高级管理人员分解经营管理目标，并由 </w:t>
      </w:r>
      <w:r>
        <w:rPr>
          <w:spacing w:val="-2"/>
        </w:rPr>
        <w:t>此签订经营管理目标责任书。依据高级管理人员的月度计划考评，年终的经营目标责任卡进行年终业绩考核评价，决定高级</w:t>
      </w:r>
      <w:r>
        <w:rPr>
          <w:spacing w:val="-66"/>
        </w:rPr>
        <w:t> </w:t>
      </w:r>
      <w:r>
        <w:rPr>
          <w:spacing w:val="-66"/>
        </w:rPr>
      </w:r>
      <w:r>
        <w:rPr/>
        <w:t>管理人员的职务任免和报酬兑现事项。</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11"/>
        <w:rPr>
          <w:rFonts w:ascii="宋体" w:hAnsi="宋体" w:cs="宋体" w:eastAsia="宋体" w:hint="default"/>
          <w:b/>
          <w:bCs/>
          <w:sz w:val="19"/>
          <w:szCs w:val="19"/>
        </w:rPr>
      </w:pPr>
    </w:p>
    <w:p>
      <w:pPr>
        <w:pStyle w:val="BodyText"/>
        <w:spacing w:line="240" w:lineRule="auto" w:before="63"/>
        <w:ind w:left="0" w:right="159"/>
        <w:jc w:val="right"/>
      </w:pPr>
      <w:r>
        <w:rPr/>
        <w:pict>
          <v:shape style="position:absolute;margin-left:56.459999pt;margin-top:-198.51825pt;width:479.2pt;height:264.05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92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300"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、重大缺陷：（</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）控制环境无效；（</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）公</w:t>
                        </w:r>
                        <w:r>
                          <w:rPr>
                            <w:rFonts w:ascii="宋体" w:hAnsi="宋体" w:cs="宋体" w:eastAsia="宋体" w:hint="default"/>
                            <w:spacing w:val="-75"/>
                            <w:sz w:val="18"/>
                            <w:szCs w:val="18"/>
                          </w:rPr>
                          <w:t> </w:t>
                        </w:r>
                        <w:r>
                          <w:rPr>
                            <w:rFonts w:ascii="宋体" w:hAnsi="宋体" w:cs="宋体" w:eastAsia="宋体" w:hint="default"/>
                            <w:spacing w:val="-6"/>
                            <w:sz w:val="18"/>
                            <w:szCs w:val="18"/>
                          </w:rPr>
                          <w:t>司董事、监事和高级管理人员的舞弊行为；</w:t>
                        </w:r>
                        <w:r>
                          <w:rPr>
                            <w:rFonts w:ascii="宋体" w:hAnsi="宋体" w:cs="宋体" w:eastAsia="宋体" w:hint="default"/>
                            <w:sz w:val="18"/>
                            <w:szCs w:val="18"/>
                          </w:rPr>
                        </w:r>
                      </w:p>
                      <w:p>
                        <w:pPr>
                          <w:pStyle w:val="TableParagraph"/>
                          <w:spacing w:line="304" w:lineRule="auto" w:before="31"/>
                          <w:ind w:left="22" w:right="-28"/>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）未被公司内部控制识别的当期财务报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）审计委员会和审计</w:t>
                        </w:r>
                        <w:r>
                          <w:rPr>
                            <w:rFonts w:ascii="宋体" w:hAnsi="宋体" w:cs="宋体" w:eastAsia="宋体" w:hint="default"/>
                            <w:spacing w:val="-85"/>
                            <w:sz w:val="18"/>
                            <w:szCs w:val="18"/>
                          </w:rPr>
                          <w:t> </w:t>
                        </w:r>
                        <w:r>
                          <w:rPr>
                            <w:rFonts w:ascii="宋体" w:hAnsi="宋体" w:cs="宋体" w:eastAsia="宋体" w:hint="default"/>
                            <w:sz w:val="18"/>
                            <w:szCs w:val="18"/>
                          </w:rPr>
                          <w:t>部门对公司的对外财务报告和财务报告内 </w:t>
                        </w:r>
                        <w:r>
                          <w:rPr>
                            <w:rFonts w:ascii="宋体" w:hAnsi="宋体" w:cs="宋体" w:eastAsia="宋体" w:hint="default"/>
                            <w:spacing w:val="-8"/>
                            <w:sz w:val="18"/>
                            <w:szCs w:val="18"/>
                          </w:rPr>
                          <w:t>部控制监督无效。</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）未依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照公认会计准则选择和应用会计政策；（</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宋体" w:hAnsi="宋体" w:cs="宋体" w:eastAsia="宋体" w:hint="default"/>
                            <w:sz w:val="18"/>
                            <w:szCs w:val="18"/>
                          </w:rPr>
                        </w:r>
                      </w:p>
                    </w:tc>
                    <w:tc>
                      <w:tcPr>
                        <w:tcW w:w="3039" w:type="dxa"/>
                        <w:vMerge w:val="restart"/>
                        <w:tcBorders>
                          <w:top w:val="single" w:sz="4" w:space="0" w:color="000000"/>
                          <w:left w:val="single" w:sz="9" w:space="0" w:color="FFFFFF"/>
                          <w:right w:val="single" w:sz="4" w:space="0" w:color="000000"/>
                        </w:tcBorders>
                      </w:tcPr>
                      <w:p>
                        <w:pPr>
                          <w:pStyle w:val="TableParagraph"/>
                          <w:spacing w:line="312" w:lineRule="auto" w:before="51"/>
                          <w:ind w:left="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、重大缺陷：如果缺陷发生的可能性 </w:t>
                        </w:r>
                        <w:r>
                          <w:rPr>
                            <w:rFonts w:ascii="宋体" w:hAnsi="宋体" w:cs="宋体" w:eastAsia="宋体" w:hint="default"/>
                            <w:spacing w:val="-4"/>
                            <w:sz w:val="18"/>
                            <w:szCs w:val="18"/>
                          </w:rPr>
                          <w:t>高，会严重降低工作效率或效果、或严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重加大效果的不确定性、或使之严重偏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离预期目标为重大缺陷。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如果缺陷发生的可能性较高，会显著降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低工作效率或效果、或显著加大效果的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不确定性、或使之显著偏离预期目标为</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92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shape style="position:absolute;margin-left:277.634003pt;margin-top:136.919983pt;width:257.3pt;height:78.05pt;mso-position-horizontal-relative:page;mso-position-vertical-relative:page;z-index:-2127976" type="#_x0000_t202" filled="false" stroked="false">
            <v:textbox inset="0,0,0,0">
              <w:txbxContent>
                <w:p>
                  <w:pPr>
                    <w:spacing w:line="240" w:lineRule="auto" w:before="7"/>
                    <w:rPr>
                      <w:rFonts w:ascii="宋体" w:hAnsi="宋体" w:cs="宋体" w:eastAsia="宋体" w:hint="default"/>
                      <w:sz w:val="21"/>
                      <w:szCs w:val="21"/>
                    </w:rPr>
                  </w:pPr>
                </w:p>
                <w:p>
                  <w:pPr>
                    <w:pStyle w:val="BodyText"/>
                    <w:spacing w:line="316" w:lineRule="auto" w:before="0"/>
                    <w:ind w:left="0" w:right="2982" w:firstLine="1980"/>
                    <w:jc w:val="left"/>
                  </w:pPr>
                  <w:r>
                    <w:rPr/>
                    <w:t>、 缺陷是指除上述重大缺陷、</w:t>
                  </w:r>
                </w:p>
              </w:txbxContent>
            </v:textbox>
            <w10:wrap type="none"/>
          </v:shape>
        </w:pict>
      </w:r>
      <w:r>
        <w:rPr/>
        <w:pict>
          <v:shape style="position:absolute;margin-left:376.660004pt;margin-top:215.419983pt;width:158.25pt;height:15.6pt;mso-position-horizontal-relative:page;mso-position-vertical-relative:page;z-index:-2127952"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382.839996pt;margin-top:136.919983pt;width:152.1pt;height:94.1pt;mso-position-horizontal-relative:page;mso-position-vertical-relative:page;z-index:-2127928" coordorigin="7657,2738" coordsize="3042,1882">
            <v:group style="position:absolute;left:7657;top:2738;width:3042;height:1561" coordorigin="7657,2738" coordsize="3042,1561">
              <v:shape style="position:absolute;left:7657;top:2738;width:3042;height:1561" coordorigin="7657,2738" coordsize="3042,1561" path="m7657,4299l10698,4299,10698,2738,7657,2738,7657,4299xe" filled="true" fillcolor="#ffffff" stroked="false">
                <v:path arrowok="t"/>
                <v:fill type="solid"/>
              </v:shape>
            </v:group>
            <v:group style="position:absolute;left:7657;top:4308;width:3042;height:312" coordorigin="7657,4308" coordsize="3042,312">
              <v:shape style="position:absolute;left:7657;top:4308;width:3042;height:312" coordorigin="7657,4308" coordsize="3042,312" path="m7657,4620l10698,4620,10698,4308,7657,4308,7657,462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285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48"/>
              <w:jc w:val="left"/>
              <w:rPr>
                <w:rFonts w:ascii="宋体" w:hAnsi="宋体" w:cs="宋体" w:eastAsia="宋体" w:hint="default"/>
                <w:sz w:val="18"/>
                <w:szCs w:val="18"/>
              </w:rPr>
            </w:pPr>
            <w:r>
              <w:rPr>
                <w:rFonts w:ascii="宋体" w:hAnsi="宋体" w:cs="宋体" w:eastAsia="宋体" w:hint="default"/>
                <w:spacing w:val="-5"/>
                <w:sz w:val="18"/>
                <w:szCs w:val="18"/>
              </w:rPr>
              <w:t>未建立反舞弊程序和控制措施；（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w:t>
            </w:r>
            <w:r>
              <w:rPr>
                <w:rFonts w:ascii="宋体" w:hAnsi="宋体" w:cs="宋体" w:eastAsia="宋体" w:hint="default"/>
                <w:spacing w:val="-85"/>
                <w:sz w:val="18"/>
                <w:szCs w:val="18"/>
              </w:rPr>
              <w:t> </w:t>
            </w:r>
            <w:r>
              <w:rPr>
                <w:rFonts w:ascii="宋体" w:hAnsi="宋体" w:cs="宋体" w:eastAsia="宋体" w:hint="default"/>
                <w:sz w:val="18"/>
                <w:szCs w:val="18"/>
              </w:rPr>
              <w:t>非常规或特殊交易的账务处理没有建立相 应的控制机制或没有实施且没有相应的补 </w:t>
            </w:r>
            <w:r>
              <w:rPr>
                <w:rFonts w:ascii="宋体" w:hAnsi="宋体" w:cs="宋体" w:eastAsia="宋体" w:hint="default"/>
                <w:spacing w:val="-5"/>
                <w:sz w:val="18"/>
                <w:szCs w:val="18"/>
              </w:rPr>
              <w:t>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w:t>
            </w:r>
            <w:r>
              <w:rPr>
                <w:rFonts w:ascii="宋体" w:hAnsi="宋体" w:cs="宋体" w:eastAsia="宋体" w:hint="default"/>
                <w:spacing w:val="-85"/>
                <w:sz w:val="18"/>
                <w:szCs w:val="18"/>
              </w:rPr>
              <w:t> </w:t>
            </w:r>
            <w:r>
              <w:rPr>
                <w:rFonts w:ascii="宋体" w:hAnsi="宋体" w:cs="宋体" w:eastAsia="宋体" w:hint="default"/>
                <w:sz w:val="18"/>
                <w:szCs w:val="18"/>
              </w:rPr>
              <w:t>控制存在一项或多项缺陷且不能合理保证 </w:t>
            </w:r>
            <w:r>
              <w:rPr>
                <w:rFonts w:ascii="宋体" w:hAnsi="宋体" w:cs="宋体" w:eastAsia="宋体" w:hint="default"/>
                <w:spacing w:val="-9"/>
                <w:sz w:val="18"/>
                <w:szCs w:val="18"/>
              </w:rPr>
              <w:t>编制的财务报表达到真实、准确的目标。</w:t>
            </w:r>
            <w:r>
              <w:rPr>
                <w:rFonts w:ascii="Times New Roman" w:hAnsi="Times New Roman" w:cs="Times New Roman" w:eastAsia="Times New Roman" w:hint="default"/>
                <w:spacing w:val="-9"/>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pacing w:val="-9"/>
                <w:sz w:val="18"/>
                <w:szCs w:val="18"/>
              </w:rPr>
              <w:t>一般缺陷：一般</w:t>
            </w:r>
            <w:r>
              <w:rPr>
                <w:rFonts w:ascii="宋体" w:hAnsi="宋体" w:cs="宋体" w:eastAsia="宋体" w:hint="default"/>
                <w:sz w:val="18"/>
                <w:szCs w:val="18"/>
              </w:rPr>
              <w:t> 重要缺陷之外的其他财务报告内部控制缺 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、一般缺陷：如果缺陷发 </w:t>
            </w:r>
            <w:r>
              <w:rPr>
                <w:rFonts w:ascii="宋体" w:hAnsi="宋体" w:cs="宋体" w:eastAsia="宋体" w:hint="default"/>
                <w:spacing w:val="-4"/>
                <w:sz w:val="18"/>
                <w:szCs w:val="18"/>
              </w:rPr>
              <w:t>生的可能性较小，会降低工作效率或效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果、或加大效果的不确定性、或使之偏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离预期目标为一般缺陷。</w:t>
            </w:r>
          </w:p>
        </w:tc>
      </w:tr>
      <w:tr>
        <w:trPr>
          <w:trHeight w:val="19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、一般缺陷：错报金额＜利润总额的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错报金额＜净资产的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 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；净资产的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净资产的</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、重大缺陷：错报金额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利润总额的</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、一般缺陷：直接损失＜净资产的</w:t>
            </w:r>
          </w:p>
          <w:p>
            <w:pPr>
              <w:pStyle w:val="TableParagraph"/>
              <w:spacing w:line="300" w:lineRule="auto" w:before="6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＞直</w:t>
            </w:r>
            <w:r>
              <w:rPr>
                <w:rFonts w:ascii="宋体" w:hAnsi="宋体" w:cs="宋体" w:eastAsia="宋体" w:hint="default"/>
                <w:w w:val="99"/>
                <w:sz w:val="18"/>
                <w:szCs w:val="18"/>
              </w:rPr>
              <w:t> </w:t>
            </w:r>
            <w:r>
              <w:rPr>
                <w:rFonts w:ascii="宋体" w:hAnsi="宋体" w:cs="宋体" w:eastAsia="宋体" w:hint="default"/>
                <w:sz w:val="18"/>
                <w:szCs w:val="18"/>
              </w:rPr>
              <w:t>接损失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、重大缺陷： 直接损失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53"/>
      <w:bookmarkStart w:name="第十节 公司债券相关情况" w:id="154"/>
      <w:r>
        <w:rPr>
          <w:b w:val="0"/>
          <w:bCs w:val="0"/>
        </w:rPr>
      </w:r>
      <w:r>
        <w:rPr/>
        <w:t>第十节</w:t>
      </w:r>
      <w:r>
        <w:rPr>
          <w:spacing w:val="-9"/>
        </w:rPr>
        <w:t> </w:t>
      </w:r>
      <w:r>
        <w:rPr/>
        <w:t>公司债券相关情况</w:t>
      </w:r>
      <w:bookmarkEnd w:id="153"/>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113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604"/>
        <w:jc w:val="center"/>
        <w:rPr>
          <w:b w:val="0"/>
          <w:bCs w:val="0"/>
        </w:rPr>
      </w:pPr>
      <w:bookmarkStart w:name="_TOC_250001" w:id="155"/>
      <w:bookmarkStart w:name="第十一节 财务报告" w:id="156"/>
      <w:r>
        <w:rPr>
          <w:b w:val="0"/>
          <w:bCs w:val="0"/>
        </w:rPr>
      </w:r>
      <w:r>
        <w:rPr/>
        <w:t>第十一节</w:t>
      </w:r>
      <w:r>
        <w:rPr>
          <w:spacing w:val="-6"/>
        </w:rPr>
        <w:t> </w:t>
      </w:r>
      <w:r>
        <w:rPr/>
        <w:t>财务报告</w:t>
      </w:r>
      <w:bookmarkEnd w:id="15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7"/>
      <w:bookmarkEnd w:id="15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7-187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齐晓丽、李灵辉</w:t>
            </w:r>
          </w:p>
        </w:tc>
      </w:tr>
    </w:tbl>
    <w:p>
      <w:pPr>
        <w:pStyle w:val="BodyText"/>
        <w:spacing w:line="240" w:lineRule="auto" w:before="51"/>
        <w:ind w:left="2604" w:right="2603"/>
        <w:jc w:val="center"/>
      </w:pPr>
      <w:r>
        <w:rPr/>
        <w:t>审计报告正文</w:t>
      </w:r>
    </w:p>
    <w:p>
      <w:pPr>
        <w:spacing w:line="364" w:lineRule="auto" w:before="137"/>
        <w:ind w:left="636" w:right="6533" w:hanging="483"/>
        <w:jc w:val="left"/>
        <w:rPr>
          <w:rFonts w:ascii="宋体" w:hAnsi="宋体" w:cs="宋体" w:eastAsia="宋体" w:hint="default"/>
          <w:sz w:val="18"/>
          <w:szCs w:val="18"/>
        </w:rPr>
      </w:pPr>
      <w:r>
        <w:rPr>
          <w:rFonts w:ascii="宋体" w:hAnsi="宋体" w:cs="宋体" w:eastAsia="宋体" w:hint="default"/>
          <w:sz w:val="18"/>
          <w:szCs w:val="18"/>
        </w:rPr>
        <w:t>吉林省金冠电气股份有限公司全体股东：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345" w:lineRule="auto" w:before="29"/>
        <w:ind w:right="150" w:firstLine="480"/>
        <w:jc w:val="both"/>
      </w:pPr>
      <w:r>
        <w:rPr>
          <w:spacing w:val="-1"/>
        </w:rPr>
        <w:t>我们审计了吉林省金冠电气股份有限公司（以下简称金冠电气公司）财务报表，包括</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w:t>
      </w:r>
      <w:r>
        <w:rPr/>
        <w:t> </w:t>
      </w:r>
      <w:r>
        <w:rPr>
          <w:spacing w:val="-2"/>
        </w:rPr>
        <w:t>资产负债表，</w:t>
      </w:r>
      <w:r>
        <w:rPr>
          <w:rFonts w:ascii="Times New Roman" w:hAnsi="Times New Roman" w:cs="Times New Roman" w:eastAsia="Times New Roman" w:hint="default"/>
          <w:spacing w:val="-2"/>
        </w:rPr>
        <w:t>2017</w:t>
      </w:r>
      <w:r>
        <w:rPr>
          <w:spacing w:val="-2"/>
        </w:rPr>
        <w:t>年度的合并及母公司利润表、合并及母公司现金流量表、合并及母公司所有者权益变动表，以及相关财务</w:t>
      </w:r>
      <w:r>
        <w:rPr>
          <w:spacing w:val="-61"/>
        </w:rPr>
        <w:t> </w:t>
      </w:r>
      <w:r>
        <w:rPr>
          <w:spacing w:val="-61"/>
        </w:rPr>
      </w:r>
      <w:r>
        <w:rPr/>
        <w:t>报表附注。</w:t>
      </w:r>
    </w:p>
    <w:p>
      <w:pPr>
        <w:pStyle w:val="BodyText"/>
        <w:spacing w:line="345" w:lineRule="auto"/>
        <w:ind w:right="0" w:firstLine="480"/>
        <w:jc w:val="left"/>
      </w:pPr>
      <w:r>
        <w:rPr>
          <w:spacing w:val="-1"/>
        </w:rPr>
        <w:t>我们认为，后附的财务报表在所有重大方面按照企业会计准则的规定编制，公允反映了金冠电气公司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t> 的合并及母公司财务状况以及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364" w:lineRule="auto" w:before="22"/>
        <w:ind w:left="634" w:right="132" w:firstLine="2"/>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64" w:lineRule="auto" w:before="6"/>
        <w:ind w:right="152"/>
        <w:jc w:val="both"/>
      </w:pPr>
      <w:r>
        <w:rPr>
          <w:spacing w:val="-2"/>
        </w:rPr>
        <w:t>步阐述了我们在这些准则下的责任。按照中国注册会计师职业道德守则，我们独立于金冠电气公司，并履行了职业道德方面</w:t>
      </w:r>
      <w:r>
        <w:rPr>
          <w:spacing w:val="-66"/>
        </w:rPr>
        <w:t> </w:t>
      </w:r>
      <w:r>
        <w:rPr>
          <w:spacing w:val="-66"/>
        </w:rPr>
      </w:r>
      <w:r>
        <w:rPr/>
        <w:t>的其他责任。我们相信，我们获取的审计证据是充分、适当的，为发表审计意见提供了基础。</w:t>
      </w:r>
    </w:p>
    <w:p>
      <w:pPr>
        <w:pStyle w:val="BodyText"/>
        <w:spacing w:line="364" w:lineRule="auto" w:before="29"/>
        <w:ind w:left="634"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240" w:lineRule="auto" w:before="29"/>
        <w:ind w:right="0"/>
        <w:jc w:val="both"/>
      </w:pPr>
      <w:r>
        <w:rPr/>
        <w:t>行审计并形成审计意见为背景，我们不对这些事项单独发表意见。</w:t>
      </w:r>
    </w:p>
    <w:p>
      <w:pPr>
        <w:pStyle w:val="BodyText"/>
        <w:spacing w:line="240" w:lineRule="auto" w:before="123"/>
        <w:ind w:left="634"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商誉减值测试</w:t>
      </w:r>
    </w:p>
    <w:p>
      <w:pPr>
        <w:pStyle w:val="BodyText"/>
        <w:spacing w:line="345" w:lineRule="auto" w:before="109"/>
        <w:ind w:left="63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关键审计事项 如财务报表附注五、（一）、</w:t>
      </w:r>
      <w:r>
        <w:rPr>
          <w:rFonts w:ascii="Times New Roman" w:hAnsi="Times New Roman" w:cs="Times New Roman" w:eastAsia="Times New Roman" w:hint="default"/>
        </w:rPr>
        <w:t>13</w:t>
      </w:r>
      <w:r>
        <w:rPr/>
        <w:t>所述，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日金冠电气公司商誉账面价值为</w:t>
      </w:r>
      <w:r>
        <w:rPr>
          <w:rFonts w:ascii="Times New Roman" w:hAnsi="Times New Roman" w:cs="Times New Roman" w:eastAsia="Times New Roman" w:hint="default"/>
        </w:rPr>
        <w:t>111,876.57</w:t>
      </w:r>
      <w:r>
        <w:rPr/>
        <w:t>万元，占资产总额的</w:t>
      </w:r>
    </w:p>
    <w:p>
      <w:pPr>
        <w:pStyle w:val="BodyText"/>
        <w:spacing w:line="360" w:lineRule="auto" w:before="22"/>
        <w:ind w:right="153"/>
        <w:jc w:val="both"/>
      </w:pPr>
      <w:r>
        <w:rPr/>
        <w:t>比例为</w:t>
      </w:r>
      <w:r>
        <w:rPr>
          <w:rFonts w:ascii="Times New Roman" w:hAnsi="Times New Roman" w:cs="Times New Roman" w:eastAsia="Times New Roman" w:hint="default"/>
        </w:rPr>
        <w:t>37.12%</w:t>
      </w:r>
      <w:r>
        <w:rPr/>
        <w:t>。</w:t>
      </w:r>
      <w:r>
        <w:rPr>
          <w:rFonts w:ascii="Times New Roman" w:hAnsi="Times New Roman" w:cs="Times New Roman" w:eastAsia="Times New Roman" w:hint="default"/>
        </w:rPr>
        <w:t>2017</w:t>
      </w:r>
      <w:r>
        <w:rPr/>
        <w:t>年末金冠电气公司管理层（以下简称管理层）通过比较相关资产组的可收回金额与该资产组及商誉的</w:t>
      </w:r>
      <w:r>
        <w:rPr>
          <w:spacing w:val="-24"/>
        </w:rPr>
        <w:t> </w:t>
      </w:r>
      <w:r>
        <w:rPr>
          <w:spacing w:val="-24"/>
        </w:rPr>
      </w:r>
      <w:r>
        <w:rPr>
          <w:spacing w:val="-2"/>
        </w:rPr>
        <w:t>账面价值，对商誉进行减值测试。测算可收回金额涉及对资产组未来现金流量现值的预测，管理层需对相关资产组的收入增</w:t>
      </w:r>
      <w:r>
        <w:rPr>
          <w:spacing w:val="-66"/>
        </w:rPr>
        <w:t> </w:t>
      </w:r>
      <w:r>
        <w:rPr>
          <w:spacing w:val="-66"/>
        </w:rPr>
      </w:r>
      <w:r>
        <w:rPr>
          <w:spacing w:val="-2"/>
        </w:rPr>
        <w:t>长率、产量、产品售价、生产成本、经营费用、折现率做出重大判断和假设。由于商誉金额重大，减值测试过程涉及重大管</w:t>
      </w:r>
      <w:r>
        <w:rPr>
          <w:spacing w:val="-72"/>
        </w:rPr>
        <w:t> </w:t>
      </w:r>
      <w:r>
        <w:rPr>
          <w:spacing w:val="-72"/>
        </w:rPr>
      </w:r>
      <w:r>
        <w:rPr/>
        <w:t>理层判断，我们将商誉减值测试作为关键审计事项。</w:t>
      </w:r>
    </w:p>
    <w:p>
      <w:pPr>
        <w:pStyle w:val="BodyText"/>
        <w:spacing w:line="240" w:lineRule="auto" w:before="33"/>
        <w:ind w:left="63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审计中的应对</w:t>
      </w:r>
    </w:p>
    <w:p>
      <w:pPr>
        <w:pStyle w:val="BodyText"/>
        <w:spacing w:line="240" w:lineRule="auto" w:before="109"/>
        <w:ind w:left="63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复核管理层对资产组的认定和商誉的分摊方法。</w:t>
      </w:r>
    </w:p>
    <w:p>
      <w:pPr>
        <w:pStyle w:val="BodyText"/>
        <w:spacing w:line="240" w:lineRule="auto" w:before="110"/>
        <w:ind w:left="63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了解资产组的历史业绩情况及发展规划，以及宏观经济和所属行业的发展趋势。</w:t>
      </w:r>
    </w:p>
    <w:p>
      <w:pPr>
        <w:pStyle w:val="BodyText"/>
        <w:spacing w:line="345" w:lineRule="auto" w:before="109"/>
        <w:ind w:right="0" w:firstLine="48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评价管理层测算资产组可收回价值时采用的假设和方法，包括对资产组收入增长率、预计产量、产品售价、生产</w:t>
      </w:r>
      <w:r>
        <w:rPr>
          <w:w w:val="99"/>
        </w:rPr>
        <w:t> </w:t>
      </w:r>
      <w:r>
        <w:rPr/>
        <w:t>成本、经营费用、折现率等的预测依据。</w:t>
      </w:r>
    </w:p>
    <w:p>
      <w:pPr>
        <w:spacing w:after="0" w:line="345" w:lineRule="auto"/>
        <w:jc w:val="left"/>
        <w:sectPr>
          <w:pgSz w:w="11910" w:h="16840"/>
          <w:pgMar w:header="747" w:footer="979" w:top="1060" w:bottom="1160" w:left="980" w:right="980"/>
        </w:sectPr>
      </w:pPr>
    </w:p>
    <w:p>
      <w:pPr>
        <w:spacing w:line="240" w:lineRule="auto" w:before="8"/>
        <w:rPr>
          <w:rFonts w:ascii="宋体" w:hAnsi="宋体" w:cs="宋体" w:eastAsia="宋体" w:hint="default"/>
          <w:sz w:val="27"/>
          <w:szCs w:val="27"/>
        </w:rPr>
      </w:pPr>
    </w:p>
    <w:p>
      <w:pPr>
        <w:pStyle w:val="BodyText"/>
        <w:spacing w:line="240" w:lineRule="auto"/>
        <w:ind w:left="634" w:right="6752"/>
        <w:jc w:val="left"/>
      </w:pPr>
      <w:r>
        <w:rPr/>
        <w:t>（二）应收账款坏账准备计提</w:t>
      </w:r>
    </w:p>
    <w:p>
      <w:pPr>
        <w:pStyle w:val="BodyText"/>
        <w:spacing w:line="345" w:lineRule="auto" w:before="123"/>
        <w:ind w:left="634" w:right="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关键审计事项 如财务报表附注五、（一）、</w:t>
      </w:r>
      <w:r>
        <w:rPr>
          <w:rFonts w:ascii="Times New Roman" w:hAnsi="Times New Roman" w:cs="Times New Roman" w:eastAsia="Times New Roman" w:hint="default"/>
        </w:rPr>
        <w:t>3</w:t>
      </w:r>
      <w:r>
        <w:rPr/>
        <w:t>所述，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日金冠电气公司应收账款账面余额</w:t>
      </w:r>
      <w:r>
        <w:rPr>
          <w:rFonts w:ascii="Times New Roman" w:hAnsi="Times New Roman" w:cs="Times New Roman" w:eastAsia="Times New Roman" w:hint="default"/>
        </w:rPr>
        <w:t>67,482.85</w:t>
      </w:r>
      <w:r>
        <w:rPr/>
        <w:t>万元，坏账准备余额</w:t>
      </w:r>
    </w:p>
    <w:p>
      <w:pPr>
        <w:pStyle w:val="BodyText"/>
        <w:spacing w:line="355" w:lineRule="auto" w:before="22"/>
        <w:ind w:right="191"/>
        <w:jc w:val="both"/>
      </w:pPr>
      <w:r>
        <w:rPr>
          <w:rFonts w:ascii="Times New Roman" w:hAnsi="Times New Roman" w:cs="Times New Roman" w:eastAsia="Times New Roman" w:hint="default"/>
          <w:spacing w:val="-1"/>
        </w:rPr>
        <w:t>4,493.09</w:t>
      </w:r>
      <w:r>
        <w:rPr>
          <w:spacing w:val="-1"/>
        </w:rPr>
        <w:t>万元，应收账款账面价值</w:t>
      </w:r>
      <w:r>
        <w:rPr>
          <w:rFonts w:ascii="Times New Roman" w:hAnsi="Times New Roman" w:cs="Times New Roman" w:eastAsia="Times New Roman" w:hint="default"/>
          <w:spacing w:val="-1"/>
        </w:rPr>
        <w:t>62,989.76</w:t>
      </w:r>
      <w:r>
        <w:rPr>
          <w:spacing w:val="-1"/>
        </w:rPr>
        <w:t>万元，应收账款账面价值占金冠电气公司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日资产总额的</w:t>
      </w:r>
      <w:r>
        <w:rPr>
          <w:rFonts w:ascii="Times New Roman" w:hAnsi="Times New Roman" w:cs="Times New Roman" w:eastAsia="Times New Roman" w:hint="default"/>
          <w:spacing w:val="-1"/>
        </w:rPr>
        <w:t>20.90%</w:t>
      </w:r>
      <w:r>
        <w:rPr>
          <w:spacing w:val="-1"/>
        </w:rPr>
        <w:t>。由</w:t>
      </w:r>
      <w:r>
        <w:rPr>
          <w:spacing w:val="-36"/>
        </w:rPr>
        <w:t> </w:t>
      </w:r>
      <w:r>
        <w:rPr>
          <w:spacing w:val="-2"/>
        </w:rPr>
        <w:t>于应收账款期末余额重大，坏账准备计提是否合理对财务报表影响较为重大，我们将应收账款坏账准备计提作为关键审计事</w:t>
      </w:r>
      <w:r>
        <w:rPr>
          <w:spacing w:val="-64"/>
        </w:rPr>
        <w:t> </w:t>
      </w:r>
      <w:r>
        <w:rPr>
          <w:spacing w:val="-64"/>
        </w:rPr>
      </w:r>
      <w:r>
        <w:rPr/>
        <w:t>项。</w:t>
      </w:r>
    </w:p>
    <w:p>
      <w:pPr>
        <w:pStyle w:val="BodyText"/>
        <w:spacing w:line="240" w:lineRule="auto" w:before="37"/>
        <w:ind w:left="634" w:right="675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审计中的应对</w:t>
      </w:r>
    </w:p>
    <w:p>
      <w:pPr>
        <w:pStyle w:val="BodyText"/>
        <w:spacing w:line="240" w:lineRule="auto" w:before="109"/>
        <w:ind w:left="634" w:right="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了解、评估并测试金冠电气公司审批客户信用期流程以及关键内部控制。</w:t>
      </w:r>
    </w:p>
    <w:p>
      <w:pPr>
        <w:pStyle w:val="BodyText"/>
        <w:spacing w:line="240" w:lineRule="auto" w:before="109"/>
        <w:ind w:left="634" w:right="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对管理层进行访谈，了解和评估金冠电气公司的应收账款坏账准备计提政策。</w:t>
      </w:r>
    </w:p>
    <w:p>
      <w:pPr>
        <w:pStyle w:val="BodyText"/>
        <w:spacing w:line="345" w:lineRule="auto" w:before="109"/>
        <w:ind w:right="99" w:firstLine="48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对管理层所编制的应收账款账龄分析表准确性进行了测试，获取坏账准备计提表，检查计提方法是否与会计政策</w:t>
      </w:r>
      <w:r>
        <w:rPr>
          <w:w w:val="99"/>
        </w:rPr>
        <w:t> </w:t>
      </w:r>
      <w:r>
        <w:rPr/>
        <w:t>一致；重新计算坏账准备计提金额。</w:t>
      </w:r>
    </w:p>
    <w:p>
      <w:pPr>
        <w:pStyle w:val="BodyText"/>
        <w:spacing w:line="240" w:lineRule="auto"/>
        <w:ind w:left="634" w:right="9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结合应收账款本期及期后回款情况，与管理层讨论重要应收账款的可收回性。</w:t>
      </w:r>
    </w:p>
    <w:p>
      <w:pPr>
        <w:pStyle w:val="BodyText"/>
        <w:spacing w:line="240" w:lineRule="auto" w:before="109"/>
        <w:ind w:left="634" w:right="99"/>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对期末应收账款抽样执行函证程序。</w:t>
      </w:r>
    </w:p>
    <w:p>
      <w:pPr>
        <w:pStyle w:val="BodyText"/>
        <w:spacing w:line="345" w:lineRule="auto" w:before="109"/>
        <w:ind w:left="636" w:right="5632" w:hanging="3"/>
        <w:jc w:val="left"/>
        <w:rPr>
          <w:rFonts w:ascii="宋体" w:hAnsi="宋体" w:cs="宋体" w:eastAsia="宋体" w:hint="default"/>
        </w:rPr>
      </w:pPr>
      <w:r>
        <w:rPr>
          <w:rFonts w:ascii="Times New Roman" w:hAnsi="Times New Roman" w:cs="Times New Roman" w:eastAsia="Times New Roman" w:hint="default"/>
        </w:rPr>
        <w:t>(6)</w:t>
      </w:r>
      <w:r>
        <w:rPr>
          <w:rFonts w:ascii="Times New Roman" w:hAnsi="Times New Roman" w:cs="Times New Roman" w:eastAsia="Times New Roman" w:hint="default"/>
          <w:spacing w:val="26"/>
        </w:rPr>
        <w:t> </w:t>
      </w:r>
      <w:r>
        <w:rPr/>
        <w:t>查询公开信息，关注主要客户的信用状况。</w:t>
      </w:r>
      <w:r>
        <w:rPr>
          <w:w w:val="99"/>
        </w:rPr>
        <w:t> </w:t>
      </w:r>
      <w:r>
        <w:rPr>
          <w:rFonts w:ascii="宋体" w:hAnsi="宋体" w:cs="宋体" w:eastAsia="宋体" w:hint="default"/>
          <w:b/>
          <w:bCs/>
        </w:rPr>
        <w:t>四、其他信息</w:t>
      </w:r>
      <w:r>
        <w:rPr>
          <w:rFonts w:ascii="宋体" w:hAnsi="宋体" w:cs="宋体" w:eastAsia="宋体" w:hint="default"/>
        </w:rPr>
      </w:r>
    </w:p>
    <w:p>
      <w:pPr>
        <w:pStyle w:val="BodyText"/>
        <w:spacing w:line="364" w:lineRule="auto"/>
        <w:ind w:left="634" w:right="99"/>
        <w:jc w:val="left"/>
      </w:pPr>
      <w:r>
        <w:rPr/>
        <w:t>管理层对其他信息负责。其他信息包括年度报告中涵盖的信息，但不包括财务报表和我们的审计报告。 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364" w:lineRule="auto" w:before="29"/>
        <w:ind w:left="634" w:right="99" w:hanging="480"/>
        <w:jc w:val="left"/>
      </w:pPr>
      <w:r>
        <w:rPr/>
        <w:t>过程中了解到的情况存在重大不一致或者似乎存在重大错报。 </w:t>
      </w:r>
      <w:r>
        <w:rPr>
          <w:spacing w:val="-1"/>
        </w:rPr>
        <w:t>基于我们已执行的工作，如果我们确定其他信息存在重大错报，我们应当报告该事实。在这方面，我们无任何事项需</w:t>
      </w:r>
    </w:p>
    <w:p>
      <w:pPr>
        <w:pStyle w:val="BodyText"/>
        <w:spacing w:line="240" w:lineRule="auto" w:before="29"/>
        <w:ind w:right="6752"/>
        <w:jc w:val="left"/>
      </w:pPr>
      <w:r>
        <w:rPr/>
        <w:t>要报告。</w:t>
      </w:r>
    </w:p>
    <w:p>
      <w:pPr>
        <w:spacing w:line="364" w:lineRule="auto" w:before="123"/>
        <w:ind w:left="634" w:right="99" w:firstLine="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管理层负责按照企业会计准则的规定编制财务报表，使其实现公允反映，并设计、执行和维护必要的内部控制，以使</w:t>
      </w:r>
    </w:p>
    <w:p>
      <w:pPr>
        <w:pStyle w:val="BodyText"/>
        <w:spacing w:line="364" w:lineRule="auto" w:before="29"/>
        <w:ind w:left="634" w:right="99" w:hanging="480"/>
        <w:jc w:val="left"/>
      </w:pPr>
      <w:r>
        <w:rPr/>
        <w:t>财务报表不存在由于舞弊或错误导致的重大错报。 </w:t>
      </w:r>
      <w:r>
        <w:rPr>
          <w:spacing w:val="-1"/>
        </w:rPr>
        <w:t>在编制财务报表时，管理层负责评估金冠电气公司的持续经营能力，披露与持续经营相关的事项（如适用），并运用</w:t>
      </w:r>
    </w:p>
    <w:p>
      <w:pPr>
        <w:pStyle w:val="BodyText"/>
        <w:spacing w:line="364" w:lineRule="auto" w:before="29"/>
        <w:ind w:left="634" w:right="99" w:hanging="480"/>
        <w:jc w:val="left"/>
      </w:pPr>
      <w:r>
        <w:rPr/>
        <w:t>持续经营假设，除非计划进行清算、终止运营或别无其他现实的选择。 金冠电气公司治理层（以下简称治理层）负责监督金冠电气公司的财务报告过程。 </w:t>
      </w:r>
      <w:r>
        <w:rPr>
          <w:rFonts w:ascii="宋体" w:hAnsi="宋体" w:cs="宋体" w:eastAsia="宋体" w:hint="default"/>
          <w:b/>
          <w:bCs/>
        </w:rPr>
        <w:t>六、注册会计师对财务报表审计的责任</w:t>
      </w:r>
      <w:r>
        <w:rPr>
          <w:rFonts w:ascii="宋体" w:hAnsi="宋体" w:cs="宋体" w:eastAsia="宋体" w:hint="default"/>
          <w:b/>
          <w:bCs/>
          <w:w w:val="99"/>
        </w:rPr>
        <w:t> </w:t>
      </w:r>
      <w:r>
        <w:rPr>
          <w:spacing w:val="-1"/>
        </w:rPr>
        <w:t>我们的目标是对财务报表整体是否不存在由于舞弊或错误导致的重大错报获取合理保证，并出具包含审计意见的审计</w:t>
      </w:r>
    </w:p>
    <w:p>
      <w:pPr>
        <w:pStyle w:val="BodyText"/>
        <w:spacing w:line="364" w:lineRule="auto" w:before="29"/>
        <w:ind w:right="192"/>
        <w:jc w:val="both"/>
      </w:pP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29"/>
        <w:ind w:left="634" w:right="99"/>
        <w:jc w:val="left"/>
      </w:pPr>
      <w:r>
        <w:rPr/>
        <w:t>在按照审计准则执行审计工作的过程中，我们运用职业判断，并保持职业怀疑。同时，我们也执行以下工作：</w:t>
      </w:r>
    </w:p>
    <w:p>
      <w:pPr>
        <w:pStyle w:val="BodyText"/>
        <w:spacing w:line="355" w:lineRule="auto" w:before="123"/>
        <w:ind w:right="109" w:firstLine="48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识别和评估由于舞弊或错误导致的财务报表重大错报风险，设计和实施审计程序以应对这些风险，并获取充分、</w:t>
      </w:r>
      <w:r>
        <w:rPr>
          <w:w w:val="99"/>
        </w:rPr>
        <w:t> </w:t>
      </w:r>
      <w:r>
        <w:rPr/>
        <w:t>适当的审计证据，作为发表审计意见的基础。由于舞弊可能涉及串通、伪造、故意遗漏、虚假陈述或凌驾于内部控制之上，</w:t>
      </w:r>
      <w:r>
        <w:rPr>
          <w:w w:val="99"/>
        </w:rPr>
        <w:t> </w:t>
      </w:r>
      <w:r>
        <w:rPr/>
        <w:t>未能发现由于舞弊导致的重大错报的风险高于未能发现由于错误导致的重大错报的风险。</w:t>
      </w:r>
    </w:p>
    <w:p>
      <w:pPr>
        <w:pStyle w:val="BodyText"/>
        <w:spacing w:line="240" w:lineRule="auto" w:before="37"/>
        <w:ind w:left="634" w:right="9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了解与审计相关的内部控制，以设计恰当的审计程序，但目的并非对内部控制的有效性发表意见。</w:t>
      </w:r>
    </w:p>
    <w:p>
      <w:pPr>
        <w:pStyle w:val="BodyText"/>
        <w:spacing w:line="240" w:lineRule="auto" w:before="109"/>
        <w:ind w:left="634" w:right="9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评价管理层选用会计政策的恰当性和作出会计估计及相关披露的合理性。</w:t>
      </w:r>
    </w:p>
    <w:p>
      <w:pPr>
        <w:pStyle w:val="BodyText"/>
        <w:spacing w:line="240" w:lineRule="auto" w:before="109"/>
        <w:ind w:left="634" w:right="9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对管理层使用持续经营假设的恰当性得出结论。同时，根据获取的审计证据，就可能导致对金冠电气公司持续经</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7"/>
          <w:szCs w:val="27"/>
        </w:rPr>
      </w:pPr>
    </w:p>
    <w:p>
      <w:pPr>
        <w:pStyle w:val="BodyText"/>
        <w:spacing w:line="364" w:lineRule="auto"/>
        <w:ind w:right="150"/>
        <w:jc w:val="both"/>
      </w:pPr>
      <w:r>
        <w:rPr>
          <w:spacing w:val="-2"/>
        </w:rPr>
        <w:t>营能力产生重大疑虑的事项或情况是否存在重大不确定性得出结论。如果我们得出结论认为存在重大不确定性，审计准则要</w:t>
      </w:r>
      <w:r>
        <w:rPr>
          <w:spacing w:val="-63"/>
        </w:rPr>
        <w:t> </w:t>
      </w:r>
      <w:r>
        <w:rPr>
          <w:spacing w:val="-63"/>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论基于截至审计报告日可获得的信息。然而，未来的事项或情况可能导致金冠电气公司不能持续经营。</w:t>
      </w:r>
    </w:p>
    <w:p>
      <w:pPr>
        <w:pStyle w:val="BodyText"/>
        <w:spacing w:line="240" w:lineRule="auto" w:before="29"/>
        <w:ind w:left="634"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评价财务报表的总体列报、结构和内容（包括披露），并评价财务报表是否公允反映相关交易和事项。</w:t>
      </w:r>
    </w:p>
    <w:p>
      <w:pPr>
        <w:pStyle w:val="BodyText"/>
        <w:spacing w:line="345" w:lineRule="auto" w:before="110"/>
        <w:ind w:right="150" w:firstLine="480"/>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就金冠电气公司中实体或业务活动的财务信息获取充分、适当的审计证据，以对财务报表发表审计意见。我们负</w:t>
      </w:r>
      <w:r>
        <w:rPr>
          <w:w w:val="99"/>
        </w:rPr>
        <w:t> </w:t>
      </w:r>
      <w:r>
        <w:rPr/>
        <w:t>责指导、监督和执行集团审计，并对审计意见承担全部责任。</w:t>
      </w:r>
    </w:p>
    <w:p>
      <w:pPr>
        <w:pStyle w:val="BodyText"/>
        <w:spacing w:line="364" w:lineRule="auto"/>
        <w:ind w:right="151" w:firstLine="480"/>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64" w:lineRule="auto" w:before="29"/>
        <w:ind w:right="153" w:firstLine="480"/>
        <w:jc w:val="both"/>
      </w:pPr>
      <w:r>
        <w:rPr>
          <w:spacing w:val="-1"/>
        </w:rPr>
        <w:t>我们还就已遵守与独立性相关的职业道德要求向治理层提供声明，并与治理层沟通可能被合理认为影响我们独立性的</w:t>
      </w:r>
      <w:r>
        <w:rPr/>
        <w:t> 所有关系和其他事项，以及相关的防范措施（如适用）。</w:t>
      </w:r>
    </w:p>
    <w:p>
      <w:pPr>
        <w:pStyle w:val="BodyText"/>
        <w:spacing w:line="364" w:lineRule="auto" w:before="29"/>
        <w:ind w:right="153"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tabs>
          <w:tab w:pos="4755" w:val="left" w:leader="none"/>
        </w:tabs>
        <w:spacing w:line="240" w:lineRule="auto" w:before="0"/>
        <w:ind w:right="0"/>
        <w:jc w:val="both"/>
      </w:pPr>
      <w:r>
        <w:rPr/>
        <w:t>天健会计师事务所（特殊普通合伙）</w:t>
        <w:tab/>
        <w:t>中国注册会计师：</w:t>
      </w:r>
    </w:p>
    <w:p>
      <w:pPr>
        <w:pStyle w:val="BodyText"/>
        <w:spacing w:line="240" w:lineRule="auto" w:before="123"/>
        <w:ind w:left="2604" w:right="1845"/>
        <w:jc w:val="center"/>
      </w:pPr>
      <w:r>
        <w:rPr/>
        <w:t>（项目合伙人）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pStyle w:val="BodyText"/>
        <w:tabs>
          <w:tab w:pos="4769" w:val="left" w:leader="none"/>
        </w:tabs>
        <w:spacing w:line="240" w:lineRule="auto" w:before="0"/>
        <w:ind w:left="574" w:right="0"/>
        <w:jc w:val="left"/>
      </w:pPr>
      <w:r>
        <w:rPr>
          <w:spacing w:val="-1"/>
        </w:rPr>
        <w:t>中国</w:t>
      </w:r>
      <w:r>
        <w:rPr>
          <w:rFonts w:ascii="Times New Roman" w:hAnsi="Times New Roman" w:cs="Times New Roman" w:eastAsia="Times New Roman" w:hint="default"/>
          <w:spacing w:val="-1"/>
        </w:rPr>
        <w:t>·</w:t>
      </w:r>
      <w:r>
        <w:rPr>
          <w:spacing w:val="-1"/>
        </w:rPr>
        <w:t>杭州</w:t>
        <w:tab/>
        <w:t>中国注册会计师：</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before="0"/>
        <w:ind w:left="2604" w:right="1954"/>
        <w:jc w:val="center"/>
      </w:pPr>
      <w:r>
        <w:rPr/>
        <w:t>二〇一八年四月十九日</w:t>
      </w:r>
    </w:p>
    <w:p>
      <w:pPr>
        <w:spacing w:line="240" w:lineRule="auto" w:before="13"/>
        <w:rPr>
          <w:rFonts w:ascii="宋体" w:hAnsi="宋体" w:cs="宋体" w:eastAsia="宋体" w:hint="default"/>
          <w:sz w:val="26"/>
          <w:szCs w:val="26"/>
        </w:rPr>
      </w:pPr>
    </w:p>
    <w:p>
      <w:pPr>
        <w:pStyle w:val="Heading2"/>
        <w:spacing w:line="240" w:lineRule="auto"/>
        <w:ind w:right="0"/>
        <w:jc w:val="both"/>
        <w:rPr>
          <w:b w:val="0"/>
          <w:bCs w:val="0"/>
        </w:rPr>
      </w:pPr>
      <w:bookmarkStart w:name="二、财务报表" w:id="158"/>
      <w:bookmarkEnd w:id="15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240" w:lineRule="auto"/>
        <w:ind w:right="-20"/>
        <w:jc w:val="left"/>
      </w:pPr>
      <w:r>
        <w:rPr/>
        <w:t>编制单位：吉林省金冠电气股份有限公司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980"/>
          <w:cols w:num="3" w:equalWidth="0">
            <w:col w:w="3395" w:space="683"/>
            <w:col w:w="1639" w:space="3203"/>
            <w:col w:w="103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501,704,155.23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270,107,748.10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20,857,768.97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13,074,633.94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629,897,641.33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217,503,194.58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15,754,464.09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9,680,662.67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477,199.59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83,872,498.25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9,217,318.32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118,265,411.10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59,694,511.47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49,450.24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19,367,226.05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1,390,196,364.61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579,327,519.32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324,938,114.73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105,976,952.38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36,552,225.52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63,304,553.66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80,587,846.55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17,613,278.88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1,118,765,692.55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19,654.12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7,679,247.70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2,430,786.62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55,496,681.75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38,653,263.78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1,624,039,462.92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227,978,835.32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3,014,235,827.53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807,306,354.64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133,538,982.79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63,188,431.80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220,706,721.38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83,844,214.32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3,769,050.10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4,038,563.62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7,294,194.58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33,047.46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18,889,744.49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6,966,340.99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336,582.64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5,685,118.30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490,014.89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574,750,394.28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178,560,613.08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104,750,422.10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16,255,458.29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104,750,422.10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16,255,458.29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679,500,816.38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194,816,071.37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226,283,357.00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173,842,000.00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1,740,668,536.19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189,819,756.96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66,111.57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29,872,659.67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25,092,340.99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320,463,944.11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210,019,800.89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2,317,354,608.54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598,773,898.84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17,380,402.61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13,716,384.43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2,334,735,011.15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612,490,283.27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3,014,235,827.53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807,306,354.64</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ind w:left="0" w:right="249"/>
        <w:jc w:val="right"/>
      </w:pPr>
      <w:r>
        <w:rPr/>
        <w:t>法定代表人：徐海江</w:t>
        <w:tab/>
        <w:t>主管会计工作负责人：文聪</w:t>
        <w:tab/>
        <w:t>会计机构负责人：侯大艳</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310,616,984.29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247,599,394.25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10,777,633.94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234,276,455.77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187,497,153.00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6,738,049.93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9,296,106.24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477,199.59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59,648,091.08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6,773,360.87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42,873,993.77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47,217,965.16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578,901.12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661,959,675.55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509,161,613.46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1,623,841,584.41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31,394,330.00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3,107,768.27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3,302,277.83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170,283,250.11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95,957,880.48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23,770,532.35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63,304,553.66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17,851,854.01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17,560,167.73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2,540,872.66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2,204,758.12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53,571,625.41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38,531,263.78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1,894,967,487.22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252,255,231.60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2,556,927,162.77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761,416,845.06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64,796,402.50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63,188,431.80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84,014,803.51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67,297,816.80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3,062,351.13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3,587,724.02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35,228.38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31,386.25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4,730,057.48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5,558,059.39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303,353.48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132,591.16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480,055.71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316,604,787.64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155,143,473.97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34,336,559.56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16,255,458.29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34,336,559.56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16,255,458.29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350,941,347.20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171,398,932.26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226,283,357.00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173,842,000.00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1,716,034,735.39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189,880,856.42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29,872,659.67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25,092,340.99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233,795,063.51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201,202,715.39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2,205,985,815.57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590,017,912.80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2,556,927,162.77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761,416,845.06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741,314,476.23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378,225,977.89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741,314,476.23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378,225,977.89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605,307,305.94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311,900,296.03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464,212,422.58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237,058,389.96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7,988,302.16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3,428,203.24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40,525,966.79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22,166,832.64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83,525,190.30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45,886,324.67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989,292.04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-1,855,073.24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8,066,132.07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5,215,618.76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73"/>
              <w:jc w:val="righ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45,564.01</w:t>
            </w: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26.29998pt;width:157.7pt;height:19.650pt;mso-position-horizontal-relative:page;mso-position-vertical-relative:page;z-index:-2127904" coordorigin="4242,2526" coordsize="3154,393">
            <v:shape style="position:absolute;left:4242;top:2526;width:3154;height:393" coordorigin="4242,2526" coordsize="3154,393" path="m4242,2919l7396,2919,7396,2526,4242,2526,4242,2919xe" filled="true" fillcolor="#ffffff" stroked="false">
              <v:path arrowok="t"/>
              <v:fill type="solid"/>
            </v:shape>
            <w10:wrap type="none"/>
          </v:group>
        </w:pict>
      </w:r>
      <w:r>
        <w:rPr/>
        <w:pict>
          <v:group style="position:absolute;margin-left:212.119995pt;margin-top:262.519989pt;width:157.7pt;height:19.650pt;mso-position-horizontal-relative:page;mso-position-vertical-relative:page;z-index:-2127880" coordorigin="4242,5250" coordsize="3154,393">
            <v:shape style="position:absolute;left:4242;top:5250;width:3154;height:393" coordorigin="4242,5250" coordsize="3154,393" path="m4242,5643l7396,5643,7396,5250,4242,5250,4242,564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-485,273.99</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14,409,471.69</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149,976,932.00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66,325,681.86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452,965.05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4,922,763.27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205,342.87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29,662.58</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150,224,554.18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71,218,782.55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21,442,751.35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10,574,540.66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128,781,802.83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60,644,241.89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128,781,802.83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60,644,241.89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125,654,981.90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56,366,791.21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3,126,820.93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4,277,450.68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66,111.57</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66,111.57</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66,111.57</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持有至到期投资重分类为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66,111.57</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128,847,914.40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60,644,241.89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125,721,093.47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56,366,791.21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3,126,820.93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4,277,450.68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r>
    </w:tbl>
    <w:p>
      <w:pPr>
        <w:pStyle w:val="BodyText"/>
        <w:tabs>
          <w:tab w:pos="3664" w:val="left" w:leader="none"/>
          <w:tab w:pos="7715" w:val="left" w:leader="none"/>
        </w:tabs>
        <w:spacing w:line="624" w:lineRule="auto" w:before="51"/>
        <w:ind w:right="249"/>
        <w:jc w:val="left"/>
      </w:pPr>
      <w:r>
        <w:rPr/>
        <w:t>本期发生同一控制下企业合并的，被合并方在合并前实现的净利润为：元，上期被合并方实现的净利润为：元。 法定代表人：徐海江</w:t>
        <w:tab/>
        <w:t>主管会计工作负责人：文聪</w:t>
        <w:tab/>
        <w:t>会计机构负责人：侯大艳</w:t>
      </w:r>
    </w:p>
    <w:p>
      <w:pPr>
        <w:pStyle w:val="Heading4"/>
        <w:spacing w:line="240" w:lineRule="auto" w:before="63"/>
        <w:ind w:right="0"/>
        <w:jc w:val="left"/>
        <w:rPr>
          <w:b w:val="0"/>
          <w:bCs w:val="0"/>
        </w:rPr>
      </w:pPr>
      <w:bookmarkStart w:name="4、母公司利润表" w:id="162"/>
      <w:bookmarkEnd w:id="16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332,106,190.31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301,027,831.12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215,170,382.31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193,721,124.11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4,460,933.19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2,637,900.08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16,321,929.09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16,206,920.42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39,249,809.73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35,525,139.64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505,715.96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-1,950,577.44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2,240,763.64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4,379,813.30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-485,273.99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2,237,703.73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55,909,086.13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50,507,511.01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247,581.73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4,795,718.01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114,868.88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29,227.25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56,041,798.98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55,274,001.77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8,238,612.18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8,310,912.32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47,803,186.80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46,963,089.45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47,803,186.80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46,963,089.45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47,803,186.80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46,963,089.45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8"/>
          <w:pgSz w:w="11910" w:h="16840"/>
          <w:pgMar w:footer="979" w:header="747"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586,350,323.21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301,186,754.94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1,661,826.60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75,394,476.44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23,203,011.75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663,406,626.25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324,389,766.69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342,065,371.18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175,554,638.20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57,119,511.18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33,044,800.03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59,629,846.09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35,269,452.28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171,231,070.06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56,349,447.28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630,045,798.51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300,218,337.79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33,360,827.74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24,171,428.90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29"/>
          <w:pgSz w:w="11910" w:h="16840"/>
          <w:pgMar w:footer="979" w:header="747" w:top="1060" w:bottom="1160" w:left="980" w:right="98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59,084.95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138,892.00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81,701,105.00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125,899,081.95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75,404,590.44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124,983,739.42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344,770,689.06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716,175,279.50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124,983,739.42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-590,276,197.55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-121,983,739.42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483,524,515.35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248,292,300.00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286,410,000.00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60,788,518.37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830,723,033.72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281,292,300.00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165,379,999.99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13,512,316.11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10,861,915.73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60,788,518.37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7,268,100.00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239,680,834.47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44,130,015.73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591,042,199.25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237,162,284.27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-32,976.22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34,093,853.22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139,349,973.75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252,438,614.18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113,088,640.43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286,532,467.40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252,438,614.18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286,644,618.08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235,765,350.32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879,928.54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30,675,417.40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16,361,444.31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318,199,964.02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252,126,794.63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164,919,843.67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139,017,878.19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25,541,104.70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23,765,890.02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32,043,361.41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26,907,624.90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61,002,533.70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43,416,331.11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283,506,843.48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233,107,724.22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34,693,120.54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19,019,070.41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948,553.65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138,892.00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69,618,805.00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70,706,250.65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61,626,686.98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124,548,539.42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597,974,000.00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1,013,130.00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814,600,686.98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125,561,669.42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-743,894,436.33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-122,561,669.42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483,024,515.35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248,292,300.00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757,434,515.35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273,292,300.00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12,469,076.62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10,749,978.74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7,268,100.00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142,349,076.62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38,018,078.74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615,085,438.73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235,274,221.26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-94,115,877.06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131,731,622.25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230,110,223.45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98,378,601.20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135,994,346.39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230,110,223.45</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173,84</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189,819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,756.96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25,092,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340.99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210,019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,800.89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13,716,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384.43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612,490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,283.27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173,84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189,819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,756.96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25,092,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340.99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210,019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,800.89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13,716,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384.43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612,490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,283.27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1,550,8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48,779.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66,111.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4,780,3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18.68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110,444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,143.22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3,664,0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18.18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44,727.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66,111.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125,654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,981.90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3,126,8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20.93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128,847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,914.40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1,550,5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95,779.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383,257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20,394.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1,550,4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79,037.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20,394.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116,742</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-116,74</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2.20</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4,780,3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18.68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-15,210,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838.68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-10,430,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520.00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4,780,3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18.68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-4,780,3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18.68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-10,430,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-10,430,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520.00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253,000</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153,939</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406,939</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.45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226,28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3,357.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1,740,6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68,536.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66,111.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29,872,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659.67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320,463</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,944.11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17,380,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402.61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35,011.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r>
    </w:tbl>
    <w:p>
      <w:pPr>
        <w:pStyle w:val="BodyText"/>
        <w:spacing w:line="240" w:lineRule="auto" w:before="51"/>
        <w:ind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65,121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58,172,</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900.54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20,396,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032.04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168,768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,678.63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9,438,9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33.75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321,897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,544.96</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65,121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58,172,</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900.54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20,396,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032.04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168,768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,678.63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9,438,9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33.75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321,897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,544.96</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108,72</w:t>
            </w: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131,646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,856.42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4,696,3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08.95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41,251,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122.26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4,277,4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50.68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290,592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,738.31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56,366,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791.21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4,277,4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50.68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60,644,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241.89</w:t>
            </w: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218,567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,856.42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240,367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,856.42</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21,800</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218,567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,856.42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240,367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,856.42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4,696,3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08.95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-15,115,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668.95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-10,419,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360.00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4,696,3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08.95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-4,696,3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08.95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-10,419,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360.00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-10,419,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360.00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-86,921,</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-86,921,</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173,84</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189,819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,756.96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25,092,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340.99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210,019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,800.89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13,716,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384.43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612,490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,283.27</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6"/>
        <w:ind w:left="0" w:right="150"/>
        <w:jc w:val="right"/>
      </w:pPr>
      <w:r>
        <w:rPr/>
        <w:t>单位：元</w:t>
      </w:r>
    </w:p>
    <w:p>
      <w:pPr>
        <w:spacing w:after="0" w:line="240" w:lineRule="auto"/>
        <w:jc w:val="right"/>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173,842,</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189,880,8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56.42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25,092,34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0.99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201,202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,715.39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590,017,9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12.80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173,842,</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189,880,8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56.42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25,092,34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0.99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201,202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,715.39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590,017,9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12.80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52,441,3</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1,526,153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,878.97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4,780,318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32,592,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348.12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1,615,967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,902.77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47,803,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186.80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47,803,18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6.80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52,441,3</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1,550,479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,037.03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1,602,920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,394.03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52,441,3</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1,550,479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,037.03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1,602,920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,394.03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4,780,318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-15,210,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838.68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-10,430,5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4,780,318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-4,780,3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18.68</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-10,430,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520.00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-10,430,5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-24,325,1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58.06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-24,325,1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58.06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226,283,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1,716,034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,735.39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29,872,65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233,795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,063.51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2,205,985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,815.57</w:t>
            </w:r>
          </w:p>
        </w:tc>
      </w:tr>
    </w:tbl>
    <w:p>
      <w:pPr>
        <w:pStyle w:val="BodyText"/>
        <w:spacing w:line="240" w:lineRule="auto" w:before="51"/>
        <w:ind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65,121,0</w:t>
            </w:r>
          </w:p>
          <w:p>
            <w:pPr>
              <w:pStyle w:val="TableParagraph"/>
              <w:spacing w:line="240" w:lineRule="auto" w:before="105"/>
              <w:ind w:left="257"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58,234,00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20,396,03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2.04</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169,355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,294.89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313,106,3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26.93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65,121,0</w:t>
            </w:r>
          </w:p>
          <w:p>
            <w:pPr>
              <w:pStyle w:val="TableParagraph"/>
              <w:spacing w:line="240" w:lineRule="auto" w:before="105"/>
              <w:ind w:left="257"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58,234,00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20,396,03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2.04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169,355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,294.89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313,106,3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26.93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108,721,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131,646,8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56.42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4,696,308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31,847,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420.50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276,911,5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85.87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46,963,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089.45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46,963,08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9.45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21,800,0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218,567,8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56.42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240,367,8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56.42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21,800,0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218,567,8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56.42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240,367,8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56.42</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4,696,308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-15,115,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668.95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-10,419,3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4,696,308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-4,696,3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08.95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-10,419,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360.00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-10,419,3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86,921,0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-86,921,0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86,921,0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-86,921,0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173,842,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189,880,8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56.42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25,092,34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201,202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,715.39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590,017,9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12.80</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三、公司基本情况" w:id="167"/>
      <w:bookmarkEnd w:id="167"/>
      <w:r>
        <w:rPr>
          <w:b w:val="0"/>
          <w:bCs w:val="0"/>
        </w:rPr>
      </w:r>
      <w:r>
        <w:rPr/>
        <w:t>三、公司基本情况</w:t>
      </w:r>
      <w:r>
        <w:rPr>
          <w:b w:val="0"/>
          <w:bCs w:val="0"/>
        </w:rPr>
      </w:r>
    </w:p>
    <w:p>
      <w:pPr>
        <w:spacing w:line="240" w:lineRule="auto" w:before="3"/>
        <w:rPr>
          <w:rFonts w:ascii="宋体" w:hAnsi="宋体" w:cs="宋体" w:eastAsia="宋体" w:hint="default"/>
          <w:b/>
          <w:bCs/>
          <w:sz w:val="28"/>
          <w:szCs w:val="28"/>
        </w:rPr>
      </w:pPr>
    </w:p>
    <w:p>
      <w:pPr>
        <w:pStyle w:val="BodyText"/>
        <w:spacing w:line="240" w:lineRule="auto" w:before="0"/>
        <w:ind w:left="574" w:right="0"/>
        <w:jc w:val="left"/>
      </w:pPr>
      <w:r>
        <w:rPr/>
        <w:t>吉林省金冠电气股份有限公司（以下简称公司或本公司）系由徐海江、徐海涛、郭长兴共同出资组建的股份公司，于</w:t>
      </w:r>
    </w:p>
    <w:p>
      <w:pPr>
        <w:pStyle w:val="BodyText"/>
        <w:spacing w:line="240" w:lineRule="auto" w:before="123"/>
        <w:ind w:right="0"/>
        <w:jc w:val="both"/>
      </w:pPr>
      <w:r>
        <w:rPr>
          <w:rFonts w:ascii="Times New Roman" w:hAnsi="Times New Roman" w:cs="Times New Roman" w:eastAsia="Times New Roman" w:hint="default"/>
        </w:rPr>
        <w:t>2006</w:t>
      </w:r>
      <w:r>
        <w:rPr>
          <w:rFonts w:ascii="Times New Roman" w:hAnsi="Times New Roman" w:cs="Times New Roman" w:eastAsia="Times New Roman" w:hint="default"/>
          <w:spacing w:val="-22"/>
        </w:rPr>
        <w:t> </w:t>
      </w:r>
      <w:r>
        <w:rPr/>
        <w:t>年</w:t>
      </w:r>
      <w:r>
        <w:rPr>
          <w:spacing w:val="-66"/>
        </w:rPr>
        <w:t>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t>月</w:t>
      </w:r>
      <w:r>
        <w:rPr>
          <w:spacing w:val="-67"/>
        </w:rPr>
        <w:t> </w:t>
      </w:r>
      <w:r>
        <w:rPr>
          <w:rFonts w:ascii="Times New Roman" w:hAnsi="Times New Roman" w:cs="Times New Roman" w:eastAsia="Times New Roman" w:hint="default"/>
        </w:rPr>
        <w:t>19</w:t>
      </w:r>
      <w:r>
        <w:rPr>
          <w:rFonts w:ascii="Times New Roman" w:hAnsi="Times New Roman" w:cs="Times New Roman" w:eastAsia="Times New Roman" w:hint="default"/>
          <w:spacing w:val="-22"/>
        </w:rPr>
        <w:t> </w:t>
      </w:r>
      <w:r>
        <w:rPr>
          <w:spacing w:val="20"/>
        </w:rPr>
        <w:t>日在吉林省工商行政管理局登记注册，总部位于吉林省长春市，公司现持有统一社会信用</w:t>
      </w:r>
      <w:r>
        <w:rPr>
          <w:spacing w:val="-66"/>
        </w:rPr>
        <w:t> </w:t>
      </w:r>
      <w:r>
        <w:rPr/>
        <w:t>代</w:t>
      </w:r>
      <w:r>
        <w:rPr>
          <w:spacing w:val="-66"/>
        </w:rPr>
        <w:t> </w:t>
      </w:r>
      <w:r>
        <w:rPr/>
        <w:t>码</w:t>
      </w:r>
      <w:r>
        <w:rPr>
          <w:spacing w:val="-66"/>
        </w:rPr>
        <w:t> </w:t>
      </w:r>
      <w:r>
        <w:rPr/>
        <w:t>为</w:t>
      </w:r>
    </w:p>
    <w:p>
      <w:pPr>
        <w:pStyle w:val="BodyText"/>
        <w:spacing w:line="345" w:lineRule="auto" w:before="109"/>
        <w:ind w:right="172"/>
        <w:jc w:val="both"/>
      </w:pPr>
      <w:r>
        <w:rPr>
          <w:rFonts w:ascii="Times New Roman" w:hAnsi="Times New Roman" w:cs="Times New Roman" w:eastAsia="Times New Roman" w:hint="default"/>
        </w:rPr>
        <w:t>912200007911418611</w:t>
      </w:r>
      <w:r>
        <w:rPr/>
        <w:t>的营业执照，注册资本</w:t>
      </w:r>
      <w:r>
        <w:rPr>
          <w:rFonts w:ascii="Times New Roman" w:hAnsi="Times New Roman" w:cs="Times New Roman" w:eastAsia="Times New Roman" w:hint="default"/>
        </w:rPr>
        <w:t>22,628.34</w:t>
      </w:r>
      <w:r>
        <w:rPr/>
        <w:t>万元，股份总数</w:t>
      </w:r>
      <w:r>
        <w:rPr>
          <w:rFonts w:ascii="Times New Roman" w:hAnsi="Times New Roman" w:cs="Times New Roman" w:eastAsia="Times New Roman" w:hint="default"/>
        </w:rPr>
        <w:t>22,628.34</w:t>
      </w:r>
      <w:r>
        <w:rPr/>
        <w:t>万股（每股面值</w:t>
      </w:r>
      <w:r>
        <w:rPr>
          <w:rFonts w:ascii="Times New Roman" w:hAnsi="Times New Roman" w:cs="Times New Roman" w:eastAsia="Times New Roman" w:hint="default"/>
        </w:rPr>
        <w:t>1</w:t>
      </w:r>
      <w:r>
        <w:rPr/>
        <w:t>元）。其中，有限售条件的</w:t>
      </w:r>
      <w:r>
        <w:rPr>
          <w:spacing w:val="-85"/>
        </w:rPr>
        <w:t> </w:t>
      </w:r>
      <w:r>
        <w:rPr>
          <w:spacing w:val="-85"/>
        </w:rPr>
      </w:r>
      <w:r>
        <w:rPr>
          <w:spacing w:val="-2"/>
        </w:rPr>
        <w:t>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15,222.52</w:t>
      </w:r>
      <w:r>
        <w:rPr>
          <w:spacing w:val="-2"/>
        </w:rPr>
        <w:t>万股；无限售条件的流通股份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7,405.82</w:t>
      </w:r>
      <w:r>
        <w:rPr>
          <w:spacing w:val="-2"/>
        </w:rPr>
        <w:t>万股。公司股票于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6</w:t>
      </w:r>
      <w:r>
        <w:rPr>
          <w:spacing w:val="-2"/>
        </w:rPr>
        <w:t>日在深圳证券交易所挂牌交</w:t>
      </w:r>
      <w:r>
        <w:rPr>
          <w:spacing w:val="-34"/>
        </w:rPr>
        <w:t> </w:t>
      </w:r>
      <w:r>
        <w:rPr/>
        <w:t>易。</w:t>
      </w:r>
    </w:p>
    <w:p>
      <w:pPr>
        <w:pStyle w:val="BodyText"/>
        <w:spacing w:line="364" w:lineRule="auto"/>
        <w:ind w:right="173" w:firstLine="420"/>
        <w:jc w:val="both"/>
      </w:pPr>
      <w:r>
        <w:rPr/>
        <w:t>本公司属于输配电及控制设备制造行业。经营范围：智能型高低压电气成套设备、环网开关设备、柱上开关设备、电 </w:t>
      </w:r>
      <w:r>
        <w:rPr>
          <w:spacing w:val="-2"/>
        </w:rPr>
        <w:t>线电缆、冷、热缩电缆附件、硅橡胶、绝缘材料、绝缘制品、电力变压器、交直流充电设备、电力自动化产品、继电保护装</w:t>
      </w:r>
      <w:r>
        <w:rPr>
          <w:spacing w:val="-69"/>
        </w:rPr>
        <w:t> </w:t>
      </w:r>
      <w:r>
        <w:rPr>
          <w:spacing w:val="-69"/>
        </w:rPr>
      </w:r>
      <w:r>
        <w:rPr/>
        <w:t>置、电子电器产品生产、销售、研发及技术咨询。</w:t>
      </w:r>
    </w:p>
    <w:p>
      <w:pPr>
        <w:pStyle w:val="BodyText"/>
        <w:spacing w:line="240" w:lineRule="auto" w:before="29"/>
        <w:ind w:left="574" w:right="0"/>
        <w:jc w:val="left"/>
      </w:pPr>
      <w:r>
        <w:rPr/>
        <w:t>主要产品：</w:t>
      </w:r>
      <w:r>
        <w:rPr>
          <w:rFonts w:ascii="Times New Roman" w:hAnsi="Times New Roman" w:cs="Times New Roman" w:eastAsia="Times New Roman" w:hint="default"/>
        </w:rPr>
        <w:t>C-GIS</w:t>
      </w:r>
      <w:r>
        <w:rPr/>
        <w:t>智能环网柜、智能高压开关柜、真空断路器、箱式变电站和低压开关柜、电表、用电信息采集设备、</w:t>
      </w:r>
    </w:p>
    <w:p>
      <w:pPr>
        <w:spacing w:after="0" w:line="240" w:lineRule="auto"/>
        <w:jc w:val="left"/>
        <w:sectPr>
          <w:pgSz w:w="11910" w:h="16840"/>
          <w:pgMar w:header="747" w:footer="979" w:top="1060" w:bottom="1160" w:left="980" w:right="960"/>
        </w:sectPr>
      </w:pPr>
    </w:p>
    <w:p>
      <w:pPr>
        <w:spacing w:line="240" w:lineRule="auto" w:before="8"/>
        <w:rPr>
          <w:rFonts w:ascii="宋体" w:hAnsi="宋体" w:cs="宋体" w:eastAsia="宋体" w:hint="default"/>
          <w:sz w:val="27"/>
          <w:szCs w:val="27"/>
        </w:rPr>
      </w:pPr>
    </w:p>
    <w:p>
      <w:pPr>
        <w:pStyle w:val="BodyText"/>
        <w:spacing w:line="240" w:lineRule="auto"/>
        <w:ind w:right="6752"/>
        <w:jc w:val="left"/>
      </w:pPr>
      <w:r>
        <w:rPr/>
        <w:t>充电桩等。</w:t>
      </w:r>
    </w:p>
    <w:p>
      <w:pPr>
        <w:pStyle w:val="BodyText"/>
        <w:spacing w:line="345" w:lineRule="auto" w:before="123"/>
        <w:ind w:right="90" w:firstLine="420"/>
        <w:jc w:val="left"/>
      </w:pPr>
      <w:r>
        <w:rPr/>
        <w:t>本财务报表业经公司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日第四届董事会第三十六次会议批准对外报出。 本公司将吉林省埃尔顿电气有限公司、浙江开盛电气有限公司、欧内斯特电气有限公司（</w:t>
      </w:r>
      <w:r>
        <w:rPr>
          <w:rFonts w:ascii="Times New Roman" w:hAnsi="Times New Roman" w:cs="Times New Roman" w:eastAsia="Times New Roman" w:hint="default"/>
        </w:rPr>
        <w:t>ERNEST ELECTRIC</w:t>
      </w:r>
      <w:r>
        <w:rPr>
          <w:rFonts w:ascii="Times New Roman" w:hAnsi="Times New Roman" w:cs="Times New Roman" w:eastAsia="Times New Roman" w:hint="default"/>
          <w:spacing w:val="-28"/>
        </w:rPr>
        <w:t> </w:t>
      </w:r>
      <w:r>
        <w:rPr>
          <w:rFonts w:ascii="Times New Roman" w:hAnsi="Times New Roman" w:cs="Times New Roman" w:eastAsia="Times New Roman" w:hint="default"/>
        </w:rPr>
        <w:t>LIMITED</w:t>
      </w:r>
      <w:r>
        <w:rPr/>
        <w:t>）、</w:t>
      </w:r>
      <w:r>
        <w:rPr>
          <w:spacing w:val="-2"/>
        </w:rPr>
        <w:t> 华胤控股有限公司、南京能瑞自动化设备股份有限公司、湖州金冠鸿图隔膜科技有限公司等</w:t>
      </w:r>
      <w:r>
        <w:rPr>
          <w:rFonts w:ascii="Times New Roman" w:hAnsi="Times New Roman" w:cs="Times New Roman" w:eastAsia="Times New Roman" w:hint="default"/>
          <w:spacing w:val="-2"/>
        </w:rPr>
        <w:t>22</w:t>
      </w:r>
      <w:r>
        <w:rPr>
          <w:spacing w:val="-2"/>
        </w:rPr>
        <w:t>家子公司纳入合并财务报表范</w:t>
      </w:r>
      <w:r>
        <w:rPr>
          <w:spacing w:val="-61"/>
        </w:rPr>
        <w:t> </w:t>
      </w:r>
      <w:r>
        <w:rPr/>
        <w:t>围，情况详见本合并财务报表附注合并范围的变更和在其他主体中的权益之说明。</w:t>
      </w:r>
    </w:p>
    <w:p>
      <w:pPr>
        <w:spacing w:line="240" w:lineRule="auto" w:before="12"/>
        <w:rPr>
          <w:rFonts w:ascii="宋体" w:hAnsi="宋体" w:cs="宋体" w:eastAsia="宋体" w:hint="default"/>
          <w:sz w:val="20"/>
          <w:szCs w:val="20"/>
        </w:rPr>
      </w:pPr>
    </w:p>
    <w:p>
      <w:pPr>
        <w:pStyle w:val="Heading2"/>
        <w:spacing w:line="240" w:lineRule="auto"/>
        <w:ind w:right="6752"/>
        <w:jc w:val="left"/>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6752"/>
        <w:jc w:val="left"/>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74" w:right="99"/>
        <w:jc w:val="left"/>
      </w:pPr>
      <w:r>
        <w:rPr/>
        <w:t>本公司财务报表以持续经营为编制基础。</w:t>
      </w:r>
    </w:p>
    <w:p>
      <w:pPr>
        <w:spacing w:line="240" w:lineRule="auto" w:before="12"/>
        <w:rPr>
          <w:rFonts w:ascii="宋体" w:hAnsi="宋体" w:cs="宋体" w:eastAsia="宋体" w:hint="default"/>
          <w:sz w:val="26"/>
          <w:szCs w:val="26"/>
        </w:rPr>
      </w:pPr>
    </w:p>
    <w:p>
      <w:pPr>
        <w:pStyle w:val="Heading4"/>
        <w:spacing w:line="240" w:lineRule="auto"/>
        <w:ind w:right="6752"/>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74" w:right="99"/>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1"/>
        <w:rPr>
          <w:rFonts w:ascii="宋体" w:hAnsi="宋体" w:cs="宋体" w:eastAsia="宋体" w:hint="default"/>
          <w:sz w:val="24"/>
          <w:szCs w:val="24"/>
        </w:rPr>
      </w:pPr>
    </w:p>
    <w:p>
      <w:pPr>
        <w:pStyle w:val="Heading2"/>
        <w:spacing w:line="240" w:lineRule="auto"/>
        <w:ind w:right="99"/>
        <w:jc w:val="left"/>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6752"/>
        <w:jc w:val="left"/>
      </w:pPr>
      <w:r>
        <w:rPr/>
        <w:t>公司是否需要遵守特殊行业的披露要求 否</w:t>
      </w:r>
    </w:p>
    <w:p>
      <w:pPr>
        <w:pStyle w:val="BodyText"/>
        <w:spacing w:line="381" w:lineRule="auto" w:before="26"/>
        <w:ind w:left="574" w:right="99" w:hanging="420"/>
        <w:jc w:val="left"/>
      </w:pPr>
      <w:r>
        <w:rPr/>
        <w:t>具体会计政策和会计估计提示： 本公司按照企业会计准则要求编制财务报表，进行财务核算，根据实际生产经营特点针对应收款项坏账准备计提、固</w:t>
      </w:r>
    </w:p>
    <w:p>
      <w:pPr>
        <w:pStyle w:val="BodyText"/>
        <w:spacing w:line="240" w:lineRule="auto" w:before="17"/>
        <w:ind w:right="99"/>
        <w:jc w:val="left"/>
      </w:pPr>
      <w:r>
        <w:rPr/>
        <w:t>定资产折旧、无形资产摊销、收入确认交易或事项制定了具体会计政策和会计估计。</w:t>
      </w:r>
    </w:p>
    <w:p>
      <w:pPr>
        <w:spacing w:line="240" w:lineRule="auto" w:before="0"/>
        <w:rPr>
          <w:rFonts w:ascii="宋体" w:hAnsi="宋体" w:cs="宋体" w:eastAsia="宋体" w:hint="default"/>
          <w:sz w:val="18"/>
          <w:szCs w:val="18"/>
        </w:rPr>
      </w:pPr>
    </w:p>
    <w:p>
      <w:pPr>
        <w:pStyle w:val="Heading4"/>
        <w:spacing w:line="240" w:lineRule="auto" w:before="140"/>
        <w:ind w:right="6752"/>
        <w:jc w:val="left"/>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99" w:firstLine="420"/>
        <w:jc w:val="left"/>
      </w:pPr>
      <w:r>
        <w:rPr/>
        <w:t>本公司所编制的财务报表符合企业会计准则的要求，真实、完整地反映了公司的财务状况、经营成果和现金流量等有 关信息。</w:t>
      </w:r>
    </w:p>
    <w:p>
      <w:pPr>
        <w:spacing w:line="240" w:lineRule="auto" w:before="8"/>
        <w:rPr>
          <w:rFonts w:ascii="宋体" w:hAnsi="宋体" w:cs="宋体" w:eastAsia="宋体" w:hint="default"/>
          <w:sz w:val="21"/>
          <w:szCs w:val="21"/>
        </w:rPr>
      </w:pPr>
    </w:p>
    <w:p>
      <w:pPr>
        <w:pStyle w:val="Heading4"/>
        <w:spacing w:line="240" w:lineRule="auto"/>
        <w:ind w:right="6752"/>
        <w:jc w:val="left"/>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74" w:right="99"/>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4"/>
        <w:spacing w:line="240" w:lineRule="auto"/>
        <w:ind w:right="6752"/>
        <w:jc w:val="left"/>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74" w:right="99"/>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11"/>
        <w:rPr>
          <w:rFonts w:ascii="宋体" w:hAnsi="宋体" w:cs="宋体" w:eastAsia="宋体" w:hint="default"/>
          <w:sz w:val="25"/>
          <w:szCs w:val="25"/>
        </w:rPr>
      </w:pPr>
    </w:p>
    <w:p>
      <w:pPr>
        <w:pStyle w:val="Heading4"/>
        <w:spacing w:line="240" w:lineRule="auto"/>
        <w:ind w:right="6752"/>
        <w:jc w:val="left"/>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574" w:right="6752"/>
        <w:jc w:val="left"/>
      </w:pPr>
      <w:r>
        <w:rPr/>
        <w:t>采用人民币为记账本位币。</w:t>
      </w:r>
    </w:p>
    <w:p>
      <w:pPr>
        <w:spacing w:after="0" w:line="240"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3"/>
        <w:rPr>
          <w:rFonts w:ascii="宋体" w:hAnsi="宋体" w:cs="宋体" w:eastAsia="宋体" w:hint="default"/>
          <w:b/>
          <w:bCs/>
          <w:sz w:val="28"/>
          <w:szCs w:val="28"/>
        </w:rPr>
      </w:pPr>
    </w:p>
    <w:p>
      <w:pPr>
        <w:pStyle w:val="BodyText"/>
        <w:spacing w:line="345" w:lineRule="auto" w:before="0"/>
        <w:ind w:left="574" w:right="99"/>
        <w:jc w:val="left"/>
      </w:pPr>
      <w:r>
        <w:rPr/>
        <w:t>（</w:t>
      </w:r>
      <w:r>
        <w:rPr>
          <w:rFonts w:ascii="Times New Roman" w:hAnsi="Times New Roman" w:cs="Times New Roman" w:eastAsia="Times New Roman" w:hint="default"/>
        </w:rPr>
        <w:t>1</w:t>
      </w:r>
      <w:r>
        <w:rPr/>
        <w:t>）同一控制下企业合并的会计处理方法 公司在企业合并中取得的资产和负债，按照合并日被合并方在最终控制方合并财务报表中的账面价值计量。公司按照</w:t>
      </w:r>
    </w:p>
    <w:p>
      <w:pPr>
        <w:pStyle w:val="BodyText"/>
        <w:spacing w:line="364" w:lineRule="auto"/>
        <w:ind w:right="110"/>
        <w:jc w:val="both"/>
      </w:pPr>
      <w:r>
        <w:rPr/>
        <w:t>被合并方所有者权益在最终控制方合并财务报表中的账面价值份额与支付的合并对价账面价值或发行股份面值总额的差额， 调整资本公积；资本公积不足冲减的，调整留存收益。</w:t>
      </w:r>
    </w:p>
    <w:p>
      <w:pPr>
        <w:pStyle w:val="BodyText"/>
        <w:spacing w:line="345" w:lineRule="auto" w:before="29"/>
        <w:ind w:left="574" w:right="99"/>
        <w:jc w:val="left"/>
      </w:pPr>
      <w:r>
        <w:rPr/>
        <w:t>（</w:t>
      </w:r>
      <w:r>
        <w:rPr>
          <w:rFonts w:ascii="Times New Roman" w:hAnsi="Times New Roman" w:cs="Times New Roman" w:eastAsia="Times New Roman" w:hint="default"/>
        </w:rPr>
        <w:t>2</w:t>
      </w:r>
      <w:r>
        <w:rPr/>
        <w:t>）非同一控制下企业合并的会计处理方法 公司在购买日对合并成本大于合并中取得的被购买方可辨认净资产公允价值份额的差额，确认为商誉；如果合并成本</w:t>
      </w:r>
    </w:p>
    <w:p>
      <w:pPr>
        <w:pStyle w:val="BodyText"/>
        <w:spacing w:line="364" w:lineRule="auto"/>
        <w:ind w:right="192"/>
        <w:jc w:val="both"/>
      </w:pPr>
      <w:r>
        <w:rPr>
          <w:spacing w:val="-2"/>
        </w:rPr>
        <w:t>小于合并中取得的被购买方可辨认净资产公允价值份额，首先对取得的被购买方各项可辨认资产、负债及或有负债的公允价</w:t>
      </w:r>
      <w:r>
        <w:rPr>
          <w:spacing w:val="-64"/>
        </w:rPr>
        <w:t> </w:t>
      </w:r>
      <w:r>
        <w:rPr>
          <w:spacing w:val="-64"/>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spacing w:line="240" w:lineRule="auto" w:before="8"/>
        <w:rPr>
          <w:rFonts w:ascii="宋体" w:hAnsi="宋体" w:cs="宋体" w:eastAsia="宋体" w:hint="default"/>
          <w:sz w:val="21"/>
          <w:szCs w:val="21"/>
        </w:rPr>
      </w:pPr>
    </w:p>
    <w:p>
      <w:pPr>
        <w:pStyle w:val="Heading4"/>
        <w:spacing w:line="240" w:lineRule="auto"/>
        <w:ind w:right="0"/>
        <w:jc w:val="both"/>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99" w:firstLine="420"/>
        <w:jc w:val="left"/>
      </w:pPr>
      <w:r>
        <w:rPr/>
        <w:t>母公司将其控制的所有子公司纳入合并财务报表的合并范围。合并财务报表以母公司及其子公司的财务报表为基础， 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10"/>
        <w:rPr>
          <w:rFonts w:ascii="宋体" w:hAnsi="宋体" w:cs="宋体" w:eastAsia="宋体" w:hint="default"/>
          <w:sz w:val="19"/>
          <w:szCs w:val="19"/>
        </w:rPr>
      </w:pPr>
    </w:p>
    <w:p>
      <w:pPr>
        <w:pStyle w:val="Heading4"/>
        <w:spacing w:line="240" w:lineRule="auto"/>
        <w:ind w:right="0"/>
        <w:jc w:val="both"/>
        <w:rPr>
          <w:b w:val="0"/>
          <w:bCs w:val="0"/>
        </w:rPr>
      </w:pPr>
      <w:bookmarkStart w:name="7、合营安排分类及共同经营会计处理方法" w:id="178"/>
      <w:bookmarkEnd w:id="17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Heading4"/>
        <w:spacing w:line="240" w:lineRule="auto"/>
        <w:ind w:right="0"/>
        <w:jc w:val="both"/>
        <w:rPr>
          <w:b w:val="0"/>
          <w:bCs w:val="0"/>
        </w:rPr>
      </w:pPr>
      <w:bookmarkStart w:name="8、现金及现金等价物的确定标准" w:id="179"/>
      <w:bookmarkEnd w:id="17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0"/>
        <w:rPr>
          <w:rFonts w:ascii="宋体" w:hAnsi="宋体" w:cs="宋体" w:eastAsia="宋体" w:hint="default"/>
          <w:b/>
          <w:bCs/>
          <w:sz w:val="30"/>
          <w:szCs w:val="30"/>
        </w:rPr>
      </w:pPr>
    </w:p>
    <w:p>
      <w:pPr>
        <w:pStyle w:val="BodyText"/>
        <w:spacing w:line="364" w:lineRule="auto" w:before="0"/>
        <w:ind w:right="99" w:firstLine="420"/>
        <w:jc w:val="left"/>
      </w:pPr>
      <w:r>
        <w:rPr/>
        <w:t>列示于现金流量表中的现金是指库存现金以及可以随时用于支付的存款。现金等价物是指本集团持有的期限短、流动 性强、易于转换为已知金额现金、价值变动风险很小的投资。</w:t>
      </w:r>
    </w:p>
    <w:p>
      <w:pPr>
        <w:spacing w:line="240" w:lineRule="auto" w:before="8"/>
        <w:rPr>
          <w:rFonts w:ascii="宋体" w:hAnsi="宋体" w:cs="宋体" w:eastAsia="宋体" w:hint="default"/>
          <w:sz w:val="21"/>
          <w:szCs w:val="21"/>
        </w:rPr>
      </w:pPr>
    </w:p>
    <w:p>
      <w:pPr>
        <w:pStyle w:val="Heading4"/>
        <w:spacing w:line="240" w:lineRule="auto"/>
        <w:ind w:right="0"/>
        <w:jc w:val="both"/>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3"/>
        <w:rPr>
          <w:rFonts w:ascii="宋体" w:hAnsi="宋体" w:cs="宋体" w:eastAsia="宋体" w:hint="default"/>
          <w:b/>
          <w:bCs/>
          <w:sz w:val="28"/>
          <w:szCs w:val="28"/>
        </w:rPr>
      </w:pPr>
    </w:p>
    <w:p>
      <w:pPr>
        <w:pStyle w:val="BodyText"/>
        <w:spacing w:line="345" w:lineRule="auto" w:before="0"/>
        <w:ind w:left="574" w:right="99" w:firstLine="90"/>
        <w:jc w:val="left"/>
      </w:pPr>
      <w:r>
        <w:rPr/>
        <w:t>（</w:t>
      </w:r>
      <w:r>
        <w:rPr>
          <w:rFonts w:ascii="Times New Roman" w:hAnsi="Times New Roman" w:cs="Times New Roman" w:eastAsia="Times New Roman" w:hint="default"/>
        </w:rPr>
        <w:t>1</w:t>
      </w:r>
      <w:r>
        <w:rPr/>
        <w:t>）外币业务折算 外币交易在初始确认时，采用交易发生日的即期汇率折算为人民币金额。资产负债表日，外币货币性项目采用资产负</w:t>
      </w:r>
    </w:p>
    <w:p>
      <w:pPr>
        <w:pStyle w:val="BodyText"/>
        <w:spacing w:line="364" w:lineRule="auto"/>
        <w:ind w:right="191"/>
        <w:jc w:val="both"/>
      </w:pPr>
      <w:r>
        <w:rPr>
          <w:spacing w:val="-2"/>
        </w:rPr>
        <w:t>债表日即期汇率折算，因汇率不同而产生的汇兑差额，除与购建符合资本化条件资产有关的外币专门借款本金及利息的汇兑</w:t>
      </w:r>
      <w:r>
        <w:rPr>
          <w:spacing w:val="-64"/>
        </w:rPr>
        <w:t> </w:t>
      </w:r>
      <w:r>
        <w:rPr>
          <w:spacing w:val="-64"/>
        </w:rPr>
      </w:r>
      <w:r>
        <w:rPr>
          <w:spacing w:val="-2"/>
        </w:rPr>
        <w:t>差额外，计入当期损益；以历史成本计量的外币非货币性项目仍采用交易发生日的即期汇率折算，不改变其人民币金额；以</w:t>
      </w:r>
      <w:r>
        <w:rPr>
          <w:spacing w:val="-66"/>
        </w:rPr>
        <w:t> </w:t>
      </w:r>
      <w:r>
        <w:rPr>
          <w:spacing w:val="-66"/>
        </w:rPr>
      </w:r>
      <w:r>
        <w:rPr/>
        <w:t>公允价值计量的外币非货币性项目，采用公允价值确定日的即期汇率折算，差额计入当期损益或其他综合收益。</w:t>
      </w:r>
    </w:p>
    <w:p>
      <w:pPr>
        <w:pStyle w:val="BodyText"/>
        <w:spacing w:line="345" w:lineRule="auto" w:before="29"/>
        <w:ind w:left="574" w:right="99"/>
        <w:jc w:val="left"/>
      </w:pPr>
      <w:r>
        <w:rPr/>
        <w:t>（</w:t>
      </w:r>
      <w:r>
        <w:rPr>
          <w:rFonts w:ascii="Times New Roman" w:hAnsi="Times New Roman" w:cs="Times New Roman" w:eastAsia="Times New Roman" w:hint="default"/>
        </w:rPr>
        <w:t>2</w:t>
      </w:r>
      <w:r>
        <w:rPr/>
        <w:t>）</w:t>
      </w:r>
      <w:r>
        <w:rPr>
          <w:spacing w:val="-17"/>
        </w:rPr>
        <w:t> </w:t>
      </w:r>
      <w:r>
        <w:rPr/>
        <w:t>外币财务报表折算</w:t>
      </w:r>
      <w:r>
        <w:rPr/>
        <w:t>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364" w:lineRule="auto" w:before="22"/>
        <w:ind w:right="193"/>
        <w:jc w:val="both"/>
      </w:pPr>
      <w:r>
        <w:rPr>
          <w:spacing w:val="-2"/>
        </w:rPr>
        <w:t>项目采用交易发生日的即期汇率折算；利润表中的收入和费用项目，采用交易发生日即期汇率的近似汇率折算。按照上述折</w:t>
      </w:r>
      <w:r>
        <w:rPr>
          <w:spacing w:val="-66"/>
        </w:rPr>
        <w:t> </w:t>
      </w:r>
      <w:r>
        <w:rPr>
          <w:spacing w:val="-66"/>
        </w:rPr>
      </w:r>
      <w:r>
        <w:rPr/>
        <w:t>算产生的外币财务报表折算差额，计入其他综合收益。</w:t>
      </w:r>
    </w:p>
    <w:p>
      <w:pPr>
        <w:spacing w:line="240" w:lineRule="auto" w:before="8"/>
        <w:rPr>
          <w:rFonts w:ascii="宋体" w:hAnsi="宋体" w:cs="宋体" w:eastAsia="宋体" w:hint="default"/>
          <w:sz w:val="21"/>
          <w:szCs w:val="21"/>
        </w:rPr>
      </w:pPr>
    </w:p>
    <w:p>
      <w:pPr>
        <w:pStyle w:val="Heading4"/>
        <w:spacing w:line="240" w:lineRule="auto"/>
        <w:ind w:right="0"/>
        <w:jc w:val="both"/>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8"/>
          <w:szCs w:val="28"/>
        </w:rPr>
      </w:pPr>
    </w:p>
    <w:p>
      <w:pPr>
        <w:pStyle w:val="BodyText"/>
        <w:spacing w:line="345" w:lineRule="auto" w:before="0"/>
        <w:ind w:left="574" w:right="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金融资产和金融负债的分类 金融资产在初始确认时划分为以下四类：以公允价值计量且其变动计入当期损益的金融资产（包括交易性金融资产和</w:t>
      </w:r>
    </w:p>
    <w:p>
      <w:pPr>
        <w:pStyle w:val="BodyText"/>
        <w:spacing w:line="240" w:lineRule="auto"/>
        <w:ind w:right="0"/>
        <w:jc w:val="both"/>
      </w:pPr>
      <w:r>
        <w:rPr/>
        <w:t>在初始确认时指定为以公允价值计量且其变动计入当期损益的金融资产）、持有至到期投资、贷款和应收款项、可供出售金</w:t>
      </w:r>
    </w:p>
    <w:p>
      <w:pPr>
        <w:spacing w:after="0" w:line="240" w:lineRule="auto"/>
        <w:jc w:val="both"/>
        <w:sectPr>
          <w:pgSz w:w="11910" w:h="16840"/>
          <w:pgMar w:header="747" w:footer="979" w:top="1060" w:bottom="1160" w:left="980" w:right="940"/>
        </w:sectPr>
      </w:pPr>
    </w:p>
    <w:p>
      <w:pPr>
        <w:spacing w:line="240" w:lineRule="auto" w:before="8"/>
        <w:rPr>
          <w:rFonts w:ascii="宋体" w:hAnsi="宋体" w:cs="宋体" w:eastAsia="宋体" w:hint="default"/>
          <w:sz w:val="27"/>
          <w:szCs w:val="27"/>
        </w:rPr>
      </w:pPr>
    </w:p>
    <w:p>
      <w:pPr>
        <w:pStyle w:val="BodyText"/>
        <w:spacing w:line="240" w:lineRule="auto"/>
        <w:ind w:right="6752"/>
        <w:jc w:val="left"/>
      </w:pPr>
      <w:r>
        <w:rPr/>
        <w:t>融资产。</w:t>
      </w:r>
    </w:p>
    <w:p>
      <w:pPr>
        <w:pStyle w:val="BodyText"/>
        <w:spacing w:line="364" w:lineRule="auto" w:before="123"/>
        <w:ind w:right="193" w:firstLine="420"/>
        <w:jc w:val="both"/>
      </w:pPr>
      <w:r>
        <w:rPr/>
        <w:t>金融负债在初始确认时划分为以下两类：以公允价值计量且其变动计入当期损益的金融负债（包括交易性金融负债和 在初始确认时指定为以公允价值计量且其变动计入当期损益的金融负债）、其他金融负债。</w:t>
      </w:r>
    </w:p>
    <w:p>
      <w:pPr>
        <w:pStyle w:val="BodyText"/>
        <w:spacing w:line="345" w:lineRule="auto" w:before="29"/>
        <w:ind w:left="574" w:right="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金融资产和金融负债的确认依据、计量方法和终止确认条件 公司成为金融工具合同的一方时，确认一项金融资产或金融负债。初始确认金融资产或金融负债时，按照公允价值计</w:t>
      </w:r>
    </w:p>
    <w:p>
      <w:pPr>
        <w:pStyle w:val="BodyText"/>
        <w:spacing w:line="364" w:lineRule="auto"/>
        <w:ind w:right="99"/>
        <w:jc w:val="left"/>
      </w:pPr>
      <w:r>
        <w:rPr>
          <w:spacing w:val="-2"/>
        </w:rPr>
        <w:t>量；对于以公允价值计量且其变动计入当期损益的金融资产和金融负债，相关交易费用直接计入当期损益；对于其他类别的</w:t>
      </w:r>
      <w:r>
        <w:rPr>
          <w:spacing w:val="-66"/>
        </w:rPr>
        <w:t> </w:t>
      </w:r>
      <w:r>
        <w:rPr>
          <w:spacing w:val="-66"/>
        </w:rPr>
      </w:r>
      <w:r>
        <w:rPr/>
        <w:t>金融资产或金融负债，相关交易费用计入初始确认金额。</w:t>
      </w:r>
    </w:p>
    <w:p>
      <w:pPr>
        <w:pStyle w:val="BodyText"/>
        <w:spacing w:line="355" w:lineRule="auto" w:before="29"/>
        <w:ind w:right="99" w:firstLine="420"/>
        <w:jc w:val="left"/>
      </w:pPr>
      <w:r>
        <w:rPr>
          <w:spacing w:val="-2"/>
        </w:rPr>
        <w:t>公司按照公允价值对金融资产进行后续计量，且不扣除将来处置该金融资产时可能发生的交易费用，但下列情况除外：</w:t>
      </w:r>
      <w:r>
        <w:rPr/>
        <w:t> </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 </w:t>
      </w:r>
      <w:r>
        <w:rPr/>
        <w:t>在活跃市场中没有报价且其公允价值不能</w:t>
      </w:r>
      <w:r>
        <w:rPr>
          <w:spacing w:val="-66"/>
        </w:rPr>
        <w:t> </w:t>
      </w:r>
      <w:r>
        <w:rPr>
          <w:spacing w:val="-66"/>
        </w:rPr>
      </w:r>
      <w:r>
        <w:rPr/>
        <w:t>可靠计量的权益工具投资，以及与该权益工具挂钩并须通过交付该权益工具结算的衍生金融资产，按照成本计量。</w:t>
      </w:r>
    </w:p>
    <w:p>
      <w:pPr>
        <w:pStyle w:val="BodyText"/>
        <w:spacing w:line="348" w:lineRule="auto" w:before="37"/>
        <w:ind w:right="187" w:firstLine="420"/>
        <w:jc w:val="both"/>
      </w:pPr>
      <w:r>
        <w:rPr>
          <w:spacing w:val="-2"/>
        </w:rPr>
        <w:t>公司采用实际利率法，按摊余成本对金融负债进行后续计量，但下列情况除外：</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36"/>
        </w:rPr>
        <w:t> </w:t>
      </w:r>
      <w:r>
        <w:rPr/>
        <w:t>以公允价值计量且其变动计入当期 损益的金融负债，按照公允价值计量，且不扣除将来结清金融负债时可能发生的交易费用；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与在活跃市场中没有报价、 公允价值不能可靠计量的权益工具挂钩并须通过交付该权益工具结算的衍生金融负债，按照成本计量；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不属于指定为以 </w:t>
      </w:r>
      <w:r>
        <w:rPr>
          <w:spacing w:val="-2"/>
        </w:rPr>
        <w:t>公允价值计量且其变动计入当期损益的金融负债的财务担保合同，或没有指定为以公允价值计量且其变动计入当期损益并将</w:t>
      </w:r>
      <w:r>
        <w:rPr>
          <w:spacing w:val="-64"/>
        </w:rPr>
        <w:t> </w:t>
      </w:r>
      <w:r>
        <w:rPr>
          <w:spacing w:val="-64"/>
        </w:rPr>
      </w:r>
      <w:r>
        <w:rPr/>
        <w:t>以低于市场利率贷款的贷款承诺，在初始确认后按照下列两项金额之中的较高者进行后续计量：</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按照《企业会计准则第</w:t>
      </w:r>
      <w:r>
        <w:rPr>
          <w:spacing w:val="-81"/>
        </w:rPr>
        <w:t> </w:t>
      </w:r>
      <w:r>
        <w:rPr>
          <w:spacing w:val="-81"/>
        </w:rPr>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w:t>
      </w:r>
      <w:r>
        <w:rPr>
          <w:spacing w:val="-61"/>
        </w:rPr>
        <w:t> </w:t>
      </w:r>
      <w:r>
        <w:rPr>
          <w:spacing w:val="-61"/>
        </w:rPr>
      </w:r>
      <w:r>
        <w:rPr/>
        <w:t>的余额。</w:t>
      </w:r>
    </w:p>
    <w:p>
      <w:pPr>
        <w:pStyle w:val="BodyText"/>
        <w:spacing w:line="357" w:lineRule="auto" w:before="42"/>
        <w:ind w:right="190"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1"/>
        </w:rPr>
        <w:t> </w:t>
      </w:r>
      <w:r>
        <w:rPr>
          <w:spacing w:val="-1"/>
        </w:rPr>
        <w:t>以公允价值计量</w:t>
      </w:r>
      <w:r>
        <w:rPr/>
        <w:t> </w:t>
      </w:r>
      <w:r>
        <w:rPr>
          <w:spacing w:val="-2"/>
        </w:rPr>
        <w:t>且其变动计入当期损益的金融资产或金融负债公允价值变动形成的利得或损失，计入公允价值变动收益；在资产持有期间所</w:t>
      </w:r>
      <w:r>
        <w:rPr>
          <w:spacing w:val="-64"/>
        </w:rPr>
        <w:t> </w:t>
      </w:r>
      <w:r>
        <w:rPr>
          <w:spacing w:val="-64"/>
        </w:rPr>
      </w:r>
      <w:r>
        <w:rPr>
          <w:spacing w:val="-2"/>
        </w:rPr>
        <w:t>取得的利息或现金股利，确认为投资收益；处置时，将实际收到的金额与初始入账金额之间的差额确认为投资收益，同时调</w:t>
      </w:r>
      <w:r>
        <w:rPr>
          <w:spacing w:val="-66"/>
        </w:rPr>
        <w:t> </w:t>
      </w:r>
      <w:r>
        <w:rPr>
          <w:spacing w:val="-66"/>
        </w:rPr>
      </w:r>
      <w:r>
        <w:rPr/>
        <w:t>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可供出售金融资产的公允价值变动计入其他综合收益；持有期间按实际利率法计算的利息，计入 </w:t>
      </w:r>
      <w:r>
        <w:rPr>
          <w:spacing w:val="-2"/>
        </w:rPr>
        <w:t>投资收益；可供出售权益工具投资的现金股利，于被投资单位宣告发放股利时计入投资收益；处置时，将实际收到的金额与</w:t>
      </w:r>
      <w:r>
        <w:rPr>
          <w:spacing w:val="-66"/>
        </w:rPr>
        <w:t> </w:t>
      </w:r>
      <w:r>
        <w:rPr>
          <w:spacing w:val="-66"/>
        </w:rPr>
      </w:r>
      <w:r>
        <w:rPr/>
        <w:t>账面价值扣除原直接计入其他综合收益的公允价值变动累计额之后的差额确认为投资收益。</w:t>
      </w:r>
    </w:p>
    <w:p>
      <w:pPr>
        <w:pStyle w:val="BodyText"/>
        <w:spacing w:line="364" w:lineRule="auto" w:before="35"/>
        <w:ind w:right="193" w:firstLine="420"/>
        <w:jc w:val="both"/>
      </w:pPr>
      <w:r>
        <w:rPr/>
        <w:t>当收取某项金融资产现金流量的合同权利已终止或该金融资产所有权上几乎所有的风险和报酬已转移时，终止确认该 金融资产；当金融负债的现时义务全部或部分解除时，相应终止确认该金融负债或其一部分。</w:t>
      </w:r>
    </w:p>
    <w:p>
      <w:pPr>
        <w:pStyle w:val="BodyText"/>
        <w:spacing w:line="345" w:lineRule="auto" w:before="29"/>
        <w:ind w:left="574" w:right="9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金融资产转移的确认依据和计量方法 公司已将金融资产所有权上几乎所有的风险和报酬转移给了转入方的，终止确认该金融资产；保留了金融资产所有权</w:t>
      </w:r>
    </w:p>
    <w:p>
      <w:pPr>
        <w:pStyle w:val="BodyText"/>
        <w:spacing w:line="355" w:lineRule="auto"/>
        <w:ind w:right="88"/>
        <w:jc w:val="left"/>
      </w:pPr>
      <w:r>
        <w:rPr>
          <w:spacing w:val="-2"/>
        </w:rPr>
        <w:t>上几乎所有的风险和报酬的，继续确认所转移的金融资产，并将收到的对价确认为一项金融负债。公司既没有转移也没有保</w:t>
      </w:r>
      <w:r>
        <w:rPr>
          <w:spacing w:val="-66"/>
        </w:rPr>
        <w:t> </w:t>
      </w:r>
      <w:r>
        <w:rPr>
          <w:spacing w:val="-66"/>
        </w:rPr>
      </w:r>
      <w:r>
        <w:rPr>
          <w:spacing w:val="-2"/>
        </w:rPr>
        <w:t>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41"/>
        </w:rPr>
        <w:t> </w:t>
      </w:r>
      <w:r>
        <w:rPr>
          <w:spacing w:val="-2"/>
        </w:rPr>
        <w:t>放弃了对该金融资产控制的，终止确认该金融资产；</w:t>
      </w:r>
      <w:r>
        <w:rPr/>
        <w:t>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未放弃对该金融资产控制的，按照继续涉入所转移金融资产的程度确认有关金融资产，并相应确认有关负债。</w:t>
      </w:r>
    </w:p>
    <w:p>
      <w:pPr>
        <w:pStyle w:val="BodyText"/>
        <w:spacing w:line="355" w:lineRule="auto" w:before="14"/>
        <w:ind w:right="189" w:firstLine="420"/>
        <w:jc w:val="both"/>
      </w:pPr>
      <w:r>
        <w:rPr>
          <w:spacing w:val="-3"/>
        </w:rPr>
        <w:t>金融资产整体转移满足终止确认条件的，将下列两项金额的差额计入当期损益：</w:t>
      </w:r>
      <w:r>
        <w:rPr>
          <w:rFonts w:ascii="Times New Roman" w:hAnsi="Times New Roman" w:cs="Times New Roman" w:eastAsia="Times New Roman" w:hint="default"/>
          <w:spacing w:val="-3"/>
        </w:rPr>
        <w:t>(1) </w:t>
      </w:r>
      <w:r>
        <w:rPr>
          <w:spacing w:val="-4"/>
        </w:rPr>
        <w:t>所转移金融资产的账面价值；</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5"/>
        </w:rPr>
        <w:t> </w:t>
      </w:r>
      <w:r>
        <w:rPr/>
        <w:t>因 </w:t>
      </w:r>
      <w:r>
        <w:rPr>
          <w:spacing w:val="-2"/>
        </w:rPr>
        <w:t>转移而收到的对价，与原直接计入所有者权益的公允价值变动累计额之和。金融资产部分转移满足终止确认条件的，将所转</w:t>
      </w:r>
      <w:r>
        <w:rPr>
          <w:spacing w:val="-66"/>
        </w:rPr>
        <w:t> </w:t>
      </w:r>
      <w:r>
        <w:rPr>
          <w:spacing w:val="-66"/>
        </w:rPr>
      </w:r>
      <w:r>
        <w:rPr>
          <w:spacing w:val="-2"/>
        </w:rPr>
        <w:t>移金融资产整体的账面价值，在终止确认部分和未终止确认部分之间，按照各自的相对公允价值进行分摊，并将下列两项金</w:t>
      </w:r>
      <w:r>
        <w:rPr>
          <w:spacing w:val="-66"/>
        </w:rPr>
        <w:t> </w:t>
      </w:r>
      <w:r>
        <w:rPr>
          <w:spacing w:val="-66"/>
        </w:rPr>
      </w:r>
      <w:r>
        <w:rPr/>
        <w:t>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终止确认部分的对价，与原直接计入所有者权益的公允价值变</w:t>
      </w:r>
      <w:r>
        <w:rPr>
          <w:spacing w:val="-83"/>
        </w:rPr>
        <w:t> </w:t>
      </w:r>
      <w:r>
        <w:rPr>
          <w:spacing w:val="-83"/>
        </w:rPr>
      </w:r>
      <w:r>
        <w:rPr/>
        <w:t>动累计额中对应终止确认部分的金额之和。</w:t>
      </w:r>
    </w:p>
    <w:p>
      <w:pPr>
        <w:pStyle w:val="BodyText"/>
        <w:spacing w:line="345" w:lineRule="auto" w:before="37"/>
        <w:ind w:left="574" w:right="9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金融资产和金融负债的公允价值确定方法 公司采用在当前情况下适用并且有足够可利用数据和其他信息支持的估值技术确定相关金融资产和金融负债的公允价</w:t>
      </w:r>
    </w:p>
    <w:p>
      <w:pPr>
        <w:pStyle w:val="BodyText"/>
        <w:spacing w:line="240" w:lineRule="auto"/>
        <w:ind w:right="99"/>
        <w:jc w:val="left"/>
      </w:pPr>
      <w:r>
        <w:rPr/>
        <w:t>值。公司将估值技术使用的输入值分以下层级，并依次使用：</w:t>
      </w:r>
    </w:p>
    <w:p>
      <w:pPr>
        <w:pStyle w:val="BodyText"/>
        <w:spacing w:line="240" w:lineRule="auto" w:before="123"/>
        <w:ind w:left="574" w:right="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第一层次输入值是在计量日能够取得的相同资产或负债在活跃市场上未经调整的报价；</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7"/>
          <w:szCs w:val="27"/>
        </w:rPr>
      </w:pPr>
    </w:p>
    <w:p>
      <w:pPr>
        <w:pStyle w:val="BodyText"/>
        <w:spacing w:line="355" w:lineRule="auto"/>
        <w:ind w:right="19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spacing w:val="-2"/>
        </w:rPr>
        <w:t>第二层次输入值是除第一层次输入值外相关资产或负债直接或间接可观察的输入值，包括：活跃市场中类似资产或</w:t>
      </w:r>
      <w:r>
        <w:rPr>
          <w:w w:val="99"/>
        </w:rPr>
        <w:t> </w:t>
      </w:r>
      <w:r>
        <w:rPr>
          <w:spacing w:val="-2"/>
        </w:rPr>
        <w:t>负债的报价；非活跃市场中相同或类似资产或负债的报价；除报价以外的其他可观察输入值，如在正常报价间隔期间可观察</w:t>
      </w:r>
      <w:r>
        <w:rPr>
          <w:spacing w:val="-67"/>
        </w:rPr>
        <w:t> </w:t>
      </w:r>
      <w:r>
        <w:rPr>
          <w:spacing w:val="-67"/>
        </w:rPr>
      </w:r>
      <w:r>
        <w:rPr/>
        <w:t>的利率和收益率曲线等；市场验证的输入值等；</w:t>
      </w:r>
    </w:p>
    <w:p>
      <w:pPr>
        <w:pStyle w:val="BodyText"/>
        <w:spacing w:line="345" w:lineRule="auto" w:before="37"/>
        <w:ind w:right="99"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2"/>
        </w:rPr>
        <w:t>第三层次输入值是相关资产或负债的不可观察输入值，包括不能直接观察或无法由可观察市场数据验证的利率、股</w:t>
      </w:r>
      <w:r>
        <w:rPr>
          <w:w w:val="99"/>
        </w:rPr>
        <w:t> </w:t>
      </w:r>
      <w:r>
        <w:rPr/>
        <w:t>票波动率、企业合并中承担的弃置义务的未来现金流量、使用自身数据作出的财务预测等。</w:t>
      </w:r>
    </w:p>
    <w:p>
      <w:pPr>
        <w:pStyle w:val="BodyText"/>
        <w:spacing w:line="240" w:lineRule="auto"/>
        <w:ind w:left="574" w:right="99"/>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金融资产的减值测试和减值准备计提方法</w:t>
      </w:r>
    </w:p>
    <w:p>
      <w:pPr>
        <w:pStyle w:val="BodyText"/>
        <w:spacing w:line="345" w:lineRule="auto" w:before="109"/>
        <w:ind w:right="99"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2"/>
        </w:rPr>
        <w:t>资产负债表日对以公允价值计量且其变动计入当期损益的金融资产以外的金融资产的账面价值进行检查，如有客观</w:t>
      </w:r>
      <w:r>
        <w:rPr>
          <w:w w:val="99"/>
        </w:rPr>
        <w:t> </w:t>
      </w:r>
      <w:r>
        <w:rPr/>
        <w:t>证据表明该金融资产发生减值的，计提减值准备。</w:t>
      </w:r>
    </w:p>
    <w:p>
      <w:pPr>
        <w:pStyle w:val="BodyText"/>
        <w:spacing w:line="360" w:lineRule="auto"/>
        <w:ind w:right="19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spacing w:val="-2"/>
        </w:rPr>
        <w:t>对于持有至到期投资、贷款和应收款，先将单项金额重大的金融资产区分开来，单独进行减值测试；对单项金额不</w:t>
      </w:r>
      <w:r>
        <w:rPr>
          <w:w w:val="99"/>
        </w:rPr>
        <w:t> </w:t>
      </w:r>
      <w:r>
        <w:rPr>
          <w:spacing w:val="-2"/>
        </w:rPr>
        <w:t>重大的金融资产，可以单独进行减值测试，或包括在具有类似信用风险特征的金融资产组合中进行减值测试；单独测试未发</w:t>
      </w:r>
      <w:r>
        <w:rPr>
          <w:spacing w:val="-67"/>
        </w:rPr>
        <w:t> </w:t>
      </w:r>
      <w:r>
        <w:rPr>
          <w:spacing w:val="-67"/>
        </w:rPr>
      </w:r>
      <w:r>
        <w:rPr>
          <w:spacing w:val="-2"/>
        </w:rPr>
        <w:t>生减值的金融资产（包括单项金额重大和不重大的金融资产），包括在具有类似信用风险特征的金融资产组合中再进行减值</w:t>
      </w:r>
      <w:r>
        <w:rPr>
          <w:spacing w:val="-67"/>
        </w:rPr>
        <w:t> </w:t>
      </w:r>
      <w:r>
        <w:rPr>
          <w:spacing w:val="-67"/>
        </w:rPr>
      </w:r>
      <w:r>
        <w:rPr/>
        <w:t>测试。测试结果表明其发生了减值的，根据其账面价值高于预计未来现金流量现值的差额确认减值损失。</w:t>
      </w:r>
    </w:p>
    <w:p>
      <w:pPr>
        <w:pStyle w:val="BodyText"/>
        <w:spacing w:line="240" w:lineRule="auto" w:before="33"/>
        <w:ind w:left="574" w:right="675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可供出售金融资产</w:t>
      </w:r>
    </w:p>
    <w:p>
      <w:pPr>
        <w:pStyle w:val="BodyText"/>
        <w:spacing w:line="240" w:lineRule="auto" w:before="109"/>
        <w:ind w:left="574" w:right="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表明可供出售债务工具投资发生减值的客观证据包括：</w:t>
      </w:r>
    </w:p>
    <w:p>
      <w:pPr>
        <w:pStyle w:val="BodyText"/>
        <w:spacing w:line="240" w:lineRule="auto" w:before="109"/>
        <w:ind w:left="574" w:right="6752"/>
        <w:jc w:val="left"/>
      </w:pPr>
      <w:r>
        <w:rPr/>
        <w:t>①</w:t>
      </w:r>
      <w:r>
        <w:rPr>
          <w:spacing w:val="-19"/>
        </w:rPr>
        <w:t> </w:t>
      </w:r>
      <w:r>
        <w:rPr/>
        <w:t>债务人发生严重财务困难；</w:t>
      </w:r>
    </w:p>
    <w:p>
      <w:pPr>
        <w:pStyle w:val="BodyText"/>
        <w:spacing w:line="240" w:lineRule="auto" w:before="123"/>
        <w:ind w:left="574" w:right="99"/>
        <w:jc w:val="left"/>
      </w:pPr>
      <w:r>
        <w:rPr/>
        <w:t>②</w:t>
      </w:r>
      <w:r>
        <w:rPr>
          <w:spacing w:val="-19"/>
        </w:rPr>
        <w:t> </w:t>
      </w:r>
      <w:r>
        <w:rPr/>
        <w:t>债务人违反了合同条款，如偿付利息或本金发生违约或逾期；</w:t>
      </w:r>
    </w:p>
    <w:p>
      <w:pPr>
        <w:pStyle w:val="BodyText"/>
        <w:spacing w:line="240" w:lineRule="auto" w:before="123"/>
        <w:ind w:left="574" w:right="99"/>
        <w:jc w:val="left"/>
      </w:pPr>
      <w:r>
        <w:rPr/>
        <w:t>③</w:t>
      </w:r>
      <w:r>
        <w:rPr>
          <w:spacing w:val="-19"/>
        </w:rPr>
        <w:t> </w:t>
      </w:r>
      <w:r>
        <w:rPr/>
        <w:t>公司出于经济或法律等方面因素的考虑，对发生财务困难的债务人作出让步；</w:t>
      </w:r>
    </w:p>
    <w:p>
      <w:pPr>
        <w:pStyle w:val="BodyText"/>
        <w:spacing w:line="240" w:lineRule="auto" w:before="123"/>
        <w:ind w:left="574" w:right="99"/>
        <w:jc w:val="left"/>
      </w:pPr>
      <w:r>
        <w:rPr/>
        <w:t>④</w:t>
      </w:r>
      <w:r>
        <w:rPr>
          <w:spacing w:val="-19"/>
        </w:rPr>
        <w:t> </w:t>
      </w:r>
      <w:r>
        <w:rPr/>
        <w:t>债务人很可能倒闭或进行其他财务重组；</w:t>
      </w:r>
    </w:p>
    <w:p>
      <w:pPr>
        <w:pStyle w:val="BodyText"/>
        <w:spacing w:line="240" w:lineRule="auto" w:before="123"/>
        <w:ind w:left="574" w:right="99"/>
        <w:jc w:val="left"/>
      </w:pPr>
      <w:r>
        <w:rPr/>
        <w:t>⑤</w:t>
      </w:r>
      <w:r>
        <w:rPr>
          <w:spacing w:val="-19"/>
        </w:rPr>
        <w:t> </w:t>
      </w:r>
      <w:r>
        <w:rPr/>
        <w:t>因债务人发生重大财务困难，该债务工具无法在活跃市场继续交易；</w:t>
      </w:r>
    </w:p>
    <w:p>
      <w:pPr>
        <w:pStyle w:val="BodyText"/>
        <w:spacing w:line="240" w:lineRule="auto" w:before="123"/>
        <w:ind w:left="574" w:right="99"/>
        <w:jc w:val="left"/>
      </w:pPr>
      <w:r>
        <w:rPr/>
        <w:t>⑥</w:t>
      </w:r>
      <w:r>
        <w:rPr>
          <w:spacing w:val="-19"/>
        </w:rPr>
        <w:t> </w:t>
      </w:r>
      <w:r>
        <w:rPr/>
        <w:t>其他表明可供出售债务工具已经发生减值的情况。</w:t>
      </w:r>
    </w:p>
    <w:p>
      <w:pPr>
        <w:pStyle w:val="BodyText"/>
        <w:spacing w:line="345" w:lineRule="auto" w:before="123"/>
        <w:ind w:right="175"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表明可供出售权益工具投资发生减值的客观证据包括权益工具投资的公允价值发生严重下跌，以及被投资单位经营</w:t>
      </w:r>
      <w:r>
        <w:rPr>
          <w:w w:val="99"/>
        </w:rPr>
        <w:t> </w:t>
      </w:r>
      <w:r>
        <w:rPr/>
        <w:t>所处的技术、市场、经济或法律环境等发生重大不利变化使公司可能无法收回投资成本。</w:t>
      </w:r>
    </w:p>
    <w:p>
      <w:pPr>
        <w:pStyle w:val="BodyText"/>
        <w:spacing w:line="352" w:lineRule="auto"/>
        <w:ind w:right="99" w:firstLine="420"/>
        <w:jc w:val="left"/>
      </w:pPr>
      <w:r>
        <w:rPr/>
        <w:t>本公司于资产负债表日对各项可供出售权益工具投资单独进行检查。对于以公允价值计量的权益工具投资，若其于资 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个月）的，则表明其发生减 </w:t>
      </w:r>
      <w:r>
        <w:rPr>
          <w:spacing w:val="-5"/>
        </w:rPr>
        <w:t>值；若其于资产负债表日的公允价值低于其成本超过</w:t>
      </w:r>
      <w:r>
        <w:rPr>
          <w:rFonts w:ascii="Times New Roman" w:hAnsi="Times New Roman" w:cs="Times New Roman" w:eastAsia="Times New Roman" w:hint="default"/>
          <w:spacing w:val="-5"/>
        </w:rPr>
        <w:t>20%</w:t>
      </w:r>
      <w:r>
        <w:rPr>
          <w:spacing w:val="-5"/>
        </w:rPr>
        <w:t>（含</w:t>
      </w:r>
      <w:r>
        <w:rPr>
          <w:rFonts w:ascii="Times New Roman" w:hAnsi="Times New Roman" w:cs="Times New Roman" w:eastAsia="Times New Roman" w:hint="default"/>
          <w:spacing w:val="-5"/>
        </w:rPr>
        <w:t>20%</w:t>
      </w:r>
      <w:r>
        <w:rPr>
          <w:spacing w:val="-5"/>
        </w:rPr>
        <w:t>）但尚未达到</w:t>
      </w:r>
      <w:r>
        <w:rPr>
          <w:rFonts w:ascii="Times New Roman" w:hAnsi="Times New Roman" w:cs="Times New Roman" w:eastAsia="Times New Roman" w:hint="default"/>
          <w:spacing w:val="-5"/>
        </w:rPr>
        <w:t>50%</w:t>
      </w:r>
      <w:r>
        <w:rPr>
          <w:spacing w:val="-5"/>
        </w:rPr>
        <w:t>的，或低于其成本持续时间超过</w:t>
      </w:r>
      <w:r>
        <w:rPr>
          <w:rFonts w:ascii="Times New Roman" w:hAnsi="Times New Roman" w:cs="Times New Roman" w:eastAsia="Times New Roman" w:hint="default"/>
          <w:spacing w:val="-5"/>
        </w:rPr>
        <w:t>6</w:t>
      </w:r>
      <w:r>
        <w:rPr>
          <w:spacing w:val="-5"/>
        </w:rPr>
        <w:t>个月（含</w:t>
      </w:r>
      <w:r>
        <w:rPr>
          <w:spacing w:val="-60"/>
        </w:rPr>
        <w:t> </w:t>
      </w:r>
      <w:r>
        <w:rPr>
          <w:spacing w:val="-60"/>
        </w:rPr>
      </w:r>
      <w:r>
        <w:rPr>
          <w:rFonts w:ascii="Times New Roman" w:hAnsi="Times New Roman" w:cs="Times New Roman" w:eastAsia="Times New Roman" w:hint="default"/>
        </w:rPr>
        <w:t>6</w:t>
      </w:r>
      <w:r>
        <w:rPr/>
        <w:t>个月）但未超过</w:t>
      </w:r>
      <w:r>
        <w:rPr>
          <w:rFonts w:ascii="Times New Roman" w:hAnsi="Times New Roman" w:cs="Times New Roman" w:eastAsia="Times New Roman" w:hint="default"/>
        </w:rPr>
        <w:t>12</w:t>
      </w:r>
      <w:r>
        <w:rPr/>
        <w:t>个月的，本公司会综合考虑其他相关因素，诸如价格波动率等，判断该权益工具投资是否发生减值。对</w:t>
      </w:r>
      <w:r>
        <w:rPr>
          <w:spacing w:val="-83"/>
        </w:rPr>
        <w:t> </w:t>
      </w:r>
      <w:r>
        <w:rPr>
          <w:spacing w:val="-83"/>
        </w:rPr>
      </w:r>
      <w:r>
        <w:rPr>
          <w:spacing w:val="-4"/>
        </w:rPr>
        <w:t>于以成本计量的权益工具投资，公司综合考虑被投资单位经营所处的技术、市场、经济或法律环境等是否发生重大不利变化，</w:t>
      </w:r>
      <w:r>
        <w:rPr>
          <w:spacing w:val="-44"/>
        </w:rPr>
        <w:t> </w:t>
      </w:r>
      <w:r>
        <w:rPr>
          <w:spacing w:val="-44"/>
        </w:rPr>
      </w:r>
      <w:r>
        <w:rPr/>
        <w:t>判断该权益工具是否发生减值。</w:t>
      </w:r>
    </w:p>
    <w:p>
      <w:pPr>
        <w:pStyle w:val="BodyText"/>
        <w:spacing w:line="364" w:lineRule="auto" w:before="38"/>
        <w:ind w:right="191" w:firstLine="420"/>
        <w:jc w:val="both"/>
      </w:pPr>
      <w:r>
        <w:rPr/>
        <w:t>以公允价值计量的可供出售金融资产发生减值时，原直接计入其他综合收益的因公允价值下降形成的累计损失予以转 </w:t>
      </w:r>
      <w:r>
        <w:rPr>
          <w:spacing w:val="-2"/>
        </w:rPr>
        <w:t>出并计入减值损失。对已确认减值损失的可供出售债务工具投资，在期后公允价值回升且客观上与确认原减值损失后发生的</w:t>
      </w:r>
      <w:r>
        <w:rPr>
          <w:spacing w:val="-64"/>
        </w:rPr>
        <w:t> </w:t>
      </w:r>
      <w:r>
        <w:rPr>
          <w:spacing w:val="-64"/>
        </w:rPr>
      </w:r>
      <w:r>
        <w:rPr>
          <w:spacing w:val="-2"/>
        </w:rPr>
        <w:t>事项有关的，原确认的减值损失予以转回并计入当期损益。对已确认减值损失的可供出售权益工具投资，期后公允价值回升</w:t>
      </w:r>
      <w:r>
        <w:rPr>
          <w:spacing w:val="-66"/>
        </w:rPr>
        <w:t> </w:t>
      </w:r>
      <w:r>
        <w:rPr>
          <w:spacing w:val="-66"/>
        </w:rPr>
      </w:r>
      <w:r>
        <w:rPr/>
        <w:t>直接计入其他综合收益。</w:t>
      </w:r>
    </w:p>
    <w:p>
      <w:pPr>
        <w:pStyle w:val="BodyText"/>
        <w:spacing w:line="364" w:lineRule="auto" w:before="29"/>
        <w:ind w:right="99" w:firstLine="420"/>
        <w:jc w:val="left"/>
      </w:pPr>
      <w:r>
        <w:rPr/>
        <w:t>以成本计量的可供出售权益工具发生减值时，将该权益工具投资的账面价值，与按照类似金融资产当时市场收益率对 未来现金流量折现确定的现值之间的差额，确认为减值损失，计入当期损益，发生的减值损失一经确认，不予转回。</w:t>
      </w:r>
    </w:p>
    <w:p>
      <w:pPr>
        <w:spacing w:after="0" w:line="364"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1、应收款项" w:id="182"/>
      <w:bookmarkEnd w:id="18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83"/>
      <w:bookmarkEnd w:id="18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万元）的应收账款及期</w:t>
            </w:r>
          </w:p>
          <w:p>
            <w:pPr>
              <w:pStyle w:val="TableParagraph"/>
              <w:spacing w:line="302" w:lineRule="auto" w:before="63"/>
              <w:ind w:left="23" w:right="71"/>
              <w:jc w:val="left"/>
              <w:rPr>
                <w:rFonts w:ascii="宋体" w:hAnsi="宋体" w:cs="宋体" w:eastAsia="宋体" w:hint="default"/>
                <w:sz w:val="18"/>
                <w:szCs w:val="18"/>
              </w:rPr>
            </w:pPr>
            <w:r>
              <w:rPr>
                <w:rFonts w:ascii="宋体" w:hAnsi="宋体" w:cs="宋体" w:eastAsia="宋体" w:hint="default"/>
                <w:sz w:val="18"/>
                <w:szCs w:val="18"/>
              </w:rPr>
              <w:t>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万元）的其他应收款为单项 金额重大的应收款项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4"/>
      <w:bookmarkEnd w:id="18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个别认定法组合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65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85"/>
      <w:bookmarkEnd w:id="18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应收款项金额虽然不重大，但是已经有确凿证据表明该应收 款项已经发生减值</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12、存货" w:id="186"/>
      <w:bookmarkEnd w:id="186"/>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公司是否需要遵守特殊行业的披露要求</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both"/>
      </w:pPr>
      <w:r>
        <w:rPr/>
        <w:t>否</w:t>
      </w:r>
    </w:p>
    <w:p>
      <w:pPr>
        <w:pStyle w:val="BodyText"/>
        <w:spacing w:line="345" w:lineRule="auto" w:before="137"/>
        <w:ind w:left="574" w:right="99"/>
        <w:jc w:val="left"/>
      </w:pPr>
      <w:r>
        <w:rPr/>
        <w:t>（</w:t>
      </w:r>
      <w:r>
        <w:rPr>
          <w:rFonts w:ascii="Times New Roman" w:hAnsi="Times New Roman" w:cs="Times New Roman" w:eastAsia="Times New Roman" w:hint="default"/>
        </w:rPr>
        <w:t>1</w:t>
      </w:r>
      <w:r>
        <w:rPr/>
        <w:t>）存货的分类 存货包括在日常活动中持有以备出售的产成品或商品、处在生产过程中的在产品、在生产过程或提供劳务过程中耗用</w:t>
      </w:r>
    </w:p>
    <w:p>
      <w:pPr>
        <w:pStyle w:val="BodyText"/>
        <w:spacing w:line="240" w:lineRule="auto"/>
        <w:ind w:right="0"/>
        <w:jc w:val="both"/>
      </w:pPr>
      <w:r>
        <w:rPr/>
        <w:t>的材料和物料及消耗性生物资产等。</w:t>
      </w:r>
    </w:p>
    <w:p>
      <w:pPr>
        <w:pStyle w:val="BodyText"/>
        <w:spacing w:line="345" w:lineRule="auto" w:before="123"/>
        <w:ind w:left="574" w:right="6512"/>
        <w:jc w:val="left"/>
      </w:pPr>
      <w:r>
        <w:rPr/>
        <w:t>（</w:t>
      </w:r>
      <w:r>
        <w:rPr>
          <w:rFonts w:ascii="Times New Roman" w:hAnsi="Times New Roman" w:cs="Times New Roman" w:eastAsia="Times New Roman" w:hint="default"/>
        </w:rPr>
        <w:t>2</w:t>
      </w:r>
      <w:r>
        <w:rPr/>
        <w:t>）</w:t>
      </w:r>
      <w:r>
        <w:rPr>
          <w:spacing w:val="-18"/>
        </w:rPr>
        <w:t> </w:t>
      </w:r>
      <w:r>
        <w:rPr/>
        <w:t>发出存货的计价方法</w:t>
      </w:r>
      <w:r>
        <w:rPr/>
        <w:t> 发出存货采用月末一次加权平均法。</w:t>
      </w:r>
    </w:p>
    <w:p>
      <w:pPr>
        <w:pStyle w:val="BodyText"/>
        <w:spacing w:line="345" w:lineRule="auto"/>
        <w:ind w:left="574" w:right="99"/>
        <w:jc w:val="left"/>
      </w:pPr>
      <w:r>
        <w:rPr/>
        <w:t>（</w:t>
      </w:r>
      <w:r>
        <w:rPr>
          <w:rFonts w:ascii="Times New Roman" w:hAnsi="Times New Roman" w:cs="Times New Roman" w:eastAsia="Times New Roman" w:hint="default"/>
        </w:rPr>
        <w:t>3</w:t>
      </w:r>
      <w:r>
        <w:rPr/>
        <w:t>）存货可变现净值的确定依据 资产负债表日，存货采用成本与可变现净值孰低计量，按照单个存货成本高于可变现净值的差额计提存货跌价准备。</w:t>
      </w:r>
    </w:p>
    <w:p>
      <w:pPr>
        <w:pStyle w:val="BodyText"/>
        <w:spacing w:line="364" w:lineRule="auto"/>
        <w:ind w:right="191"/>
        <w:jc w:val="both"/>
      </w:pPr>
      <w:r>
        <w:rPr>
          <w:spacing w:val="-2"/>
        </w:rPr>
        <w:t>直接用于出售的存货，在正常生产经营过程中以该存货的估计售价减去估计的销售费用和相关税费后的金额确定其可变现净</w:t>
      </w:r>
      <w:r>
        <w:rPr>
          <w:spacing w:val="-64"/>
        </w:rPr>
        <w:t> </w:t>
      </w:r>
      <w:r>
        <w:rPr>
          <w:spacing w:val="-64"/>
        </w:rPr>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6"/>
        </w:rPr>
        <w:t> </w:t>
      </w:r>
      <w:r>
        <w:rPr>
          <w:spacing w:val="-66"/>
        </w:rPr>
      </w:r>
      <w:r>
        <w:rPr/>
        <w:t>同价格的，分别确定其可变现净值，并与其对应的成本进行比较，分别确定存货跌价准备的计提或转回的金额。</w:t>
      </w:r>
    </w:p>
    <w:p>
      <w:pPr>
        <w:pStyle w:val="BodyText"/>
        <w:spacing w:line="345" w:lineRule="auto" w:before="29"/>
        <w:ind w:left="574" w:right="6872"/>
        <w:jc w:val="left"/>
      </w:pPr>
      <w:r>
        <w:rPr/>
        <w:t>（</w:t>
      </w:r>
      <w:r>
        <w:rPr>
          <w:rFonts w:ascii="Times New Roman" w:hAnsi="Times New Roman" w:cs="Times New Roman" w:eastAsia="Times New Roman" w:hint="default"/>
        </w:rPr>
        <w:t>4</w:t>
      </w:r>
      <w:r>
        <w:rPr/>
        <w:t>）存货的盘存制度 存货的盘存制度为永续盘存制。</w:t>
      </w:r>
    </w:p>
    <w:p>
      <w:pPr>
        <w:pStyle w:val="BodyText"/>
        <w:spacing w:line="345" w:lineRule="auto"/>
        <w:ind w:left="574" w:right="6422"/>
        <w:jc w:val="left"/>
      </w:pPr>
      <w:r>
        <w:rPr/>
        <w:t>（</w:t>
      </w:r>
      <w:r>
        <w:rPr>
          <w:rFonts w:ascii="Times New Roman" w:hAnsi="Times New Roman" w:cs="Times New Roman" w:eastAsia="Times New Roman" w:hint="default"/>
        </w:rPr>
        <w:t>5</w:t>
      </w:r>
      <w:r>
        <w:rPr/>
        <w:t>）低值易耗品和包装物的摊销方法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低值易耗品 按照一次转销法进行摊销。</w:t>
      </w:r>
    </w:p>
    <w:p>
      <w:pPr>
        <w:pStyle w:val="BodyText"/>
        <w:spacing w:line="345" w:lineRule="auto"/>
        <w:ind w:left="574" w:right="723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包装物</w:t>
      </w:r>
      <w:r>
        <w:rPr>
          <w:w w:val="99"/>
        </w:rPr>
        <w:t> </w:t>
      </w:r>
      <w:r>
        <w:rPr/>
        <w:t>按照一次转销法进行摊销。</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13、持有待售资产" w:id="187"/>
      <w:bookmarkEnd w:id="187"/>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4、长期股权投资" w:id="188"/>
      <w:bookmarkEnd w:id="18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8"/>
          <w:szCs w:val="28"/>
        </w:rPr>
      </w:pPr>
    </w:p>
    <w:p>
      <w:pPr>
        <w:pStyle w:val="BodyText"/>
        <w:spacing w:line="345" w:lineRule="auto" w:before="0"/>
        <w:ind w:left="574" w:right="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共同控制、重要影响的判断 按照相关约定对某项安排所共有的控制，并且该安排的相关活动必须经过分享控制权的参与方一致同意后才能决策，</w:t>
      </w:r>
    </w:p>
    <w:p>
      <w:pPr>
        <w:pStyle w:val="BodyText"/>
        <w:spacing w:line="364" w:lineRule="auto"/>
        <w:ind w:right="192"/>
        <w:jc w:val="both"/>
      </w:pPr>
      <w:r>
        <w:rPr>
          <w:spacing w:val="-2"/>
        </w:rPr>
        <w:t>认定为共同控制。对被投资单位的财务和经营政策有参与决策的权力，但并不能够控制或者与其他方一起共同控制这些政策</w:t>
      </w:r>
      <w:r>
        <w:rPr>
          <w:spacing w:val="-64"/>
        </w:rPr>
        <w:t> </w:t>
      </w:r>
      <w:r>
        <w:rPr>
          <w:spacing w:val="-64"/>
        </w:rPr>
      </w:r>
      <w:r>
        <w:rPr/>
        <w:t>的制定，认定为重大影响。</w:t>
      </w:r>
    </w:p>
    <w:p>
      <w:pPr>
        <w:pStyle w:val="BodyText"/>
        <w:spacing w:line="240" w:lineRule="auto" w:before="29"/>
        <w:ind w:left="574" w:right="675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投资成本的确定</w:t>
      </w:r>
    </w:p>
    <w:p>
      <w:pPr>
        <w:pStyle w:val="BodyText"/>
        <w:spacing w:line="360" w:lineRule="auto" w:before="109"/>
        <w:ind w:right="99"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4"/>
        </w:rPr>
        <w:t>同一控制下的企业合并形成的，合并方以支付现金、转让非现金资产、承担债务或发行权益性证券作为合并对价的，</w:t>
      </w:r>
      <w:r>
        <w:rPr>
          <w:w w:val="99"/>
        </w:rPr>
        <w:t> </w:t>
      </w:r>
      <w:r>
        <w:rPr>
          <w:spacing w:val="-2"/>
          <w:w w:val="99"/>
        </w:rPr>
        <w:t>在合并日按照取得被合并方所有者权益在最终控制方合并财务报表中的账面价值的份额作为其初始投资成本。长期股权投资</w:t>
      </w:r>
      <w:r>
        <w:rPr>
          <w:spacing w:val="-64"/>
          <w:w w:val="99"/>
        </w:rPr>
        <w:t> </w:t>
      </w:r>
      <w:r>
        <w:rPr>
          <w:spacing w:val="-64"/>
          <w:w w:val="99"/>
        </w:rPr>
      </w:r>
      <w:r>
        <w:rPr>
          <w:spacing w:val="-2"/>
        </w:rPr>
        <w:t>初始投资成本与支付的合并对价的账面价值或发行股份的面值总额之间的差额调整资本公积；资本公积不足冲减的，调整留</w:t>
      </w:r>
      <w:r>
        <w:rPr>
          <w:spacing w:val="-65"/>
        </w:rPr>
        <w:t> </w:t>
      </w:r>
      <w:r>
        <w:rPr>
          <w:spacing w:val="-65"/>
        </w:rPr>
      </w:r>
      <w:r>
        <w:rPr/>
        <w:t>存收益。</w:t>
      </w:r>
    </w:p>
    <w:p>
      <w:pPr>
        <w:pStyle w:val="BodyText"/>
        <w:spacing w:line="345" w:lineRule="auto" w:before="33"/>
        <w:ind w:left="574" w:right="99"/>
        <w:jc w:val="left"/>
      </w:pPr>
      <w:r>
        <w:rPr/>
        <w:t>公司通过多次交易分步实现同一控制下企业合并形成的长期股权投资，判断是否属于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的，在合并日，根</w:t>
      </w:r>
    </w:p>
    <w:p>
      <w:pPr>
        <w:pStyle w:val="BodyText"/>
        <w:spacing w:line="364" w:lineRule="auto" w:before="22"/>
        <w:ind w:right="190"/>
        <w:jc w:val="both"/>
      </w:pPr>
      <w:r>
        <w:rPr>
          <w:spacing w:val="-2"/>
        </w:rPr>
        <w:t>据合并后应享有被合并方净资产在最终控制方合并财务报表中的账面价值的份额确定初始投资成本。合并日长期股权投资的</w:t>
      </w:r>
      <w:r>
        <w:rPr>
          <w:spacing w:val="-63"/>
        </w:rPr>
        <w:t> </w:t>
      </w:r>
      <w:r>
        <w:rPr>
          <w:spacing w:val="-63"/>
        </w:rPr>
      </w:r>
      <w:r>
        <w:rPr>
          <w:spacing w:val="-2"/>
        </w:rPr>
        <w:t>初始投资成本，与达到合并前的长期股权投资账面价值加上合并日进一步取得股份新支付对价的账面价值之和的差额，调整</w:t>
      </w:r>
      <w:r>
        <w:rPr>
          <w:spacing w:val="-64"/>
        </w:rPr>
        <w:t> </w:t>
      </w:r>
      <w:r>
        <w:rPr>
          <w:spacing w:val="-64"/>
        </w:rPr>
      </w:r>
      <w:r>
        <w:rPr/>
        <w:t>资本公积；资本公积不足冲减的，调整留存收益。</w:t>
      </w:r>
    </w:p>
    <w:p>
      <w:pPr>
        <w:pStyle w:val="BodyText"/>
        <w:spacing w:line="240" w:lineRule="auto" w:before="29"/>
        <w:ind w:left="574" w:right="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非同一控制下的企业合并形成的，在购买日按照支付的合并对价的公允价值作为其初始投资成本。</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7"/>
          <w:szCs w:val="27"/>
        </w:rPr>
      </w:pPr>
    </w:p>
    <w:p>
      <w:pPr>
        <w:pStyle w:val="BodyText"/>
        <w:spacing w:line="364" w:lineRule="auto"/>
        <w:ind w:right="99" w:firstLine="420"/>
        <w:jc w:val="left"/>
      </w:pPr>
      <w:r>
        <w:rPr/>
        <w:t>公司通过多次交易分步实现非同一控制下企业合并形成的长期股权投资，区分个别财务报表和合并财务报表进行相关 会计处理：</w:t>
      </w:r>
    </w:p>
    <w:p>
      <w:pPr>
        <w:pStyle w:val="BodyText"/>
        <w:spacing w:line="240" w:lineRule="auto" w:before="29"/>
        <w:ind w:left="574" w:right="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在个别财务报表中，按照原持有的股权投资的账面价值加上新增投资成本之和，作为改按成本法核算的初始投资成</w:t>
      </w:r>
    </w:p>
    <w:p>
      <w:pPr>
        <w:pStyle w:val="BodyText"/>
        <w:spacing w:line="240" w:lineRule="auto" w:before="109"/>
        <w:ind w:right="6752"/>
        <w:jc w:val="left"/>
      </w:pPr>
      <w:r>
        <w:rPr/>
        <w:t>本。</w:t>
      </w:r>
    </w:p>
    <w:p>
      <w:pPr>
        <w:pStyle w:val="BodyText"/>
        <w:spacing w:line="345" w:lineRule="auto" w:before="123"/>
        <w:ind w:left="574" w:right="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的，对于购买日之</w:t>
      </w:r>
    </w:p>
    <w:p>
      <w:pPr>
        <w:pStyle w:val="BodyText"/>
        <w:spacing w:line="364" w:lineRule="auto" w:before="22"/>
        <w:ind w:right="99"/>
        <w:jc w:val="left"/>
      </w:pPr>
      <w:r>
        <w:rPr>
          <w:spacing w:val="-4"/>
        </w:rPr>
        <w:t>前持有的被购买方的股权，按照该股权在购买日的公允价值进行重新计量，公允价值与其账面价值的差额计入当期投资收益；</w:t>
      </w:r>
      <w:r>
        <w:rPr>
          <w:spacing w:val="-44"/>
        </w:rPr>
        <w:t> </w:t>
      </w:r>
      <w:r>
        <w:rPr>
          <w:spacing w:val="-44"/>
        </w:rPr>
      </w:r>
      <w:r>
        <w:rPr>
          <w:spacing w:val="-2"/>
        </w:rPr>
        <w:t>购买日之前持有的被购买方的股权涉及权益法核算下的其他综合收益等的，与其相关的其他综合收益等转为购买日所属当期</w:t>
      </w:r>
      <w:r>
        <w:rPr>
          <w:spacing w:val="-64"/>
        </w:rPr>
        <w:t> </w:t>
      </w:r>
      <w:r>
        <w:rPr>
          <w:spacing w:val="-64"/>
        </w:rPr>
      </w:r>
      <w:r>
        <w:rPr/>
        <w:t>收益。但由于被投资方重新计量设定受益计划净负债或净资产变动而产生的其他综合收益除外。</w:t>
      </w:r>
    </w:p>
    <w:p>
      <w:pPr>
        <w:pStyle w:val="BodyText"/>
        <w:spacing w:line="345" w:lineRule="auto" w:before="29"/>
        <w:ind w:right="19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2"/>
        </w:rPr>
        <w:t>除企业合并形成以外的：以支付现金取得的，按照实际支付的购买价款作为其初始投资成本；以发行权益性证券取</w:t>
      </w:r>
      <w:r>
        <w:rPr>
          <w:w w:val="99"/>
        </w:rPr>
        <w:t> </w:t>
      </w:r>
      <w:r>
        <w:rPr>
          <w:spacing w:val="-2"/>
        </w:rPr>
        <w:t>得的，按照发行权益性证券的公允价值作为其初始投资成本；以债务重组方式取得的，按《企业会计准则第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w:t>
      </w:r>
      <w:r>
        <w:rPr>
          <w:spacing w:val="-65"/>
        </w:rPr>
        <w:t> </w:t>
      </w:r>
      <w:r>
        <w:rPr/>
        <w:t>组》确定其初始投资成本；以非货币性资产交换取得的，按《企业会计准则第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w:t>
      </w:r>
      <w:r>
        <w:rPr>
          <w:spacing w:val="-82"/>
        </w:rPr>
        <w:t> </w:t>
      </w:r>
      <w:r>
        <w:rPr>
          <w:spacing w:val="-82"/>
        </w:rPr>
      </w:r>
      <w:r>
        <w:rPr/>
        <w:t>成本。</w:t>
      </w:r>
    </w:p>
    <w:p>
      <w:pPr>
        <w:pStyle w:val="BodyText"/>
        <w:spacing w:line="345" w:lineRule="auto"/>
        <w:ind w:left="574" w:right="2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后续计量及损益确认方法 对被投资单位实施控制的长期股权投资采用成本法核算；对联营企业和合营企业的长期股权投资，采用权益法核算。</w:t>
      </w:r>
    </w:p>
    <w:p>
      <w:pPr>
        <w:spacing w:line="240" w:lineRule="auto" w:before="9"/>
        <w:rPr>
          <w:rFonts w:ascii="宋体" w:hAnsi="宋体" w:cs="宋体" w:eastAsia="宋体" w:hint="default"/>
          <w:sz w:val="22"/>
          <w:szCs w:val="22"/>
        </w:rPr>
      </w:pPr>
    </w:p>
    <w:p>
      <w:pPr>
        <w:pStyle w:val="Heading4"/>
        <w:spacing w:line="240" w:lineRule="auto"/>
        <w:ind w:right="6752"/>
        <w:jc w:val="left"/>
        <w:rPr>
          <w:b w:val="0"/>
          <w:bCs w:val="0"/>
        </w:rPr>
      </w:pPr>
      <w:bookmarkStart w:name="15、投资性房地产" w:id="189"/>
      <w:bookmarkEnd w:id="18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012"/>
        <w:jc w:val="left"/>
      </w:pPr>
      <w:r>
        <w:rPr/>
        <w:t>投资性房地产计量模式 不适用</w:t>
      </w:r>
    </w:p>
    <w:p>
      <w:pPr>
        <w:spacing w:line="240" w:lineRule="auto" w:before="1"/>
        <w:rPr>
          <w:rFonts w:ascii="宋体" w:hAnsi="宋体" w:cs="宋体" w:eastAsia="宋体" w:hint="default"/>
          <w:sz w:val="20"/>
          <w:szCs w:val="20"/>
        </w:rPr>
      </w:pPr>
    </w:p>
    <w:p>
      <w:pPr>
        <w:pStyle w:val="Heading4"/>
        <w:spacing w:line="240" w:lineRule="auto"/>
        <w:ind w:right="6752"/>
        <w:jc w:val="left"/>
        <w:rPr>
          <w:b w:val="0"/>
          <w:bCs w:val="0"/>
        </w:rPr>
      </w:pPr>
      <w:bookmarkStart w:name="16、固定资产" w:id="190"/>
      <w:bookmarkEnd w:id="19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6752"/>
        <w:jc w:val="left"/>
        <w:rPr>
          <w:b w:val="0"/>
          <w:bCs w:val="0"/>
        </w:rPr>
      </w:pPr>
      <w:bookmarkStart w:name="（1）确认条件" w:id="191"/>
      <w:bookmarkEnd w:id="19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
        <w:jc w:val="left"/>
      </w:pPr>
      <w:r>
        <w:rPr/>
        <w:t>固定资产在同时满足经济利益很可能流入、成本能够可靠计量时予以确认。</w:t>
      </w:r>
    </w:p>
    <w:p>
      <w:pPr>
        <w:spacing w:line="240" w:lineRule="auto" w:before="11"/>
        <w:rPr>
          <w:rFonts w:ascii="宋体" w:hAnsi="宋体" w:cs="宋体" w:eastAsia="宋体" w:hint="default"/>
          <w:sz w:val="26"/>
          <w:szCs w:val="26"/>
        </w:rPr>
      </w:pPr>
    </w:p>
    <w:p>
      <w:pPr>
        <w:pStyle w:val="Heading4"/>
        <w:spacing w:line="240" w:lineRule="auto"/>
        <w:ind w:right="6752"/>
        <w:jc w:val="left"/>
        <w:rPr>
          <w:b w:val="0"/>
          <w:bCs w:val="0"/>
        </w:rPr>
      </w:pPr>
      <w:bookmarkStart w:name="（2）折旧方法" w:id="192"/>
      <w:bookmarkEnd w:id="19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31.67-19.00</w:t>
            </w:r>
          </w:p>
        </w:tc>
      </w:tr>
    </w:tbl>
    <w:p>
      <w:pPr>
        <w:spacing w:line="240" w:lineRule="auto" w:before="2"/>
        <w:rPr>
          <w:rFonts w:ascii="宋体" w:hAnsi="宋体" w:cs="宋体" w:eastAsia="宋体" w:hint="default"/>
          <w:b/>
          <w:bCs/>
          <w:sz w:val="19"/>
          <w:szCs w:val="19"/>
        </w:rPr>
      </w:pPr>
    </w:p>
    <w:p>
      <w:pPr>
        <w:pStyle w:val="Heading4"/>
        <w:spacing w:line="240" w:lineRule="auto" w:before="35"/>
        <w:ind w:right="99"/>
        <w:jc w:val="left"/>
        <w:rPr>
          <w:b w:val="0"/>
          <w:bCs w:val="0"/>
        </w:rPr>
      </w:pPr>
      <w:bookmarkStart w:name="（3）融资租入固定资产的认定依据、计价和折旧方法" w:id="193"/>
      <w:bookmarkEnd w:id="19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6752"/>
        <w:jc w:val="left"/>
        <w:rPr>
          <w:b w:val="0"/>
          <w:bCs w:val="0"/>
        </w:rPr>
      </w:pPr>
      <w:bookmarkStart w:name="17、在建工程" w:id="194"/>
      <w:bookmarkEnd w:id="19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6752"/>
        <w:jc w:val="left"/>
      </w:pPr>
      <w:r>
        <w:rPr/>
        <w:t>公司是否需要遵守特殊行业的披露要求 否</w:t>
      </w:r>
    </w:p>
    <w:p>
      <w:pPr>
        <w:spacing w:after="0" w:line="357" w:lineRule="auto"/>
        <w:jc w:val="left"/>
        <w:sectPr>
          <w:pgSz w:w="11910" w:h="16840"/>
          <w:pgMar w:header="747" w:footer="979" w:top="1060" w:bottom="1160" w:left="980" w:right="940"/>
        </w:sectPr>
      </w:pPr>
    </w:p>
    <w:p>
      <w:pPr>
        <w:spacing w:line="240" w:lineRule="auto" w:before="8"/>
        <w:rPr>
          <w:rFonts w:ascii="宋体" w:hAnsi="宋体" w:cs="宋体" w:eastAsia="宋体" w:hint="default"/>
          <w:sz w:val="27"/>
          <w:szCs w:val="27"/>
        </w:rPr>
      </w:pPr>
    </w:p>
    <w:p>
      <w:pPr>
        <w:pStyle w:val="BodyText"/>
        <w:spacing w:line="345" w:lineRule="auto"/>
        <w:ind w:right="174" w:firstLine="420"/>
        <w:jc w:val="left"/>
      </w:pPr>
      <w:r>
        <w:rPr>
          <w:spacing w:val="-1"/>
        </w:rPr>
        <w:t>（</w:t>
      </w:r>
      <w:r>
        <w:rPr>
          <w:rFonts w:ascii="Times New Roman" w:hAnsi="Times New Roman" w:cs="Times New Roman" w:eastAsia="Times New Roman" w:hint="default"/>
          <w:spacing w:val="-1"/>
        </w:rPr>
        <w:t>1</w:t>
      </w:r>
      <w:r>
        <w:rPr>
          <w:spacing w:val="-1"/>
        </w:rPr>
        <w:t>）在建工程同时满足经济利益很可能流入、成本能够可靠计量则予以确认。在建工程按建造该项资产达到预定可使</w:t>
      </w:r>
      <w:r>
        <w:rPr/>
        <w:t> 用状态前所发生的实际成本计量。</w:t>
      </w:r>
    </w:p>
    <w:p>
      <w:pPr>
        <w:pStyle w:val="BodyText"/>
        <w:spacing w:line="345" w:lineRule="auto"/>
        <w:ind w:right="101" w:firstLine="367"/>
        <w:jc w:val="left"/>
      </w:pPr>
      <w:r>
        <w:rPr>
          <w:spacing w:val="-2"/>
        </w:rPr>
        <w:t>（</w:t>
      </w:r>
      <w:r>
        <w:rPr>
          <w:rFonts w:ascii="Times New Roman" w:hAnsi="Times New Roman" w:cs="Times New Roman" w:eastAsia="Times New Roman" w:hint="default"/>
          <w:spacing w:val="-2"/>
        </w:rPr>
        <w:t>2</w:t>
      </w:r>
      <w:r>
        <w:rPr>
          <w:spacing w:val="-2"/>
        </w:rPr>
        <w:t>）在建工程达到预定可使用状态时，按工程实际成本转入固定资产。已达到预定可使用状态但尚未办理竣工决算的，</w:t>
      </w:r>
      <w:r>
        <w:rPr/>
        <w:t> 先按估计价值转入固定资产，待办理竣工决算后再按实际成本调整原暂估价值，但不再调整原已计提的折旧。</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18、借款费用" w:id="195"/>
      <w:bookmarkEnd w:id="19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3"/>
        <w:rPr>
          <w:rFonts w:ascii="宋体" w:hAnsi="宋体" w:cs="宋体" w:eastAsia="宋体" w:hint="default"/>
          <w:b/>
          <w:bCs/>
          <w:sz w:val="28"/>
          <w:szCs w:val="28"/>
        </w:rPr>
      </w:pPr>
    </w:p>
    <w:p>
      <w:pPr>
        <w:pStyle w:val="BodyText"/>
        <w:spacing w:line="345" w:lineRule="auto" w:before="0"/>
        <w:ind w:left="574" w:right="99"/>
        <w:jc w:val="left"/>
      </w:pPr>
      <w:r>
        <w:rPr>
          <w:rFonts w:ascii="Times New Roman" w:hAnsi="Times New Roman" w:cs="Times New Roman" w:eastAsia="Times New Roman" w:hint="default"/>
        </w:rPr>
        <w:t>(1)</w:t>
      </w:r>
      <w:r>
        <w:rPr/>
        <w:t>借款费用资本化的确认原则</w:t>
      </w:r>
      <w:r>
        <w:rPr>
          <w:w w:val="99"/>
        </w:rPr>
        <w:t> </w:t>
      </w:r>
      <w:r>
        <w:rPr/>
        <w:t>公司发生的借款费用，可直接归属于符合资本化条件的资产的购建或者生产的，予以资本化，计入相关资产成本；其</w:t>
      </w:r>
    </w:p>
    <w:p>
      <w:pPr>
        <w:pStyle w:val="BodyText"/>
        <w:spacing w:line="240" w:lineRule="auto"/>
        <w:ind w:right="0"/>
        <w:jc w:val="both"/>
      </w:pPr>
      <w:r>
        <w:rPr/>
        <w:t>他借款费用，在发生时确认为费用，计入当期损益。</w:t>
      </w:r>
    </w:p>
    <w:p>
      <w:pPr>
        <w:pStyle w:val="BodyText"/>
        <w:spacing w:line="240" w:lineRule="auto" w:before="123"/>
        <w:ind w:left="574" w:right="6752"/>
        <w:jc w:val="left"/>
      </w:pPr>
      <w:r>
        <w:rPr>
          <w:rFonts w:ascii="Times New Roman" w:hAnsi="Times New Roman" w:cs="Times New Roman" w:eastAsia="Times New Roman" w:hint="default"/>
        </w:rPr>
        <w:t>(2)</w:t>
      </w:r>
      <w:r>
        <w:rPr/>
        <w:t>借款费用资本化期间</w:t>
      </w:r>
    </w:p>
    <w:p>
      <w:pPr>
        <w:pStyle w:val="BodyText"/>
        <w:spacing w:line="345" w:lineRule="auto" w:before="109"/>
        <w:ind w:right="99" w:firstLine="420"/>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为使资产达到预</w:t>
      </w:r>
      <w:r>
        <w:rPr>
          <w:w w:val="99"/>
        </w:rPr>
        <w:t> </w:t>
      </w:r>
      <w:r>
        <w:rPr/>
        <w:t>定可使用或可销售状态所必要的购建或者生产活动已经开始。</w:t>
      </w:r>
    </w:p>
    <w:p>
      <w:pPr>
        <w:pStyle w:val="BodyText"/>
        <w:spacing w:line="345" w:lineRule="auto"/>
        <w:ind w:right="99"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w:t>
      </w:r>
      <w:r>
        <w:rPr>
          <w:w w:val="99"/>
        </w:rPr>
        <w:t> </w:t>
      </w:r>
      <w:r>
        <w:rPr/>
        <w:t>资本化；中断期间发生的借款费用确认为当期费用，直至资产的购建或者生产活动重新开始。</w:t>
      </w:r>
    </w:p>
    <w:p>
      <w:pPr>
        <w:pStyle w:val="BodyText"/>
        <w:spacing w:line="345" w:lineRule="auto"/>
        <w:ind w:left="574" w:right="9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当所购建或者生产符合资本化条件的资产达到预定可使用或可销售状态时，借款费用停止资本化。</w:t>
      </w:r>
      <w:r>
        <w:rPr>
          <w:w w:val="99"/>
        </w:rPr>
        <w:t> </w:t>
      </w:r>
      <w:r>
        <w:rPr>
          <w:rFonts w:ascii="Times New Roman" w:hAnsi="Times New Roman" w:cs="Times New Roman" w:eastAsia="Times New Roman" w:hint="default"/>
        </w:rPr>
        <w:t>(3)</w:t>
      </w:r>
      <w:r>
        <w:rPr/>
        <w:t>借款费用资本化率以及资本化金额</w:t>
      </w:r>
      <w:r>
        <w:rPr>
          <w:w w:val="99"/>
        </w:rPr>
        <w:t> </w:t>
      </w:r>
      <w:r>
        <w:rPr/>
        <w:t>为购建或者生产符合资本化条件的资产而借入专门借款的，以专门借款当期实际发生的利息费用（包括按照实际利率</w:t>
      </w:r>
    </w:p>
    <w:p>
      <w:pPr>
        <w:pStyle w:val="BodyText"/>
        <w:spacing w:line="364" w:lineRule="auto"/>
        <w:ind w:right="192"/>
        <w:jc w:val="both"/>
      </w:pPr>
      <w:r>
        <w:rPr>
          <w:spacing w:val="-2"/>
        </w:rPr>
        <w:t>法确定的折价或溢价的摊销），减去将尚未动用的借款资金存入银行取得的利息收入或进行暂时性投资取得的投资收益后的</w:t>
      </w:r>
      <w:r>
        <w:rPr>
          <w:spacing w:val="-64"/>
        </w:rPr>
        <w:t> </w:t>
      </w:r>
      <w:r>
        <w:rPr>
          <w:spacing w:val="-64"/>
        </w:rPr>
      </w:r>
      <w:r>
        <w:rPr>
          <w:spacing w:val="-2"/>
        </w:rPr>
        <w:t>金额，确定应予资本化的利息金额；为购建或者生产符合资本化条件的资产占用了一般借款的，根据累计资产支出超过专门</w:t>
      </w:r>
      <w:r>
        <w:rPr>
          <w:spacing w:val="-66"/>
        </w:rPr>
        <w:t> </w:t>
      </w:r>
      <w:r>
        <w:rPr>
          <w:spacing w:val="-66"/>
        </w:rPr>
      </w:r>
      <w:r>
        <w:rPr/>
        <w:t>借款的资产支出加权平均数乘以占用一般借款的资本化率，计算确定一般借款应予资本化的利息金额。</w:t>
      </w:r>
    </w:p>
    <w:p>
      <w:pPr>
        <w:spacing w:line="240" w:lineRule="auto" w:before="8"/>
        <w:rPr>
          <w:rFonts w:ascii="宋体" w:hAnsi="宋体" w:cs="宋体" w:eastAsia="宋体" w:hint="default"/>
          <w:sz w:val="21"/>
          <w:szCs w:val="21"/>
        </w:rPr>
      </w:pPr>
    </w:p>
    <w:p>
      <w:pPr>
        <w:pStyle w:val="Heading4"/>
        <w:spacing w:line="240" w:lineRule="auto"/>
        <w:ind w:right="0"/>
        <w:jc w:val="both"/>
        <w:rPr>
          <w:b w:val="0"/>
          <w:bCs w:val="0"/>
        </w:rPr>
      </w:pPr>
      <w:bookmarkStart w:name="19、生物资产" w:id="196"/>
      <w:bookmarkEnd w:id="196"/>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0、油气资产" w:id="197"/>
      <w:bookmarkEnd w:id="19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1、无形资产" w:id="198"/>
      <w:bookmarkEnd w:id="19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计价方法、使用寿命、减值测试" w:id="199"/>
      <w:bookmarkEnd w:id="19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6752"/>
        <w:jc w:val="left"/>
      </w:pPr>
      <w:r>
        <w:rPr/>
        <w:t>公司是否需要遵守特殊行业的披露要求 否</w:t>
      </w:r>
    </w:p>
    <w:p>
      <w:pPr>
        <w:pStyle w:val="BodyText"/>
        <w:spacing w:line="240" w:lineRule="auto" w:before="47"/>
        <w:ind w:left="574" w:right="99"/>
        <w:jc w:val="left"/>
      </w:pPr>
      <w:r>
        <w:rPr>
          <w:rFonts w:ascii="Times New Roman" w:hAnsi="Times New Roman" w:cs="Times New Roman" w:eastAsia="Times New Roman" w:hint="default"/>
        </w:rPr>
        <w:t>1</w:t>
      </w:r>
      <w:r>
        <w:rPr/>
        <w:t>）无形资产包括土地使用权、软件及专利著作权，按成本进行初始计量。</w:t>
      </w:r>
    </w:p>
    <w:p>
      <w:pPr>
        <w:pStyle w:val="BodyText"/>
        <w:spacing w:line="345" w:lineRule="auto" w:before="109"/>
        <w:ind w:right="174" w:firstLine="420"/>
        <w:jc w:val="left"/>
      </w:pPr>
      <w:r>
        <w:rPr>
          <w:rFonts w:ascii="Times New Roman" w:hAnsi="Times New Roman" w:cs="Times New Roman" w:eastAsia="Times New Roman" w:hint="default"/>
          <w:spacing w:val="-1"/>
        </w:rPr>
        <w:t>2</w:t>
      </w:r>
      <w:r>
        <w:rPr>
          <w:spacing w:val="-1"/>
        </w:rPr>
        <w:t>）使用寿命有限的无形资产，在使用寿命内按照与该项无形资产有关的经济利益的预期实现方式系统合理地摊销，无</w:t>
      </w:r>
      <w:r>
        <w:rPr/>
        <w:t> 法可靠确定预期实现方式的，采用直线法摊销。具体年限如下：</w:t>
      </w:r>
    </w:p>
    <w:p>
      <w:pPr>
        <w:spacing w:line="240" w:lineRule="auto" w:before="4"/>
        <w:rPr>
          <w:rFonts w:ascii="宋体" w:hAnsi="宋体" w:cs="宋体" w:eastAsia="宋体" w:hint="default"/>
          <w:sz w:val="25"/>
          <w:szCs w:val="25"/>
        </w:rPr>
      </w:pPr>
    </w:p>
    <w:p>
      <w:pPr>
        <w:spacing w:line="1542" w:lineRule="exact"/>
        <w:ind w:left="154" w:right="0" w:firstLine="0"/>
        <w:rPr>
          <w:rFonts w:ascii="宋体" w:hAnsi="宋体" w:cs="宋体" w:eastAsia="宋体" w:hint="default"/>
          <w:sz w:val="20"/>
          <w:szCs w:val="20"/>
        </w:rPr>
      </w:pPr>
      <w:r>
        <w:rPr>
          <w:rFonts w:ascii="宋体" w:hAnsi="宋体" w:cs="宋体" w:eastAsia="宋体" w:hint="default"/>
          <w:position w:val="-30"/>
          <w:sz w:val="20"/>
          <w:szCs w:val="20"/>
        </w:rPr>
        <w:drawing>
          <wp:inline distT="0" distB="0" distL="0" distR="0">
            <wp:extent cx="2238647" cy="979646"/>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30" cstate="print"/>
                    <a:stretch>
                      <a:fillRect/>
                    </a:stretch>
                  </pic:blipFill>
                  <pic:spPr>
                    <a:xfrm>
                      <a:off x="0" y="0"/>
                      <a:ext cx="2238647" cy="979646"/>
                    </a:xfrm>
                    <a:prstGeom prst="rect">
                      <a:avLst/>
                    </a:prstGeom>
                  </pic:spPr>
                </pic:pic>
              </a:graphicData>
            </a:graphic>
          </wp:inline>
        </w:drawing>
      </w:r>
      <w:r>
        <w:rPr>
          <w:rFonts w:ascii="宋体" w:hAnsi="宋体" w:cs="宋体" w:eastAsia="宋体" w:hint="default"/>
          <w:position w:val="-30"/>
          <w:sz w:val="20"/>
          <w:szCs w:val="20"/>
        </w:rPr>
      </w:r>
    </w:p>
    <w:p>
      <w:pPr>
        <w:spacing w:after="0" w:line="1542" w:lineRule="exact"/>
        <w:rPr>
          <w:rFonts w:ascii="宋体" w:hAnsi="宋体" w:cs="宋体" w:eastAsia="宋体" w:hint="default"/>
          <w:sz w:val="20"/>
          <w:szCs w:val="20"/>
        </w:rPr>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0"/>
        <w:jc w:val="left"/>
        <w:rPr>
          <w:b w:val="0"/>
          <w:bCs w:val="0"/>
        </w:rPr>
      </w:pPr>
      <w:bookmarkStart w:name="（2）内部研究开发支出会计政策" w:id="200"/>
      <w:bookmarkEnd w:id="20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8"/>
          <w:szCs w:val="28"/>
        </w:rPr>
      </w:pPr>
    </w:p>
    <w:p>
      <w:pPr>
        <w:pStyle w:val="BodyText"/>
        <w:spacing w:line="364" w:lineRule="auto" w:before="0"/>
        <w:ind w:right="150" w:firstLine="420"/>
        <w:jc w:val="both"/>
      </w:pPr>
      <w:r>
        <w:rPr/>
        <w:t>内部研究开发项目研究阶段的支出，于发生时计入当期损益。内部研究开发项目开发阶段的支出，同时满足下列条件 的，确认为无形资产：</w:t>
      </w:r>
    </w:p>
    <w:p>
      <w:pPr>
        <w:pStyle w:val="BodyText"/>
        <w:spacing w:line="240" w:lineRule="auto" w:before="29"/>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完成该无形资产以使其能够使用或出售在技术上具有可行性；</w:t>
      </w:r>
    </w:p>
    <w:p>
      <w:pPr>
        <w:pStyle w:val="BodyText"/>
        <w:spacing w:line="240" w:lineRule="auto" w:before="109"/>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具有完成该无形资产并使用或出售的意图；</w:t>
      </w:r>
    </w:p>
    <w:p>
      <w:pPr>
        <w:pStyle w:val="BodyText"/>
        <w:spacing w:line="345" w:lineRule="auto" w:before="109"/>
        <w:ind w:right="157" w:firstLine="420"/>
        <w:jc w:val="both"/>
      </w:pP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w:t>
      </w:r>
      <w:r>
        <w:rPr>
          <w:w w:val="99"/>
        </w:rPr>
        <w:t> </w:t>
      </w:r>
      <w:r>
        <w:rPr/>
        <w:t>资产将在内部使用的，能证明其有用性；</w:t>
      </w:r>
    </w:p>
    <w:p>
      <w:pPr>
        <w:pStyle w:val="BodyText"/>
        <w:spacing w:line="240" w:lineRule="auto"/>
        <w:ind w:left="57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有足够的技术、财务资源和其他资源支持，以完成该无形资产的开发，并有能力使用或出售该无形资产；</w:t>
      </w:r>
    </w:p>
    <w:p>
      <w:pPr>
        <w:pStyle w:val="BodyText"/>
        <w:spacing w:line="240" w:lineRule="auto" w:before="109"/>
        <w:ind w:left="574"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归属于该无形资产开发阶段的支出能够可靠地计量。</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22、长期资产减值" w:id="201"/>
      <w:bookmarkEnd w:id="201"/>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3"/>
        <w:rPr>
          <w:rFonts w:ascii="宋体" w:hAnsi="宋体" w:cs="宋体" w:eastAsia="宋体" w:hint="default"/>
          <w:b/>
          <w:bCs/>
          <w:sz w:val="28"/>
          <w:szCs w:val="28"/>
        </w:rPr>
      </w:pPr>
    </w:p>
    <w:p>
      <w:pPr>
        <w:pStyle w:val="BodyText"/>
        <w:spacing w:line="355" w:lineRule="auto" w:before="0"/>
        <w:ind w:right="148" w:firstLine="420"/>
        <w:jc w:val="both"/>
      </w:pPr>
      <w:r>
        <w:rPr>
          <w:spacing w:val="-1"/>
        </w:rPr>
        <w:t>对长期股权投资、采用成本模式计量的投资性房地产、固定资产、在建工程、使用寿命有限的无形资产等长期资产</w:t>
      </w:r>
      <w:r>
        <w:rPr>
          <w:rFonts w:ascii="Times New Roman" w:hAnsi="Times New Roman" w:cs="Times New Roman" w:eastAsia="Times New Roman" w:hint="default"/>
          <w:spacing w:val="-1"/>
        </w:rPr>
        <w:t>,</w:t>
      </w:r>
      <w:r>
        <w:rPr>
          <w:spacing w:val="-1"/>
        </w:rPr>
        <w:t>在</w:t>
      </w:r>
      <w:r>
        <w:rPr/>
        <w:t> </w:t>
      </w:r>
      <w:r>
        <w:rPr>
          <w:spacing w:val="-2"/>
        </w:rPr>
        <w:t>资产负债表日有迹象表明发生减值的，估计其可收回金额。对因企业合并所形成的商誉和使用寿命不确定的无形资产，无论</w:t>
      </w:r>
      <w:r>
        <w:rPr>
          <w:spacing w:val="-66"/>
        </w:rPr>
        <w:t> </w:t>
      </w:r>
      <w:r>
        <w:rPr>
          <w:spacing w:val="-66"/>
        </w:rPr>
      </w:r>
      <w:r>
        <w:rPr/>
        <w:t>是否存在减值迹象，每年都进行减值测试。商誉结合于其相关的资产组或者资产组组合进行减值测试。</w:t>
      </w:r>
    </w:p>
    <w:p>
      <w:pPr>
        <w:pStyle w:val="BodyText"/>
        <w:spacing w:line="240" w:lineRule="auto" w:before="37"/>
        <w:ind w:left="574" w:right="0"/>
        <w:jc w:val="left"/>
      </w:pPr>
      <w:r>
        <w:rPr/>
        <w:t>若上述长期资产的可收回金额低于其账面价值的，按其差额确认资产减值准备并计入当期损益。</w:t>
      </w:r>
    </w:p>
    <w:p>
      <w:pPr>
        <w:spacing w:line="240" w:lineRule="auto" w:before="0"/>
        <w:rPr>
          <w:rFonts w:ascii="宋体" w:hAnsi="宋体" w:cs="宋体" w:eastAsia="宋体" w:hint="default"/>
          <w:sz w:val="18"/>
          <w:szCs w:val="18"/>
        </w:rPr>
      </w:pPr>
    </w:p>
    <w:p>
      <w:pPr>
        <w:pStyle w:val="Heading4"/>
        <w:spacing w:line="240" w:lineRule="auto" w:before="141"/>
        <w:ind w:right="0"/>
        <w:jc w:val="left"/>
        <w:rPr>
          <w:b w:val="0"/>
          <w:bCs w:val="0"/>
        </w:rPr>
      </w:pPr>
      <w:bookmarkStart w:name="23、长期待摊费用" w:id="202"/>
      <w:bookmarkEnd w:id="20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3"/>
        <w:rPr>
          <w:rFonts w:ascii="宋体" w:hAnsi="宋体" w:cs="宋体" w:eastAsia="宋体" w:hint="default"/>
          <w:b/>
          <w:bCs/>
          <w:sz w:val="28"/>
          <w:szCs w:val="28"/>
        </w:rPr>
      </w:pPr>
    </w:p>
    <w:p>
      <w:pPr>
        <w:pStyle w:val="BodyText"/>
        <w:spacing w:line="355" w:lineRule="auto" w:before="0"/>
        <w:ind w:right="151" w:firstLine="420"/>
        <w:jc w:val="both"/>
      </w:pPr>
      <w:r>
        <w:rPr/>
        <w:t>长期待摊费用核算已经支出，摊销期限在</w:t>
      </w:r>
      <w:r>
        <w:rPr>
          <w:rFonts w:ascii="Times New Roman" w:hAnsi="Times New Roman" w:cs="Times New Roman" w:eastAsia="Times New Roman" w:hint="default"/>
        </w:rPr>
        <w:t>1</w:t>
      </w:r>
      <w:r>
        <w:rPr/>
        <w:t>年以上（不含</w:t>
      </w:r>
      <w:r>
        <w:rPr>
          <w:rFonts w:ascii="Times New Roman" w:hAnsi="Times New Roman" w:cs="Times New Roman" w:eastAsia="Times New Roman" w:hint="default"/>
        </w:rPr>
        <w:t>1</w:t>
      </w:r>
      <w:r>
        <w:rPr/>
        <w:t>年）的各项费用。长期待摊费用按实际发生额入账，在受益 </w:t>
      </w:r>
      <w:r>
        <w:rPr>
          <w:spacing w:val="-2"/>
        </w:rPr>
        <w:t>期或规定的期限内分期平均摊销。如果长期待摊的费用项目不能使以后会计期间受益则将尚未摊销的该项目的摊余价值全部</w:t>
      </w:r>
      <w:r>
        <w:rPr>
          <w:spacing w:val="-64"/>
        </w:rPr>
        <w:t> </w:t>
      </w:r>
      <w:r>
        <w:rPr>
          <w:spacing w:val="-64"/>
        </w:rPr>
      </w:r>
      <w:r>
        <w:rPr/>
        <w:t>转入当期损益。</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24、职工薪酬" w:id="203"/>
      <w:bookmarkEnd w:id="203"/>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薪酬的会计处理方法" w:id="204"/>
      <w:bookmarkEnd w:id="20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74" w:right="0"/>
        <w:jc w:val="left"/>
      </w:pPr>
      <w:r>
        <w:rPr/>
        <w:t>在职工为公司提供服务的会计期间，将实际发生的短期薪酬确认为负债，并计入当期损益或相关资产成本。</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离职后福利的会计处理方法" w:id="205"/>
      <w:bookmarkEnd w:id="20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宋体" w:hAnsi="宋体" w:cs="宋体" w:eastAsia="宋体" w:hint="default"/>
          <w:b/>
          <w:bCs/>
          <w:sz w:val="28"/>
          <w:szCs w:val="28"/>
        </w:rPr>
      </w:pPr>
    </w:p>
    <w:p>
      <w:pPr>
        <w:pStyle w:val="BodyText"/>
        <w:spacing w:line="240" w:lineRule="auto" w:before="0"/>
        <w:ind w:left="574" w:right="0"/>
        <w:jc w:val="left"/>
      </w:pPr>
      <w:r>
        <w:rPr/>
        <w:t>离职后福利分为设定提存计划和设定受益计划。</w:t>
      </w:r>
    </w:p>
    <w:p>
      <w:pPr>
        <w:pStyle w:val="BodyText"/>
        <w:spacing w:line="345" w:lineRule="auto" w:before="123"/>
        <w:ind w:right="15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2"/>
        </w:rPr>
        <w:t>在职工为公司提供服务的会计期间，根据设定提存计划计算的应缴存金额确认为负债，并计入当期损益或相关资产</w:t>
      </w:r>
      <w:r>
        <w:rPr>
          <w:w w:val="99"/>
        </w:rPr>
        <w:t> </w:t>
      </w:r>
      <w:r>
        <w:rPr/>
        <w:t>成本。</w:t>
      </w:r>
    </w:p>
    <w:p>
      <w:pPr>
        <w:pStyle w:val="BodyText"/>
        <w:spacing w:line="240" w:lineRule="auto"/>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对设定受益计划的会计处理通常包括下列步骤：</w:t>
      </w:r>
    </w:p>
    <w:p>
      <w:pPr>
        <w:pStyle w:val="BodyText"/>
        <w:spacing w:line="355" w:lineRule="auto" w:before="110"/>
        <w:ind w:right="15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根据预期累计福利单位法，采用无偏且相互一致的精算假设对有关人口统计变量和财务变量等作出估计，计量设定</w:t>
      </w:r>
      <w:r>
        <w:rPr>
          <w:w w:val="99"/>
        </w:rPr>
        <w:t> </w:t>
      </w:r>
      <w:r>
        <w:rPr>
          <w:spacing w:val="-2"/>
        </w:rPr>
        <w:t>受益计划所产生的义务，并确定相关义务的所属期间。同时，对设定受益计划所产生的义务予以折现，以确定设定受益计划</w:t>
      </w:r>
      <w:r>
        <w:rPr>
          <w:spacing w:val="-67"/>
        </w:rPr>
        <w:t> </w:t>
      </w:r>
      <w:r>
        <w:rPr>
          <w:spacing w:val="-67"/>
        </w:rPr>
      </w:r>
      <w:r>
        <w:rPr/>
        <w:t>义务的现值和当期服务成本；</w:t>
      </w:r>
    </w:p>
    <w:p>
      <w:pPr>
        <w:spacing w:after="0" w:line="355" w:lineRule="auto"/>
        <w:jc w:val="both"/>
        <w:sectPr>
          <w:pgSz w:w="11910" w:h="16840"/>
          <w:pgMar w:header="747" w:footer="979" w:top="1060" w:bottom="1160" w:left="980" w:right="980"/>
        </w:sectPr>
      </w:pPr>
    </w:p>
    <w:p>
      <w:pPr>
        <w:spacing w:line="240" w:lineRule="auto" w:before="8"/>
        <w:rPr>
          <w:rFonts w:ascii="宋体" w:hAnsi="宋体" w:cs="宋体" w:eastAsia="宋体" w:hint="default"/>
          <w:sz w:val="27"/>
          <w:szCs w:val="27"/>
        </w:rPr>
      </w:pPr>
    </w:p>
    <w:p>
      <w:pPr>
        <w:pStyle w:val="BodyText"/>
        <w:spacing w:line="355" w:lineRule="auto"/>
        <w:ind w:right="19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设定受益计划存在资产的，将设定受益计划义务现值减去设定受益计划资产公允价值所形成的赤字或盈余确认为一</w:t>
      </w:r>
      <w:r>
        <w:rPr>
          <w:w w:val="99"/>
        </w:rPr>
        <w:t> </w:t>
      </w:r>
      <w:r>
        <w:rPr>
          <w:spacing w:val="-2"/>
        </w:rPr>
        <w:t>项设定受益计划净负债或净资产。设定受益计划存在盈余的，以设定受益计划的盈余和资产上限两项的孰低者计量设定受益</w:t>
      </w:r>
      <w:r>
        <w:rPr>
          <w:spacing w:val="-65"/>
        </w:rPr>
        <w:t> </w:t>
      </w:r>
      <w:r>
        <w:rPr>
          <w:spacing w:val="-65"/>
        </w:rPr>
      </w:r>
      <w:r>
        <w:rPr/>
        <w:t>计划净资产；</w:t>
      </w:r>
    </w:p>
    <w:p>
      <w:pPr>
        <w:pStyle w:val="BodyText"/>
        <w:spacing w:line="360" w:lineRule="auto" w:before="37"/>
        <w:ind w:right="19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期末，将设定受益计划产生的职工薪酬成本确认为服务成本、设定受益计划净负债或净资产的利息净额以及重新计</w:t>
      </w:r>
      <w:r>
        <w:rPr>
          <w:w w:val="99"/>
        </w:rPr>
        <w:t> </w:t>
      </w:r>
      <w:r>
        <w:rPr>
          <w:spacing w:val="-2"/>
          <w:w w:val="99"/>
        </w:rPr>
        <w:t>量设定受益计划净负债或净资产所产生的变动等三部分，其中服务成本和设定受益计划净负债或净资产的利息净额计入当期</w:t>
      </w:r>
      <w:r>
        <w:rPr>
          <w:spacing w:val="-64"/>
          <w:w w:val="99"/>
        </w:rPr>
        <w:t> </w:t>
      </w:r>
      <w:r>
        <w:rPr>
          <w:spacing w:val="-64"/>
          <w:w w:val="99"/>
        </w:rPr>
      </w:r>
      <w:r>
        <w:rPr>
          <w:spacing w:val="-2"/>
        </w:rPr>
        <w:t>损益或相关资产成本，重新计量设定受益计划净负债或净资产所产生的变动计入其他综合收益，并且在后续会计期间不允许</w:t>
      </w:r>
      <w:r>
        <w:rPr>
          <w:spacing w:val="-65"/>
        </w:rPr>
        <w:t> </w:t>
      </w:r>
      <w:r>
        <w:rPr>
          <w:spacing w:val="-65"/>
        </w:rPr>
      </w:r>
      <w:r>
        <w:rPr/>
        <w:t>转回至损益，但可以在权益范围内转移这些在其他综合收益确认的金额。</w:t>
      </w:r>
    </w:p>
    <w:p>
      <w:pPr>
        <w:spacing w:line="240" w:lineRule="auto" w:before="11"/>
        <w:rPr>
          <w:rFonts w:ascii="宋体" w:hAnsi="宋体" w:cs="宋体" w:eastAsia="宋体" w:hint="default"/>
          <w:sz w:val="21"/>
          <w:szCs w:val="21"/>
        </w:rPr>
      </w:pPr>
    </w:p>
    <w:p>
      <w:pPr>
        <w:pStyle w:val="Heading4"/>
        <w:spacing w:line="240" w:lineRule="auto"/>
        <w:ind w:right="6752"/>
        <w:jc w:val="left"/>
        <w:rPr>
          <w:b w:val="0"/>
          <w:bCs w:val="0"/>
        </w:rPr>
      </w:pPr>
      <w:bookmarkStart w:name="（3）辞退福利的会计处理方法" w:id="206"/>
      <w:bookmarkEnd w:id="20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宋体" w:hAnsi="宋体" w:cs="宋体" w:eastAsia="宋体" w:hint="default"/>
          <w:b/>
          <w:bCs/>
          <w:sz w:val="28"/>
          <w:szCs w:val="28"/>
        </w:rPr>
      </w:pPr>
    </w:p>
    <w:p>
      <w:pPr>
        <w:pStyle w:val="BodyText"/>
        <w:spacing w:line="345" w:lineRule="auto" w:before="0"/>
        <w:ind w:right="187" w:firstLine="420"/>
        <w:jc w:val="both"/>
      </w:pPr>
      <w:r>
        <w:rPr>
          <w:spacing w:val="-2"/>
        </w:rPr>
        <w:t>向职工提供的辞退福利，在下列两者孰早日确认辞退福利产生的职工薪酬负债，并计入当期损益：</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0"/>
        </w:rPr>
        <w:t> </w:t>
      </w:r>
      <w:r>
        <w:rPr>
          <w:spacing w:val="-1"/>
        </w:rPr>
        <w:t>公司不能单方面</w:t>
      </w:r>
      <w:r>
        <w:rPr/>
        <w:t> 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公司确认与涉及支付辞退福利的重组相关的成本或费用时。</w:t>
      </w:r>
    </w:p>
    <w:p>
      <w:pPr>
        <w:spacing w:line="240" w:lineRule="auto" w:before="0"/>
        <w:rPr>
          <w:rFonts w:ascii="宋体" w:hAnsi="宋体" w:cs="宋体" w:eastAsia="宋体" w:hint="default"/>
          <w:sz w:val="21"/>
          <w:szCs w:val="21"/>
        </w:rPr>
      </w:pPr>
    </w:p>
    <w:p>
      <w:pPr>
        <w:pStyle w:val="Heading4"/>
        <w:spacing w:line="240" w:lineRule="auto"/>
        <w:ind w:right="99"/>
        <w:jc w:val="left"/>
        <w:rPr>
          <w:b w:val="0"/>
          <w:bCs w:val="0"/>
        </w:rPr>
      </w:pPr>
      <w:bookmarkStart w:name="（4）其他长期职工福利的会计处理方法" w:id="207"/>
      <w:bookmarkEnd w:id="20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99" w:firstLine="420"/>
        <w:jc w:val="left"/>
      </w:pPr>
      <w:r>
        <w:rPr/>
        <w:t>向职工提供的其他长期福利，符合设定提存计划条件的，按照设定提存计划的有关规定进行会计处理；除此之外的其 </w:t>
      </w:r>
      <w:r>
        <w:rPr>
          <w:spacing w:val="-4"/>
        </w:rPr>
        <w:t>他长期福利，按照设定受益计划的有关规定进行会计处理，为简化相关会计处理，将其产生的职工薪酬成本确认为服务成本、</w:t>
      </w:r>
      <w:r>
        <w:rPr>
          <w:spacing w:val="-44"/>
        </w:rPr>
        <w:t> </w:t>
      </w:r>
      <w:r>
        <w:rPr>
          <w:spacing w:val="-44"/>
        </w:rPr>
      </w:r>
      <w:r>
        <w:rPr/>
        <w:t>其他长期职工福利净负债或净资产的利息净额以及重新计量其他长期职工福利净负债或净资产所产生的变动等组成项目的</w:t>
      </w:r>
      <w:r>
        <w:rPr>
          <w:spacing w:val="-9"/>
        </w:rPr>
        <w:t> </w:t>
      </w:r>
      <w:r>
        <w:rPr>
          <w:spacing w:val="-9"/>
        </w:rPr>
      </w:r>
      <w:r>
        <w:rPr/>
        <w:t>总净额计入当期损益或相关资产成本。</w:t>
      </w:r>
    </w:p>
    <w:p>
      <w:pPr>
        <w:spacing w:line="240" w:lineRule="auto" w:before="8"/>
        <w:rPr>
          <w:rFonts w:ascii="宋体" w:hAnsi="宋体" w:cs="宋体" w:eastAsia="宋体" w:hint="default"/>
          <w:sz w:val="21"/>
          <w:szCs w:val="21"/>
        </w:rPr>
      </w:pPr>
    </w:p>
    <w:p>
      <w:pPr>
        <w:pStyle w:val="Heading4"/>
        <w:spacing w:line="240" w:lineRule="auto"/>
        <w:ind w:right="6752"/>
        <w:jc w:val="left"/>
        <w:rPr>
          <w:b w:val="0"/>
          <w:bCs w:val="0"/>
        </w:rPr>
      </w:pPr>
      <w:bookmarkStart w:name="25、预计负债" w:id="208"/>
      <w:bookmarkEnd w:id="208"/>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3"/>
        <w:rPr>
          <w:rFonts w:ascii="宋体" w:hAnsi="宋体" w:cs="宋体" w:eastAsia="宋体" w:hint="default"/>
          <w:b/>
          <w:bCs/>
          <w:sz w:val="28"/>
          <w:szCs w:val="28"/>
        </w:rPr>
      </w:pPr>
    </w:p>
    <w:p>
      <w:pPr>
        <w:pStyle w:val="BodyText"/>
        <w:spacing w:line="345" w:lineRule="auto" w:before="0"/>
        <w:ind w:right="19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BodyText"/>
        <w:spacing w:line="345" w:lineRule="auto"/>
        <w:ind w:right="193"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公司按照履行相关现时义务所需支出的最佳估计数对预计负债进行初始计量，并在资产负债表日对预计负债的账面 价值进行复核。</w:t>
      </w:r>
    </w:p>
    <w:p>
      <w:pPr>
        <w:spacing w:line="240" w:lineRule="auto" w:before="9"/>
        <w:rPr>
          <w:rFonts w:ascii="宋体" w:hAnsi="宋体" w:cs="宋体" w:eastAsia="宋体" w:hint="default"/>
          <w:sz w:val="22"/>
          <w:szCs w:val="22"/>
        </w:rPr>
      </w:pPr>
    </w:p>
    <w:p>
      <w:pPr>
        <w:pStyle w:val="Heading4"/>
        <w:spacing w:line="240" w:lineRule="auto"/>
        <w:ind w:right="6752"/>
        <w:jc w:val="left"/>
        <w:rPr>
          <w:b w:val="0"/>
          <w:bCs w:val="0"/>
        </w:rPr>
      </w:pPr>
      <w:bookmarkStart w:name="26、股份支付" w:id="209"/>
      <w:bookmarkEnd w:id="209"/>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
        <w:jc w:val="left"/>
        <w:rPr>
          <w:b w:val="0"/>
          <w:bCs w:val="0"/>
        </w:rPr>
      </w:pPr>
      <w:bookmarkStart w:name="27、优先股、永续债等其他金融工具" w:id="210"/>
      <w:bookmarkEnd w:id="210"/>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6752"/>
        <w:jc w:val="left"/>
        <w:rPr>
          <w:b w:val="0"/>
          <w:bCs w:val="0"/>
        </w:rPr>
      </w:pPr>
      <w:bookmarkStart w:name="28、收入" w:id="211"/>
      <w:bookmarkEnd w:id="211"/>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6752"/>
        <w:jc w:val="left"/>
      </w:pPr>
      <w:r>
        <w:rPr/>
        <w:t>公司是否需要遵守特殊行业的披露要求 否</w:t>
      </w:r>
    </w:p>
    <w:p>
      <w:pPr>
        <w:pStyle w:val="BodyText"/>
        <w:spacing w:line="240" w:lineRule="auto" w:before="47"/>
        <w:ind w:left="574" w:right="675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收入确认原则</w:t>
      </w:r>
    </w:p>
    <w:p>
      <w:pPr>
        <w:pStyle w:val="BodyText"/>
        <w:spacing w:line="240" w:lineRule="auto" w:before="109"/>
        <w:ind w:left="574" w:right="675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销售商品</w:t>
      </w:r>
    </w:p>
    <w:p>
      <w:pPr>
        <w:pStyle w:val="BodyText"/>
        <w:spacing w:line="345" w:lineRule="auto" w:before="110"/>
        <w:ind w:right="190" w:firstLine="420"/>
        <w:jc w:val="both"/>
      </w:pPr>
      <w:r>
        <w:rPr/>
        <w:t>销售商品收入在同时满足下列条件时予以确认：</w:t>
      </w:r>
      <w:r>
        <w:rPr>
          <w:rFonts w:ascii="Times New Roman" w:hAnsi="Times New Roman" w:cs="Times New Roman" w:eastAsia="Times New Roman" w:hint="default"/>
        </w:rPr>
        <w:t>1) </w:t>
      </w:r>
      <w:r>
        <w:rPr/>
        <w:t>将商品所有权上的主要风险和报酬转移给购货方；</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公司不再保留 通常与所有权相联系的继续管理权，也不再对已售出的商品实施有效控制；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t>相关的经济 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相关的已发生或将发生的成本能够可靠地计量。</w:t>
      </w:r>
    </w:p>
    <w:p>
      <w:pPr>
        <w:pStyle w:val="BodyText"/>
        <w:spacing w:line="240" w:lineRule="auto" w:before="22"/>
        <w:ind w:left="574" w:right="675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提供劳务</w:t>
      </w:r>
    </w:p>
    <w:p>
      <w:pPr>
        <w:spacing w:after="0" w:line="240" w:lineRule="auto"/>
        <w:jc w:val="left"/>
        <w:sectPr>
          <w:pgSz w:w="11910" w:h="16840"/>
          <w:pgMar w:header="747" w:footer="979" w:top="1060" w:bottom="1160" w:left="980" w:right="940"/>
        </w:sectPr>
      </w:pPr>
    </w:p>
    <w:p>
      <w:pPr>
        <w:spacing w:line="240" w:lineRule="auto" w:before="8"/>
        <w:rPr>
          <w:rFonts w:ascii="宋体" w:hAnsi="宋体" w:cs="宋体" w:eastAsia="宋体" w:hint="default"/>
          <w:sz w:val="27"/>
          <w:szCs w:val="27"/>
        </w:rPr>
      </w:pPr>
    </w:p>
    <w:p>
      <w:pPr>
        <w:pStyle w:val="BodyText"/>
        <w:spacing w:line="364" w:lineRule="auto"/>
        <w:ind w:right="150" w:firstLine="420"/>
        <w:jc w:val="both"/>
      </w:pPr>
      <w:r>
        <w:rPr/>
        <w:t>提供劳务交易的结果在资产负债表日能够可靠估计的（同时满足收入的金额能够可靠地计量、相关经济利益很可能流 </w:t>
      </w:r>
      <w:r>
        <w:rPr>
          <w:spacing w:val="-2"/>
        </w:rPr>
        <w:t>入、交易的完工进度能够可靠地确定、交易中已发生和将发生的成本能够可靠地计量），采用完工百分比法确认提供劳务的</w:t>
      </w:r>
      <w:r>
        <w:rPr>
          <w:spacing w:val="-66"/>
        </w:rPr>
        <w:t> </w:t>
      </w:r>
      <w:r>
        <w:rPr>
          <w:spacing w:val="-66"/>
        </w:rPr>
      </w:r>
      <w:r>
        <w:rPr>
          <w:spacing w:val="-2"/>
        </w:rPr>
        <w:t>收入，并按已经提供劳务占应提供劳务总量的比例确定提供劳务交易的完工进度。提供劳务交易的结果在资产负债表日不能</w:t>
      </w:r>
      <w:r>
        <w:rPr>
          <w:spacing w:val="-63"/>
        </w:rPr>
        <w:t> </w:t>
      </w:r>
      <w:r>
        <w:rPr>
          <w:spacing w:val="-63"/>
        </w:rPr>
      </w:r>
      <w:r>
        <w:rPr>
          <w:spacing w:val="-2"/>
        </w:rPr>
        <w:t>够可靠估计的，若已经发生的劳务成本预计能够得到补偿，按已经发生的劳务成本金额确认提供劳务收入，并按相同金额结</w:t>
      </w:r>
      <w:r>
        <w:rPr>
          <w:spacing w:val="-66"/>
        </w:rPr>
        <w:t> </w:t>
      </w:r>
      <w:r>
        <w:rPr>
          <w:spacing w:val="-66"/>
        </w:rPr>
      </w:r>
      <w:r>
        <w:rPr/>
        <w:t>转劳务成本；若已经发生的劳务成本预计不能够得到补偿，将已经发生的劳务成本计入当期损益，不确认劳务收入。</w:t>
      </w:r>
    </w:p>
    <w:p>
      <w:pPr>
        <w:pStyle w:val="BodyText"/>
        <w:spacing w:line="345" w:lineRule="auto" w:before="29"/>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让渡资产使用权</w:t>
      </w:r>
      <w:r>
        <w:rPr>
          <w:w w:val="99"/>
        </w:rPr>
        <w:t> </w:t>
      </w:r>
      <w:r>
        <w:rPr/>
        <w:t>让渡资产使用权在同时满足相关的经济利益很可能流入、收入金额能够可靠计量时，确认让渡资产使用权的收入。利</w:t>
      </w:r>
    </w:p>
    <w:p>
      <w:pPr>
        <w:pStyle w:val="BodyText"/>
        <w:spacing w:line="364" w:lineRule="auto"/>
        <w:ind w:right="0"/>
        <w:jc w:val="left"/>
      </w:pPr>
      <w:r>
        <w:rPr>
          <w:spacing w:val="-2"/>
        </w:rPr>
        <w:t>息收入按照他人使用本公司货币资金的时间和实际利率计算确定；使用费收入按有关合同或协议约定的收费时间和方法计算</w:t>
      </w:r>
      <w:r>
        <w:rPr>
          <w:spacing w:val="-64"/>
        </w:rPr>
        <w:t> </w:t>
      </w:r>
      <w:r>
        <w:rPr>
          <w:spacing w:val="-64"/>
        </w:rPr>
      </w:r>
      <w:r>
        <w:rPr/>
        <w:t>确定。</w:t>
      </w:r>
    </w:p>
    <w:p>
      <w:pPr>
        <w:pStyle w:val="BodyText"/>
        <w:spacing w:line="240" w:lineRule="auto" w:before="29"/>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收入确认的具体方法</w:t>
      </w:r>
    </w:p>
    <w:p>
      <w:pPr>
        <w:pStyle w:val="BodyText"/>
        <w:spacing w:line="345" w:lineRule="auto" w:before="109"/>
        <w:ind w:left="574" w:right="0" w:firstLine="28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产品销售</w:t>
      </w:r>
      <w:r>
        <w:rPr>
          <w:w w:val="99"/>
        </w:rPr>
        <w:t> </w:t>
      </w:r>
      <w:r>
        <w:rPr/>
        <w:t>本公司收入确认具体标准：货物已经发出，客户收到货物，并对货物的数量、规格型号进行核对确认后，在货物验收</w:t>
      </w:r>
    </w:p>
    <w:p>
      <w:pPr>
        <w:pStyle w:val="BodyText"/>
        <w:spacing w:line="240" w:lineRule="auto"/>
        <w:ind w:right="0"/>
        <w:jc w:val="left"/>
      </w:pPr>
      <w:r>
        <w:rPr/>
        <w:t>单上签字，公司在收到经客户签字确认的货物验收单时确认收入。</w:t>
      </w:r>
    </w:p>
    <w:p>
      <w:pPr>
        <w:pStyle w:val="BodyText"/>
        <w:spacing w:line="345" w:lineRule="auto" w:before="123"/>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充电收入</w:t>
      </w:r>
      <w:r>
        <w:rPr>
          <w:w w:val="99"/>
        </w:rPr>
        <w:t> </w:t>
      </w:r>
      <w:r>
        <w:rPr/>
        <w:t>客户购买充电充值卡，并在规定范围内的充电桩进行充电，客户在相应的充电桩使用充值卡并完成充电服务时，公司</w:t>
      </w:r>
    </w:p>
    <w:p>
      <w:pPr>
        <w:pStyle w:val="BodyText"/>
        <w:spacing w:line="240" w:lineRule="auto"/>
        <w:ind w:right="0"/>
        <w:jc w:val="left"/>
      </w:pPr>
      <w:r>
        <w:rPr/>
        <w:t>按照客户的使用电量确认相应的收入。</w:t>
      </w:r>
    </w:p>
    <w:p>
      <w:pPr>
        <w:pStyle w:val="BodyText"/>
        <w:spacing w:line="345" w:lineRule="auto" w:before="123"/>
        <w:ind w:left="574" w:right="359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运行维护收入</w:t>
      </w:r>
      <w:r>
        <w:rPr>
          <w:w w:val="99"/>
        </w:rPr>
        <w:t> </w:t>
      </w:r>
      <w:r>
        <w:rPr/>
        <w:t>根据合同约定，公司按照合同完成服务，并经客户验收确认时确认收入。</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29、政府补助" w:id="212"/>
      <w:bookmarkEnd w:id="212"/>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资产相关的政府补助判断依据及会计处理方法" w:id="213"/>
      <w:bookmarkEnd w:id="213"/>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128" w:firstLine="302"/>
        <w:jc w:val="both"/>
        <w:rPr>
          <w:rFonts w:ascii="Times New Roman" w:hAnsi="Times New Roman" w:cs="Times New Roman" w:eastAsia="Times New Roman" w:hint="default"/>
        </w:rPr>
      </w:pPr>
      <w:r>
        <w:rPr/>
        <w:t>公司取得的、用于购建或以其他方式形成长期资产的政府补助划分为与资产相关的政府补助。与资产相关的政府补助， </w:t>
      </w:r>
      <w:r>
        <w:rPr>
          <w:spacing w:val="-2"/>
        </w:rPr>
        <w:t>冲减相关资产的账面价值或确认为递延收益。与资产相关补助确认为递延收益的，在相关资产使用寿命内按照合理、系统的</w:t>
      </w:r>
      <w:r>
        <w:rPr>
          <w:spacing w:val="-66"/>
        </w:rPr>
        <w:t> </w:t>
      </w:r>
      <w:r>
        <w:rPr>
          <w:spacing w:val="-66"/>
        </w:rPr>
      </w:r>
      <w:r>
        <w:rPr>
          <w:spacing w:val="-2"/>
        </w:rPr>
        <w:t>方法分期计入损益。按照名义金额计量的政府补助，直接计入当期损益。相关资产在使用寿命结束前被出售、转让、报废或</w:t>
      </w:r>
      <w:r>
        <w:rPr>
          <w:spacing w:val="-66"/>
        </w:rPr>
        <w:t> </w:t>
      </w:r>
      <w:r>
        <w:rPr>
          <w:spacing w:val="-66"/>
        </w:rPr>
      </w:r>
      <w:r>
        <w:rPr/>
        <w:t>发生毁损的，将尚未分配的相关递延收益余额转入资产处置当期的损益。</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22"/>
          <w:szCs w:val="22"/>
        </w:rPr>
      </w:pPr>
    </w:p>
    <w:p>
      <w:pPr>
        <w:pStyle w:val="Heading4"/>
        <w:spacing w:line="240" w:lineRule="auto"/>
        <w:ind w:right="0"/>
        <w:jc w:val="left"/>
        <w:rPr>
          <w:b w:val="0"/>
          <w:bCs w:val="0"/>
        </w:rPr>
      </w:pPr>
      <w:bookmarkStart w:name="（2）与收益相关的政府补助判断依据及会计处理方法" w:id="214"/>
      <w:bookmarkEnd w:id="214"/>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147" w:firstLine="420"/>
        <w:jc w:val="both"/>
      </w:pPr>
      <w:r>
        <w:rPr/>
        <w:t>除与资产相关的政府补助之外的政府补助划分为与收益相关的政府补助。对于同时包含与资产相关部分和与收益相关</w:t>
      </w:r>
      <w:r>
        <w:rPr>
          <w:spacing w:val="1"/>
        </w:rPr>
        <w:t> </w:t>
      </w:r>
      <w:r>
        <w:rPr>
          <w:spacing w:val="-2"/>
        </w:rPr>
        <w:t>部分的政府补助，难以区分与资产相关或与收益相关的，整体归类为与收益相关的政府补助。与收益相关的政府补助，用于</w:t>
      </w:r>
      <w:r>
        <w:rPr>
          <w:spacing w:val="-66"/>
        </w:rPr>
        <w:t> </w:t>
      </w:r>
      <w:r>
        <w:rPr>
          <w:spacing w:val="-66"/>
        </w:rPr>
      </w:r>
      <w:r>
        <w:rPr>
          <w:spacing w:val="-2"/>
        </w:rPr>
        <w:t>补偿以后期间的相关成本费用或损失的，确认为递延收益，在确认相关成本费用或损失的期间，计入当期损益或冲减相关成</w:t>
      </w:r>
      <w:r>
        <w:rPr>
          <w:spacing w:val="-66"/>
        </w:rPr>
        <w:t> </w:t>
      </w:r>
      <w:r>
        <w:rPr>
          <w:spacing w:val="-66"/>
        </w:rPr>
      </w:r>
      <w:r>
        <w:rPr/>
        <w:t>本；用于补偿已发生的相关成本费用或损失的，直接计入当期损益或冲减相关成本。</w:t>
      </w:r>
    </w:p>
    <w:p>
      <w:pPr>
        <w:pStyle w:val="BodyText"/>
        <w:spacing w:line="364" w:lineRule="auto" w:before="29"/>
        <w:ind w:right="153" w:firstLine="420"/>
        <w:jc w:val="both"/>
      </w:pPr>
      <w:r>
        <w:rPr/>
        <w:t>与公司日常经营活动相关的政府补助，按照经济业务实质，计入其他收益或冲减相关成本费用。与公司日常活动无关 的政府补助，计入营业外收支。</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30、递延所得税资产/递延所得税负债" w:id="215"/>
      <w:bookmarkEnd w:id="21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宋体" w:hAnsi="宋体" w:cs="宋体" w:eastAsia="宋体" w:hint="default"/>
          <w:b/>
          <w:bCs/>
          <w:sz w:val="28"/>
          <w:szCs w:val="28"/>
        </w:rPr>
      </w:pPr>
    </w:p>
    <w:p>
      <w:pPr>
        <w:pStyle w:val="BodyText"/>
        <w:spacing w:line="240" w:lineRule="auto" w:before="0"/>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根据资产、负债的账面价值与其计税基础之间的差额（未作为资产和负债确认的项目按照税法规定可以确定其计税</w:t>
      </w:r>
    </w:p>
    <w:p>
      <w:pPr>
        <w:spacing w:after="0" w:line="240" w:lineRule="auto"/>
        <w:jc w:val="left"/>
        <w:sectPr>
          <w:pgSz w:w="11910" w:h="16840"/>
          <w:pgMar w:header="747" w:footer="979" w:top="1060" w:bottom="1160" w:left="980" w:right="980"/>
        </w:sectPr>
      </w:pPr>
    </w:p>
    <w:p>
      <w:pPr>
        <w:spacing w:line="240" w:lineRule="auto" w:before="8"/>
        <w:rPr>
          <w:rFonts w:ascii="宋体" w:hAnsi="宋体" w:cs="宋体" w:eastAsia="宋体" w:hint="default"/>
          <w:sz w:val="27"/>
          <w:szCs w:val="27"/>
        </w:rPr>
      </w:pPr>
    </w:p>
    <w:p>
      <w:pPr>
        <w:pStyle w:val="BodyText"/>
        <w:spacing w:line="364" w:lineRule="auto"/>
        <w:ind w:right="99"/>
        <w:jc w:val="left"/>
      </w:pPr>
      <w:r>
        <w:rPr>
          <w:spacing w:val="-2"/>
        </w:rPr>
        <w:t>基础的，该计税基础与其账面数之间的差额），按照预期收回该资产或清偿该负债期间的适用税率计算确认递延所得税资产</w:t>
      </w:r>
      <w:r>
        <w:rPr>
          <w:spacing w:val="-66"/>
        </w:rPr>
        <w:t> </w:t>
      </w:r>
      <w:r>
        <w:rPr>
          <w:spacing w:val="-66"/>
        </w:rPr>
      </w:r>
      <w:r>
        <w:rPr/>
        <w:t>或递延所得税负债。</w:t>
      </w:r>
    </w:p>
    <w:p>
      <w:pPr>
        <w:pStyle w:val="BodyText"/>
        <w:spacing w:line="345" w:lineRule="auto" w:before="29"/>
        <w:ind w:right="177"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BodyText"/>
        <w:spacing w:line="345" w:lineRule="auto"/>
        <w:ind w:right="177"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5"/>
        </w:rPr>
        <w:t> </w:t>
      </w:r>
      <w:r>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BodyText"/>
        <w:spacing w:line="345" w:lineRule="auto"/>
        <w:ind w:right="99" w:firstLine="420"/>
        <w:jc w:val="left"/>
      </w:pPr>
      <w:r>
        <w:rPr>
          <w:rFonts w:ascii="Times New Roman" w:hAnsi="Times New Roman" w:cs="Times New Roman" w:eastAsia="Times New Roman" w:hint="default"/>
        </w:rPr>
        <w:t>4. </w:t>
      </w:r>
      <w:r>
        <w:rPr/>
        <w:t>公司当期所得税和递延所得税作为所得税费用或收益计入当期损益，但不包括下列情况产生的所得税：</w:t>
      </w:r>
      <w:r>
        <w:rPr>
          <w:rFonts w:ascii="Times New Roman" w:hAnsi="Times New Roman" w:cs="Times New Roman" w:eastAsia="Times New Roman" w:hint="default"/>
        </w:rPr>
        <w:t>(1)</w:t>
      </w:r>
      <w:r>
        <w:rPr>
          <w:rFonts w:ascii="Times New Roman" w:hAnsi="Times New Roman" w:cs="Times New Roman" w:eastAsia="Times New Roman" w:hint="default"/>
          <w:spacing w:val="41"/>
        </w:rPr>
        <w:t> </w:t>
      </w:r>
      <w:r>
        <w:rPr/>
        <w:t>企业合 并；</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直接在所有者权益中确认的交易或者事项。</w:t>
      </w:r>
    </w:p>
    <w:p>
      <w:pPr>
        <w:spacing w:line="240" w:lineRule="auto" w:before="0"/>
        <w:rPr>
          <w:rFonts w:ascii="宋体" w:hAnsi="宋体" w:cs="宋体" w:eastAsia="宋体" w:hint="default"/>
          <w:sz w:val="21"/>
          <w:szCs w:val="21"/>
        </w:rPr>
      </w:pPr>
    </w:p>
    <w:p>
      <w:pPr>
        <w:pStyle w:val="Heading4"/>
        <w:spacing w:line="240" w:lineRule="auto"/>
        <w:ind w:right="6752"/>
        <w:jc w:val="left"/>
        <w:rPr>
          <w:b w:val="0"/>
          <w:bCs w:val="0"/>
        </w:rPr>
      </w:pPr>
      <w:bookmarkStart w:name="31、租赁" w:id="216"/>
      <w:bookmarkEnd w:id="216"/>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6752"/>
        <w:jc w:val="left"/>
        <w:rPr>
          <w:b w:val="0"/>
          <w:bCs w:val="0"/>
        </w:rPr>
      </w:pPr>
      <w:bookmarkStart w:name="（1）经营租赁的会计处理方法" w:id="217"/>
      <w:bookmarkEnd w:id="21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99" w:firstLine="420"/>
        <w:jc w:val="left"/>
      </w:pPr>
      <w:r>
        <w:rPr>
          <w:spacing w:val="-2"/>
        </w:rPr>
        <w:t>公司为承租人时，在租赁期内各个期间按照直线法将租金计入相关资产成本或确认为当期损益，发生的初始直接费用，</w:t>
      </w:r>
      <w:r>
        <w:rPr/>
        <w:t> 直接计入当期损益。或有租金在实际发生时计入当期损益。</w:t>
      </w:r>
    </w:p>
    <w:p>
      <w:pPr>
        <w:pStyle w:val="BodyText"/>
        <w:spacing w:line="364" w:lineRule="auto" w:before="29"/>
        <w:ind w:right="99" w:firstLine="420"/>
        <w:jc w:val="left"/>
      </w:pPr>
      <w:r>
        <w:rPr/>
        <w:t>公司为出租人时，在租赁期内各个期间按照直线法将租金确认为当期损益，发生的初始直接费用，除金额较大的予以 资本化并分期计入损益外，均直接计入当期损益。或有租金在实际发生时计入当期损益。</w:t>
      </w:r>
    </w:p>
    <w:p>
      <w:pPr>
        <w:spacing w:line="240" w:lineRule="auto" w:before="8"/>
        <w:rPr>
          <w:rFonts w:ascii="宋体" w:hAnsi="宋体" w:cs="宋体" w:eastAsia="宋体" w:hint="default"/>
          <w:sz w:val="21"/>
          <w:szCs w:val="21"/>
        </w:rPr>
      </w:pPr>
    </w:p>
    <w:p>
      <w:pPr>
        <w:pStyle w:val="Heading4"/>
        <w:spacing w:line="240" w:lineRule="auto"/>
        <w:ind w:right="6752"/>
        <w:jc w:val="left"/>
        <w:rPr>
          <w:b w:val="0"/>
          <w:bCs w:val="0"/>
        </w:rPr>
      </w:pPr>
      <w:bookmarkStart w:name="（2）融资租赁的会计处理方法" w:id="218"/>
      <w:bookmarkEnd w:id="21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
        <w:jc w:val="left"/>
        <w:rPr>
          <w:b w:val="0"/>
          <w:bCs w:val="0"/>
        </w:rPr>
      </w:pPr>
      <w:bookmarkStart w:name="32、其他重要的会计政策和会计估计" w:id="219"/>
      <w:bookmarkEnd w:id="219"/>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
        <w:jc w:val="left"/>
        <w:rPr>
          <w:b w:val="0"/>
          <w:bCs w:val="0"/>
        </w:rPr>
      </w:pPr>
      <w:bookmarkStart w:name="33、重要会计政策和会计估计变更" w:id="220"/>
      <w:bookmarkEnd w:id="22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6752"/>
        <w:jc w:val="left"/>
        <w:rPr>
          <w:b w:val="0"/>
          <w:bCs w:val="0"/>
        </w:rPr>
      </w:pPr>
      <w:bookmarkStart w:name="（1）重要会计政策变更" w:id="221"/>
      <w:bookmarkEnd w:id="22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6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33"/>
        <w:ind w:left="574" w:right="99"/>
        <w:jc w:val="left"/>
      </w:pPr>
      <w:r>
        <w:rPr/>
        <w:t>企业会计准则变化引起的会计政策变更</w:t>
      </w:r>
    </w:p>
    <w:p>
      <w:pPr>
        <w:pStyle w:val="BodyText"/>
        <w:spacing w:line="345" w:lineRule="auto" w:before="123"/>
        <w:ind w:right="188" w:firstLine="420"/>
        <w:jc w:val="both"/>
      </w:pPr>
      <w:r>
        <w:rPr>
          <w:rFonts w:ascii="Times New Roman" w:hAnsi="Times New Roman" w:cs="Times New Roman" w:eastAsia="Times New Roman" w:hint="default"/>
          <w:spacing w:val="2"/>
        </w:rPr>
        <w:t>1.</w:t>
      </w:r>
      <w:r>
        <w:rPr>
          <w:spacing w:val="2"/>
        </w:rPr>
        <w:t>本公司自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日起执行财政部制定的《企业会计准则第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w:t>
      </w:r>
      <w:r>
        <w:rPr>
          <w:spacing w:val="3"/>
        </w:rPr>
        <w:t> </w:t>
      </w:r>
      <w:r>
        <w:rPr/>
        <w:t>营》，本公司自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日起执行经修订的《企业会计准则第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政府补助》。本次会计政策变更采用未来适用法</w:t>
      </w:r>
      <w:r>
        <w:rPr>
          <w:spacing w:val="-83"/>
        </w:rPr>
        <w:t> </w:t>
      </w:r>
      <w:r>
        <w:rPr>
          <w:spacing w:val="-83"/>
        </w:rPr>
      </w:r>
      <w:r>
        <w:rPr/>
        <w:t>处理。</w:t>
      </w:r>
    </w:p>
    <w:p>
      <w:pPr>
        <w:pStyle w:val="BodyText"/>
        <w:spacing w:line="345" w:lineRule="auto"/>
        <w:ind w:right="190" w:firstLine="420"/>
        <w:jc w:val="both"/>
      </w:pPr>
      <w:r>
        <w:rPr>
          <w:rFonts w:ascii="Times New Roman" w:hAnsi="Times New Roman" w:cs="Times New Roman" w:eastAsia="Times New Roman" w:hint="default"/>
          <w:spacing w:val="-1"/>
        </w:rPr>
        <w:t>2.</w:t>
      </w:r>
      <w:r>
        <w:rPr>
          <w:spacing w:val="-1"/>
        </w:rPr>
        <w:t>本公司编制</w:t>
      </w:r>
      <w:r>
        <w:rPr>
          <w:rFonts w:ascii="Times New Roman" w:hAnsi="Times New Roman" w:cs="Times New Roman" w:eastAsia="Times New Roman" w:hint="default"/>
          <w:spacing w:val="-1"/>
        </w:rPr>
        <w:t>2017</w:t>
      </w:r>
      <w:r>
        <w:rPr>
          <w:spacing w:val="-1"/>
        </w:rPr>
        <w:t>年度报表执行《财政部关于修订印发一般企业财务报表格式的通知》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，将原列报</w:t>
      </w:r>
      <w:r>
        <w:rPr/>
        <w:t> </w:t>
      </w:r>
      <w:r>
        <w:rPr>
          <w:spacing w:val="3"/>
        </w:rPr>
        <w:t>于</w:t>
      </w:r>
      <w:r>
        <w:rPr>
          <w:rFonts w:ascii="Times New Roman" w:hAnsi="Times New Roman" w:cs="Times New Roman" w:eastAsia="Times New Roman" w:hint="default"/>
          <w:spacing w:val="3"/>
        </w:rPr>
        <w:t>“</w:t>
      </w:r>
      <w:r>
        <w:rPr>
          <w:spacing w:val="3"/>
        </w:rPr>
        <w:t>营业外收入</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营业外支出</w:t>
      </w:r>
      <w:r>
        <w:rPr>
          <w:rFonts w:ascii="Times New Roman" w:hAnsi="Times New Roman" w:cs="Times New Roman" w:eastAsia="Times New Roman" w:hint="default"/>
          <w:spacing w:val="3"/>
        </w:rPr>
        <w:t>”</w:t>
      </w:r>
      <w:r>
        <w:rPr>
          <w:spacing w:val="3"/>
        </w:rPr>
        <w:t>的非流动资产处置利得和损失和非货币性资产交换利得和损失变更为列报于</w:t>
      </w:r>
      <w:r>
        <w:rPr>
          <w:rFonts w:ascii="Times New Roman" w:hAnsi="Times New Roman" w:cs="Times New Roman" w:eastAsia="Times New Roman" w:hint="default"/>
          <w:spacing w:val="3"/>
        </w:rPr>
        <w:t>“</w:t>
      </w:r>
      <w:r>
        <w:rPr>
          <w:spacing w:val="3"/>
        </w:rPr>
        <w:t>资产处置收</w:t>
      </w:r>
      <w:r>
        <w:rPr>
          <w:spacing w:val="-46"/>
        </w:rPr>
        <w:t> </w:t>
      </w:r>
      <w:r>
        <w:rPr>
          <w:spacing w:val="-46"/>
        </w:rPr>
      </w:r>
      <w:r>
        <w:rPr/>
        <w:t>益</w:t>
      </w:r>
      <w:r>
        <w:rPr>
          <w:rFonts w:ascii="Times New Roman" w:hAnsi="Times New Roman" w:cs="Times New Roman" w:eastAsia="Times New Roman" w:hint="default"/>
        </w:rPr>
        <w:t>”</w:t>
      </w:r>
      <w:r>
        <w:rPr/>
        <w:t>。该项会计政策变更采用追溯调整法，由于上期不存在该项会计政策变更所涉及的交易事项，故本次变更对</w:t>
      </w:r>
      <w:r>
        <w:rPr>
          <w:rFonts w:ascii="Times New Roman" w:hAnsi="Times New Roman" w:cs="Times New Roman" w:eastAsia="Times New Roman" w:hint="default"/>
        </w:rPr>
        <w:t>2017</w:t>
      </w:r>
      <w:r>
        <w:rPr/>
        <w:t>年度财</w:t>
      </w:r>
      <w:r>
        <w:rPr>
          <w:spacing w:val="-74"/>
        </w:rPr>
        <w:t> </w:t>
      </w:r>
      <w:r>
        <w:rPr>
          <w:spacing w:val="-74"/>
        </w:rPr>
      </w:r>
      <w:r>
        <w:rPr/>
        <w:t>务报表的可比数据无影响。</w:t>
      </w:r>
    </w:p>
    <w:p>
      <w:pPr>
        <w:spacing w:line="240" w:lineRule="auto" w:before="10"/>
        <w:rPr>
          <w:rFonts w:ascii="宋体" w:hAnsi="宋体" w:cs="宋体" w:eastAsia="宋体" w:hint="default"/>
          <w:sz w:val="22"/>
          <w:szCs w:val="22"/>
        </w:rPr>
      </w:pPr>
    </w:p>
    <w:p>
      <w:pPr>
        <w:pStyle w:val="Heading4"/>
        <w:spacing w:line="240" w:lineRule="auto"/>
        <w:ind w:right="6752"/>
        <w:jc w:val="left"/>
        <w:rPr>
          <w:b w:val="0"/>
          <w:bCs w:val="0"/>
        </w:rPr>
      </w:pPr>
      <w:bookmarkStart w:name="（2）重要会计估计变更" w:id="222"/>
      <w:bookmarkEnd w:id="22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6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spacing w:line="487" w:lineRule="auto" w:before="35"/>
        <w:ind w:left="154" w:right="7986" w:firstLine="0"/>
        <w:jc w:val="left"/>
        <w:rPr>
          <w:rFonts w:ascii="宋体" w:hAnsi="宋体" w:cs="宋体" w:eastAsia="宋体" w:hint="default"/>
          <w:sz w:val="21"/>
          <w:szCs w:val="21"/>
        </w:rPr>
      </w:pPr>
      <w:bookmarkStart w:name="34、其他" w:id="223"/>
      <w:bookmarkEnd w:id="223"/>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4"/>
      <w:bookmarkEnd w:id="224"/>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5"/>
      <w:bookmarkEnd w:id="225"/>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应税面积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p>
        </w:tc>
      </w:tr>
      <w:tr>
        <w:trPr>
          <w:trHeight w:val="102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浙江开盛电气有限公司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吉林省埃尔顿电气有限公司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南京能瑞自动化设备股份有限公司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华胤控股集团有限公司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湖州金冠鸿图隔膜科技有限公司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226"/>
      <w:bookmarkEnd w:id="22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3"/>
        <w:rPr>
          <w:rFonts w:ascii="宋体" w:hAnsi="宋体" w:cs="宋体" w:eastAsia="宋体" w:hint="default"/>
          <w:b/>
          <w:bCs/>
          <w:sz w:val="28"/>
          <w:szCs w:val="28"/>
        </w:rPr>
      </w:pPr>
    </w:p>
    <w:p>
      <w:pPr>
        <w:pStyle w:val="BodyText"/>
        <w:spacing w:line="345" w:lineRule="auto" w:before="0"/>
        <w:ind w:right="151" w:firstLine="420"/>
        <w:jc w:val="both"/>
      </w:pPr>
      <w:r>
        <w:rPr>
          <w:spacing w:val="-1"/>
        </w:rPr>
        <w:t>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日通过高新技术企业复审，并取得了吉林省科学技术厅、吉林省财政厅、吉林省国家税务局、吉</w:t>
      </w:r>
      <w:r>
        <w:rPr/>
        <w:t> 林省地方税务局联合颁发的高新技术企业证书，有效期为三年，证书编号</w:t>
      </w:r>
      <w:r>
        <w:rPr>
          <w:rFonts w:ascii="Times New Roman" w:hAnsi="Times New Roman" w:cs="Times New Roman" w:eastAsia="Times New Roman" w:hint="default"/>
        </w:rPr>
        <w:t>GR201722000145</w:t>
      </w:r>
      <w:r>
        <w:rPr/>
        <w:t>。据此，本公司于</w:t>
      </w:r>
      <w:r>
        <w:rPr>
          <w:rFonts w:ascii="Times New Roman" w:hAnsi="Times New Roman" w:cs="Times New Roman" w:eastAsia="Times New Roman" w:hint="default"/>
        </w:rPr>
        <w:t>2017</w:t>
      </w:r>
      <w:r>
        <w:rPr/>
        <w:t>年享受高</w:t>
      </w:r>
      <w:r>
        <w:rPr>
          <w:spacing w:val="-67"/>
        </w:rPr>
        <w:t> </w:t>
      </w:r>
      <w:r>
        <w:rPr>
          <w:spacing w:val="-67"/>
        </w:rPr>
      </w:r>
      <w:r>
        <w:rPr/>
        <w:t>新技术企业的税收优惠政策，按</w:t>
      </w:r>
      <w:r>
        <w:rPr>
          <w:rFonts w:ascii="Times New Roman" w:hAnsi="Times New Roman" w:cs="Times New Roman" w:eastAsia="Times New Roman" w:hint="default"/>
        </w:rPr>
        <w:t>15%</w:t>
      </w:r>
      <w:r>
        <w:rPr/>
        <w:t>的税率缴纳企业所得税。</w:t>
      </w:r>
    </w:p>
    <w:p>
      <w:pPr>
        <w:pStyle w:val="BodyText"/>
        <w:spacing w:line="345" w:lineRule="auto" w:before="22"/>
        <w:ind w:right="151" w:firstLine="420"/>
        <w:jc w:val="both"/>
      </w:pPr>
      <w:r>
        <w:rPr/>
        <w:t>南京能瑞自动化设备股份有限公司于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日取得了江苏省科学技术厅、江苏省财政厅、江苏省国家税务局、江 苏省地方税务局联合颁发的高新技术企业证书，有效期为三年，证书编号为</w:t>
      </w:r>
      <w:r>
        <w:rPr>
          <w:rFonts w:ascii="Times New Roman" w:hAnsi="Times New Roman" w:cs="Times New Roman" w:eastAsia="Times New Roman" w:hint="default"/>
        </w:rPr>
        <w:t>GR201532000855</w:t>
      </w:r>
      <w:r>
        <w:rPr/>
        <w:t>。据此，南京能瑞自动化设备</w:t>
      </w:r>
      <w:r>
        <w:rPr>
          <w:spacing w:val="-65"/>
        </w:rPr>
        <w:t> </w:t>
      </w:r>
      <w:r>
        <w:rPr>
          <w:spacing w:val="-65"/>
        </w:rPr>
      </w:r>
      <w:r>
        <w:rPr/>
        <w:t>股份有限公司</w:t>
      </w:r>
      <w:r>
        <w:rPr>
          <w:rFonts w:ascii="Times New Roman" w:hAnsi="Times New Roman" w:cs="Times New Roman" w:eastAsia="Times New Roman" w:hint="default"/>
        </w:rPr>
        <w:t>2017</w:t>
      </w:r>
      <w:r>
        <w:rPr/>
        <w:t>年享受高新技术企业的税收优惠政策，按</w:t>
      </w:r>
      <w:r>
        <w:rPr>
          <w:rFonts w:ascii="Times New Roman" w:hAnsi="Times New Roman" w:cs="Times New Roman" w:eastAsia="Times New Roman" w:hint="default"/>
        </w:rPr>
        <w:t>15%</w:t>
      </w:r>
      <w:r>
        <w:rPr/>
        <w:t>的税率缴纳企业所得税。</w:t>
      </w:r>
    </w:p>
    <w:p>
      <w:pPr>
        <w:pStyle w:val="BodyText"/>
        <w:spacing w:line="345" w:lineRule="auto" w:before="22"/>
        <w:ind w:right="150" w:firstLine="420"/>
        <w:jc w:val="both"/>
      </w:pPr>
      <w:r>
        <w:rPr/>
        <w:t>浙江开盛电气有限公司于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日通过高新技术企业认定，并取得了浙江省科学技术厅、浙江省财政厅、浙江 省国家税务局、浙江省地方税务局联合颁发的《高新技术企业证书》，有效期为三年，证书编号</w:t>
      </w:r>
      <w:r>
        <w:rPr>
          <w:rFonts w:ascii="Times New Roman" w:hAnsi="Times New Roman" w:cs="Times New Roman" w:eastAsia="Times New Roman" w:hint="default"/>
        </w:rPr>
        <w:t>GR201633001739</w:t>
      </w:r>
      <w:r>
        <w:rPr/>
        <w:t>。据此，</w:t>
      </w:r>
      <w:r>
        <w:rPr>
          <w:spacing w:val="-65"/>
        </w:rPr>
        <w:t> </w:t>
      </w:r>
      <w:r>
        <w:rPr>
          <w:spacing w:val="-65"/>
        </w:rPr>
      </w:r>
      <w:r>
        <w:rPr/>
        <w:t>浙江开盛电气有限公司于</w:t>
      </w:r>
      <w:r>
        <w:rPr>
          <w:rFonts w:ascii="Times New Roman" w:hAnsi="Times New Roman" w:cs="Times New Roman" w:eastAsia="Times New Roman" w:hint="default"/>
        </w:rPr>
        <w:t>2017</w:t>
      </w:r>
      <w:r>
        <w:rPr/>
        <w:t>年享受高新技术企业的税收优惠政策，按</w:t>
      </w:r>
      <w:r>
        <w:rPr>
          <w:rFonts w:ascii="Times New Roman" w:hAnsi="Times New Roman" w:cs="Times New Roman" w:eastAsia="Times New Roman" w:hint="default"/>
        </w:rPr>
        <w:t>15%</w:t>
      </w:r>
      <w:r>
        <w:rPr/>
        <w:t>的税率缴纳企业所得税。</w:t>
      </w:r>
    </w:p>
    <w:p>
      <w:pPr>
        <w:spacing w:after="0" w:line="345"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line="487" w:lineRule="auto" w:before="35"/>
        <w:ind w:left="154" w:right="6712" w:firstLine="0"/>
        <w:jc w:val="left"/>
        <w:rPr>
          <w:rFonts w:ascii="宋体" w:hAnsi="宋体" w:cs="宋体" w:eastAsia="宋体" w:hint="default"/>
          <w:sz w:val="21"/>
          <w:szCs w:val="21"/>
        </w:rPr>
      </w:pPr>
      <w:bookmarkStart w:name="3、其他" w:id="227"/>
      <w:bookmarkEnd w:id="22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8"/>
      <w:bookmarkEnd w:id="228"/>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9"/>
      <w:bookmarkEnd w:id="229"/>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215,333.39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1,077.84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441,317,134.01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252,437,536.34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60,171,687.83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17,669,133.92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501,704,155.23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270,107,748.10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980,153.78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1,040,550.00</w:t>
            </w:r>
          </w:p>
        </w:tc>
      </w:tr>
    </w:tbl>
    <w:p>
      <w:pPr>
        <w:pStyle w:val="BodyText"/>
        <w:spacing w:line="240" w:lineRule="auto" w:before="51"/>
        <w:ind w:right="0"/>
        <w:jc w:val="left"/>
      </w:pPr>
      <w:r>
        <w:rPr/>
        <w:t>其他说明</w:t>
      </w:r>
    </w:p>
    <w:p>
      <w:pPr>
        <w:pStyle w:val="BodyText"/>
        <w:spacing w:line="345" w:lineRule="auto" w:before="139"/>
        <w:ind w:right="0" w:firstLine="42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日，本公司的银行存款中，定期存款</w:t>
      </w:r>
      <w:r>
        <w:rPr>
          <w:rFonts w:ascii="Times New Roman" w:hAnsi="Times New Roman" w:cs="Times New Roman" w:eastAsia="Times New Roman" w:hint="default"/>
        </w:rPr>
        <w:t>155,000,000.00</w:t>
      </w:r>
      <w:r>
        <w:rPr/>
        <w:t>元；本公司的其他货币资金中</w:t>
      </w:r>
      <w:r>
        <w:rPr>
          <w:rFonts w:ascii="Times New Roman" w:hAnsi="Times New Roman" w:cs="Times New Roman" w:eastAsia="Times New Roman" w:hint="default"/>
        </w:rPr>
        <w:t>52,809,321.37</w:t>
      </w:r>
      <w:r>
        <w:rPr/>
        <w:t>元为 开具银行承兑汇票保证金，</w:t>
      </w:r>
      <w:r>
        <w:rPr>
          <w:rFonts w:ascii="Times New Roman" w:hAnsi="Times New Roman" w:cs="Times New Roman" w:eastAsia="Times New Roman" w:hint="default"/>
        </w:rPr>
        <w:t>7,362,366.46</w:t>
      </w:r>
      <w:r>
        <w:rPr/>
        <w:t>元为保函保证金。</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2、以公允价值计量且其变动计入当期损益的金融资产" w:id="230"/>
      <w:bookmarkEnd w:id="230"/>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31"/>
      <w:bookmarkEnd w:id="231"/>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应收票据" w:id="232"/>
      <w:bookmarkEnd w:id="232"/>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33"/>
      <w:bookmarkEnd w:id="23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20,742,410.00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12,924,633.94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115,358.97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20,857,768.97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13,074,633.94</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期末公司已质押的应收票据" w:id="234"/>
      <w:bookmarkEnd w:id="234"/>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32" w:hRule="exact"/>
        </w:trPr>
        <w:tc>
          <w:tcPr>
            <w:tcW w:w="4785" w:type="dxa"/>
            <w:tcBorders>
              <w:top w:val="nil" w:sz="6" w:space="0" w:color="auto"/>
              <w:left w:val="nil" w:sz="6" w:space="0" w:color="auto"/>
              <w:bottom w:val="single" w:sz="4" w:space="0" w:color="000000"/>
              <w:right w:val="nil" w:sz="6" w:space="0" w:color="auto"/>
            </w:tcBorders>
          </w:tcPr>
          <w:p>
            <w:pPr/>
          </w:p>
        </w:tc>
        <w:tc>
          <w:tcPr>
            <w:tcW w:w="47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pict>
          <v:group style="position:absolute;margin-left:55.200001pt;margin-top:-49.526318pt;width:485pt;height:.1pt;mso-position-horizontal-relative:page;mso-position-vertical-relative:paragraph;z-index:-2127856" coordorigin="1104,-991" coordsize="9700,2">
            <v:shape style="position:absolute;left:1104;top:-991;width:9700;height:2" coordorigin="1104,-991" coordsize="9700,0" path="m1104,-991l10804,-991e" filled="false" stroked="true" strokeweight=".72pt" strokecolor="#000000">
              <v:path arrowok="t"/>
            </v:shape>
            <w10:wrap type="none"/>
          </v:group>
        </w:pict>
      </w:r>
      <w:bookmarkStart w:name="（3）期末公司已背书或贴现且在资产负债表日尚未到期的应收票据" w:id="235"/>
      <w:bookmarkEnd w:id="235"/>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23,922,199.30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2,989,923.00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23,922,199.30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2,989,923.00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期末公司因出票人未履约而将其转应收账款的票据" w:id="236"/>
      <w:bookmarkEnd w:id="236"/>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410,000.00</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410,000.00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应收账款" w:id="237"/>
      <w:bookmarkEnd w:id="237"/>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238"/>
      <w:bookmarkEnd w:id="23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674,604,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933.54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44,707,2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92.21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629,897,6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41.33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233,876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,954.68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16,373,76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217,503,19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4.58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223,520.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674,828,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453.54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44,930,8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12.21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6.66%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629,897,6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41.33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233,876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,954.68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16,373,76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217,503,19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4.58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期末单项金额重大并单项计提坏账准备的应收账款：</w:t>
      </w:r>
    </w:p>
    <w:p>
      <w:pPr>
        <w:pStyle w:val="BodyText"/>
        <w:spacing w:line="338" w:lineRule="auto" w:before="117"/>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543,434,229.31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27,171,711.46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106,846,718.08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10,684,671.82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15,422,464.90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3,084,492.98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6,225,779.16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1,867,733.75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1,554,119.79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777,059.90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1,121,622.30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1,121,622.30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674,604,933.54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44,707,292.21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6.63%</w:t>
            </w:r>
          </w:p>
        </w:tc>
      </w:tr>
    </w:tbl>
    <w:p>
      <w:pPr>
        <w:pStyle w:val="BodyText"/>
        <w:spacing w:line="357" w:lineRule="auto" w:before="51"/>
        <w:ind w:right="5452"/>
        <w:jc w:val="left"/>
      </w:pPr>
      <w:r>
        <w:rPr/>
        <w:t>确定该组合依据的说明： 组合中，采用余额百分比法计提坏账准备的应收账款：</w:t>
      </w:r>
    </w:p>
    <w:p>
      <w:pPr>
        <w:pStyle w:val="BodyText"/>
        <w:spacing w:line="338" w:lineRule="auto" w:before="29"/>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本期计提、收回或转回的坏账准备情况" w:id="239"/>
      <w:bookmarkEnd w:id="2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38" w:lineRule="auto"/>
        <w:ind w:right="-17"/>
        <w:jc w:val="left"/>
      </w:pPr>
      <w:r>
        <w:rPr/>
        <w:t>本期计提坏账准备金额</w:t>
      </w:r>
      <w:r>
        <w:rPr>
          <w:spacing w:val="-47"/>
        </w:rPr>
        <w:t> </w:t>
      </w:r>
      <w:r>
        <w:rPr>
          <w:rFonts w:ascii="Times New Roman" w:hAnsi="Times New Roman" w:cs="Times New Roman" w:eastAsia="Times New Roman" w:hint="default"/>
        </w:rPr>
        <w:t>8,001,465.99</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980"/>
          <w:cols w:num="2" w:equalWidth="0">
            <w:col w:w="6049" w:space="2780"/>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实际核销的应收账款情况" w:id="240"/>
      <w:bookmarkEnd w:id="24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按欠款方归集的期末余额前五名的应收账款情况" w:id="241"/>
      <w:bookmarkEnd w:id="24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6712"/>
        <w:jc w:val="left"/>
      </w:pPr>
      <w:r>
        <w:rPr/>
        <w:t>公司是否需要遵守特殊行业的披露要求 否</w:t>
      </w:r>
    </w:p>
    <w:tbl>
      <w:tblPr>
        <w:tblW w:w="0" w:type="auto"/>
        <w:jc w:val="left"/>
        <w:tblInd w:w="137" w:type="dxa"/>
        <w:tblLayout w:type="fixed"/>
        <w:tblCellMar>
          <w:top w:w="0" w:type="dxa"/>
          <w:left w:w="0" w:type="dxa"/>
          <w:bottom w:w="0" w:type="dxa"/>
          <w:right w:w="0" w:type="dxa"/>
        </w:tblCellMar>
        <w:tblLook w:val="01E0"/>
      </w:tblPr>
      <w:tblGrid>
        <w:gridCol w:w="3120"/>
        <w:gridCol w:w="1983"/>
        <w:gridCol w:w="1560"/>
        <w:gridCol w:w="2836"/>
      </w:tblGrid>
      <w:tr>
        <w:trPr>
          <w:trHeight w:val="34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1" w:right="0"/>
              <w:jc w:val="left"/>
              <w:rPr>
                <w:rFonts w:ascii="宋体" w:hAnsi="宋体" w:cs="宋体" w:eastAsia="宋体" w:hint="default"/>
                <w:sz w:val="18"/>
                <w:szCs w:val="18"/>
              </w:rPr>
            </w:pPr>
            <w:r>
              <w:rPr>
                <w:rFonts w:ascii="宋体" w:hAnsi="宋体" w:cs="宋体" w:eastAsia="宋体" w:hint="default"/>
                <w:sz w:val="18"/>
                <w:szCs w:val="18"/>
              </w:rPr>
              <w:t>占应收账款余额的</w:t>
            </w:r>
          </w:p>
        </w:tc>
        <w:tc>
          <w:tcPr>
            <w:tcW w:w="28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3120"/>
        <w:gridCol w:w="1983"/>
        <w:gridCol w:w="1560"/>
        <w:gridCol w:w="2836"/>
      </w:tblGrid>
      <w:tr>
        <w:trPr>
          <w:trHeight w:val="347" w:hRule="exact"/>
        </w:trPr>
        <w:tc>
          <w:tcPr>
            <w:tcW w:w="312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283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国网浙江省电力公司物资分公司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67,485,634.92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10.02</w:t>
            </w:r>
          </w:p>
        </w:tc>
        <w:tc>
          <w:tcPr>
            <w:tcW w:w="28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3,551,857.75</w:t>
            </w:r>
          </w:p>
        </w:tc>
      </w:tr>
      <w:tr>
        <w:trPr>
          <w:trHeight w:val="34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长春市地铁有限责任公司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38,506,384.30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5.72</w:t>
            </w:r>
          </w:p>
        </w:tc>
        <w:tc>
          <w:tcPr>
            <w:tcW w:w="28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1,925,319.22</w:t>
            </w:r>
          </w:p>
        </w:tc>
      </w:tr>
      <w:tr>
        <w:trPr>
          <w:trHeight w:val="34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国电南瑞科技股份有限公司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27,742,500.00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4.12</w:t>
            </w:r>
          </w:p>
        </w:tc>
        <w:tc>
          <w:tcPr>
            <w:tcW w:w="28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1,490,762.62</w:t>
            </w:r>
          </w:p>
        </w:tc>
      </w:tr>
      <w:tr>
        <w:trPr>
          <w:trHeight w:val="34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国网河南省电力公司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21,499,230.03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3.19</w:t>
            </w:r>
          </w:p>
        </w:tc>
        <w:tc>
          <w:tcPr>
            <w:tcW w:w="28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2,149,923.00</w:t>
            </w:r>
          </w:p>
        </w:tc>
      </w:tr>
      <w:tr>
        <w:trPr>
          <w:trHeight w:val="34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深圳市江机实业有限公司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20,987,672.11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3.11</w:t>
            </w:r>
          </w:p>
        </w:tc>
        <w:tc>
          <w:tcPr>
            <w:tcW w:w="28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1,049,383.61</w:t>
            </w:r>
          </w:p>
        </w:tc>
      </w:tr>
      <w:tr>
        <w:trPr>
          <w:trHeight w:val="348"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176,221,421.36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26.16</w:t>
            </w:r>
          </w:p>
        </w:tc>
        <w:tc>
          <w:tcPr>
            <w:tcW w:w="28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10,167,246.20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因金融资产转移而终止确认的应收账款" w:id="242"/>
      <w:bookmarkEnd w:id="24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转移应收账款且继续涉入形成的资产、负债金额" w:id="243"/>
      <w:bookmarkEnd w:id="24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预付款项" w:id="244"/>
      <w:bookmarkEnd w:id="244"/>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45"/>
      <w:bookmarkEnd w:id="24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14,649,556.70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9,613,186.09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1,074,692.44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64,792.30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28,214.95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2,684.28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15,754,464.09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9,680,662.67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2"/>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402"/>
        <w:gridCol w:w="2385"/>
        <w:gridCol w:w="3712"/>
      </w:tblGrid>
      <w:tr>
        <w:trPr>
          <w:trHeight w:val="34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施耐德电气</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754,317.70</w:t>
            </w:r>
          </w:p>
        </w:tc>
        <w:tc>
          <w:tcPr>
            <w:tcW w:w="3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发票未到</w:t>
            </w:r>
          </w:p>
        </w:tc>
      </w:tr>
      <w:tr>
        <w:trPr>
          <w:trHeight w:val="34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754,317.70</w:t>
            </w:r>
          </w:p>
        </w:tc>
        <w:tc>
          <w:tcPr>
            <w:tcW w:w="3712" w:type="dxa"/>
            <w:tcBorders>
              <w:top w:val="single" w:sz="6" w:space="0" w:color="000000"/>
              <w:left w:val="single" w:sz="6" w:space="0" w:color="000000"/>
              <w:bottom w:val="single" w:sz="6"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按预付对象归集的期末余额前五名的预付款情况" w:id="246"/>
      <w:bookmarkEnd w:id="24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967"/>
        <w:gridCol w:w="2455"/>
        <w:gridCol w:w="3077"/>
      </w:tblGrid>
      <w:tr>
        <w:trPr>
          <w:trHeight w:val="348" w:hRule="exact"/>
        </w:trPr>
        <w:tc>
          <w:tcPr>
            <w:tcW w:w="3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77" w:type="dxa"/>
            <w:tcBorders>
              <w:top w:val="single" w:sz="6" w:space="0" w:color="000000"/>
              <w:left w:val="single" w:sz="6" w:space="0" w:color="000000"/>
              <w:bottom w:val="single" w:sz="6" w:space="0" w:color="000000"/>
              <w:right w:val="nil" w:sz="6" w:space="0" w:color="auto"/>
            </w:tcBorders>
          </w:tcPr>
          <w:p>
            <w:pPr>
              <w:pStyle w:val="TableParagraph"/>
              <w:tabs>
                <w:tab w:pos="1902" w:val="left" w:leader="none"/>
              </w:tabs>
              <w:spacing w:line="240" w:lineRule="auto" w:before="21"/>
              <w:ind w:left="3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占预付款项余额</w:t>
              <w:tab/>
              <w:t>的比例</w:t>
            </w:r>
            <w:r>
              <w:rPr>
                <w:rFonts w:ascii="Times New Roman" w:hAnsi="Times New Roman" w:cs="Times New Roman" w:eastAsia="Times New Roman" w:hint="default"/>
                <w:sz w:val="18"/>
                <w:szCs w:val="18"/>
              </w:rPr>
              <w:t>(%)</w:t>
            </w:r>
          </w:p>
        </w:tc>
      </w:tr>
      <w:tr>
        <w:trPr>
          <w:trHeight w:val="347" w:hRule="exact"/>
        </w:trPr>
        <w:tc>
          <w:tcPr>
            <w:tcW w:w="3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南京高喜电子科技有限公司</w:t>
            </w:r>
          </w:p>
        </w:tc>
        <w:tc>
          <w:tcPr>
            <w:tcW w:w="2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2,098,225.40</w:t>
            </w:r>
          </w:p>
        </w:tc>
        <w:tc>
          <w:tcPr>
            <w:tcW w:w="30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13.32</w:t>
            </w:r>
          </w:p>
        </w:tc>
      </w:tr>
      <w:tr>
        <w:trPr>
          <w:trHeight w:val="347" w:hRule="exact"/>
        </w:trPr>
        <w:tc>
          <w:tcPr>
            <w:tcW w:w="3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北京华强智连微电子有限责任公司</w:t>
            </w:r>
          </w:p>
        </w:tc>
        <w:tc>
          <w:tcPr>
            <w:tcW w:w="2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1,131,959.24</w:t>
            </w:r>
          </w:p>
        </w:tc>
        <w:tc>
          <w:tcPr>
            <w:tcW w:w="30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7.19</w:t>
            </w:r>
          </w:p>
        </w:tc>
      </w:tr>
      <w:tr>
        <w:trPr>
          <w:trHeight w:val="347" w:hRule="exact"/>
        </w:trPr>
        <w:tc>
          <w:tcPr>
            <w:tcW w:w="3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长春市建源电力设备有限公司</w:t>
            </w:r>
          </w:p>
        </w:tc>
        <w:tc>
          <w:tcPr>
            <w:tcW w:w="2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979,979.75</w:t>
            </w:r>
          </w:p>
        </w:tc>
        <w:tc>
          <w:tcPr>
            <w:tcW w:w="30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6.22</w:t>
            </w:r>
          </w:p>
        </w:tc>
      </w:tr>
      <w:tr>
        <w:trPr>
          <w:trHeight w:val="347" w:hRule="exact"/>
        </w:trPr>
        <w:tc>
          <w:tcPr>
            <w:tcW w:w="3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施耐德电气</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754,317.70</w:t>
            </w:r>
          </w:p>
        </w:tc>
        <w:tc>
          <w:tcPr>
            <w:tcW w:w="30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4.79</w:t>
            </w:r>
          </w:p>
        </w:tc>
      </w:tr>
      <w:tr>
        <w:trPr>
          <w:trHeight w:val="347" w:hRule="exact"/>
        </w:trPr>
        <w:tc>
          <w:tcPr>
            <w:tcW w:w="3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南京舜义恩佳电气有限公司</w:t>
            </w:r>
          </w:p>
        </w:tc>
        <w:tc>
          <w:tcPr>
            <w:tcW w:w="2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683,958.18</w:t>
            </w:r>
          </w:p>
        </w:tc>
        <w:tc>
          <w:tcPr>
            <w:tcW w:w="30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4.34</w:t>
            </w:r>
          </w:p>
        </w:tc>
      </w:tr>
      <w:tr>
        <w:trPr>
          <w:trHeight w:val="348" w:hRule="exact"/>
        </w:trPr>
        <w:tc>
          <w:tcPr>
            <w:tcW w:w="3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5,648,440.27</w:t>
            </w:r>
          </w:p>
        </w:tc>
        <w:tc>
          <w:tcPr>
            <w:tcW w:w="30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35.85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b/>
          <w:bCs/>
          <w:sz w:val="25"/>
          <w:szCs w:val="25"/>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应收利息" w:id="247"/>
      <w:bookmarkEnd w:id="247"/>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利息分类" w:id="248"/>
      <w:bookmarkEnd w:id="248"/>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287,340.80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活期存款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189,858.79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477,199.59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逾期利息" w:id="249"/>
      <w:bookmarkEnd w:id="249"/>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8、应收股利" w:id="250"/>
      <w:bookmarkEnd w:id="250"/>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股利" w:id="251"/>
      <w:bookmarkEnd w:id="251"/>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的账龄超过1年的应收股利" w:id="252"/>
      <w:bookmarkEnd w:id="252"/>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9、其他应收款" w:id="253"/>
      <w:bookmarkEnd w:id="253"/>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254"/>
      <w:bookmarkEnd w:id="25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83,950,7</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77.60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78,279.3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83,872,49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8.25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9,217,3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18.32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9,217,318.3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83,950,7</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77.60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78,279.3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83,872,49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8.25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9,217,3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18.32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9,217,318.3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1,337,611.65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66,880.59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111,148.56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11,114.86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1,450,179.73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78,279.35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5.40%</w:t>
            </w:r>
          </w:p>
        </w:tc>
      </w:tr>
    </w:tbl>
    <w:p>
      <w:pPr>
        <w:pStyle w:val="BodyText"/>
        <w:spacing w:line="357" w:lineRule="auto" w:before="51"/>
        <w:ind w:right="5272"/>
        <w:jc w:val="left"/>
      </w:pPr>
      <w:r>
        <w:rPr/>
        <w:t>确定该组合依据的说明： 组合中，采用余额百分比法计提坏账准备的其他应收款：</w:t>
      </w:r>
    </w:p>
    <w:p>
      <w:pPr>
        <w:pStyle w:val="BodyText"/>
        <w:spacing w:line="338" w:lineRule="auto" w:before="29"/>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672"/>
        <w:gridCol w:w="2211"/>
        <w:gridCol w:w="2212"/>
        <w:gridCol w:w="2213"/>
      </w:tblGrid>
      <w:tr>
        <w:trPr>
          <w:trHeight w:val="347" w:hRule="exact"/>
        </w:trPr>
        <w:tc>
          <w:tcPr>
            <w:tcW w:w="1672" w:type="dxa"/>
            <w:vMerge w:val="restart"/>
            <w:tcBorders>
              <w:top w:val="single" w:sz="6" w:space="0" w:color="000000"/>
              <w:left w:val="single" w:sz="6" w:space="0" w:color="000000"/>
              <w:right w:val="single" w:sz="6" w:space="0" w:color="000000"/>
            </w:tcBorders>
          </w:tcPr>
          <w:p>
            <w:pPr>
              <w:pStyle w:val="TableParagraph"/>
              <w:spacing w:line="270" w:lineRule="exact"/>
              <w:ind w:left="212"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636" w:type="dxa"/>
            <w:gridSpan w:val="3"/>
            <w:tcBorders>
              <w:top w:val="single" w:sz="6" w:space="0" w:color="000000"/>
              <w:left w:val="single" w:sz="6" w:space="0" w:color="000000"/>
              <w:bottom w:val="single" w:sz="6"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1672" w:type="dxa"/>
            <w:vMerge/>
            <w:tcBorders>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3"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5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个别认定组合</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82,500,597.87</w:t>
            </w:r>
          </w:p>
        </w:tc>
        <w:tc>
          <w:tcPr>
            <w:tcW w:w="2212" w:type="dxa"/>
            <w:tcBorders>
              <w:top w:val="single" w:sz="6" w:space="0" w:color="000000"/>
              <w:left w:val="single" w:sz="6" w:space="0" w:color="000000"/>
              <w:bottom w:val="single" w:sz="6" w:space="0" w:color="000000"/>
              <w:right w:val="single" w:sz="6" w:space="0" w:color="000000"/>
            </w:tcBorders>
          </w:tcPr>
          <w:p>
            <w:pPr/>
          </w:p>
        </w:tc>
        <w:tc>
          <w:tcPr>
            <w:tcW w:w="2213"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82,500,597.87</w:t>
            </w:r>
          </w:p>
        </w:tc>
        <w:tc>
          <w:tcPr>
            <w:tcW w:w="2212" w:type="dxa"/>
            <w:tcBorders>
              <w:top w:val="single" w:sz="6" w:space="0" w:color="000000"/>
              <w:left w:val="single" w:sz="6" w:space="0" w:color="000000"/>
              <w:bottom w:val="single" w:sz="6" w:space="0" w:color="000000"/>
              <w:right w:val="single" w:sz="6" w:space="0" w:color="000000"/>
            </w:tcBorders>
          </w:tcPr>
          <w:p>
            <w:pPr/>
          </w:p>
        </w:tc>
        <w:tc>
          <w:tcPr>
            <w:tcW w:w="2213"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2）本期计提、收回或转回的坏账准备情况" w:id="255"/>
      <w:bookmarkEnd w:id="25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pStyle w:val="BodyText"/>
        <w:spacing w:line="338" w:lineRule="auto"/>
        <w:ind w:right="-18"/>
        <w:jc w:val="left"/>
      </w:pPr>
      <w:r>
        <w:rPr/>
        <w:t>本期计提坏账准备金额</w:t>
      </w:r>
      <w:r>
        <w:rPr>
          <w:spacing w:val="-46"/>
        </w:rPr>
        <w:t> </w:t>
      </w:r>
      <w:r>
        <w:rPr>
          <w:rFonts w:ascii="Times New Roman" w:hAnsi="Times New Roman" w:cs="Times New Roman" w:eastAsia="Times New Roman" w:hint="default"/>
        </w:rPr>
        <w:t>64,666.08</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980"/>
          <w:cols w:num="2" w:equalWidth="0">
            <w:col w:w="5825" w:space="300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本期实际核销的其他应收款情况" w:id="256"/>
      <w:bookmarkEnd w:id="25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其中重要的其他应收款核销情况：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应收款按款项性质分类情况" w:id="257"/>
      <w:bookmarkEnd w:id="25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560,772.28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400,860.73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80,794,939.11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8,772,355.59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1,191,991.67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应收代员工暂付款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903,706.61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499,367.93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44,102.00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83,950,777.60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9,217,318.32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按欠款方归集的期末余额前五名的其他应收款情况" w:id="258"/>
      <w:bookmarkEnd w:id="25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59.56%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湖州市土地储备中 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12,812,000.00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湖北正信电力工程 咨询有限公司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宁波市公共资源交 易中心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68,912,000.00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82.09%</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涉及政府补助的应收款项" w:id="259"/>
      <w:bookmarkEnd w:id="25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因金融资产转移而终止确认的其他应收款" w:id="260"/>
      <w:bookmarkEnd w:id="26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转移其他应收款且继续涉入形成的资产、负债金额" w:id="261"/>
      <w:bookmarkEnd w:id="26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0、存货" w:id="262"/>
      <w:bookmarkEnd w:id="262"/>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60" w:lineRule="auto" w:before="0"/>
        <w:ind w:right="653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1）存货分类" w:id="263"/>
      <w:bookmarkEnd w:id="26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66,380,540.81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66,380,540.81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21,615,109.85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21,615,109.85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26,851,474.16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26,851,474.16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20,210,348.98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20,210,348.98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13,679,692.56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13,679,692.56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6,488,666.84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6,488,666.84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6,251,351.30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6,251,351.30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11,380,385.80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11,380,385.80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3,777,953.82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3,777,953.82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301,436.77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301,436.77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1,022,961.68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1,022,961.68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118,265,411.10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118,265,411.10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59,694,511.47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59,694,511.47</w:t>
            </w:r>
          </w:p>
        </w:tc>
      </w:tr>
    </w:tbl>
    <w:p>
      <w:pPr>
        <w:pStyle w:val="BodyText"/>
        <w:spacing w:line="340" w:lineRule="auto" w:before="51"/>
        <w:ind w:right="1494"/>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5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7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存货跌价准备" w:id="264"/>
      <w:bookmarkEnd w:id="26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存货期末余额含有借款费用资本化金额的说明" w:id="265"/>
      <w:bookmarkEnd w:id="26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期末建造合同形成的已完工未结算资产情况" w:id="266"/>
      <w:bookmarkEnd w:id="26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1、持有待售的资产" w:id="267"/>
      <w:bookmarkEnd w:id="267"/>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2、一年内到期的非流动资产" w:id="268"/>
      <w:bookmarkEnd w:id="268"/>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49,450.24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49,450.24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3、其他流动资产" w:id="269"/>
      <w:bookmarkEnd w:id="269"/>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8,741,455.68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167,650.72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58,119.65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19,367,226.05</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4、可供出售金融资产" w:id="270"/>
      <w:bookmarkEnd w:id="270"/>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71"/>
      <w:bookmarkEnd w:id="27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4"/>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期末按公允价值计量的可供出售金融资产" w:id="272"/>
      <w:bookmarkEnd w:id="272"/>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期末按成本计量的可供出售金融资产" w:id="273"/>
      <w:bookmarkEnd w:id="273"/>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报告期内可供出售金融资产减值的变动情况" w:id="274"/>
      <w:bookmarkEnd w:id="274"/>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可供出售权益工具期末公允价值严重下跌或非暂时性下跌但未计提减值准备的相关说" w:id="275"/>
      <w:bookmarkEnd w:id="275"/>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5、持有至到期投资" w:id="276"/>
      <w:bookmarkEnd w:id="276"/>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持有至到期投资情况" w:id="277"/>
      <w:bookmarkEnd w:id="277"/>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重要的持有至到期投资" w:id="278"/>
      <w:bookmarkEnd w:id="278"/>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本期重分类的持有至到期投资" w:id="279"/>
      <w:bookmarkEnd w:id="279"/>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6、长期应收款" w:id="280"/>
      <w:bookmarkEnd w:id="280"/>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81"/>
      <w:bookmarkEnd w:id="28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因金融资产转移而终止确认的长期应收款" w:id="282"/>
      <w:bookmarkEnd w:id="282"/>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转移长期应收款且继续涉入形成的资产、负债金额" w:id="283"/>
      <w:bookmarkEnd w:id="283"/>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7、长期股权投资" w:id="284"/>
      <w:bookmarkEnd w:id="284"/>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8、投资性房地产" w:id="285"/>
      <w:bookmarkEnd w:id="285"/>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86"/>
      <w:bookmarkEnd w:id="28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投资性房地产" w:id="287"/>
      <w:bookmarkEnd w:id="28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88"/>
      <w:bookmarkEnd w:id="28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9、固定资产" w:id="289"/>
      <w:bookmarkEnd w:id="289"/>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固定资产情况" w:id="290"/>
      <w:bookmarkEnd w:id="29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102,423,048.11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28,006,891.30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10,941,466.53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6,184,283.81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147,555,689.75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105,969,045.37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122,258,679.35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7,194,736.79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4,669,858.04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240,092,319.55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1,596,727.86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21,127,913.57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439,470.09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2,120,548.29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25,284,659.81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61,868,713.23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37,352,308.88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99,221,022.11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42,503,604.28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63,778,456.90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6,755,266.70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2,549,309.75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115,586,637.63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433,861.45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838,961.00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3,010,884.83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4,283,707.28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433,861.45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838,961.00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3,010,884.83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4,283,707.28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207,958,232.03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150,265,570.65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17,297,242.32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7,843,257.02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383,364,302.02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21,891,096.65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11,046,318.93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4,778,899.94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3,862,421.85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41,578,737.37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6,562,548.71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10,899,514.05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2,187,368.92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861,066.37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20,510,498.05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6,562,548.71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10,899,514.05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2,187,368.92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861,066.37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20,510,498.05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172,741.17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629,966.46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2,860,340.50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3,663,048.13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172,741.17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629,966.46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2,860,340.50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3,663,048.13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28,280,904.19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21,945,832.98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6,336,302.40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1,863,147.72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58,426,187.29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179,677,327.84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128,319,737.67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10,960,939.92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5,980,109.30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324,938,114.73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80,531,951.46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16,960,572.37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6,162,566.59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2,321,861.96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105,976,952.38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91"/>
      <w:bookmarkEnd w:id="29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通过融资租赁租入的固定资产情况" w:id="292"/>
      <w:bookmarkEnd w:id="29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通过经营租赁租出的固定资产" w:id="293"/>
      <w:bookmarkEnd w:id="29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8,182,242.55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1,480,077.08</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9,662,319.63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办妥产权证书的固定资产情况" w:id="294"/>
      <w:bookmarkEnd w:id="29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102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61,431,820.03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月份转固，相关产权证书正</w:t>
            </w:r>
          </w:p>
          <w:p>
            <w:pPr>
              <w:pStyle w:val="TableParagraph"/>
              <w:spacing w:line="302" w:lineRule="auto" w:before="63"/>
              <w:ind w:left="22" w:right="95"/>
              <w:jc w:val="left"/>
              <w:rPr>
                <w:rFonts w:ascii="宋体" w:hAnsi="宋体" w:cs="宋体" w:eastAsia="宋体" w:hint="default"/>
                <w:sz w:val="18"/>
                <w:szCs w:val="18"/>
              </w:rPr>
            </w:pPr>
            <w:r>
              <w:rPr>
                <w:rFonts w:ascii="宋体" w:hAnsi="宋体" w:cs="宋体" w:eastAsia="宋体" w:hint="default"/>
                <w:sz w:val="18"/>
                <w:szCs w:val="18"/>
              </w:rPr>
              <w:t>在办理中，预计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月份左右办 妥</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0、在建工程" w:id="295"/>
      <w:bookmarkEnd w:id="295"/>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在建工程情况" w:id="296"/>
      <w:bookmarkEnd w:id="29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智能型环 网开关设备厂房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15,613,557.74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15,613,557.74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41,154,993.04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41,154,993.04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充电桩及配套设 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8,699,986.30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8,699,986.30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研发中心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4,733,009.75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4,733,009.75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8,258,196.59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8,258,196.59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厂房装修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4,067,241.87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4,067,241.87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老厂房改扩建</w:t>
            </w:r>
            <w:r>
              <w:rPr>
                <w:rFonts w:ascii="Times New Roman" w:hAnsi="Times New Roman" w:cs="Times New Roman" w:eastAsia="Times New Roman" w:hint="default"/>
                <w:sz w:val="18"/>
                <w:szCs w:val="18"/>
              </w:rPr>
              <w:t>- </w:t>
            </w:r>
            <w:r>
              <w:rPr>
                <w:rFonts w:ascii="宋体" w:hAnsi="宋体" w:cs="宋体" w:eastAsia="宋体" w:hint="default"/>
                <w:sz w:val="18"/>
                <w:szCs w:val="18"/>
              </w:rPr>
              <w:t>智能高压开关项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2,927,615.98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2,927,615.98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2,524,271.85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2,524,271.85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研发测试中心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398,058.26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398,058.26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11,367,092.18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11,367,092.18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厨房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98,290.62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98,290.62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14,465.00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36,552,225.52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36,552,225.52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63,304,553.66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63,304,553.66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97"/>
      <w:bookmarkEnd w:id="29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智</w:t>
            </w:r>
          </w:p>
          <w:p>
            <w:pPr>
              <w:pStyle w:val="TableParagraph"/>
              <w:spacing w:line="319" w:lineRule="auto" w:before="61"/>
              <w:ind w:left="22" w:right="159"/>
              <w:jc w:val="both"/>
              <w:rPr>
                <w:rFonts w:ascii="宋体" w:hAnsi="宋体" w:cs="宋体" w:eastAsia="宋体" w:hint="default"/>
                <w:sz w:val="18"/>
                <w:szCs w:val="18"/>
              </w:rPr>
            </w:pPr>
            <w:r>
              <w:rPr>
                <w:rFonts w:ascii="宋体" w:hAnsi="宋体" w:cs="宋体" w:eastAsia="宋体" w:hint="default"/>
                <w:sz w:val="18"/>
                <w:szCs w:val="18"/>
              </w:rPr>
              <w:t>能型环 网开关 设备厂 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41,154,9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93.04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17,901,8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54.71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43,443,2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90.01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15,613,5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57.74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84.37%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充电桩 及配套 设施</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50,729,0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98.28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37,352,3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4,676,80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8,699,98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研发中 心</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8,258,19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2,908,52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6,433,70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4,733,00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85.90%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厂房装 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4,067,24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4,067,24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81.34%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29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老厂房 改扩建</w:t>
            </w:r>
            <w:r>
              <w:rPr>
                <w:rFonts w:ascii="Times New Roman" w:hAnsi="Times New Roman" w:cs="Times New Roman" w:eastAsia="Times New Roman" w:hint="default"/>
                <w:sz w:val="18"/>
                <w:szCs w:val="18"/>
              </w:rPr>
              <w:t>- </w:t>
            </w:r>
            <w:r>
              <w:rPr>
                <w:rFonts w:ascii="宋体" w:hAnsi="宋体" w:cs="宋体" w:eastAsia="宋体" w:hint="default"/>
                <w:sz w:val="18"/>
                <w:szCs w:val="18"/>
              </w:rPr>
              <w:t>智能高 压开关</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3"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4" w:right="0"/>
              <w:jc w:val="left"/>
              <w:rPr>
                <w:rFonts w:ascii="Times New Roman" w:hAnsi="Times New Roman" w:cs="Times New Roman" w:eastAsia="Times New Roman" w:hint="default"/>
                <w:sz w:val="18"/>
                <w:szCs w:val="18"/>
              </w:rPr>
            </w:pPr>
            <w:r>
              <w:rPr>
                <w:rFonts w:ascii="Times New Roman"/>
                <w:sz w:val="18"/>
              </w:rPr>
              <w:t>2,524,27</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403,344.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3" w:right="0"/>
              <w:jc w:val="left"/>
              <w:rPr>
                <w:rFonts w:ascii="Times New Roman" w:hAnsi="Times New Roman" w:cs="Times New Roman" w:eastAsia="Times New Roman" w:hint="default"/>
                <w:sz w:val="18"/>
                <w:szCs w:val="18"/>
              </w:rPr>
            </w:pPr>
            <w:r>
              <w:rPr>
                <w:rFonts w:ascii="Times New Roman"/>
                <w:sz w:val="18"/>
              </w:rPr>
              <w:t>2,927,61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83.65%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研发测 试中心</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11,367,0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92.18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1,022,68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11,991,7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15.47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398,058.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厨房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1,230,00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98,290.6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98,290.6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107,230,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63,304,5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53.66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77,145,4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97.07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99,221,0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22.11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4,676,80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36,552,2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25.52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在建工程减值准备情况" w:id="298"/>
      <w:bookmarkEnd w:id="29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1、工程物资" w:id="299"/>
      <w:bookmarkEnd w:id="299"/>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2、固定资产清理" w:id="300"/>
      <w:bookmarkEnd w:id="300"/>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3、生产性生物资产" w:id="301"/>
      <w:bookmarkEnd w:id="301"/>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302"/>
      <w:bookmarkEnd w:id="30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303"/>
      <w:bookmarkEnd w:id="30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4、油气资产" w:id="304"/>
      <w:bookmarkEnd w:id="304"/>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5、无形资产" w:id="305"/>
      <w:bookmarkEnd w:id="305"/>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306"/>
      <w:bookmarkEnd w:id="30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18,230,980.22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721,550.83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19,104,931.05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14,471,270.83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64,615,000.00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3,253,970.71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82,340,241.54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2,068,636.32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2,068,636.32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14,471,270.83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64,615,000.00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1,185,334.39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80,271,605.22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32,702,251.05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64,767,400.00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3,975,521.54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101,445,172.59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984,735.53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57,130.00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449,786.64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1,491,652.17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1,551,713.78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17,225,323.30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588,636.79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19,365,673.87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536,553.72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7,545,344.15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284,890.52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8,366,788.39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1,015,160.06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9,679,979.15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303,746.27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10,998,885.48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2,536,449.31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17,282,453.30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1,038,423.43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20,857,326.04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30,165,801.74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47,484,946.70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2,937,098.11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80,587,846.55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17,246,244.69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95,270.00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271,764.19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17,613,278.88</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未办妥产权证书的土地使用权情况" w:id="307"/>
      <w:bookmarkEnd w:id="30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6、开发支出" w:id="308"/>
      <w:bookmarkEnd w:id="308"/>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7、商誉" w:id="309"/>
      <w:bookmarkEnd w:id="309"/>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310"/>
      <w:bookmarkEnd w:id="31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南京能瑞自动化 设备股份有限公 司</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1,118,765,692.55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1,118,765,692.55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1,118,765,692.55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1,118,765,692.55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311"/>
      <w:bookmarkEnd w:id="31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81" w:lineRule="auto" w:before="51"/>
        <w:ind w:left="574" w:right="0" w:hanging="420"/>
        <w:jc w:val="left"/>
      </w:pPr>
      <w:r>
        <w:rPr/>
        <w:t>说明商誉减值测试过程、参数及商誉减值损失的确认方法： 以南京能瑞自动化设备股份有限公司（以下简称南京能瑞）（资产组）的净现金流量现值作为未来可收回金额，对于</w:t>
      </w:r>
    </w:p>
    <w:p>
      <w:pPr>
        <w:pStyle w:val="BodyText"/>
        <w:spacing w:line="364" w:lineRule="auto" w:before="17"/>
        <w:ind w:left="574" w:right="0" w:hanging="420"/>
        <w:jc w:val="left"/>
      </w:pPr>
      <w:r>
        <w:rPr/>
        <w:t>可收回金额低于商誉账面价值的部分计提减值准备。 公司对南京能瑞的可收回金额按照预计未来现金流量的现值计算，其预计现金流量是公司根据南京能瑞最近期的财务</w:t>
      </w:r>
    </w:p>
    <w:p>
      <w:pPr>
        <w:pStyle w:val="BodyText"/>
        <w:spacing w:line="345" w:lineRule="auto" w:before="29"/>
        <w:ind w:right="150"/>
        <w:jc w:val="both"/>
      </w:pPr>
      <w:r>
        <w:rPr>
          <w:spacing w:val="-2"/>
        </w:rPr>
        <w:t>预算假设编制的</w:t>
      </w:r>
      <w:r>
        <w:rPr>
          <w:rFonts w:ascii="Times New Roman" w:hAnsi="Times New Roman" w:cs="Times New Roman" w:eastAsia="Times New Roman" w:hint="default"/>
          <w:spacing w:val="-2"/>
        </w:rPr>
        <w:t>5</w:t>
      </w:r>
      <w:r>
        <w:rPr>
          <w:spacing w:val="-2"/>
        </w:rPr>
        <w:t>年期现金流量预测为基础，预测期分为两个阶段，第一阶段为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日，预测期为</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6"/>
        </w:rPr>
        <w:t> </w:t>
      </w:r>
      <w:r>
        <w:rPr>
          <w:spacing w:val="-2"/>
        </w:rPr>
        <w:t>年，在此阶段中，根据对南京能瑞的历史业绩及未来市场分析，收益状况逐渐趋于稳定；第二阶段为</w:t>
      </w:r>
      <w:r>
        <w:rPr>
          <w:rFonts w:ascii="Times New Roman" w:hAnsi="Times New Roman" w:cs="Times New Roman" w:eastAsia="Times New Roman" w:hint="default"/>
          <w:spacing w:val="-2"/>
        </w:rPr>
        <w:t>2023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日至永续经</w:t>
      </w:r>
      <w:r>
        <w:rPr>
          <w:spacing w:val="-60"/>
        </w:rPr>
        <w:t> </w:t>
      </w:r>
      <w:r>
        <w:rPr>
          <w:spacing w:val="-2"/>
        </w:rPr>
        <w:t>营，在此阶段中，南京能瑞的净现金流在</w:t>
      </w:r>
      <w:r>
        <w:rPr>
          <w:rFonts w:ascii="Times New Roman" w:hAnsi="Times New Roman" w:cs="Times New Roman" w:eastAsia="Times New Roman" w:hint="default"/>
          <w:spacing w:val="-2"/>
        </w:rPr>
        <w:t>2022</w:t>
      </w:r>
      <w:r>
        <w:rPr>
          <w:spacing w:val="-2"/>
        </w:rPr>
        <w:t>年的基础上将保持稳定。公司根据历史经验及对市场发展的预测确定上述关键</w:t>
      </w:r>
      <w:r>
        <w:rPr>
          <w:spacing w:val="-62"/>
        </w:rPr>
        <w:t> </w:t>
      </w:r>
      <w:r>
        <w:rPr>
          <w:spacing w:val="-62"/>
        </w:rPr>
      </w:r>
      <w:r>
        <w:rPr/>
        <w:t>数据。公司采用的折现率是反映当前市场货币时间价值和相关资产组特定风险的权益期望回报率。</w:t>
      </w:r>
    </w:p>
    <w:p>
      <w:pPr>
        <w:pStyle w:val="BodyText"/>
        <w:spacing w:line="384" w:lineRule="auto"/>
        <w:ind w:right="5032" w:firstLine="420"/>
        <w:jc w:val="left"/>
      </w:pPr>
      <w:r>
        <w:rPr/>
        <w:t>上述对可收回金额的预计表明商誉并未出现减值损失。 其他说明</w:t>
      </w:r>
    </w:p>
    <w:p>
      <w:pPr>
        <w:spacing w:line="240" w:lineRule="auto" w:before="6"/>
        <w:rPr>
          <w:rFonts w:ascii="宋体" w:hAnsi="宋体" w:cs="宋体" w:eastAsia="宋体" w:hint="default"/>
          <w:sz w:val="18"/>
          <w:szCs w:val="18"/>
        </w:rPr>
      </w:pPr>
    </w:p>
    <w:p>
      <w:pPr>
        <w:pStyle w:val="Heading4"/>
        <w:spacing w:line="240" w:lineRule="auto"/>
        <w:ind w:right="0"/>
        <w:jc w:val="left"/>
        <w:rPr>
          <w:b w:val="0"/>
          <w:bCs w:val="0"/>
        </w:rPr>
      </w:pPr>
      <w:bookmarkStart w:name="28、长期待摊费用" w:id="312"/>
      <w:bookmarkEnd w:id="312"/>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宽带费用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28,301.89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8,647.77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19,654.12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28,301.89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8,647.77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19,654.12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9、递延所得税资产/递延所得税负债" w:id="313"/>
      <w:bookmarkEnd w:id="313"/>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314"/>
      <w:bookmarkEnd w:id="31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44,737,395.29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7,679,247.70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16,205,244.10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2,430,786.62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44,737,395.29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7,679,247.70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16,205,244.10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2,430,786.62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315"/>
      <w:bookmarkEnd w:id="31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316"/>
      <w:bookmarkEnd w:id="31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7,679,247.70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2,430,786.62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317"/>
      <w:bookmarkEnd w:id="31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271,696.24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168,516.00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20,318,753.14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1,020,259.81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3,998,805.00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24,589,254.38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1,188,775.81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318"/>
      <w:bookmarkEnd w:id="31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895,361.61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124,898.20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2,482,666.57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4,359,391.04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13,476,695.53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20,318,753.14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1,020,259.81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0、其他非流动资产" w:id="319"/>
      <w:bookmarkEnd w:id="319"/>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预付软件款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303,711.51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268,239.81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53,323,552.27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38,385,023.97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1,869,417.97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55,496,681.75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38,653,263.78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1、短期借款" w:id="320"/>
      <w:bookmarkEnd w:id="320"/>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321"/>
      <w:bookmarkEnd w:id="32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27,410,000.00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240" w:lineRule="auto" w:before="51"/>
        <w:ind w:right="0"/>
        <w:jc w:val="left"/>
      </w:pPr>
      <w:r>
        <w:rPr/>
        <w:t>短期借款分类的说明：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已逾期未偿还的短期借款情况" w:id="322"/>
      <w:bookmarkEnd w:id="32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2、以公允价值计量且其变动计入当期损益的金融负债" w:id="323"/>
      <w:bookmarkEnd w:id="323"/>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3、衍生金融负债" w:id="324"/>
      <w:bookmarkEnd w:id="324"/>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4、应付票据" w:id="325"/>
      <w:bookmarkEnd w:id="325"/>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133,538,982.79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63,188,431.80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133,538,982.79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63,188,431.80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5、应付账款" w:id="326"/>
      <w:bookmarkEnd w:id="326"/>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327"/>
      <w:bookmarkEnd w:id="32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209,614,010.89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82,813,629.95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3,121,842.25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188,304.37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应付服务款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1,953,483.26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842,280.00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6,017,384.98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220,706,721.38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83,844,214.32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应付账款" w:id="328"/>
      <w:bookmarkEnd w:id="32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安普迪康电气（深圳）有限公司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1,396,453.25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对方未催促付款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1,396,453.25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6、预收款项" w:id="329"/>
      <w:bookmarkEnd w:id="329"/>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330"/>
      <w:bookmarkEnd w:id="33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3,769,050.10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4,038,563.62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3,769,050.10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4,038,563.62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331"/>
      <w:bookmarkEnd w:id="33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期末建造合同形成的已结算未完工项目情况" w:id="332"/>
      <w:bookmarkEnd w:id="33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7、应付职工薪酬" w:id="333"/>
      <w:bookmarkEnd w:id="333"/>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34"/>
      <w:bookmarkEnd w:id="33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33,047.46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59,767,511.80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52,506,364.68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7,294,194.58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4,642,942.53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4,642,942.53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33,047.46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64,410,454.33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57,149,307.21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7,294,194.58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35"/>
      <w:bookmarkEnd w:id="33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51,725,732.22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46,023,196.39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5,702,535.83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1,674,886.09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1,674,886.09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2,517,559.46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2,517,559.46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2,121,448.54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2,121,448.54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225,683.06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225,683.06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170,427.86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170,427.86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1,331,584.20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1,290,203.20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41,381.00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33,047.46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2,517,749.83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1,000,519.54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1,550,277.75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33,047.46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59,767,511.80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52,506,364.68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7,294,194.58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336"/>
      <w:bookmarkEnd w:id="33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4,495,853.52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4,495,853.52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147,089.01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147,089.01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4,642,942.53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4,642,942.53</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8、应交税费" w:id="337"/>
      <w:bookmarkEnd w:id="337"/>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5,491,149.18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3,502,442.99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12,399,261.21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2,833,904.94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144,698.31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22,790.82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412,430.15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352,515.94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176,755.77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151,078.26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117,837.18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100,718.84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27,926.80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2,887.70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26,174.42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93,511.47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18,889,744.49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6,966,340.99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9、应付利息" w:id="338"/>
      <w:bookmarkEnd w:id="338"/>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336,582.64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336,582.64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重要的已逾期未支付的利息情况：</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0、应付股利" w:id="339"/>
      <w:bookmarkEnd w:id="339"/>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1、其他应付款" w:id="340"/>
      <w:bookmarkEnd w:id="340"/>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其他应付款" w:id="341"/>
      <w:bookmarkEnd w:id="34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2,664,312.69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55,829.00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员工垫付款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2,319,708.40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279,684.20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643,496.43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13,035.68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141,466.01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4,000.78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5,685,118.30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490,014.89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其他应付款" w:id="342"/>
      <w:bookmarkEnd w:id="34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2、持有待售的负债" w:id="343"/>
      <w:bookmarkEnd w:id="343"/>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3、一年内到期的非流动负债" w:id="344"/>
      <w:bookmarkEnd w:id="344"/>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4、其他流动负债" w:id="345"/>
      <w:bookmarkEnd w:id="345"/>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短期应付债券的增减变动：</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5、长期借款" w:id="346"/>
      <w:bookmarkEnd w:id="346"/>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47"/>
      <w:bookmarkEnd w:id="34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357" w:lineRule="auto"/>
        <w:ind w:right="7612"/>
        <w:jc w:val="left"/>
      </w:pPr>
      <w:r>
        <w:rPr/>
        <w:t>长期借款分类的说明： 其他说明，包括利率区间：</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46、应付债券" w:id="348"/>
      <w:bookmarkEnd w:id="348"/>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付债券" w:id="349"/>
      <w:bookmarkEnd w:id="349"/>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债券的增减变动（不包括划分为金融负债的优先股、永续债等其他金融工具）" w:id="350"/>
      <w:bookmarkEnd w:id="350"/>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2"/>
        <w:rPr>
          <w:rFonts w:ascii="宋体" w:hAnsi="宋体" w:cs="宋体" w:eastAsia="宋体" w:hint="default"/>
          <w:sz w:val="24"/>
          <w:szCs w:val="24"/>
        </w:rPr>
      </w:pPr>
    </w:p>
    <w:p>
      <w:pPr>
        <w:pStyle w:val="Heading4"/>
        <w:spacing w:line="240" w:lineRule="auto" w:before="35"/>
        <w:ind w:right="0"/>
        <w:jc w:val="left"/>
        <w:rPr>
          <w:b w:val="0"/>
          <w:bCs w:val="0"/>
        </w:rPr>
      </w:pPr>
      <w:bookmarkStart w:name="（3）可转换公司债券的转股条件、转股时间说明" w:id="351"/>
      <w:bookmarkEnd w:id="351"/>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52"/>
      <w:bookmarkEnd w:id="352"/>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60" w:lineRule="auto"/>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980"/>
          <w:cols w:num="2" w:equalWidth="0">
            <w:col w:w="4655" w:space="417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6532"/>
        <w:jc w:val="left"/>
      </w:pPr>
      <w:r>
        <w:rPr/>
        <w:t>其他金融工具划分为金融负债的依据说明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47、长期应付款" w:id="353"/>
      <w:bookmarkEnd w:id="353"/>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长期应付款" w:id="354"/>
      <w:bookmarkEnd w:id="35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8、长期应付职工薪酬" w:id="355"/>
      <w:bookmarkEnd w:id="355"/>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56"/>
      <w:bookmarkEnd w:id="35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设定受益计划变动情况" w:id="357"/>
      <w:bookmarkEnd w:id="35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设定受益计划义务现值：</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计划资产：</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设定受益计划净负债（净资产）</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2572"/>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9、专项应付款" w:id="358"/>
      <w:bookmarkEnd w:id="358"/>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0、预计负债" w:id="359"/>
      <w:bookmarkEnd w:id="359"/>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1、递延收益" w:id="360"/>
      <w:bookmarkEnd w:id="360"/>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16,255,458.29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96,480,842.74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7,985,878.93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104,750,422.10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与资产相关补助</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16,255,458.29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96,480,842.74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7,985,878.93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104,750,422.10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220KV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6,898,021.84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732,649.92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6,165,371.92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61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电力电缆附 件及高低压 电气成套设 备项目专项 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环保型氟碳 气体绝缘开 关设备建设 项目专项资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3,642,629.16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494,623.20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3,148,005.96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w:t>
            </w:r>
          </w:p>
          <w:p>
            <w:pPr>
              <w:pStyle w:val="TableParagraph"/>
              <w:spacing w:line="319" w:lineRule="auto" w:before="61"/>
              <w:ind w:left="22" w:right="129"/>
              <w:jc w:val="both"/>
              <w:rPr>
                <w:rFonts w:ascii="宋体" w:hAnsi="宋体" w:cs="宋体" w:eastAsia="宋体" w:hint="default"/>
                <w:sz w:val="18"/>
                <w:szCs w:val="18"/>
              </w:rPr>
            </w:pPr>
            <w:r>
              <w:rPr>
                <w:rFonts w:ascii="宋体" w:hAnsi="宋体" w:cs="宋体" w:eastAsia="宋体" w:hint="default"/>
                <w:sz w:val="18"/>
                <w:szCs w:val="18"/>
              </w:rPr>
              <w:t>型环网开关 设备建设项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2,714,807.29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303,296.61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8,411,510.68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研发中心及</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w:t>
            </w:r>
          </w:p>
          <w:p>
            <w:pPr>
              <w:pStyle w:val="TableParagraph"/>
              <w:spacing w:line="319" w:lineRule="auto" w:before="63"/>
              <w:ind w:left="22" w:right="129"/>
              <w:jc w:val="both"/>
              <w:rPr>
                <w:rFonts w:ascii="宋体" w:hAnsi="宋体" w:cs="宋体" w:eastAsia="宋体" w:hint="default"/>
                <w:sz w:val="18"/>
                <w:szCs w:val="18"/>
              </w:rPr>
            </w:pPr>
            <w:r>
              <w:rPr>
                <w:rFonts w:ascii="宋体" w:hAnsi="宋体" w:cs="宋体" w:eastAsia="宋体" w:hint="default"/>
                <w:sz w:val="18"/>
                <w:szCs w:val="18"/>
              </w:rPr>
              <w:t>型环网开关 设备基础设 施配套费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3,998,805.00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6,998,805.00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40.5KV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及以</w:t>
            </w:r>
          </w:p>
          <w:p>
            <w:pPr>
              <w:pStyle w:val="TableParagraph"/>
              <w:spacing w:line="312" w:lineRule="auto" w:before="61"/>
              <w:ind w:left="22" w:right="109"/>
              <w:jc w:val="both"/>
              <w:rPr>
                <w:rFonts w:ascii="宋体" w:hAnsi="宋体" w:cs="宋体" w:eastAsia="宋体" w:hint="default"/>
                <w:sz w:val="18"/>
                <w:szCs w:val="18"/>
              </w:rPr>
            </w:pPr>
            <w:r>
              <w:rPr>
                <w:rFonts w:ascii="宋体" w:hAnsi="宋体" w:cs="宋体" w:eastAsia="宋体" w:hint="default"/>
                <w:sz w:val="18"/>
                <w:szCs w:val="18"/>
              </w:rPr>
              <w:t>下智能型轨 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高压 电气控制设 备建设项目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9,620,000.00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7,134.00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9,612,866.00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新能源汽车 推广应用补 助基金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1,967,100.00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417,900.00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1,549,200.00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年南京 市新兴产业 引导专项资 金项目补贴 </w:t>
            </w:r>
            <w:r>
              <w:rPr>
                <w:rFonts w:ascii="宋体" w:hAnsi="宋体" w:cs="宋体" w:eastAsia="宋体" w:hint="default"/>
                <w:spacing w:val="-13"/>
                <w:sz w:val="18"/>
                <w:szCs w:val="18"/>
              </w:rPr>
              <w:t>款（新能源电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动汽车充电 设施生产技 术改造项目）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2.75pt;height:54.6pt;mso-position-horizontal-relative:char;mso-position-vertical-relative:line" coordorigin="0,0" coordsize="1055,1092">
                  <v:group style="position:absolute;left:0;top:0;width:1055;height:1092" coordorigin="0,0" coordsize="1055,1092">
                    <v:shape style="position:absolute;left:0;top:0;width:1055;height:1092" coordorigin="0,0" coordsize="1055,1092" path="m0,1092l1055,1092,1055,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1,150,000.00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172,499.94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977,500.06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新能源汽车 充电设施补 贴款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72,076,604.4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5,752,775.26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66,323,829.1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智能电表项 目一期工程</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713,333.33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南京市财政</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908,333.33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footerReference w:type="default" r:id="rId31"/>
          <w:pgSz w:w="11910" w:h="16840"/>
          <w:pgMar w:footer="979" w:header="747" w:top="1060" w:bottom="1160" w:left="980" w:right="980"/>
          <w:pgNumType w:start="25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69"/>
              <w:jc w:val="both"/>
              <w:rPr>
                <w:rFonts w:ascii="宋体" w:hAnsi="宋体" w:cs="宋体" w:eastAsia="宋体" w:hint="default"/>
                <w:sz w:val="18"/>
                <w:szCs w:val="18"/>
              </w:rPr>
            </w:pPr>
            <w:r>
              <w:rPr>
                <w:rFonts w:ascii="宋体" w:hAnsi="宋体" w:cs="宋体" w:eastAsia="宋体" w:hint="default"/>
                <w:sz w:val="18"/>
                <w:szCs w:val="18"/>
              </w:rPr>
              <w:t>局</w:t>
            </w:r>
            <w:r>
              <w:rPr>
                <w:rFonts w:ascii="Times New Roman" w:hAnsi="Times New Roman" w:cs="Times New Roman" w:eastAsia="Times New Roman" w:hint="default"/>
                <w:sz w:val="18"/>
                <w:szCs w:val="18"/>
              </w:rPr>
              <w:t>(</w:t>
            </w:r>
            <w:r>
              <w:rPr>
                <w:rFonts w:ascii="宋体" w:hAnsi="宋体" w:cs="宋体" w:eastAsia="宋体" w:hint="default"/>
                <w:sz w:val="18"/>
                <w:szCs w:val="18"/>
              </w:rPr>
              <w:t>电表生产 线</w:t>
            </w:r>
            <w:r>
              <w:rPr>
                <w:rFonts w:ascii="Times New Roman" w:hAnsi="Times New Roman" w:cs="Times New Roman" w:eastAsia="Times New Roman" w:hint="default"/>
                <w:sz w:val="18"/>
                <w:szCs w:val="18"/>
              </w:rPr>
              <w:t>)</w:t>
            </w:r>
            <w:r>
              <w:rPr>
                <w:rFonts w:ascii="宋体" w:hAnsi="宋体" w:cs="宋体" w:eastAsia="宋体" w:hint="default"/>
                <w:sz w:val="18"/>
                <w:szCs w:val="18"/>
              </w:rPr>
              <w:t>升级补助 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16,255,458.2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96,480,842.7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7,985,878.93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104,750,422.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675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6752"/>
        <w:jc w:val="left"/>
        <w:rPr>
          <w:b w:val="0"/>
          <w:bCs w:val="0"/>
        </w:rPr>
      </w:pPr>
      <w:bookmarkStart w:name="52、其他非流动负债" w:id="361"/>
      <w:bookmarkEnd w:id="361"/>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675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6752"/>
        <w:jc w:val="left"/>
        <w:rPr>
          <w:b w:val="0"/>
          <w:bCs w:val="0"/>
        </w:rPr>
      </w:pPr>
      <w:bookmarkStart w:name="53、股本" w:id="362"/>
      <w:bookmarkEnd w:id="362"/>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173,842,000.00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52,441,357.00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52,441,357.00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226,283,357.00</w:t>
            </w:r>
          </w:p>
        </w:tc>
      </w:tr>
    </w:tbl>
    <w:p>
      <w:pPr>
        <w:pStyle w:val="BodyText"/>
        <w:spacing w:line="240" w:lineRule="auto" w:before="51"/>
        <w:ind w:right="6752"/>
        <w:jc w:val="left"/>
      </w:pPr>
      <w:r>
        <w:rPr/>
        <w:t>其他说明：</w:t>
      </w:r>
    </w:p>
    <w:p>
      <w:pPr>
        <w:pStyle w:val="BodyText"/>
        <w:spacing w:line="345" w:lineRule="auto" w:before="139"/>
        <w:ind w:right="99" w:firstLine="290"/>
        <w:jc w:val="left"/>
      </w:pPr>
      <w:r>
        <w:rPr/>
        <w:t>根据公司第四届董事会第八次会议、</w:t>
      </w:r>
      <w:r>
        <w:rPr>
          <w:rFonts w:ascii="Times New Roman" w:hAnsi="Times New Roman" w:cs="Times New Roman" w:eastAsia="Times New Roman" w:hint="default"/>
        </w:rPr>
        <w:t>2016</w:t>
      </w:r>
      <w:r>
        <w:rPr/>
        <w:t>年第四次临时股东大会决议，经中国证券监督管理委员会《关于吉林省金冠电 气向南京能策投资管理有限公司等发行股份购买资产并募集配套资金的批复》（证监许可〔</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577</w:t>
      </w:r>
      <w:r>
        <w:rPr/>
        <w:t>号）核准，公司获准 </w:t>
      </w:r>
      <w:r>
        <w:rPr>
          <w:spacing w:val="-2"/>
        </w:rPr>
        <w:t>向南京能瑞自动化设备有限公司（以下简称南京能瑞公司）</w:t>
      </w:r>
      <w:r>
        <w:rPr>
          <w:rFonts w:ascii="Times New Roman" w:hAnsi="Times New Roman" w:cs="Times New Roman" w:eastAsia="Times New Roman" w:hint="default"/>
          <w:spacing w:val="-2"/>
        </w:rPr>
        <w:t>32</w:t>
      </w:r>
      <w:r>
        <w:rPr>
          <w:spacing w:val="-2"/>
        </w:rPr>
        <w:t>位股东发行人民币普通股（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31,007,751</w:t>
      </w:r>
      <w:r>
        <w:rPr>
          <w:spacing w:val="-2"/>
        </w:rPr>
        <w:t>股，每股面值</w:t>
      </w:r>
      <w:r>
        <w:rPr>
          <w:rFonts w:ascii="Times New Roman" w:hAnsi="Times New Roman" w:cs="Times New Roman" w:eastAsia="Times New Roman" w:hint="default"/>
          <w:spacing w:val="-2"/>
        </w:rPr>
        <w:t>1</w:t>
      </w:r>
      <w:r>
        <w:rPr>
          <w:spacing w:val="-2"/>
        </w:rPr>
        <w:t>元，</w:t>
      </w:r>
      <w:r>
        <w:rPr/>
        <w:t> 每股发行价格为人民币</w:t>
      </w:r>
      <w:r>
        <w:rPr>
          <w:rFonts w:ascii="Times New Roman" w:hAnsi="Times New Roman" w:cs="Times New Roman" w:eastAsia="Times New Roman" w:hint="default"/>
        </w:rPr>
        <w:t>36.12</w:t>
      </w:r>
      <w:r>
        <w:rPr/>
        <w:t>元，合计</w:t>
      </w:r>
      <w:r>
        <w:rPr>
          <w:rFonts w:ascii="Times New Roman" w:hAnsi="Times New Roman" w:cs="Times New Roman" w:eastAsia="Times New Roman" w:hint="default"/>
        </w:rPr>
        <w:t>1,119,999,966.12</w:t>
      </w:r>
      <w:r>
        <w:rPr/>
        <w:t>，减除发行费用人民币</w:t>
      </w:r>
      <w:r>
        <w:rPr>
          <w:rFonts w:ascii="Times New Roman" w:hAnsi="Times New Roman" w:cs="Times New Roman" w:eastAsia="Times New Roman" w:hint="default"/>
        </w:rPr>
        <w:t>589,252.57</w:t>
      </w:r>
      <w:r>
        <w:rPr/>
        <w:t>元后，计入股本</w:t>
      </w:r>
      <w:r>
        <w:rPr>
          <w:rFonts w:ascii="Times New Roman" w:hAnsi="Times New Roman" w:cs="Times New Roman" w:eastAsia="Times New Roman" w:hint="default"/>
        </w:rPr>
        <w:t>31,007,751.00</w:t>
      </w:r>
      <w:r>
        <w:rPr/>
        <w:t>元，计 入资本公积</w:t>
      </w:r>
      <w:r>
        <w:rPr>
          <w:rFonts w:ascii="Times New Roman" w:hAnsi="Times New Roman" w:cs="Times New Roman" w:eastAsia="Times New Roman" w:hint="default"/>
        </w:rPr>
        <w:t>1,088,402,962.55</w:t>
      </w:r>
      <w:r>
        <w:rPr/>
        <w:t>元，上述发行股份置换股权事项业经天健会计师事务所（特殊普通合伙）审验，并由其于</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日出具了《验资报告》</w:t>
      </w:r>
      <w:r>
        <w:rPr>
          <w:rFonts w:ascii="Times New Roman" w:hAnsi="Times New Roman" w:cs="Times New Roman" w:eastAsia="Times New Roman" w:hint="default"/>
        </w:rPr>
        <w:t>(</w:t>
      </w:r>
      <w:r>
        <w:rPr/>
        <w:t>天健验〔</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7-32</w:t>
      </w:r>
      <w:r>
        <w:rPr/>
        <w:t>号</w:t>
      </w:r>
      <w:r>
        <w:rPr>
          <w:rFonts w:ascii="Times New Roman" w:hAnsi="Times New Roman" w:cs="Times New Roman" w:eastAsia="Times New Roman" w:hint="default"/>
        </w:rPr>
        <w:t>)</w:t>
      </w:r>
      <w:r>
        <w:rPr/>
        <w:t>；公司获准通过非公开发行方式募集资金总额不超过</w:t>
      </w:r>
      <w:r>
        <w:rPr>
          <w:rFonts w:ascii="Times New Roman" w:hAnsi="Times New Roman" w:cs="Times New Roman" w:eastAsia="Times New Roman" w:hint="default"/>
        </w:rPr>
        <w:t>49,747.40</w:t>
      </w:r>
      <w:r>
        <w:rPr/>
        <w:t>万元， 根据本次非公开发行结果，公司确定向庄展诺等发行股份</w:t>
      </w:r>
      <w:r>
        <w:rPr>
          <w:rFonts w:ascii="Times New Roman" w:hAnsi="Times New Roman" w:cs="Times New Roman" w:eastAsia="Times New Roman" w:hint="default"/>
        </w:rPr>
        <w:t>21,433,606</w:t>
      </w:r>
      <w:r>
        <w:rPr/>
        <w:t>股，每股面值</w:t>
      </w:r>
      <w:r>
        <w:rPr>
          <w:rFonts w:ascii="Times New Roman" w:hAnsi="Times New Roman" w:cs="Times New Roman" w:eastAsia="Times New Roman" w:hint="default"/>
        </w:rPr>
        <w:t>1</w:t>
      </w:r>
      <w:r>
        <w:rPr/>
        <w:t>元，每股发行价格为人民币</w:t>
      </w:r>
      <w:r>
        <w:rPr>
          <w:rFonts w:ascii="Times New Roman" w:hAnsi="Times New Roman" w:cs="Times New Roman" w:eastAsia="Times New Roman" w:hint="default"/>
        </w:rPr>
        <w:t>23.21</w:t>
      </w:r>
      <w:r>
        <w:rPr/>
        <w:t>元，募 集资金总额</w:t>
      </w:r>
      <w:r>
        <w:rPr>
          <w:rFonts w:ascii="Times New Roman" w:hAnsi="Times New Roman" w:cs="Times New Roman" w:eastAsia="Times New Roman" w:hint="default"/>
        </w:rPr>
        <w:t>497,473,995.26</w:t>
      </w:r>
      <w:r>
        <w:rPr/>
        <w:t>元，减除发行费用人民币</w:t>
      </w:r>
      <w:r>
        <w:rPr>
          <w:rFonts w:ascii="Times New Roman" w:hAnsi="Times New Roman" w:cs="Times New Roman" w:eastAsia="Times New Roman" w:hint="default"/>
        </w:rPr>
        <w:t>13,964,314.78 </w:t>
      </w:r>
      <w:r>
        <w:rPr/>
        <w:t>元（不含增值税）后，募集资金净额为</w:t>
      </w:r>
      <w:r>
        <w:rPr>
          <w:rFonts w:ascii="Times New Roman" w:hAnsi="Times New Roman" w:cs="Times New Roman" w:eastAsia="Times New Roman" w:hint="default"/>
        </w:rPr>
        <w:t>483,509,680.49 </w:t>
      </w:r>
      <w:r>
        <w:rPr/>
        <w:t>元，</w:t>
      </w:r>
      <w:r>
        <w:rPr>
          <w:spacing w:val="1"/>
        </w:rPr>
        <w:t> </w:t>
      </w:r>
      <w:r>
        <w:rPr>
          <w:spacing w:val="-2"/>
        </w:rPr>
        <w:t>计入股本</w:t>
      </w:r>
      <w:r>
        <w:rPr>
          <w:rFonts w:ascii="Times New Roman" w:hAnsi="Times New Roman" w:cs="Times New Roman" w:eastAsia="Times New Roman" w:hint="default"/>
          <w:spacing w:val="-2"/>
        </w:rPr>
        <w:t>21,433,606.00</w:t>
      </w:r>
      <w:r>
        <w:rPr>
          <w:spacing w:val="-2"/>
        </w:rPr>
        <w:t>元，计入资本公积（股本溢价）</w:t>
      </w:r>
      <w:r>
        <w:rPr>
          <w:rFonts w:ascii="Times New Roman" w:hAnsi="Times New Roman" w:cs="Times New Roman" w:eastAsia="Times New Roman" w:hint="default"/>
          <w:spacing w:val="-2"/>
        </w:rPr>
        <w:t>462,076,074.48</w:t>
      </w:r>
      <w:r>
        <w:rPr>
          <w:spacing w:val="-2"/>
        </w:rPr>
        <w:t>元，上述发行股份募集配套资金事项业经天健会计师事</w:t>
      </w:r>
      <w:r>
        <w:rPr>
          <w:spacing w:val="-42"/>
        </w:rPr>
        <w:t> </w:t>
      </w:r>
      <w:r>
        <w:rPr>
          <w:spacing w:val="-42"/>
        </w:rPr>
      </w:r>
      <w:r>
        <w:rPr/>
        <w:t>务所（特殊普通合伙）审验，并由其于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日出具了《验资报告》（天健验〔</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7-73</w:t>
      </w:r>
      <w:r>
        <w:rPr/>
        <w:t>号</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1"/>
          <w:szCs w:val="21"/>
        </w:rPr>
      </w:pPr>
    </w:p>
    <w:p>
      <w:pPr>
        <w:pStyle w:val="Heading4"/>
        <w:spacing w:line="240" w:lineRule="auto"/>
        <w:ind w:right="6752"/>
        <w:jc w:val="left"/>
        <w:rPr>
          <w:b w:val="0"/>
          <w:bCs w:val="0"/>
        </w:rPr>
      </w:pPr>
      <w:bookmarkStart w:name="54、其他权益工具" w:id="363"/>
      <w:bookmarkEnd w:id="363"/>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
        <w:jc w:val="left"/>
        <w:rPr>
          <w:b w:val="0"/>
          <w:bCs w:val="0"/>
        </w:rPr>
      </w:pPr>
      <w:bookmarkStart w:name="（1）期末发行在外的优先股、永续债等其他金融工具基本情况" w:id="364"/>
      <w:bookmarkEnd w:id="364"/>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
        <w:jc w:val="left"/>
        <w:rPr>
          <w:b w:val="0"/>
          <w:bCs w:val="0"/>
        </w:rPr>
      </w:pPr>
      <w:bookmarkStart w:name="（2）期末发行在外的优先股、永续债等金融工具变动情况表" w:id="365"/>
      <w:bookmarkEnd w:id="365"/>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357" w:lineRule="auto"/>
        <w:ind w:right="3652"/>
        <w:jc w:val="left"/>
      </w:pPr>
      <w:r>
        <w:rPr/>
        <w:t>其他权益工具本期增减变动情况、变动原因说明，以及相关会计处理的依据：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55、资本公积" w:id="366"/>
      <w:bookmarkEnd w:id="366"/>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189,819,756.96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1,550,848,779.23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1,740,668,536.19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189,819,756.96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1,550,848,779.23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1,740,668,536.19</w:t>
            </w:r>
          </w:p>
        </w:tc>
      </w:tr>
    </w:tbl>
    <w:p>
      <w:pPr>
        <w:pStyle w:val="BodyText"/>
        <w:spacing w:line="381" w:lineRule="auto" w:before="51"/>
        <w:ind w:left="514" w:right="0" w:hanging="360"/>
        <w:jc w:val="left"/>
      </w:pPr>
      <w:r>
        <w:rPr/>
        <w:t>其他说明，包括本期增减变动情况、变动原因说明： </w:t>
      </w:r>
      <w:r>
        <w:rPr>
          <w:spacing w:val="-1"/>
        </w:rPr>
        <w:t>报告期内资本公积（股本溢价）增加</w:t>
      </w:r>
      <w:r>
        <w:rPr>
          <w:rFonts w:ascii="Times New Roman" w:hAnsi="Times New Roman" w:cs="Times New Roman" w:eastAsia="Times New Roman" w:hint="default"/>
          <w:spacing w:val="-1"/>
        </w:rPr>
        <w:t>1,550,479,037.03</w:t>
      </w:r>
      <w:r>
        <w:rPr>
          <w:spacing w:val="-1"/>
        </w:rPr>
        <w:t>元的原因详见本财务报表附注五、</w:t>
      </w:r>
      <w:r>
        <w:rPr>
          <w:rFonts w:ascii="Times New Roman" w:hAnsi="Times New Roman" w:cs="Times New Roman" w:eastAsia="Times New Roman" w:hint="default"/>
          <w:spacing w:val="-1"/>
        </w:rPr>
        <w:t>(</w:t>
      </w:r>
      <w:r>
        <w:rPr>
          <w:spacing w:val="-1"/>
        </w:rPr>
        <w:t>一</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26</w:t>
      </w:r>
      <w:r>
        <w:rPr>
          <w:spacing w:val="-1"/>
        </w:rPr>
        <w:t>股本之说明；报告期内</w:t>
      </w:r>
    </w:p>
    <w:p>
      <w:pPr>
        <w:pStyle w:val="BodyText"/>
        <w:spacing w:line="345" w:lineRule="auto" w:before="0"/>
        <w:ind w:right="142"/>
        <w:jc w:val="left"/>
      </w:pPr>
      <w:r>
        <w:rPr/>
        <w:t>资本公积（股本溢价）增加</w:t>
      </w:r>
      <w:r>
        <w:rPr>
          <w:rFonts w:ascii="Times New Roman" w:hAnsi="Times New Roman" w:cs="Times New Roman" w:eastAsia="Times New Roman" w:hint="default"/>
        </w:rPr>
        <w:t>116,742.20</w:t>
      </w:r>
      <w:r>
        <w:rPr/>
        <w:t>元系少数股东向本公司之子公司投资导致本公司股权被动稀释所致；报告期内资本公 积（股本溢价）增加</w:t>
      </w:r>
      <w:r>
        <w:rPr>
          <w:rFonts w:ascii="Times New Roman" w:hAnsi="Times New Roman" w:cs="Times New Roman" w:eastAsia="Times New Roman" w:hint="default"/>
        </w:rPr>
        <w:t>253,000.00</w:t>
      </w:r>
      <w:r>
        <w:rPr/>
        <w:t>元系实际控制人徐海江自愿放弃的借款利息。</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56、库存股" w:id="367"/>
      <w:bookmarkEnd w:id="367"/>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7、其他综合收益" w:id="368"/>
      <w:bookmarkEnd w:id="368"/>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66,111.57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66,111.57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66,111.57</w:t>
            </w: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66,111.57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66,111.57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66,111.57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66,111.57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left"/>
              <w:rPr>
                <w:rFonts w:ascii="Times New Roman" w:hAnsi="Times New Roman" w:cs="Times New Roman" w:eastAsia="Times New Roman" w:hint="default"/>
                <w:sz w:val="18"/>
                <w:szCs w:val="18"/>
              </w:rPr>
            </w:pPr>
            <w:r>
              <w:rPr>
                <w:rFonts w:ascii="Times New Roman"/>
                <w:sz w:val="18"/>
              </w:rPr>
              <w:t>66,111.57</w:t>
            </w: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8、专项储备" w:id="369"/>
      <w:bookmarkEnd w:id="369"/>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其他说明，包括本期增减变动情况、变动原因说明：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9、盈余公积" w:id="370"/>
      <w:bookmarkEnd w:id="370"/>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25,092,340.99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4,780,318.68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29,872,659.67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25,092,340.99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4,780,318.68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29,872,659.67</w:t>
            </w:r>
          </w:p>
        </w:tc>
      </w:tr>
    </w:tbl>
    <w:p>
      <w:pPr>
        <w:pStyle w:val="BodyText"/>
        <w:spacing w:line="357" w:lineRule="auto" w:before="51"/>
        <w:ind w:left="468" w:right="3908" w:hanging="315"/>
        <w:jc w:val="left"/>
      </w:pPr>
      <w:r>
        <w:rPr/>
        <w:t>盈余公积说明，包括本期增减变动情况、变动原因说明： 本期盈余公积的增加是按母公司当期净利润的</w:t>
      </w:r>
      <w:r>
        <w:rPr>
          <w:rFonts w:ascii="Times New Roman" w:hAnsi="Times New Roman" w:cs="Times New Roman" w:eastAsia="Times New Roman" w:hint="default"/>
        </w:rPr>
        <w:t>10%</w:t>
      </w:r>
      <w:r>
        <w:rPr/>
        <w:t>提取法定盈余公积。</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bookmarkStart w:name="60、未分配利润" w:id="371"/>
      <w:bookmarkEnd w:id="371"/>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210,019,800.89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168,768,678.63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210,019,800.89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168,768,678.63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125,654,981.90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56,366,791.21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4,780,318.68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4,696,308.95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10,430,520.00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10,419,360.00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320,463,944.11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210,019,800.89</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61、营业收入和营业成本" w:id="372"/>
      <w:bookmarkEnd w:id="372"/>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696,917,358.13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444,400,219.85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365,977,688.87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229,369,326.25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44,397,118.10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19,812,202.73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12,248,289.02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7,689,063.71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741,314,476.23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464,212,422.58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378,225,977.89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237,058,389.96</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2、税金及附加" w:id="373"/>
      <w:bookmarkEnd w:id="373"/>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2,765,384.02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1,447,600.30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1,181,293.15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620,370.13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383,361.21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1,028,140.30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616,774.50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27,306.87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23,755.08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1,514,259.99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19,936.11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4,203.63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787,528.79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413,580.06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301,027.83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221,652.36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26,117.66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34,213.41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7,988,302.16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3,428,203.24</w:t>
            </w:r>
          </w:p>
        </w:tc>
      </w:tr>
    </w:tbl>
    <w:p>
      <w:pPr>
        <w:pStyle w:val="BodyText"/>
        <w:spacing w:line="240" w:lineRule="auto" w:before="51"/>
        <w:ind w:right="0"/>
        <w:jc w:val="left"/>
      </w:pPr>
      <w:r>
        <w:rPr/>
        <w:t>其他说明：</w:t>
      </w:r>
    </w:p>
    <w:p>
      <w:pPr>
        <w:pStyle w:val="BodyText"/>
        <w:spacing w:line="345" w:lineRule="auto" w:before="139"/>
        <w:ind w:right="149" w:firstLine="420"/>
        <w:jc w:val="both"/>
      </w:pPr>
      <w:r>
        <w:rPr/>
        <w:t>根据财政部《增值税会计处理规定》</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以及《关于</w:t>
      </w:r>
      <w:r>
        <w:rPr>
          <w:rFonts w:ascii="Times New Roman" w:hAnsi="Times New Roman" w:cs="Times New Roman" w:eastAsia="Times New Roman" w:hint="default"/>
        </w:rPr>
        <w:t>&lt;</w:t>
      </w:r>
      <w:r>
        <w:rPr/>
        <w:t>增值税会计处理规定</w:t>
      </w:r>
      <w:r>
        <w:rPr>
          <w:rFonts w:ascii="Times New Roman" w:hAnsi="Times New Roman" w:cs="Times New Roman" w:eastAsia="Times New Roman" w:hint="default"/>
        </w:rPr>
        <w:t>&gt;</w:t>
      </w:r>
      <w:r>
        <w:rPr/>
        <w:t>有关问题的解读》，本公 司将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5-12</w:t>
      </w:r>
      <w:r>
        <w:rPr/>
        <w:t>月及</w:t>
      </w:r>
      <w:r>
        <w:rPr>
          <w:rFonts w:ascii="Times New Roman" w:hAnsi="Times New Roman" w:cs="Times New Roman" w:eastAsia="Times New Roman" w:hint="default"/>
        </w:rPr>
        <w:t>2017</w:t>
      </w:r>
      <w:r>
        <w:rPr/>
        <w:t>年度房产税、土地使用税和印花税的发生额列报于</w:t>
      </w:r>
      <w:r>
        <w:rPr>
          <w:rFonts w:ascii="Times New Roman" w:hAnsi="Times New Roman" w:cs="Times New Roman" w:eastAsia="Times New Roman" w:hint="default"/>
        </w:rPr>
        <w:t>“</w:t>
      </w:r>
      <w:r>
        <w:rPr/>
        <w:t>税金及附加</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月之前的发生额仍</w:t>
      </w:r>
      <w:r>
        <w:rPr>
          <w:spacing w:val="-41"/>
        </w:rPr>
        <w:t> </w:t>
      </w:r>
      <w:r>
        <w:rPr/>
        <w:t>列报于</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63、销售费用" w:id="374"/>
      <w:bookmarkEnd w:id="374"/>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8,947,892.51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4,633,995.94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1,630,679.43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1,511,172.01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2,168,273.03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1,921,321.83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6,466,182.01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2,740,085.25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1,945,120.36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1,126,526.49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6,523,141.26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3,766,619.08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4,936,363.28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5,612,309.54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334,166.74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854,802.50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6,409,776.78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1,164,371.39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40,525,966.79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22,166,832.64</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4、管理费用" w:id="375"/>
      <w:bookmarkEnd w:id="375"/>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16,962,718.21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10,824,356.38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4,264,467.39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2,280,397.67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1,423,884.23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1,057,865.94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825,746.19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25,612.15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1,421,260.79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1,110,307.78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1,595,965.68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1,187,378.48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33,345,218.14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19,384,996.38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11,548,492.60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4,045,566.73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31,105.00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318,996.78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8,111,711.10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2,620,408.58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18,201.89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269,471.71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1,853,072.95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206,800.00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27,372.99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1,790.53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2,094,182.61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2,554,166.09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83,525,190.30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45,886,324.67</w:t>
            </w:r>
          </w:p>
        </w:tc>
      </w:tr>
    </w:tbl>
    <w:p>
      <w:pPr>
        <w:pStyle w:val="BodyText"/>
        <w:spacing w:line="357" w:lineRule="auto" w:before="51"/>
        <w:ind w:right="5992"/>
        <w:jc w:val="left"/>
      </w:pPr>
      <w:r>
        <w:rPr/>
        <w:t>其他说明： 税费：详见本财务报表附注税金及附加之说明。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5、财务费用" w:id="376"/>
      <w:bookmarkEnd w:id="376"/>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3,934,223.30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442,555.73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3,420,713.17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2,553,550.53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105,652.44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370,129.47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255,921.56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989,292.04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-1,855,073.24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6、资产减值损失" w:id="377"/>
      <w:bookmarkEnd w:id="377"/>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8,066,132.07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5,215,618.76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8,066,132.07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5,215,618.76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7、公允价值变动收益" w:id="378"/>
      <w:bookmarkEnd w:id="378"/>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8、投资收益" w:id="379"/>
      <w:bookmarkEnd w:id="379"/>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4,320.15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41,243.86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45,564.01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9、资产处置收益" w:id="380"/>
      <w:bookmarkEnd w:id="380"/>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处置非流动资产收益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-485,273.99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-485,273.99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0、其他收益" w:id="381"/>
      <w:bookmarkEnd w:id="381"/>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7,985,878.93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6,423,592.76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14,409,471.69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71、营业外收入" w:id="382"/>
      <w:bookmarkEnd w:id="382"/>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4,918,293.61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45,704.95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45,704.95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186,642.27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186,642.27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70,617.83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70,617.83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452,965.05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4,922,763.27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452,965.05</w:t>
            </w:r>
          </w:p>
        </w:tc>
      </w:tr>
    </w:tbl>
    <w:p>
      <w:pPr>
        <w:pStyle w:val="BodyText"/>
        <w:spacing w:line="240" w:lineRule="auto" w:before="51"/>
        <w:ind w:right="0"/>
        <w:jc w:val="left"/>
      </w:pPr>
      <w:r>
        <w:rPr/>
        <w:t>计入当期损益的政府补助：</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220KV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高压</w:t>
            </w:r>
          </w:p>
          <w:p>
            <w:pPr>
              <w:pStyle w:val="TableParagraph"/>
              <w:spacing w:line="319" w:lineRule="auto" w:before="63"/>
              <w:ind w:left="22" w:right="131"/>
              <w:jc w:val="both"/>
              <w:rPr>
                <w:rFonts w:ascii="宋体" w:hAnsi="宋体" w:cs="宋体" w:eastAsia="宋体" w:hint="default"/>
                <w:sz w:val="18"/>
                <w:szCs w:val="18"/>
              </w:rPr>
            </w:pPr>
            <w:r>
              <w:rPr>
                <w:rFonts w:ascii="宋体" w:hAnsi="宋体" w:cs="宋体" w:eastAsia="宋体" w:hint="default"/>
                <w:sz w:val="18"/>
                <w:szCs w:val="18"/>
              </w:rPr>
              <w:t>电力电缆附 件及高低压 电气成套设 备项目专项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长春市财政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1,027,989.73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both"/>
              <w:rPr>
                <w:rFonts w:ascii="宋体" w:hAnsi="宋体" w:cs="宋体" w:eastAsia="宋体" w:hint="default"/>
                <w:sz w:val="18"/>
                <w:szCs w:val="18"/>
              </w:rPr>
            </w:pPr>
            <w:r>
              <w:rPr>
                <w:rFonts w:ascii="宋体" w:hAnsi="宋体" w:cs="宋体" w:eastAsia="宋体" w:hint="default"/>
                <w:sz w:val="18"/>
                <w:szCs w:val="18"/>
              </w:rPr>
              <w:t>环保型氟碳 气体绝缘开 关设备建设 项目专项资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 w:right="127"/>
              <w:jc w:val="left"/>
              <w:rPr>
                <w:rFonts w:ascii="宋体" w:hAnsi="宋体" w:cs="宋体" w:eastAsia="宋体" w:hint="default"/>
                <w:sz w:val="18"/>
                <w:szCs w:val="18"/>
              </w:rPr>
            </w:pPr>
            <w:r>
              <w:rPr>
                <w:rFonts w:ascii="宋体" w:hAnsi="宋体" w:cs="宋体" w:eastAsia="宋体" w:hint="default"/>
                <w:sz w:val="18"/>
                <w:szCs w:val="18"/>
              </w:rPr>
              <w:t>长春市财政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494,623.21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C-GLS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w:t>
            </w:r>
          </w:p>
          <w:p>
            <w:pPr>
              <w:pStyle w:val="TableParagraph"/>
              <w:spacing w:line="319" w:lineRule="auto" w:before="63"/>
              <w:ind w:left="22" w:right="131"/>
              <w:jc w:val="both"/>
              <w:rPr>
                <w:rFonts w:ascii="宋体" w:hAnsi="宋体" w:cs="宋体" w:eastAsia="宋体" w:hint="default"/>
                <w:sz w:val="18"/>
                <w:szCs w:val="18"/>
              </w:rPr>
            </w:pPr>
            <w:r>
              <w:rPr>
                <w:rFonts w:ascii="宋体" w:hAnsi="宋体" w:cs="宋体" w:eastAsia="宋体" w:hint="default"/>
                <w:sz w:val="18"/>
                <w:szCs w:val="18"/>
              </w:rPr>
              <w:t>型环网开关 设备建设项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长春市财政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233,280.67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双阳区经济 局拨付民企 上市扶持资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双阳区经济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长春市财政 局拨付民企 上市扶持资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长春市财政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1"/>
              <w:jc w:val="right"/>
              <w:rPr>
                <w:rFonts w:ascii="宋体" w:hAnsi="宋体" w:cs="宋体" w:eastAsia="宋体" w:hint="default"/>
                <w:sz w:val="18"/>
                <w:szCs w:val="18"/>
              </w:rPr>
            </w:pPr>
            <w:r>
              <w:rPr>
                <w:rFonts w:ascii="宋体" w:hAnsi="宋体" w:cs="宋体" w:eastAsia="宋体" w:hint="default"/>
                <w:sz w:val="18"/>
                <w:szCs w:val="18"/>
              </w:rPr>
              <w:t>会计集中核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7"/>
              <w:jc w:val="right"/>
              <w:rPr>
                <w:rFonts w:ascii="宋体" w:hAnsi="宋体" w:cs="宋体" w:eastAsia="宋体" w:hint="default"/>
                <w:sz w:val="18"/>
                <w:szCs w:val="18"/>
              </w:rPr>
            </w:pPr>
            <w:r>
              <w:rPr>
                <w:rFonts w:ascii="宋体" w:hAnsi="宋体" w:cs="宋体" w:eastAsia="宋体" w:hint="default"/>
                <w:sz w:val="18"/>
                <w:szCs w:val="18"/>
              </w:rPr>
              <w:t>长春市市直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算中心政府 资金补助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both"/>
              <w:rPr>
                <w:rFonts w:ascii="宋体" w:hAnsi="宋体" w:cs="宋体" w:eastAsia="宋体" w:hint="default"/>
                <w:sz w:val="18"/>
                <w:szCs w:val="18"/>
              </w:rPr>
            </w:pPr>
            <w:r>
              <w:rPr>
                <w:rFonts w:ascii="宋体" w:hAnsi="宋体" w:cs="宋体" w:eastAsia="宋体" w:hint="default"/>
                <w:sz w:val="18"/>
                <w:szCs w:val="18"/>
              </w:rPr>
              <w:t>行政事业单 位会计集中 核算中心政 府核算大厅</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临安市财政 局工业发展 基金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临安市经济 和信息化局 新产品研发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临安市经济 和信息化局 新增规模企 业奖励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临安市科学 技术局财政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临安市经济 和信息化局 </w:t>
            </w:r>
            <w:r>
              <w:rPr>
                <w:rFonts w:ascii="宋体" w:hAnsi="宋体" w:cs="宋体" w:eastAsia="宋体" w:hint="default"/>
                <w:spacing w:val="-12"/>
                <w:sz w:val="18"/>
                <w:szCs w:val="18"/>
              </w:rPr>
              <w:t>款（国际国内</w:t>
            </w:r>
            <w:r>
              <w:rPr>
                <w:rFonts w:ascii="宋体" w:hAnsi="宋体" w:cs="宋体" w:eastAsia="宋体" w:hint="default"/>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强配套）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临安市经济 和信息化局 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长春市直行 政事业单位 会计核算中 心补助款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4,918,293.61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2、营业外支出" w:id="383"/>
      <w:bookmarkEnd w:id="383"/>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6,233.74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6,233.74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13,176.54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13,176.54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82,999.23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82,999.23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83,839.13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83,839.13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19,094.23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19,094.23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205,342.87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29,662.58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205,342.87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3、所得税费用" w:id="384"/>
      <w:bookmarkEnd w:id="384"/>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85"/>
      <w:bookmarkEnd w:id="38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19,417,450.44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11,274,228.26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2,025,300.91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-699,687.60</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21,442,751.35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10,574,540.66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86"/>
      <w:bookmarkEnd w:id="38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150,224,554.18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22,533,683.13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2,695,413.89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-3,082,598.07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-2,618,382.46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818,050.32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-125,730.53</w:t>
            </w:r>
            <w:r>
              <w:rPr>
                <w:rFonts w:ascii="Times New Roman"/>
                <w:sz w:val="18"/>
              </w:rPr>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3,955,965.11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研发费用加计扣除数的影响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-3,794,044.52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与资产相关的免税政府补助形成的资产本期摊销数的影响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1,060,394.48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21,442,751.35</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4、其他综合收益" w:id="387"/>
      <w:bookmarkEnd w:id="387"/>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详见附注。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5、现金流量表项目" w:id="388"/>
      <w:bookmarkEnd w:id="388"/>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89"/>
      <w:bookmarkEnd w:id="38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61,744,668.74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16,717,443.84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6,090,646.15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2,943,513.58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2,553,550.53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1,364,643.17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653,965.79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3,251,004.80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115,651.59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75,394,476.44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23,203,011.75</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390"/>
      <w:bookmarkEnd w:id="39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64,203,277.27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19,837,410.21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52,493,956.26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2,538,313.64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24,532,990.16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15,197,453.45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20,477,603.19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17,737,808.52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8,809,050.34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782,539.90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369,654.62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255,921.56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344,538.22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171,231,070.06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56,349,447.28</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391"/>
      <w:bookmarkEnd w:id="39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31,701,105.00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湖南中锂收购定金退回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81,701,105.00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pStyle w:val="BodyText"/>
        <w:spacing w:line="240" w:lineRule="auto" w:before="51"/>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92"/>
      <w:bookmarkEnd w:id="39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155,000,000.00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39996pt;margin-top:739.769958pt;width:151.25pt;height:20.7pt;mso-position-horizontal-relative:page;mso-position-vertical-relative:page;z-index:-2127784" coordorigin="4467,14795" coordsize="3025,414">
            <v:group style="position:absolute;left:4478;top:14807;width:2;height:392" coordorigin="4478,14807" coordsize="2,392">
              <v:shape style="position:absolute;left:4478;top:14807;width:2;height:392" coordorigin="4478,14807" coordsize="0,392" path="m4478,14807l4478,15198e" filled="false" stroked="true" strokeweight="1.140pt" strokecolor="#ffffff">
                <v:path arrowok="t"/>
              </v:shape>
            </v:group>
            <v:group style="position:absolute;left:4490;top:14807;width:3002;height:392" coordorigin="4490,14807" coordsize="3002,392">
              <v:shape style="position:absolute;left:4490;top:14807;width:3002;height:392" coordorigin="4490,14807" coordsize="3002,392" path="m4490,15198l7491,15198,7491,14807,4490,14807,4490,15198xe" filled="true" fillcolor="#ffffff" stroked="false">
                <v:path arrowok="t"/>
                <v:fill type="solid"/>
              </v:shape>
            </v:group>
            <w10:wrap type="none"/>
          </v:group>
        </w:pict>
      </w:r>
    </w:p>
    <w:tbl>
      <w:tblPr>
        <w:tblW w:w="0" w:type="auto"/>
        <w:jc w:val="left"/>
        <w:tblInd w:w="146" w:type="dxa"/>
        <w:tblLayout w:type="fixed"/>
        <w:tblCellMar>
          <w:top w:w="0" w:type="dxa"/>
          <w:left w:w="0" w:type="dxa"/>
          <w:bottom w:w="0" w:type="dxa"/>
          <w:right w:w="0" w:type="dxa"/>
        </w:tblCellMar>
        <w:tblLook w:val="01E0"/>
      </w:tblPr>
      <w:tblGrid>
        <w:gridCol w:w="3190"/>
        <w:gridCol w:w="3194"/>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155,000,000.00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393"/>
      <w:bookmarkEnd w:id="39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60,788,518.37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60,788,518.37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394"/>
      <w:bookmarkEnd w:id="39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股票发行服务费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7,268,100.00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60,788,518.37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60,788,518.37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7,268,100.00</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6、现金流量表补充资料" w:id="395"/>
      <w:bookmarkEnd w:id="395"/>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96"/>
      <w:bookmarkEnd w:id="39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85"/>
        <w:gridCol w:w="198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128,781,802.83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60,644,241.89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8,066,132.07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5,215,618.76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20,510,498.05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9,397,696.09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8,366,788.39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385,270.84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8,647.77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321,511.19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485,273.99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3,199,409.91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442,555.73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-45,564.01</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011" w:right="0"/>
              <w:jc w:val="left"/>
              <w:rPr>
                <w:rFonts w:ascii="Times New Roman" w:hAnsi="Times New Roman" w:cs="Times New Roman" w:eastAsia="Times New Roman" w:hint="default"/>
                <w:sz w:val="18"/>
                <w:szCs w:val="18"/>
              </w:rPr>
            </w:pPr>
            <w:r>
              <w:rPr>
                <w:rFonts w:ascii="Times New Roman"/>
                <w:sz w:val="18"/>
              </w:rPr>
              <w:t>2,025,300.91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-699,687.60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4,584,754.16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-13,500,420.44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-165,428,157.22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-75,344,535.06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22,805,940.89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37,309,177.50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33,360,827.74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24,171,428.90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286,532,467.40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252,438,614.18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252,438,614.18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113,088,640.43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34,093,853.22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139,349,973.75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97"/>
      <w:bookmarkEnd w:id="39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南京能瑞自动化设备股份有限公司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39,229,310.94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南京能瑞自动化设备股份有限公司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39,229,310.94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344,770,689.06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98"/>
      <w:bookmarkEnd w:id="39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现金和现金等价物的构成" w:id="399"/>
      <w:bookmarkEnd w:id="39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286,532,467.40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252,438,614.18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215,333.39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1,077.84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286,317,134.01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252,437,536.34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286,532,467.40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252,438,614.18</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spacing w:line="547" w:lineRule="auto" w:before="0"/>
        <w:ind w:left="154" w:right="4392" w:firstLine="0"/>
        <w:jc w:val="left"/>
        <w:rPr>
          <w:rFonts w:ascii="宋体" w:hAnsi="宋体" w:cs="宋体" w:eastAsia="宋体" w:hint="default"/>
          <w:sz w:val="21"/>
          <w:szCs w:val="21"/>
        </w:rPr>
      </w:pPr>
      <w:bookmarkStart w:name="77、所有者权益变动表项目注释" w:id="400"/>
      <w:bookmarkEnd w:id="400"/>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401"/>
      <w:bookmarkEnd w:id="401"/>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60,171,687.83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票据及保函保证金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122,712,944.10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182,884,631.93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9、外币货币性项目" w:id="402"/>
      <w:bookmarkEnd w:id="402"/>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403"/>
      <w:bookmarkEnd w:id="40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148,132.65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967,928.36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8.7992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12,225.42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404"/>
      <w:bookmarkEnd w:id="40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74" w:right="0"/>
        <w:jc w:val="left"/>
      </w:pPr>
      <w:r>
        <w:rPr/>
        <w:t>本公司于英国设立子公司欧内斯特电气有限公司（</w:t>
      </w:r>
      <w:r>
        <w:rPr>
          <w:rFonts w:ascii="Times New Roman" w:hAnsi="Times New Roman" w:cs="Times New Roman" w:eastAsia="Times New Roman" w:hint="default"/>
        </w:rPr>
        <w:t>ERNEST ELECTRIC</w:t>
      </w:r>
      <w:r>
        <w:rPr>
          <w:rFonts w:ascii="Times New Roman" w:hAnsi="Times New Roman" w:cs="Times New Roman" w:eastAsia="Times New Roman" w:hint="default"/>
          <w:spacing w:val="-3"/>
        </w:rPr>
        <w:t> </w:t>
      </w:r>
      <w:r>
        <w:rPr>
          <w:rFonts w:ascii="Times New Roman" w:hAnsi="Times New Roman" w:cs="Times New Roman" w:eastAsia="Times New Roman" w:hint="default"/>
        </w:rPr>
        <w:t>LIMITED</w:t>
      </w:r>
      <w:r>
        <w:rPr/>
        <w:t>），记账本位币为英镑。</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0、套期" w:id="405"/>
      <w:bookmarkEnd w:id="405"/>
      <w:r>
        <w:rPr>
          <w:b w:val="0"/>
          <w:bCs w:val="0"/>
        </w:rPr>
      </w: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4" w:right="7348" w:firstLine="0"/>
        <w:jc w:val="left"/>
        <w:rPr>
          <w:rFonts w:ascii="宋体" w:hAnsi="宋体" w:cs="宋体" w:eastAsia="宋体" w:hint="default"/>
          <w:sz w:val="21"/>
          <w:szCs w:val="21"/>
        </w:rPr>
      </w:pPr>
      <w:bookmarkStart w:name="81、其他" w:id="406"/>
      <w:bookmarkEnd w:id="406"/>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7"/>
      <w:bookmarkEnd w:id="407"/>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8"/>
      <w:bookmarkEnd w:id="40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0"/>
        <w:jc w:val="left"/>
        <w:rPr>
          <w:b w:val="0"/>
          <w:bCs w:val="0"/>
        </w:rPr>
      </w:pPr>
      <w:bookmarkStart w:name="（1）本期发生的非同一控制下企业合并" w:id="409"/>
      <w:bookmarkEnd w:id="40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南京能瑞自 动化设备股 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1,503,999,96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股份支付及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329,817,126.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75,322,183.2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及商誉" w:id="410"/>
      <w:bookmarkEnd w:id="41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383,999,970.00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1,119,999,996.12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1,503,999,966.12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385,234,273.57</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1,118,765,692.55</w:t>
            </w:r>
          </w:p>
        </w:tc>
      </w:tr>
    </w:tbl>
    <w:p>
      <w:pPr>
        <w:pStyle w:val="BodyText"/>
        <w:spacing w:line="360" w:lineRule="auto" w:before="51"/>
        <w:ind w:right="5092"/>
        <w:jc w:val="left"/>
      </w:pPr>
      <w:r>
        <w:rPr/>
        <w:t>合并成本公允价值的确定方法、或有对价及其变动的说明： 大额商誉形成的主要原因：</w:t>
      </w:r>
    </w:p>
    <w:p>
      <w:pPr>
        <w:pStyle w:val="BodyText"/>
        <w:spacing w:line="240" w:lineRule="auto" w:before="26"/>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被购买方于购买日可辨认资产、负债" w:id="411"/>
      <w:bookmarkEnd w:id="41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92,116,850.39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92,116,850.44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228,027,267.65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228,027,267.65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60,576,799.44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60,576,799.44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115,586,637.63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113,650,494.20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69,272,719.74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13,625,660.54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39,855,053.50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39,872,745.81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43,499,999.99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43,499,999.99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68,117,470.60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68,117,470.60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385,388,213.02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325,733,147.75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153,939.45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153,939.45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385,234,273.57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325,579,208.30</w:t>
            </w:r>
          </w:p>
        </w:tc>
      </w:tr>
    </w:tbl>
    <w:p>
      <w:pPr>
        <w:pStyle w:val="BodyText"/>
        <w:spacing w:line="360" w:lineRule="auto" w:before="51"/>
        <w:ind w:right="655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412"/>
      <w:bookmarkEnd w:id="41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5）购买日或合并当期期末无法合理确定合并对价或被购买方可辨认资产、负债公允价值" w:id="413"/>
      <w:bookmarkEnd w:id="41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6）其他说明" w:id="414"/>
      <w:bookmarkEnd w:id="41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同一控制下企业合并" w:id="415"/>
      <w:bookmarkEnd w:id="41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本期发生的同一控制下企业合并" w:id="416"/>
      <w:bookmarkEnd w:id="41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合并成本" w:id="417"/>
      <w:bookmarkEnd w:id="41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799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799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0"/>
        <w:jc w:val="left"/>
      </w:pPr>
      <w:r>
        <w:rPr/>
        <w:t>或有对价及其变动的说明：</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合并日被合并方资产、负债的账面价值" w:id="418"/>
      <w:bookmarkEnd w:id="41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001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001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001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001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001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004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7"/>
        <w:ind w:right="6532"/>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反向购买" w:id="419"/>
      <w:bookmarkEnd w:id="41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4、处置子公司" w:id="420"/>
      <w:bookmarkEnd w:id="42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是否存在单次处置对子公司投资即丧失控制权的情形</w:t>
      </w:r>
    </w:p>
    <w:p>
      <w:pPr>
        <w:pStyle w:val="BodyText"/>
        <w:spacing w:line="338" w:lineRule="auto" w:before="116"/>
        <w:ind w:right="40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其他原因的合并范围变动" w:id="421"/>
      <w:bookmarkEnd w:id="42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说明其他原因导致的合并范围变动（如，新设子公司、清算子公司等）及其相关情况：</w:t>
      </w:r>
    </w:p>
    <w:p>
      <w:pPr>
        <w:spacing w:line="240" w:lineRule="auto" w:before="2"/>
        <w:rPr>
          <w:rFonts w:ascii="宋体" w:hAnsi="宋体" w:cs="宋体" w:eastAsia="宋体" w:hint="default"/>
          <w:sz w:val="13"/>
          <w:szCs w:val="13"/>
        </w:rPr>
      </w:pPr>
    </w:p>
    <w:p>
      <w:pPr>
        <w:spacing w:line="1109" w:lineRule="exact"/>
        <w:ind w:left="154" w:right="0" w:firstLine="0"/>
        <w:rPr>
          <w:rFonts w:ascii="宋体" w:hAnsi="宋体" w:cs="宋体" w:eastAsia="宋体" w:hint="default"/>
          <w:sz w:val="20"/>
          <w:szCs w:val="20"/>
        </w:rPr>
      </w:pPr>
      <w:r>
        <w:rPr>
          <w:rFonts w:ascii="宋体" w:hAnsi="宋体" w:cs="宋体" w:eastAsia="宋体" w:hint="default"/>
          <w:position w:val="-21"/>
          <w:sz w:val="20"/>
          <w:szCs w:val="20"/>
        </w:rPr>
        <w:drawing>
          <wp:inline distT="0" distB="0" distL="0" distR="0">
            <wp:extent cx="5977197" cy="704469"/>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32" cstate="print"/>
                    <a:stretch>
                      <a:fillRect/>
                    </a:stretch>
                  </pic:blipFill>
                  <pic:spPr>
                    <a:xfrm>
                      <a:off x="0" y="0"/>
                      <a:ext cx="5977197" cy="704469"/>
                    </a:xfrm>
                    <a:prstGeom prst="rect">
                      <a:avLst/>
                    </a:prstGeom>
                  </pic:spPr>
                </pic:pic>
              </a:graphicData>
            </a:graphic>
          </wp:inline>
        </w:drawing>
      </w:r>
      <w:r>
        <w:rPr>
          <w:rFonts w:ascii="宋体" w:hAnsi="宋体" w:cs="宋体" w:eastAsia="宋体" w:hint="default"/>
          <w:position w:val="-21"/>
          <w:sz w:val="20"/>
          <w:szCs w:val="20"/>
        </w:rPr>
      </w:r>
    </w:p>
    <w:p>
      <w:pPr>
        <w:spacing w:line="240" w:lineRule="auto" w:before="0"/>
        <w:rPr>
          <w:rFonts w:ascii="宋体" w:hAnsi="宋体" w:cs="宋体" w:eastAsia="宋体" w:hint="default"/>
          <w:sz w:val="18"/>
          <w:szCs w:val="18"/>
        </w:rPr>
      </w:pPr>
    </w:p>
    <w:p>
      <w:pPr>
        <w:spacing w:line="487" w:lineRule="auto" w:before="121"/>
        <w:ind w:left="154" w:right="6712" w:firstLine="0"/>
        <w:jc w:val="left"/>
        <w:rPr>
          <w:rFonts w:ascii="宋体" w:hAnsi="宋体" w:cs="宋体" w:eastAsia="宋体" w:hint="default"/>
          <w:sz w:val="21"/>
          <w:szCs w:val="21"/>
        </w:rPr>
      </w:pPr>
      <w:bookmarkStart w:name="6、其他" w:id="422"/>
      <w:bookmarkEnd w:id="42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23"/>
      <w:bookmarkEnd w:id="42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4"/>
      <w:bookmarkEnd w:id="42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425"/>
      <w:bookmarkEnd w:id="42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浙江开盛电气有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欧内斯特电气有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华胤控股集团有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南京能瑞自动化 设备股份有限公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湖州金冠鸿图隔 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吉林省埃尔顿电 气有限公司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185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right="6712"/>
        <w:jc w:val="left"/>
      </w:pPr>
      <w:r>
        <w:rPr/>
        <w:t>确定公司是代理人还是委托人的依据： 其他说明：</w:t>
      </w:r>
    </w:p>
    <w:p>
      <w:pPr>
        <w:pStyle w:val="BodyText"/>
        <w:spacing w:line="355" w:lineRule="auto" w:before="49"/>
        <w:ind w:right="150" w:firstLine="420"/>
        <w:jc w:val="both"/>
      </w:pPr>
      <w:r>
        <w:rPr>
          <w:spacing w:val="-1"/>
        </w:rPr>
        <w:t>根据公司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24</w:t>
      </w:r>
      <w:r>
        <w:rPr>
          <w:spacing w:val="-1"/>
        </w:rPr>
        <w:t>日第四届董事会第二十六次会议决议，公司拟将持有的控股子公司浙江开盛电气有限公司</w:t>
      </w:r>
      <w:r>
        <w:rPr>
          <w:rFonts w:ascii="Times New Roman" w:hAnsi="Times New Roman" w:cs="Times New Roman" w:eastAsia="Times New Roman" w:hint="default"/>
          <w:spacing w:val="-1"/>
        </w:rPr>
        <w:t>70%</w:t>
      </w:r>
      <w:r>
        <w:rPr>
          <w:spacing w:val="-1"/>
        </w:rPr>
        <w:t>的</w:t>
      </w:r>
      <w:r>
        <w:rPr/>
        <w:t> </w:t>
      </w:r>
      <w:r>
        <w:rPr>
          <w:spacing w:val="-2"/>
        </w:rPr>
        <w:t>股权转让给公司全资二级子公司深圳华胤智能电气科技有限公司（具体以工商登记为准）。该股权转让事项的股东变更工商</w:t>
      </w:r>
      <w:r>
        <w:rPr>
          <w:spacing w:val="-66"/>
        </w:rPr>
        <w:t> </w:t>
      </w:r>
      <w:r>
        <w:rPr>
          <w:spacing w:val="-66"/>
        </w:rPr>
      </w:r>
      <w:r>
        <w:rPr/>
        <w:t>登记手续已于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日完成。</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重要的非全资子公司" w:id="426"/>
      <w:bookmarkEnd w:id="42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浙江开盛电气有限公司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3,243,097.69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16,959,482.12</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湖州金冠鸿图隔膜科技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-44.92</w:t>
            </w:r>
          </w:p>
        </w:tc>
      </w:tr>
    </w:tbl>
    <w:p>
      <w:pPr>
        <w:pStyle w:val="BodyText"/>
        <w:spacing w:line="357" w:lineRule="auto" w:before="51"/>
        <w:ind w:right="5452"/>
        <w:jc w:val="left"/>
      </w:pPr>
      <w:r>
        <w:rPr/>
        <w:t>子公司少数股东的持股比例不同于表决权比例的说明：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重要非全资子公司的主要财务信息" w:id="427"/>
      <w:bookmarkEnd w:id="42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1"/>
              <w:jc w:val="left"/>
              <w:rPr>
                <w:rFonts w:ascii="宋体" w:hAnsi="宋体" w:cs="宋体" w:eastAsia="宋体" w:hint="default"/>
                <w:sz w:val="18"/>
                <w:szCs w:val="18"/>
              </w:rPr>
            </w:pPr>
            <w:r>
              <w:rPr>
                <w:rFonts w:ascii="宋体" w:hAnsi="宋体" w:cs="宋体" w:eastAsia="宋体" w:hint="default"/>
                <w:sz w:val="18"/>
                <w:szCs w:val="18"/>
              </w:rPr>
              <w:t>浙江开 盛电气</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78,953,0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64.76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5,566,21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84,519,2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84.15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27,987,6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77.09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27,987,6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61,872,9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6,355,17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68,228,0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22,506,8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17.28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22,506,8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17.28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湖州金 冠鸿图 隔膜科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12,999,9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08.33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12,999,9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浙江开盛电 气有限公司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96,833,114.5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10,810,325.6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10,810,325.6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10,488,771.5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88,885,686.6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14,258,168.9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14,258,168.9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6,661,539.62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湖州金冠鸿 图隔膜科技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-91.67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-91.67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7" w:right="0"/>
              <w:jc w:val="left"/>
              <w:rPr>
                <w:rFonts w:ascii="Times New Roman" w:hAnsi="Times New Roman" w:cs="Times New Roman" w:eastAsia="Times New Roman" w:hint="default"/>
                <w:sz w:val="18"/>
                <w:szCs w:val="18"/>
              </w:rPr>
            </w:pPr>
            <w:r>
              <w:rPr>
                <w:rFonts w:ascii="Times New Roman"/>
                <w:sz w:val="18"/>
              </w:rPr>
              <w:t>-91.67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使用企业集团资产和清偿企业集团债务的重大限制" w:id="428"/>
      <w:bookmarkEnd w:id="42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429"/>
      <w:bookmarkEnd w:id="42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30"/>
      <w:bookmarkEnd w:id="43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431"/>
      <w:bookmarkEnd w:id="43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5"/>
        <w:rPr>
          <w:rFonts w:ascii="宋体" w:hAnsi="宋体" w:cs="宋体" w:eastAsia="宋体" w:hint="default"/>
          <w:b/>
          <w:bCs/>
          <w:sz w:val="26"/>
          <w:szCs w:val="26"/>
        </w:rPr>
      </w:pPr>
    </w:p>
    <w:p>
      <w:pPr>
        <w:spacing w:line="915" w:lineRule="exact"/>
        <w:ind w:left="154" w:right="0" w:firstLine="0"/>
        <w:rPr>
          <w:rFonts w:ascii="宋体" w:hAnsi="宋体" w:cs="宋体" w:eastAsia="宋体" w:hint="default"/>
          <w:sz w:val="20"/>
          <w:szCs w:val="20"/>
        </w:rPr>
      </w:pPr>
      <w:r>
        <w:rPr>
          <w:rFonts w:ascii="宋体" w:hAnsi="宋体" w:cs="宋体" w:eastAsia="宋体" w:hint="default"/>
          <w:position w:val="-17"/>
          <w:sz w:val="20"/>
          <w:szCs w:val="20"/>
        </w:rPr>
        <w:drawing>
          <wp:inline distT="0" distB="0" distL="0" distR="0">
            <wp:extent cx="5944723" cy="581025"/>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33" cstate="print"/>
                    <a:stretch>
                      <a:fillRect/>
                    </a:stretch>
                  </pic:blipFill>
                  <pic:spPr>
                    <a:xfrm>
                      <a:off x="0" y="0"/>
                      <a:ext cx="5944723" cy="581025"/>
                    </a:xfrm>
                    <a:prstGeom prst="rect">
                      <a:avLst/>
                    </a:prstGeom>
                  </pic:spPr>
                </pic:pic>
              </a:graphicData>
            </a:graphic>
          </wp:inline>
        </w:drawing>
      </w:r>
      <w:r>
        <w:rPr>
          <w:rFonts w:ascii="宋体" w:hAnsi="宋体" w:cs="宋体" w:eastAsia="宋体" w:hint="default"/>
          <w:position w:val="-17"/>
          <w:sz w:val="20"/>
          <w:szCs w:val="20"/>
        </w:rPr>
      </w:r>
    </w:p>
    <w:p>
      <w:pPr>
        <w:spacing w:line="240" w:lineRule="auto" w:before="11"/>
        <w:rPr>
          <w:rFonts w:ascii="宋体" w:hAnsi="宋体" w:cs="宋体" w:eastAsia="宋体" w:hint="default"/>
          <w:b/>
          <w:bCs/>
          <w:sz w:val="22"/>
          <w:szCs w:val="22"/>
        </w:rPr>
      </w:pPr>
    </w:p>
    <w:p>
      <w:pPr>
        <w:pStyle w:val="Heading4"/>
        <w:spacing w:line="240" w:lineRule="auto"/>
        <w:ind w:right="0"/>
        <w:jc w:val="left"/>
        <w:rPr>
          <w:b w:val="0"/>
          <w:bCs w:val="0"/>
        </w:rPr>
      </w:pPr>
      <w:bookmarkStart w:name="（2）交易对于少数股东权益及归属于母公司所有者权益的影响" w:id="432"/>
      <w:bookmarkEnd w:id="43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-116,742.20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116,742.20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116,742.20</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在合营安排或联营企业中的权益" w:id="433"/>
      <w:bookmarkEnd w:id="43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34"/>
      <w:bookmarkEnd w:id="43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要合营企业的主要财务信息" w:id="435"/>
      <w:bookmarkEnd w:id="43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436"/>
      <w:bookmarkEnd w:id="43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不重要的合营企业和联营企业的汇总财务信息" w:id="437"/>
      <w:bookmarkEnd w:id="43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合营企业或联营企业向本公司转移资金的能力存在重大限制的说明" w:id="438"/>
      <w:bookmarkEnd w:id="43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439"/>
      <w:bookmarkEnd w:id="43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82"/>
      </w:tblGrid>
      <w:tr>
        <w:trPr>
          <w:trHeight w:val="382"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87"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本期未确认的损失（或本期分</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36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675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9"/>
        <w:jc w:val="left"/>
        <w:rPr>
          <w:b w:val="0"/>
          <w:bCs w:val="0"/>
        </w:rPr>
      </w:pPr>
      <w:bookmarkStart w:name="（7）与合营企业投资相关的未确认承诺" w:id="440"/>
      <w:bookmarkEnd w:id="44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
        <w:jc w:val="left"/>
        <w:rPr>
          <w:b w:val="0"/>
          <w:bCs w:val="0"/>
        </w:rPr>
      </w:pPr>
      <w:bookmarkStart w:name="（8）与合营企业或联营企业投资相关的或有负债" w:id="441"/>
      <w:bookmarkEnd w:id="44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6752"/>
        <w:jc w:val="left"/>
        <w:rPr>
          <w:b w:val="0"/>
          <w:bCs w:val="0"/>
        </w:rPr>
      </w:pPr>
      <w:bookmarkStart w:name="4、重要的共同经营" w:id="442"/>
      <w:bookmarkEnd w:id="44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4592"/>
        <w:jc w:val="left"/>
      </w:pPr>
      <w:r>
        <w:rPr/>
        <w:t>在共同经营中的持股比例或享有的份额不同于表决权比例的说明： 共同经营为单独主体的，分类为共同经营的依据：</w:t>
      </w:r>
    </w:p>
    <w:p>
      <w:pPr>
        <w:pStyle w:val="BodyText"/>
        <w:spacing w:line="240" w:lineRule="auto" w:before="26"/>
        <w:ind w:right="675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9"/>
        <w:jc w:val="left"/>
        <w:rPr>
          <w:b w:val="0"/>
          <w:bCs w:val="0"/>
        </w:rPr>
      </w:pPr>
      <w:bookmarkStart w:name="5、在未纳入合并财务报表范围的结构化主体中的权益" w:id="443"/>
      <w:bookmarkEnd w:id="44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9"/>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4"/>
        <w:spacing w:line="240" w:lineRule="auto"/>
        <w:ind w:right="6752"/>
        <w:jc w:val="left"/>
        <w:rPr>
          <w:b w:val="0"/>
          <w:bCs w:val="0"/>
        </w:rPr>
      </w:pPr>
      <w:bookmarkStart w:name="6、其他" w:id="444"/>
      <w:bookmarkEnd w:id="444"/>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3"/>
          <w:szCs w:val="23"/>
        </w:rPr>
      </w:pPr>
    </w:p>
    <w:p>
      <w:pPr>
        <w:pStyle w:val="Heading2"/>
        <w:spacing w:line="240" w:lineRule="auto"/>
        <w:ind w:right="6752"/>
        <w:jc w:val="left"/>
        <w:rPr>
          <w:b w:val="0"/>
          <w:bCs w:val="0"/>
        </w:rPr>
      </w:pPr>
      <w:bookmarkStart w:name="十、与金融工具相关的风险" w:id="445"/>
      <w:bookmarkEnd w:id="445"/>
      <w:r>
        <w:rPr>
          <w:b w:val="0"/>
          <w:bCs w:val="0"/>
        </w:rPr>
      </w:r>
      <w:r>
        <w:rPr/>
        <w:t>十、与金融工具相关的风险</w:t>
      </w:r>
      <w:r>
        <w:rPr>
          <w:b w:val="0"/>
          <w:bCs w:val="0"/>
        </w:rPr>
      </w:r>
    </w:p>
    <w:p>
      <w:pPr>
        <w:spacing w:line="240" w:lineRule="auto" w:before="3"/>
        <w:rPr>
          <w:rFonts w:ascii="宋体" w:hAnsi="宋体" w:cs="宋体" w:eastAsia="宋体" w:hint="default"/>
          <w:b/>
          <w:bCs/>
          <w:sz w:val="28"/>
          <w:szCs w:val="28"/>
        </w:rPr>
      </w:pPr>
    </w:p>
    <w:p>
      <w:pPr>
        <w:pStyle w:val="BodyText"/>
        <w:spacing w:line="364" w:lineRule="auto" w:before="0"/>
        <w:ind w:right="99" w:firstLine="420"/>
        <w:jc w:val="left"/>
      </w:pPr>
      <w:r>
        <w:rPr/>
        <w:t>本公司从事风险管理的目标是在风险和收益之间取得平衡，将风险对本公司经营业绩的负面影响降至最低水平，使股 </w:t>
      </w:r>
      <w:r>
        <w:rPr>
          <w:spacing w:val="-4"/>
        </w:rPr>
        <w:t>东和其他权益投资者的利益最大化。基于该风险管理目标，本公司风险管理的基本策略是确认和分析本公司面临的各种风险，</w:t>
      </w:r>
      <w:r>
        <w:rPr>
          <w:spacing w:val="-44"/>
        </w:rPr>
        <w:t> </w:t>
      </w:r>
      <w:r>
        <w:rPr>
          <w:spacing w:val="-44"/>
        </w:rPr>
      </w:r>
      <w:r>
        <w:rPr/>
        <w:t>建立适当的风险承受底线和进行风险管理，并及时可靠地对各种风险进行监督，将风险控制在限定的范围内。</w:t>
      </w:r>
    </w:p>
    <w:p>
      <w:pPr>
        <w:pStyle w:val="BodyText"/>
        <w:spacing w:line="364" w:lineRule="auto" w:before="29"/>
        <w:ind w:right="99" w:firstLine="420"/>
        <w:jc w:val="left"/>
      </w:pPr>
      <w:r>
        <w:rPr/>
        <w:t>本公司在日常活动中面临各种与金融工具相关的风险，主要包括信用风险、流动风险及市场风险。管理层已审议并批 准管理这些风险的政策，概括如下。</w:t>
      </w:r>
    </w:p>
    <w:p>
      <w:pPr>
        <w:pStyle w:val="BodyText"/>
        <w:spacing w:line="345" w:lineRule="auto" w:before="29"/>
        <w:ind w:left="574" w:right="291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信用风险</w:t>
      </w:r>
      <w:r>
        <w:rPr>
          <w:w w:val="99"/>
        </w:rPr>
        <w:t> </w:t>
      </w:r>
      <w:r>
        <w:rPr/>
        <w:t>信用风险，是指金融工具的一方不能履行义务，造成另一方发生财务损失的风险。</w:t>
      </w:r>
    </w:p>
    <w:p>
      <w:pPr>
        <w:pStyle w:val="BodyText"/>
        <w:spacing w:line="240" w:lineRule="auto"/>
        <w:ind w:left="574" w:right="99"/>
        <w:jc w:val="left"/>
      </w:pPr>
      <w:r>
        <w:rPr/>
        <w:t>本公司的信用风险主要来自银行存款和应收款项。为控制上述相关风险，本公司分别采取了以下措施。</w:t>
      </w:r>
    </w:p>
    <w:p>
      <w:pPr>
        <w:pStyle w:val="BodyText"/>
        <w:spacing w:line="355" w:lineRule="auto" w:before="123"/>
        <w:ind w:left="574" w:right="363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银行存款 本公司将银行存款存放于信用评级较高的金融机构，故其信用风险较低。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应收款项</w:t>
      </w:r>
    </w:p>
    <w:p>
      <w:pPr>
        <w:pStyle w:val="BodyText"/>
        <w:spacing w:line="364" w:lineRule="auto" w:before="14"/>
        <w:ind w:right="99" w:firstLine="420"/>
        <w:jc w:val="left"/>
      </w:pPr>
      <w:r>
        <w:rPr/>
        <w:t>本公司持续对采用信用方式交易的客户进行信用评估。根据信用评估结果，本公司选择与经认可的且信用良好的客户 进行交易，并对其应收款项余额进行监控，以确保本公司不会面临重大坏账风险。</w:t>
      </w:r>
    </w:p>
    <w:p>
      <w:pPr>
        <w:pStyle w:val="BodyText"/>
        <w:spacing w:line="240" w:lineRule="auto" w:before="29"/>
        <w:ind w:left="574" w:right="99"/>
        <w:jc w:val="left"/>
        <w:rPr>
          <w:rFonts w:ascii="Times New Roman" w:hAnsi="Times New Roman" w:cs="Times New Roman" w:eastAsia="Times New Roman" w:hint="default"/>
        </w:rPr>
      </w:pPr>
      <w:r>
        <w:rPr/>
        <w:t>由于本公司的应收账款风险点分布于多个合作方和多个客户，截至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日，本公司应收账款的</w:t>
      </w:r>
      <w:r>
        <w:rPr>
          <w:rFonts w:ascii="Times New Roman" w:hAnsi="Times New Roman" w:cs="Times New Roman" w:eastAsia="Times New Roman" w:hint="default"/>
        </w:rPr>
        <w:t>26.16  </w:t>
      </w:r>
      <w:r>
        <w:rPr>
          <w:rFonts w:ascii="Times New Roman" w:hAnsi="Times New Roman" w:cs="Times New Roman" w:eastAsia="Times New Roman" w:hint="default"/>
          <w:spacing w:val="1"/>
        </w:rPr>
        <w:t> </w:t>
      </w:r>
      <w:r>
        <w:rPr>
          <w:rFonts w:ascii="Times New Roman" w:hAnsi="Times New Roman" w:cs="Times New Roman" w:eastAsia="Times New Roman" w:hint="default"/>
        </w:rPr>
        <w:t>%(2016</w:t>
      </w:r>
    </w:p>
    <w:p>
      <w:pPr>
        <w:pStyle w:val="BodyText"/>
        <w:spacing w:line="240" w:lineRule="auto" w:before="110"/>
        <w:ind w:right="99"/>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rPr>
        <w:t>34.97</w:t>
      </w:r>
      <w:r>
        <w:rPr>
          <w:rFonts w:ascii="Times New Roman" w:hAnsi="Times New Roman" w:cs="Times New Roman" w:eastAsia="Times New Roman" w:hint="default"/>
          <w:spacing w:val="-20"/>
        </w:rPr>
        <w:t> </w:t>
      </w:r>
      <w:r>
        <w:rPr>
          <w:rFonts w:ascii="Times New Roman" w:hAnsi="Times New Roman" w:cs="Times New Roman" w:eastAsia="Times New Roman" w:hint="default"/>
        </w:rPr>
        <w:t>%)</w:t>
      </w:r>
      <w:r>
        <w:rPr/>
        <w:t>源于余额前五名客户，本公司不存在重大的信用集中风险。</w:t>
      </w:r>
    </w:p>
    <w:p>
      <w:pPr>
        <w:pStyle w:val="BodyText"/>
        <w:spacing w:line="240" w:lineRule="auto" w:before="109"/>
        <w:ind w:left="574" w:right="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本公司的应收款项中未逾期且未减值的金额，以及虽已逾期但未减值的金额和逾期账龄分析如下：</w:t>
      </w:r>
    </w:p>
    <w:p>
      <w:pPr>
        <w:spacing w:after="0" w:line="240" w:lineRule="auto"/>
        <w:jc w:val="lef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3435" w:lineRule="exact"/>
        <w:ind w:left="154"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6059170" cy="2181225"/>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34" cstate="print"/>
                    <a:stretch>
                      <a:fillRect/>
                    </a:stretch>
                  </pic:blipFill>
                  <pic:spPr>
                    <a:xfrm>
                      <a:off x="0" y="0"/>
                      <a:ext cx="6059170" cy="2181225"/>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0"/>
        <w:rPr>
          <w:rFonts w:ascii="宋体" w:hAnsi="宋体" w:cs="宋体" w:eastAsia="宋体" w:hint="default"/>
          <w:sz w:val="11"/>
          <w:szCs w:val="11"/>
        </w:rPr>
      </w:pPr>
    </w:p>
    <w:p>
      <w:pPr>
        <w:pStyle w:val="BodyText"/>
        <w:spacing w:line="240" w:lineRule="auto"/>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单项计提减值的应收款项情况见本财务报表附注合并财务报表项目注释之应收款项说明。</w:t>
      </w:r>
    </w:p>
    <w:p>
      <w:pPr>
        <w:pStyle w:val="BodyText"/>
        <w:spacing w:line="345" w:lineRule="auto" w:before="109"/>
        <w:ind w:left="574"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流动风险</w:t>
      </w:r>
      <w:r>
        <w:rPr>
          <w:w w:val="99"/>
        </w:rPr>
        <w:t> </w:t>
      </w:r>
      <w:r>
        <w:rPr/>
        <w:t>流动风险，是指本公司在履行以交付现金或其他金融资产的方式结算的义务时发生资金短缺的风险。流动风险可能源</w:t>
      </w:r>
    </w:p>
    <w:p>
      <w:pPr>
        <w:pStyle w:val="BodyText"/>
        <w:spacing w:line="364" w:lineRule="auto"/>
        <w:ind w:right="0"/>
        <w:jc w:val="left"/>
      </w:pPr>
      <w:r>
        <w:rPr>
          <w:spacing w:val="-2"/>
        </w:rPr>
        <w:t>于无法尽快以公允价值售出金融资产；或者源于对方无法偿还其合同债务；或者源于提前到期的债务；或者源于无法产生预</w:t>
      </w:r>
      <w:r>
        <w:rPr>
          <w:spacing w:val="-66"/>
        </w:rPr>
        <w:t> </w:t>
      </w:r>
      <w:r>
        <w:rPr>
          <w:spacing w:val="-66"/>
        </w:rPr>
      </w:r>
      <w:r>
        <w:rPr/>
        <w:t>期的现金流量。</w:t>
      </w:r>
    </w:p>
    <w:p>
      <w:pPr>
        <w:pStyle w:val="BodyText"/>
        <w:spacing w:line="364" w:lineRule="auto" w:before="29"/>
        <w:ind w:right="0" w:firstLine="420"/>
        <w:jc w:val="left"/>
      </w:pPr>
      <w:r>
        <w:rPr/>
        <w:t>为控制该项风险，本公司综合运用票据结算、银行借款等多种融资手段，优化融资结构的方法，保持融资持续性与灵 活性之间的平衡。本公司已从多家商业银行取得银行授信额度以满足营运资金需求和资本开支。</w:t>
      </w:r>
    </w:p>
    <w:p>
      <w:pPr>
        <w:pStyle w:val="BodyText"/>
        <w:spacing w:line="240" w:lineRule="auto" w:before="29"/>
        <w:ind w:left="574" w:right="0"/>
        <w:jc w:val="left"/>
      </w:pPr>
      <w:r>
        <w:rPr/>
        <w:t>金融负债按剩余到期日分类</w:t>
      </w:r>
    </w:p>
    <w:p>
      <w:pPr>
        <w:spacing w:line="240" w:lineRule="auto" w:before="5"/>
        <w:rPr>
          <w:rFonts w:ascii="宋体" w:hAnsi="宋体" w:cs="宋体" w:eastAsia="宋体" w:hint="default"/>
          <w:sz w:val="7"/>
          <w:szCs w:val="7"/>
        </w:rPr>
      </w:pPr>
    </w:p>
    <w:p>
      <w:pPr>
        <w:spacing w:line="3728" w:lineRule="exact"/>
        <w:ind w:left="154"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6028851" cy="2367343"/>
            <wp:effectExtent l="0" t="0" r="0" b="0"/>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35" cstate="print"/>
                    <a:stretch>
                      <a:fillRect/>
                    </a:stretch>
                  </pic:blipFill>
                  <pic:spPr>
                    <a:xfrm>
                      <a:off x="0" y="0"/>
                      <a:ext cx="6028851" cy="2367343"/>
                    </a:xfrm>
                    <a:prstGeom prst="rect">
                      <a:avLst/>
                    </a:prstGeom>
                  </pic:spPr>
                </pic:pic>
              </a:graphicData>
            </a:graphic>
          </wp:inline>
        </w:drawing>
      </w:r>
      <w:r>
        <w:rPr>
          <w:rFonts w:ascii="宋体" w:hAnsi="宋体" w:cs="宋体" w:eastAsia="宋体" w:hint="default"/>
          <w:position w:val="-74"/>
          <w:sz w:val="20"/>
          <w:szCs w:val="20"/>
        </w:rPr>
      </w:r>
    </w:p>
    <w:p>
      <w:pPr>
        <w:pStyle w:val="BodyText"/>
        <w:spacing w:line="345" w:lineRule="auto" w:before="42"/>
        <w:ind w:left="574" w:right="0" w:firstLine="7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市场风险</w:t>
      </w:r>
      <w:r>
        <w:rPr>
          <w:w w:val="99"/>
        </w:rPr>
        <w:t> </w:t>
      </w:r>
      <w:r>
        <w:rPr/>
        <w:t>市场风险，是指金融工具的公允价值或未来现金流量因市场价格变动而发生波动的风险。市场风险主要包括利率风险</w:t>
      </w:r>
    </w:p>
    <w:p>
      <w:pPr>
        <w:pStyle w:val="BodyText"/>
        <w:spacing w:line="240" w:lineRule="auto"/>
        <w:ind w:right="0"/>
        <w:jc w:val="left"/>
      </w:pPr>
      <w:r>
        <w:rPr/>
        <w:t>和外汇风险。</w:t>
      </w:r>
    </w:p>
    <w:p>
      <w:pPr>
        <w:pStyle w:val="BodyText"/>
        <w:spacing w:line="345" w:lineRule="auto" w:before="123"/>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利率风险 利率风险，是指金融工具的公允价值或未来现金流量因市场利率变动而发生波动的风险。本公司面临的市场利率变动</w:t>
      </w:r>
    </w:p>
    <w:p>
      <w:pPr>
        <w:pStyle w:val="BodyText"/>
        <w:spacing w:line="355" w:lineRule="auto"/>
        <w:ind w:left="574" w:right="2332" w:hanging="420"/>
        <w:jc w:val="left"/>
      </w:pPr>
      <w:r>
        <w:rPr/>
        <w:t>的风险主要与本公司以浮动利率计息的借款有关。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日，本公司的银行借款人民币都是以固定利率计息，不存在利率风险。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外汇风险</w:t>
      </w:r>
    </w:p>
    <w:p>
      <w:pPr>
        <w:pStyle w:val="BodyText"/>
        <w:spacing w:line="364" w:lineRule="auto" w:before="14"/>
        <w:ind w:right="0" w:firstLine="420"/>
        <w:jc w:val="left"/>
      </w:pPr>
      <w:r>
        <w:rPr/>
        <w:t>外汇风险，是指金融工具的公允价值或未来现金流量因外汇汇率变动而发生波动的风险。本公司面临的汇率变动的风 </w:t>
      </w:r>
      <w:r>
        <w:rPr>
          <w:spacing w:val="-2"/>
        </w:rPr>
        <w:t>险主要与本公司外币货币性资产和负债有关。对于外币资产和负债，如果出现短期的失衡情况，本公司会在必要时按市场汇</w:t>
      </w:r>
    </w:p>
    <w:p>
      <w:pPr>
        <w:spacing w:after="0" w:line="364" w:lineRule="auto"/>
        <w:jc w:val="left"/>
        <w:sectPr>
          <w:pgSz w:w="11910" w:h="16840"/>
          <w:pgMar w:header="747" w:footer="979" w:top="1060" w:bottom="1160" w:left="980" w:right="980"/>
        </w:sectPr>
      </w:pPr>
    </w:p>
    <w:p>
      <w:pPr>
        <w:spacing w:line="240" w:lineRule="auto" w:before="8"/>
        <w:rPr>
          <w:rFonts w:ascii="宋体" w:hAnsi="宋体" w:cs="宋体" w:eastAsia="宋体" w:hint="default"/>
          <w:sz w:val="27"/>
          <w:szCs w:val="27"/>
        </w:rPr>
      </w:pPr>
    </w:p>
    <w:p>
      <w:pPr>
        <w:pStyle w:val="BodyText"/>
        <w:spacing w:line="364" w:lineRule="auto"/>
        <w:ind w:left="574" w:right="712" w:hanging="420"/>
        <w:jc w:val="left"/>
      </w:pPr>
      <w:r>
        <w:rPr/>
        <w:t>率买卖外币，以确保将净风险敞口维持在可接受的水平。 本公司期末外币货币性资产和负债情况见本财务报表附注合并财务报表项目注释其他之外币货币性项目说明。</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十一、公允价值的披露" w:id="446"/>
      <w:bookmarkEnd w:id="446"/>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447"/>
      <w:bookmarkEnd w:id="44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持续和非持续第一层次公允价值计量项目市价的确定依据" w:id="448"/>
      <w:bookmarkEnd w:id="44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持续和非持续第二层次公允价值计量项目，采用的估值技术和重要参数的定性及定量信" w:id="449"/>
      <w:bookmarkEnd w:id="44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450"/>
      <w:bookmarkEnd w:id="45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不可观察参数" w:id="451"/>
      <w:bookmarkEnd w:id="45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52"/>
      <w:bookmarkEnd w:id="45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453"/>
      <w:bookmarkEnd w:id="45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不以公允价值计量的金融资产和金融负债的公允价值情况" w:id="454"/>
      <w:bookmarkEnd w:id="45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712" w:firstLine="0"/>
        <w:jc w:val="left"/>
        <w:rPr>
          <w:rFonts w:ascii="宋体" w:hAnsi="宋体" w:cs="宋体" w:eastAsia="宋体" w:hint="default"/>
          <w:sz w:val="21"/>
          <w:szCs w:val="21"/>
        </w:rPr>
      </w:pPr>
      <w:bookmarkStart w:name="9、其他" w:id="455"/>
      <w:bookmarkEnd w:id="45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6"/>
      <w:bookmarkEnd w:id="45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7"/>
      <w:bookmarkEnd w:id="45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right="7432"/>
        <w:jc w:val="left"/>
      </w:pPr>
      <w:r>
        <w:rPr/>
        <w:t>本企业的母公司情况的说明 本企业最终控制方是徐海江。 其他说明：</w:t>
      </w:r>
    </w:p>
    <w:p>
      <w:pPr>
        <w:pStyle w:val="BodyText"/>
        <w:spacing w:line="240" w:lineRule="auto" w:before="25"/>
        <w:ind w:right="0"/>
        <w:jc w:val="left"/>
      </w:pPr>
      <w:r>
        <w:rPr/>
        <w:t>徐海江持有本公司股份</w:t>
      </w:r>
      <w:r>
        <w:rPr>
          <w:rFonts w:ascii="Times New Roman" w:hAnsi="Times New Roman" w:cs="Times New Roman" w:eastAsia="Times New Roman" w:hint="default"/>
        </w:rPr>
        <w:t>7,840.00</w:t>
      </w:r>
      <w:r>
        <w:rPr/>
        <w:t>万股，持股比例</w:t>
      </w:r>
      <w:r>
        <w:rPr>
          <w:rFonts w:ascii="Times New Roman" w:hAnsi="Times New Roman" w:cs="Times New Roman" w:eastAsia="Times New Roman" w:hint="default"/>
        </w:rPr>
        <w:t>34.65%</w:t>
      </w:r>
      <w:r>
        <w:rPr/>
        <w:t>，为本公司实际控制人。</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本企业的子公司情况" w:id="458"/>
      <w:bookmarkEnd w:id="45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本企业子公司的情况详见附注在其他主体中的权益之说明。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本企业合营和联营企业情况" w:id="459"/>
      <w:bookmarkEnd w:id="45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131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460"/>
      <w:bookmarkEnd w:id="46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南京能策投资管理有限公司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孙金良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本公司股东、子公司法定代表人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颜文岚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本公司股东、子公司法定代表人之配偶</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461"/>
      <w:bookmarkEnd w:id="46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62"/>
      <w:bookmarkEnd w:id="46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关联受托管理/承包及委托管理/出包情况" w:id="463"/>
      <w:bookmarkEnd w:id="46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980"/>
          <w:cols w:num="2" w:equalWidth="0">
            <w:col w:w="2545" w:space="6284"/>
            <w:col w:w="112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0"/>
        <w:jc w:val="left"/>
      </w:pPr>
      <w:r>
        <w:rPr/>
        <w:t>关联管理</w:t>
      </w:r>
      <w:r>
        <w:rPr>
          <w:rFonts w:ascii="Times New Roman" w:hAnsi="Times New Roman" w:cs="Times New Roman" w:eastAsia="Times New Roman" w:hint="default"/>
        </w:rPr>
        <w:t>/</w:t>
      </w:r>
      <w:r>
        <w:rPr/>
        <w:t>出包情况说明</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关联租赁情况" w:id="464"/>
      <w:bookmarkEnd w:id="46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本公司作为出租方：</w:t>
      </w:r>
    </w:p>
    <w:p>
      <w:pPr>
        <w:pStyle w:val="BodyText"/>
        <w:spacing w:line="240" w:lineRule="auto" w:before="116"/>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南京能策投资管理有限公司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车辆、厂房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0" w:right="0"/>
              <w:jc w:val="left"/>
              <w:rPr>
                <w:rFonts w:ascii="Times New Roman" w:hAnsi="Times New Roman" w:cs="Times New Roman" w:eastAsia="Times New Roman" w:hint="default"/>
                <w:sz w:val="18"/>
                <w:szCs w:val="18"/>
              </w:rPr>
            </w:pPr>
            <w:r>
              <w:rPr>
                <w:rFonts w:ascii="Times New Roman"/>
                <w:sz w:val="18"/>
              </w:rPr>
              <w:t>952,303.07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本公司作为承租方：</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关联担保情况" w:id="465"/>
      <w:bookmarkEnd w:id="46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本公司作为担保方</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本公司作为被担保方</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132,120,000.00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孙金良、颜文岚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孙金良、颜文岚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孙金良、颜文岚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关联方资金拆借" w:id="466"/>
      <w:bookmarkEnd w:id="46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徐海江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详见本报告第五节重要 事项</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南京能策投资管理有限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30,788,518.37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不计息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2"/>
        <w:rPr>
          <w:rFonts w:ascii="宋体" w:hAnsi="宋体" w:cs="宋体" w:eastAsia="宋体" w:hint="default"/>
          <w:sz w:val="28"/>
          <w:szCs w:val="28"/>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pt;mso-position-horizontal-relative:char;mso-position-vertical-relative:line" coordorigin="0,0" coordsize="9581,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2d2d2">
                <v:path arrowok="t"/>
              </v:shape>
            </v:group>
            <v:group style="position:absolute;left:32;top:14;width:9516;height:393" coordorigin="32,14" coordsize="9516,393">
              <v:shape style="position:absolute;left:32;top:14;width:9516;height:393" coordorigin="32,14" coordsize="9516,393" path="m32,407l9548,407,9548,14,32,14,32,407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9562;height:2" coordorigin="10,412" coordsize="9562,2">
              <v:shape style="position:absolute;left:10;top:412;width:9562;height:2" coordorigin="10,412" coordsize="9562,0" path="m10,412l9571,412e" filled="false" stroked="true" strokeweight=".48pt" strokecolor="#000000">
                <v:path arrowok="t"/>
              </v:shape>
            </v:group>
            <v:group style="position:absolute;left:9576;top:5;width:2;height:412" coordorigin="9576,5" coordsize="2,412">
              <v:shape style="position:absolute;left:9576;top:5;width:2;height:412" coordorigin="9576,5" coordsize="0,412" path="m9576,5l9576,416e" filled="false" stroked="true" strokeweight=".48004pt" strokecolor="#000000">
                <v:path arrowok="t"/>
              </v:shape>
              <v:shape style="position:absolute;left:5;top:10;width:9560;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拆出</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4"/>
        <w:spacing w:line="240" w:lineRule="auto" w:before="35"/>
        <w:ind w:right="0"/>
        <w:jc w:val="left"/>
        <w:rPr>
          <w:b w:val="0"/>
          <w:bCs w:val="0"/>
        </w:rPr>
      </w:pPr>
      <w:bookmarkStart w:name="（6）关联方资产转让、债务重组情况" w:id="467"/>
      <w:bookmarkEnd w:id="46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键管理人员报酬" w:id="468"/>
      <w:bookmarkEnd w:id="46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2,071,394.71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1,178,238.30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其他关联交易" w:id="469"/>
      <w:bookmarkEnd w:id="46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关联方应收应付款项" w:id="470"/>
      <w:bookmarkEnd w:id="47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471"/>
      <w:bookmarkEnd w:id="47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南京能策投资管理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1,709,003.27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85,450.16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1,709,003.27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85,450.16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472"/>
      <w:bookmarkEnd w:id="47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473"/>
      <w:bookmarkEnd w:id="47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770" w:firstLine="0"/>
        <w:jc w:val="left"/>
        <w:rPr>
          <w:rFonts w:ascii="宋体" w:hAnsi="宋体" w:cs="宋体" w:eastAsia="宋体" w:hint="default"/>
          <w:sz w:val="21"/>
          <w:szCs w:val="21"/>
        </w:rPr>
      </w:pPr>
      <w:bookmarkStart w:name="8、其他" w:id="474"/>
      <w:bookmarkEnd w:id="47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5"/>
      <w:bookmarkEnd w:id="475"/>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6"/>
      <w:bookmarkEnd w:id="47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以权益结算的股份支付情况" w:id="477"/>
      <w:bookmarkEnd w:id="47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以现金结算的股份支付情况" w:id="478"/>
      <w:bookmarkEnd w:id="47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54" w:right="69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79"/>
      <w:bookmarkEnd w:id="479"/>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3"/>
        <w:ind w:left="154" w:right="7432" w:firstLine="0"/>
        <w:jc w:val="left"/>
        <w:rPr>
          <w:rFonts w:ascii="宋体" w:hAnsi="宋体" w:cs="宋体" w:eastAsia="宋体" w:hint="default"/>
          <w:sz w:val="21"/>
          <w:szCs w:val="21"/>
        </w:rPr>
      </w:pPr>
      <w:bookmarkStart w:name="5、其他" w:id="480"/>
      <w:bookmarkEnd w:id="48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81"/>
      <w:bookmarkEnd w:id="48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82"/>
      <w:bookmarkEnd w:id="482"/>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pStyle w:val="Heading5"/>
        <w:spacing w:line="240" w:lineRule="auto" w:before="90"/>
        <w:ind w:left="574" w:right="0"/>
        <w:jc w:val="left"/>
      </w:pPr>
      <w:r>
        <w:rPr/>
        <w:t>截至资产负债表日，本公司无需要披露的重要承诺事项。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right="0"/>
        <w:jc w:val="left"/>
        <w:rPr>
          <w:b w:val="0"/>
          <w:bCs w:val="0"/>
        </w:rPr>
      </w:pPr>
      <w:bookmarkStart w:name="2、或有事项" w:id="483"/>
      <w:bookmarkEnd w:id="48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4522" w:firstLine="0"/>
        <w:jc w:val="left"/>
        <w:rPr>
          <w:rFonts w:ascii="宋体" w:hAnsi="宋体" w:cs="宋体" w:eastAsia="宋体" w:hint="default"/>
          <w:sz w:val="21"/>
          <w:szCs w:val="21"/>
        </w:rPr>
      </w:pPr>
      <w:bookmarkStart w:name="（1）资产负债表日存在的重要或有事项" w:id="484"/>
      <w:bookmarkEnd w:id="4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本公司无需要披露的资产负债表日存在的重要或有事项。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spacing w:line="240" w:lineRule="auto"/>
        <w:ind w:right="0"/>
        <w:jc w:val="left"/>
        <w:rPr>
          <w:b w:val="0"/>
          <w:bCs w:val="0"/>
        </w:rPr>
      </w:pPr>
      <w:bookmarkStart w:name="（2）公司没有需要披露的重要或有事项，也应予以说明" w:id="485"/>
      <w:bookmarkEnd w:id="48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6712" w:firstLine="0"/>
        <w:jc w:val="left"/>
        <w:rPr>
          <w:rFonts w:ascii="宋体" w:hAnsi="宋体" w:cs="宋体" w:eastAsia="宋体" w:hint="default"/>
          <w:sz w:val="21"/>
          <w:szCs w:val="21"/>
        </w:rPr>
      </w:pPr>
      <w:bookmarkStart w:name="3、其他" w:id="486"/>
      <w:bookmarkEnd w:id="48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7"/>
      <w:bookmarkEnd w:id="48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8"/>
      <w:bookmarkEnd w:id="48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利润分配情况" w:id="489"/>
      <w:bookmarkEnd w:id="48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24"/>
          <w:szCs w:val="24"/>
        </w:rPr>
      </w:pPr>
    </w:p>
    <w:p>
      <w:pPr>
        <w:pStyle w:val="Heading4"/>
        <w:spacing w:line="240" w:lineRule="auto" w:before="35"/>
        <w:ind w:right="0"/>
        <w:jc w:val="left"/>
        <w:rPr>
          <w:b w:val="0"/>
          <w:bCs w:val="0"/>
        </w:rPr>
      </w:pPr>
      <w:bookmarkStart w:name="3、销售退回" w:id="490"/>
      <w:bookmarkEnd w:id="49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其他资产负债表日后事项说明" w:id="491"/>
      <w:bookmarkEnd w:id="49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3"/>
        <w:rPr>
          <w:rFonts w:ascii="宋体" w:hAnsi="宋体" w:cs="宋体" w:eastAsia="宋体" w:hint="default"/>
          <w:b/>
          <w:bCs/>
          <w:sz w:val="28"/>
          <w:szCs w:val="28"/>
        </w:rPr>
      </w:pPr>
    </w:p>
    <w:p>
      <w:pPr>
        <w:pStyle w:val="BodyText"/>
        <w:spacing w:line="345" w:lineRule="auto" w:before="0"/>
        <w:ind w:right="151" w:firstLine="420"/>
        <w:jc w:val="both"/>
      </w:pPr>
      <w:r>
        <w:rPr>
          <w:spacing w:val="-1"/>
        </w:rPr>
        <w:t>本公司于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24</w:t>
      </w:r>
      <w:r>
        <w:rPr>
          <w:spacing w:val="-1"/>
        </w:rPr>
        <w:t>日收到中国证券监督管理委员会《关于核准吉林省金冠电气股份有限公司向张汉鸿等发行股份购</w:t>
      </w:r>
      <w:r>
        <w:rPr/>
        <w:t> </w:t>
      </w:r>
      <w:r>
        <w:rPr>
          <w:spacing w:val="-2"/>
        </w:rPr>
        <w:t>买资产及支付现金并募集配套资金的批复》（证监许可〔</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177</w:t>
      </w:r>
      <w:r>
        <w:rPr>
          <w:spacing w:val="-2"/>
        </w:rPr>
        <w:t>号），核准本公司向张汉鸿等发行股份</w:t>
      </w:r>
      <w:r>
        <w:rPr>
          <w:rFonts w:ascii="Times New Roman" w:hAnsi="Times New Roman" w:cs="Times New Roman" w:eastAsia="Times New Roman" w:hint="default"/>
          <w:spacing w:val="-2"/>
        </w:rPr>
        <w:t>35,979,217</w:t>
      </w:r>
      <w:r>
        <w:rPr>
          <w:spacing w:val="-2"/>
        </w:rPr>
        <w:t>股，核</w:t>
      </w:r>
      <w:r>
        <w:rPr>
          <w:spacing w:val="-52"/>
        </w:rPr>
        <w:t> </w:t>
      </w:r>
      <w:r>
        <w:rPr>
          <w:spacing w:val="-52"/>
        </w:rPr>
      </w:r>
      <w:r>
        <w:rPr>
          <w:spacing w:val="-1"/>
        </w:rPr>
        <w:t>准本公司非公开发行股份募集配套资金不超过</w:t>
      </w:r>
      <w:r>
        <w:rPr>
          <w:rFonts w:ascii="Times New Roman" w:hAnsi="Times New Roman" w:cs="Times New Roman" w:eastAsia="Times New Roman" w:hint="default"/>
          <w:spacing w:val="-1"/>
        </w:rPr>
        <w:t>70,800</w:t>
      </w:r>
      <w:r>
        <w:rPr>
          <w:spacing w:val="-1"/>
        </w:rPr>
        <w:t>万元。本次发行股份及支付现金购买资产并募集配套资金暨关联交易之</w:t>
      </w:r>
      <w:r>
        <w:rPr>
          <w:spacing w:val="-73"/>
        </w:rPr>
        <w:t> </w:t>
      </w:r>
      <w:r>
        <w:rPr>
          <w:spacing w:val="-73"/>
        </w:rPr>
      </w:r>
      <w:r>
        <w:rPr/>
        <w:t>标的资产（辽源鸿图锂电隔膜科技有限责任公司）已于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日完成股东变更的工商登记手续。</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六、其他重要事项" w:id="492"/>
      <w:bookmarkEnd w:id="492"/>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493"/>
      <w:bookmarkEnd w:id="49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追溯重述法" w:id="494"/>
      <w:bookmarkEnd w:id="49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来适用法" w:id="495"/>
      <w:bookmarkEnd w:id="49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2、债务重组" w:id="496"/>
      <w:bookmarkEnd w:id="49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497"/>
      <w:bookmarkEnd w:id="49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98"/>
      <w:bookmarkEnd w:id="49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99"/>
      <w:bookmarkEnd w:id="49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500"/>
      <w:bookmarkEnd w:id="50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501"/>
      <w:bookmarkEnd w:id="50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after="0" w:line="316"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分部信息" w:id="502"/>
      <w:bookmarkEnd w:id="50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503"/>
      <w:bookmarkEnd w:id="50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报告分部的财务信息" w:id="504"/>
      <w:bookmarkEnd w:id="50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公司无报告分部的，或者不能披露各报告分部的资产总额和负债总额的，应说明原因" w:id="505"/>
      <w:bookmarkEnd w:id="50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说明" w:id="506"/>
      <w:bookmarkEnd w:id="50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其他对投资者决策有影响的重要交易和事项" w:id="507"/>
      <w:bookmarkEnd w:id="50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5812" w:firstLine="0"/>
        <w:jc w:val="left"/>
        <w:rPr>
          <w:rFonts w:ascii="宋体" w:hAnsi="宋体" w:cs="宋体" w:eastAsia="宋体" w:hint="default"/>
          <w:sz w:val="21"/>
          <w:szCs w:val="21"/>
        </w:rPr>
      </w:pPr>
      <w:bookmarkStart w:name="8、其他" w:id="508"/>
      <w:bookmarkEnd w:id="50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9"/>
      <w:bookmarkEnd w:id="50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10"/>
      <w:bookmarkEnd w:id="510"/>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right="0"/>
        <w:jc w:val="left"/>
        <w:rPr>
          <w:b w:val="0"/>
          <w:bCs w:val="0"/>
        </w:rPr>
      </w:pPr>
      <w:bookmarkStart w:name="（1）应收账款分类披露" w:id="511"/>
      <w:bookmarkEnd w:id="51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251,215,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606.87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16,939,1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234,276,4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55.77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202,195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,540.46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14,698,38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187,497,15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3.00</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251,215,</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606.87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16,939,1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51.10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234,276,4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55.77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202,195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,540.46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14,698,38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187,497,15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3.00</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3"/>
        <w:gridCol w:w="7075"/>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407"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207,218,709.44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9,991,696.44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32,703,106.89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3,270,310.69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4,129,979.65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825,995.93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5,056,432.80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1,516,929.84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1,546,319.79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773,159.90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561,058.30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561,058.30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251,215,606.87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16,939,151.10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w:t>
            </w:r>
          </w:p>
        </w:tc>
      </w:tr>
    </w:tbl>
    <w:p>
      <w:pPr>
        <w:pStyle w:val="BodyText"/>
        <w:spacing w:line="360" w:lineRule="auto" w:before="51"/>
        <w:ind w:right="5452"/>
        <w:jc w:val="left"/>
      </w:pPr>
      <w:r>
        <w:rPr/>
        <w:t>确定该组合依据的说明： 组合中，采用余额百分比法计提坏账准备的应收账款：</w:t>
      </w:r>
    </w:p>
    <w:p>
      <w:pPr>
        <w:pStyle w:val="BodyText"/>
        <w:spacing w:line="340" w:lineRule="auto" w:before="26"/>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本期计提、收回或转回的坏账准备情况" w:id="512"/>
      <w:bookmarkEnd w:id="51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38" w:lineRule="auto"/>
        <w:ind w:right="-17"/>
        <w:jc w:val="left"/>
      </w:pPr>
      <w:r>
        <w:rPr/>
        <w:t>本期计提坏账准备金额</w:t>
      </w:r>
      <w:r>
        <w:rPr>
          <w:spacing w:val="-47"/>
        </w:rPr>
        <w:t> </w:t>
      </w:r>
      <w:r>
        <w:rPr>
          <w:rFonts w:ascii="Times New Roman" w:hAnsi="Times New Roman" w:cs="Times New Roman" w:eastAsia="Times New Roman" w:hint="default"/>
        </w:rPr>
        <w:t>2,240,763.64</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980"/>
          <w:cols w:num="2" w:equalWidth="0">
            <w:col w:w="6049" w:space="2780"/>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实际核销的应收账款情况" w:id="513"/>
      <w:bookmarkEnd w:id="51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其中重要的应收账款核销情况：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按欠款方归集的期末余额前五名的应收账款情况" w:id="514"/>
      <w:bookmarkEnd w:id="51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829"/>
        <w:gridCol w:w="1984"/>
        <w:gridCol w:w="1842"/>
        <w:gridCol w:w="1842"/>
      </w:tblGrid>
      <w:tr>
        <w:trPr>
          <w:trHeight w:val="659"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占应收账款余额的比例</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长春市地铁有限责任公司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38,506,384.30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15.33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1,925,319.22</w:t>
            </w: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国网吉林省电力有限公司长春供电公司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1,240,3961.51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4.94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843,912.22</w:t>
            </w: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河南平高通用电气有限公司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11,277,872.18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4.49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727,570.02</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吉林省中泰电力设备制造有限公司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8,889,600.00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3.54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444,480.00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829"/>
        <w:gridCol w:w="1984"/>
        <w:gridCol w:w="1842"/>
        <w:gridCol w:w="1842"/>
      </w:tblGrid>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浙江开盛电气有限公司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7,384,780.62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2.93</w:t>
            </w:r>
          </w:p>
        </w:tc>
        <w:tc>
          <w:tcPr>
            <w:tcW w:w="184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78,462,598.61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31.23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3,941,281.46</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5）因金融资产转移而终止确认的应收账款" w:id="515"/>
      <w:bookmarkEnd w:id="51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转移应收账款且继续涉入形成的资产、负债金额" w:id="516"/>
      <w:bookmarkEnd w:id="51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其他应收款" w:id="517"/>
      <w:bookmarkEnd w:id="51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518"/>
      <w:bookmarkEnd w:id="51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59,648,0</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91.08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59,648,09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6,773,3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60.87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6,773,360.8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59,648,0</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91.08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59,648,09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1.08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6,773,3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60.87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6,773,360.8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期末单项金额重大并单项计提坏账准备的其他应收款：</w:t>
      </w:r>
    </w:p>
    <w:p>
      <w:pPr>
        <w:pStyle w:val="BodyText"/>
        <w:spacing w:line="338" w:lineRule="auto" w:before="117"/>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40" w:lineRule="auto" w:before="42"/>
        <w:ind w:right="52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0"/>
        <w:ind w:right="5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268"/>
        <w:gridCol w:w="2440"/>
        <w:gridCol w:w="2212"/>
        <w:gridCol w:w="2554"/>
      </w:tblGrid>
      <w:tr>
        <w:trPr>
          <w:trHeight w:val="347" w:hRule="exact"/>
        </w:trPr>
        <w:tc>
          <w:tcPr>
            <w:tcW w:w="2268" w:type="dxa"/>
            <w:vMerge w:val="restart"/>
            <w:tcBorders>
              <w:top w:val="single" w:sz="6" w:space="0" w:color="000000"/>
              <w:left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7206"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2268" w:type="dxa"/>
            <w:vMerge/>
            <w:tcBorders>
              <w:left w:val="single" w:sz="6" w:space="0" w:color="000000"/>
              <w:bottom w:val="single" w:sz="6" w:space="0" w:color="000000"/>
              <w:right w:val="single" w:sz="6" w:space="0" w:color="000000"/>
            </w:tcBorders>
          </w:tcPr>
          <w:p>
            <w:pP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5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7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个别认定法组合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59,648,091.08</w:t>
            </w:r>
          </w:p>
        </w:tc>
        <w:tc>
          <w:tcPr>
            <w:tcW w:w="2212"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59,648,091.08</w:t>
            </w:r>
          </w:p>
        </w:tc>
        <w:tc>
          <w:tcPr>
            <w:tcW w:w="2212"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5"/>
        <w:ind w:right="0"/>
        <w:jc w:val="left"/>
        <w:rPr>
          <w:b w:val="0"/>
          <w:bCs w:val="0"/>
        </w:rPr>
      </w:pPr>
      <w:bookmarkStart w:name="（2）本期计提、收回或转回的坏账准备情况" w:id="519"/>
      <w:bookmarkEnd w:id="51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本期计提坏账准备金额元；本期收回或转回坏账准备金额元。</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其中本期坏账准备转回或收回金额重要的：</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本期实际核销的其他应收款情况" w:id="520"/>
      <w:bookmarkEnd w:id="52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其中重要的其他应收款核销情况：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应收款按款项性质分类情况" w:id="521"/>
      <w:bookmarkEnd w:id="52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559,272.28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164,535.28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59,088,818.80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6,587,355.59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21,470.00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59,648,091.08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6,773,360.87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按欠款方归集的期末余额前五名的其他应收款情况" w:id="522"/>
      <w:bookmarkEnd w:id="52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张汉鸿</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宁波市公共资源交易 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北京国电工程招标有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830,021.00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浙江省公共资源交易 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湖北正信电力工程咨 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53,230,021.00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89.24%</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涉及政府补助的应收款项" w:id="523"/>
      <w:bookmarkEnd w:id="52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7）因金融资产转移而终止确认的其他应收款" w:id="524"/>
      <w:bookmarkEnd w:id="52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转移其他应收款且继续涉入形成的资产、负债金额" w:id="525"/>
      <w:bookmarkEnd w:id="52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长期股权投资" w:id="526"/>
      <w:bookmarkEnd w:id="52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1,623,841,584.41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1,623,841,584.41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31,394,330.00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31,394,330.00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1,623,841,584.41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1,623,841,584.41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31,394,330.00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31,394,330.00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527"/>
      <w:bookmarkEnd w:id="52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吉林省埃尔顿电 气有限公司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9,381,200.00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9,381,200.00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浙江开盛电气有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欧内斯特电气有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1,013,130.00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1,013,130.00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华胤控股集团有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南京能瑞自动化 设备有限公司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1,597,973,966.12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4,526,711.71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1,593,447,254.41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湖州金冠鸿图隔 膜科技有限公司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31,394,330.00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1,617,973,966.12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25,526,711.71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1,623,841,584.41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对联营、合营企业投资" w:id="528"/>
      <w:bookmarkEnd w:id="52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其他说明" w:id="529"/>
      <w:bookmarkEnd w:id="52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74" w:right="0"/>
        <w:jc w:val="left"/>
      </w:pPr>
      <w:r>
        <w:rPr/>
        <w:t>公司转让浙江开盛电气有限公司股权事项详见本财务报表附注七、（一）、</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）之说明。</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营业收入和营业成本" w:id="530"/>
      <w:bookmarkEnd w:id="53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314,193,588.29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201,944,972.33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288,771,185.91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185,571,878.40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17,912,602.02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13,225,409.98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12,256,645.21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8,149,245.71</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332,106,190.31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215,170,382.31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301,027,831.12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193,721,124.11</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投资收益" w:id="531"/>
      <w:bookmarkEnd w:id="53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其他" w:id="532"/>
      <w:bookmarkEnd w:id="532"/>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33"/>
      <w:bookmarkEnd w:id="533"/>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534"/>
      <w:bookmarkEnd w:id="53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-480,953.84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14,149,380.94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67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51"/>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41,243.86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97,622.18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1,264,771.51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49,102.25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12,493,419.38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535"/>
      <w:bookmarkEnd w:id="53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0.57</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536"/>
      <w:bookmarkEnd w:id="53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537"/>
      <w:bookmarkEnd w:id="53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538"/>
      <w:bookmarkEnd w:id="53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539"/>
      <w:bookmarkEnd w:id="53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2"/>
        </w:rPr>
        <w:t> </w:t>
      </w:r>
      <w:r>
        <w:rPr>
          <w:spacing w:val="-62"/>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540"/>
      <w:bookmarkEnd w:id="540"/>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541"/>
      <w:bookmarkStart w:name="第十二节 备查文件目录" w:id="542"/>
      <w:r>
        <w:rPr>
          <w:b w:val="0"/>
          <w:bCs w:val="0"/>
        </w:rPr>
      </w:r>
      <w:r>
        <w:rPr/>
        <w:t>第十二节</w:t>
      </w:r>
      <w:r>
        <w:rPr>
          <w:spacing w:val="-8"/>
        </w:rPr>
        <w:t> </w:t>
      </w:r>
      <w:r>
        <w:rPr/>
        <w:t>备查文件目录</w:t>
      </w:r>
      <w:bookmarkEnd w:id="541"/>
      <w:r>
        <w:rPr>
          <w:b w:val="0"/>
          <w:bCs w:val="0"/>
        </w:rPr>
      </w:r>
    </w:p>
    <w:p>
      <w:pPr>
        <w:spacing w:line="240" w:lineRule="auto" w:before="3"/>
        <w:rPr>
          <w:rFonts w:ascii="宋体" w:hAnsi="宋体" w:cs="宋体" w:eastAsia="宋体" w:hint="default"/>
          <w:b/>
          <w:bCs/>
          <w:sz w:val="44"/>
          <w:szCs w:val="44"/>
        </w:rPr>
      </w:pPr>
    </w:p>
    <w:p>
      <w:pPr>
        <w:pStyle w:val="BodyText"/>
        <w:spacing w:line="240" w:lineRule="auto" w:before="0"/>
        <w:ind w:right="0"/>
        <w:jc w:val="left"/>
      </w:pPr>
      <w:r>
        <w:rPr>
          <w:rFonts w:ascii="Times New Roman" w:hAnsi="Times New Roman" w:cs="Times New Roman" w:eastAsia="Times New Roman" w:hint="default"/>
        </w:rPr>
        <w:t>1</w:t>
      </w:r>
      <w:r>
        <w:rPr/>
        <w:t>、载有法定代表人签名的</w:t>
      </w:r>
      <w:r>
        <w:rPr>
          <w:rFonts w:ascii="Times New Roman" w:hAnsi="Times New Roman" w:cs="Times New Roman" w:eastAsia="Times New Roman" w:hint="default"/>
        </w:rPr>
        <w:t>2017</w:t>
      </w:r>
      <w:r>
        <w:rPr/>
        <w:t>年年度报告文本；</w:t>
      </w:r>
    </w:p>
    <w:p>
      <w:pPr>
        <w:pStyle w:val="BodyText"/>
        <w:spacing w:line="240" w:lineRule="auto" w:before="109"/>
        <w:ind w:right="0"/>
        <w:jc w:val="left"/>
      </w:pPr>
      <w:r>
        <w:rPr>
          <w:rFonts w:ascii="Times New Roman" w:hAnsi="Times New Roman" w:cs="Times New Roman" w:eastAsia="Times New Roman" w:hint="default"/>
        </w:rPr>
        <w:t>2</w:t>
      </w:r>
      <w:r>
        <w:rPr/>
        <w:t>、载有公司法定代表人、主管会计工作负责人、会计机构负责人签名并盖章的财务报告；</w:t>
      </w:r>
    </w:p>
    <w:p>
      <w:pPr>
        <w:pStyle w:val="BodyText"/>
        <w:spacing w:line="240" w:lineRule="auto" w:before="109"/>
        <w:ind w:right="0"/>
        <w:jc w:val="left"/>
      </w:pPr>
      <w:r>
        <w:rPr>
          <w:rFonts w:ascii="Times New Roman" w:hAnsi="Times New Roman" w:cs="Times New Roman" w:eastAsia="Times New Roman" w:hint="default"/>
        </w:rPr>
        <w:t>3</w:t>
      </w:r>
      <w:r>
        <w:rPr/>
        <w:t>、报告期内在中国证监会指定网站上公开披露过的所有公司文件的正本及公告的原稿；</w:t>
      </w:r>
    </w:p>
    <w:p>
      <w:pPr>
        <w:pStyle w:val="BodyText"/>
        <w:spacing w:line="345" w:lineRule="auto" w:before="109"/>
        <w:ind w:right="6892"/>
        <w:jc w:val="left"/>
      </w:pPr>
      <w:r>
        <w:rPr>
          <w:rFonts w:ascii="Times New Roman" w:hAnsi="Times New Roman" w:cs="Times New Roman" w:eastAsia="Times New Roman" w:hint="default"/>
        </w:rPr>
        <w:t>4</w:t>
      </w:r>
      <w:r>
        <w:rPr/>
        <w:t>、其他相关资料； 以上文件的存放地点：公司证券部。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Heading5"/>
        <w:spacing w:line="614" w:lineRule="auto"/>
        <w:ind w:left="6548" w:right="1214" w:hanging="566"/>
        <w:jc w:val="left"/>
      </w:pPr>
      <w:r>
        <w:rPr/>
        <w:t>吉林省金冠电气股份有限公司 法定代表人：</w:t>
      </w:r>
    </w:p>
    <w:p>
      <w:pPr>
        <w:pStyle w:val="Heading5"/>
        <w:spacing w:line="240" w:lineRule="auto" w:before="178"/>
        <w:ind w:left="6092" w:right="0"/>
        <w:jc w:val="left"/>
      </w:pPr>
      <w:r>
        <w:rPr/>
        <w:t>二〇一八年四月十九日</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212968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212944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212941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212939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212936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21293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21296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212963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21296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57.165588pt;width:484pt;height:11.5pt;mso-position-horizontal-relative:page;mso-position-vertical-relative:page;z-index:-2129584" type="#_x0000_t202" filled="false" stroked="false">
          <v:textbox inset="0,0,0,0">
            <w:txbxContent>
              <w:p>
                <w:pPr>
                  <w:pStyle w:val="BodyText"/>
                  <w:spacing w:line="214" w:lineRule="exact" w:before="0"/>
                  <w:ind w:left="20" w:right="0"/>
                  <w:jc w:val="left"/>
                </w:pPr>
                <w:r>
                  <w:rPr/>
                  <w:t>年来的研发及工艺积累，目前公司已经开发了</w:t>
                </w:r>
                <w:r>
                  <w:rPr>
                    <w:rFonts w:ascii="Times New Roman" w:hAnsi="Times New Roman" w:cs="Times New Roman" w:eastAsia="Times New Roman" w:hint="default"/>
                  </w:rPr>
                  <w:t>20</w:t>
                </w:r>
                <w:r>
                  <w:rPr/>
                  <w:t>余种锂离子电池隔膜型号，产品覆盖</w:t>
                </w:r>
                <w:r>
                  <w:rPr>
                    <w:rFonts w:ascii="Times New Roman" w:hAnsi="Times New Roman" w:cs="Times New Roman" w:eastAsia="Times New Roman" w:hint="default"/>
                  </w:rPr>
                  <w:t>5μm</w:t>
                </w:r>
                <w:r>
                  <w:rPr>
                    <w:rFonts w:ascii="Times New Roman" w:hAnsi="Times New Roman" w:cs="Times New Roman" w:eastAsia="Times New Roman" w:hint="default"/>
                  </w:rPr>
                  <w:t>-</w:t>
                </w:r>
                <w:r>
                  <w:rPr>
                    <w:rFonts w:ascii="Times New Roman" w:hAnsi="Times New Roman" w:cs="Times New Roman" w:eastAsia="Times New Roman" w:hint="default"/>
                  </w:rPr>
                  <w:t>20μm</w:t>
                </w:r>
                <w:r>
                  <w:rPr/>
                  <w:t>之间高低孔隙率隔膜产品，</w:t>
                </w:r>
              </w:p>
            </w:txbxContent>
          </v:textbox>
          <w10:wrap type="none"/>
        </v:shape>
      </w:pict>
    </w:r>
    <w:r>
      <w:rPr/>
      <w:pict>
        <v:shape style="position:absolute;margin-left:527.679993pt;margin-top:781.957947pt;width:13pt;height:11pt;mso-position-horizontal-relative:page;mso-position-vertical-relative:page;z-index:-21295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212953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21295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212948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21294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2129704" type="#_x0000_t202" filled="false" stroked="false">
          <v:textbox inset="0,0,0,0">
            <w:txbxContent>
              <w:p>
                <w:pPr>
                  <w:pStyle w:val="BodyText"/>
                  <w:spacing w:line="214" w:lineRule="exact" w:before="0"/>
                  <w:ind w:left="20" w:right="0"/>
                  <w:jc w:val="left"/>
                </w:pPr>
                <w:r>
                  <w:rPr/>
                  <w:t>吉林省金冠电气股份有限公司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44"/>
      <w:ind w:left="154"/>
    </w:pPr>
    <w:rPr>
      <w:rFonts w:ascii="宋体" w:hAnsi="宋体" w:eastAsia="宋体"/>
      <w:sz w:val="18"/>
      <w:szCs w:val="18"/>
    </w:rPr>
  </w:style>
  <w:style w:styleId="Heading1" w:type="paragraph">
    <w:name w:val="Heading 1"/>
    <w:basedOn w:val="Normal"/>
    <w:uiPriority w:val="1"/>
    <w:qFormat/>
    <w:pPr>
      <w:spacing w:before="1"/>
      <w:ind w:left="2604"/>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spacing w:before="15"/>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154"/>
      <w:outlineLvl w:val="5"/>
    </w:pPr>
    <w:rPr>
      <w:rFonts w:ascii="宋体" w:hAnsi="宋体" w:eastAsia="宋体"/>
      <w:sz w:val="21"/>
      <w:szCs w:val="21"/>
    </w:rPr>
  </w:style>
  <w:style w:styleId="Heading6" w:type="paragraph">
    <w:name w:val="Heading 6"/>
    <w:basedOn w:val="Normal"/>
    <w:uiPriority w:val="1"/>
    <w:qFormat/>
    <w:pPr>
      <w:spacing w:before="29"/>
      <w:ind w:left="574"/>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jljgdq.cn/" TargetMode="External"/><Relationship Id="rId10" Type="http://schemas.openxmlformats.org/officeDocument/2006/relationships/hyperlink" Target="mailto:jilinjinguan@163.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jpeg"/><Relationship Id="rId27" Type="http://schemas.openxmlformats.org/officeDocument/2006/relationships/hyperlink" Target="http://www.cninfo.co/" TargetMode="Externa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image" Target="media/image8.png"/><Relationship Id="rId31" Type="http://schemas.openxmlformats.org/officeDocument/2006/relationships/footer" Target="footer14.xml"/><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吉林省金冠电气股份有限公司</dc:creator>
  <dc:title>吉林省金冠电气股份有限公司2017年年度报告全文</dc:title>
  <dcterms:created xsi:type="dcterms:W3CDTF">2020-05-03T00:56:58Z</dcterms:created>
  <dcterms:modified xsi:type="dcterms:W3CDTF">2020-05-03T00:56:58Z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Office Word 2007</vt:lpwstr>
  </property>
  <property fmtid="{D5CDD505-2E9C-101B-9397-08002B2CF9AE}" pid="4" name="LastSaved">
    <vt:filetime>2020-05-02T00:00:00Z</vt:filetime>
  </property>
</Properties>
</file>