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3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09109" cy="15144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109" cy="1514475"/>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4"/>
        <w:rPr>
          <w:rFonts w:ascii="Times New Roman" w:hAnsi="Times New Roman" w:cs="Times New Roman" w:eastAsia="Times New Roman" w:hint="default"/>
          <w:sz w:val="13"/>
          <w:szCs w:val="13"/>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科大国创软件股份有限公司</w:t>
      </w:r>
      <w:r>
        <w:rPr>
          <w:rFonts w:ascii="Microsoft JhengHei" w:hAnsi="Microsoft JhengHei" w:cs="Microsoft JhengHei" w:eastAsia="Microsoft JhengHei" w:hint="default"/>
          <w:sz w:val="36"/>
          <w:szCs w:val="36"/>
        </w:rPr>
      </w:r>
    </w:p>
    <w:p>
      <w:pPr>
        <w:spacing w:before="258"/>
        <w:ind w:left="2793"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3"/>
          <w:szCs w:val="23"/>
        </w:rPr>
      </w:pPr>
    </w:p>
    <w:p>
      <w:pPr>
        <w:spacing w:before="0"/>
        <w:ind w:left="2793" w:right="2791" w:firstLine="0"/>
        <w:jc w:val="center"/>
        <w:rPr>
          <w:rFonts w:ascii="Times New Roman" w:hAnsi="Times New Roman" w:cs="Times New Roman" w:eastAsia="Times New Roman" w:hint="default"/>
          <w:sz w:val="22"/>
          <w:szCs w:val="22"/>
        </w:rPr>
      </w:pPr>
      <w:r>
        <w:rPr>
          <w:rFonts w:ascii="Times New Roman"/>
          <w:b/>
          <w:sz w:val="22"/>
        </w:rPr>
        <w:t>2018-12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2793"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8" w:footer="979" w:top="1060" w:bottom="1160" w:left="980" w:right="98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TOC_250011" w:id="1"/>
      <w:r>
        <w:rPr/>
        <w:t>第一节 </w:t>
      </w:r>
      <w:r>
        <w:rPr>
          <w:spacing w:val="12"/>
        </w:rPr>
        <w:t> </w:t>
      </w:r>
      <w:r>
        <w:rPr/>
        <w:t>重要提示、目录和释义</w:t>
      </w:r>
      <w:bookmarkEnd w:id="1"/>
      <w:r>
        <w:rPr>
          <w:b w:val="0"/>
          <w:bCs w:val="0"/>
        </w:rPr>
      </w:r>
    </w:p>
    <w:p>
      <w:pPr>
        <w:spacing w:line="240" w:lineRule="auto" w:before="6"/>
        <w:rPr>
          <w:rFonts w:ascii="Microsoft JhengHei" w:hAnsi="Microsoft JhengHei" w:cs="Microsoft JhengHei" w:eastAsia="Microsoft JhengHei" w:hint="default"/>
          <w:b/>
          <w:bCs/>
          <w:sz w:val="29"/>
          <w:szCs w:val="29"/>
        </w:rPr>
      </w:pPr>
    </w:p>
    <w:p>
      <w:pPr>
        <w:spacing w:line="307" w:lineRule="auto" w:before="0"/>
        <w:ind w:left="153" w:right="176"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3" w:right="17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公司负责人董永东、主管会计工作负责人储士升及会计机构负责人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刘芳声明：保证年度报告中财务报告的真实、准确、完整。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本报告中所涉及对未来发展和经营计划等前瞻性陈述，不构成公司对投资</w:t>
      </w:r>
      <w:r>
        <w:rPr>
          <w:rFonts w:ascii="Microsoft JhengHei" w:hAnsi="Microsoft JhengHei" w:cs="Microsoft JhengHei" w:eastAsia="Microsoft JhengHei" w:hint="default"/>
          <w:spacing w:val="2"/>
          <w:sz w:val="28"/>
          <w:szCs w:val="28"/>
        </w:rPr>
      </w:r>
    </w:p>
    <w:p>
      <w:pPr>
        <w:spacing w:line="445"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者的实质承诺，能否实现取决于市场状况变化等多种因素，存在不确定性，投</w:t>
      </w:r>
      <w:r>
        <w:rPr>
          <w:rFonts w:ascii="Microsoft JhengHei" w:hAnsi="Microsoft JhengHei" w:cs="Microsoft JhengHei" w:eastAsia="Microsoft JhengHei" w:hint="default"/>
          <w:spacing w:val="2"/>
          <w:sz w:val="28"/>
          <w:szCs w:val="28"/>
        </w:rPr>
      </w:r>
    </w:p>
    <w:p>
      <w:pPr>
        <w:spacing w:line="307" w:lineRule="auto"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资者及相关人士均应对此保持足够的风险认识，并且应当理解计划、预测与承</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诺之间的差异。</w:t>
      </w:r>
      <w:r>
        <w:rPr>
          <w:rFonts w:ascii="Microsoft JhengHei" w:hAnsi="Microsoft JhengHei" w:cs="Microsoft JhengHei" w:eastAsia="Microsoft JhengHei" w:hint="default"/>
          <w:sz w:val="28"/>
          <w:szCs w:val="28"/>
        </w:rPr>
      </w:r>
    </w:p>
    <w:p>
      <w:pPr>
        <w:spacing w:line="307" w:lineRule="auto" w:before="133"/>
        <w:ind w:left="153" w:right="172"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公司在发展过程中，存在市场竞争加剧的风险、季节性波动风险、核心技</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术风险、人力资源风险、应收账款余额较大的风险等风险因素，敬请广大投资</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者注意投资风险，详细内容见本报告中第四节第九小节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spacing w:val="-33"/>
          <w:sz w:val="28"/>
          <w:szCs w:val="28"/>
        </w:rPr>
        <w:t> </w:t>
      </w:r>
      <w:r>
        <w:rPr>
          <w:rFonts w:ascii="Microsoft JhengHei" w:hAnsi="Microsoft JhengHei" w:cs="Microsoft JhengHei" w:eastAsia="Microsoft JhengHei" w:hint="default"/>
          <w:b/>
          <w:bCs/>
          <w:sz w:val="28"/>
          <w:szCs w:val="28"/>
        </w:rPr>
        <w:t>中</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经营风险</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202,400,000</w:t>
      </w:r>
      <w:r>
        <w:rPr>
          <w:rFonts w:ascii="Times New Roman" w:hAnsi="Times New Roman" w:cs="Times New Roman" w:eastAsia="Times New Roman" w:hint="default"/>
          <w:b/>
          <w:bCs/>
          <w:spacing w:val="24"/>
          <w:sz w:val="28"/>
          <w:szCs w:val="28"/>
        </w:rPr>
        <w:t> </w:t>
      </w:r>
      <w:r>
        <w:rPr>
          <w:rFonts w:ascii="Microsoft JhengHei" w:hAnsi="Microsoft JhengHei" w:cs="Microsoft JhengHei" w:eastAsia="Microsoft JhengHei" w:hint="default"/>
          <w:b/>
          <w:bCs/>
          <w:sz w:val="28"/>
          <w:szCs w:val="28"/>
        </w:rPr>
        <w:t>股为基数，</w:t>
      </w:r>
      <w:r>
        <w:rPr>
          <w:rFonts w:ascii="Microsoft JhengHei" w:hAnsi="Microsoft JhengHei" w:cs="Microsoft JhengHei" w:eastAsia="Microsoft JhengHei" w:hint="default"/>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向全</w:t>
      </w:r>
      <w:r>
        <w:rPr>
          <w:rFonts w:ascii="Microsoft JhengHei" w:hAnsi="Microsoft JhengHei" w:cs="Microsoft JhengHei" w:eastAsia="Microsoft JhengHei" w:hint="default"/>
          <w:b/>
          <w:bCs/>
          <w:spacing w:val="2"/>
          <w:w w:val="100"/>
          <w:sz w:val="28"/>
          <w:szCs w:val="28"/>
        </w:rPr>
        <w:t>体</w:t>
      </w:r>
      <w:r>
        <w:rPr>
          <w:rFonts w:ascii="Microsoft JhengHei" w:hAnsi="Microsoft JhengHei" w:cs="Microsoft JhengHei" w:eastAsia="Microsoft JhengHei" w:hint="default"/>
          <w:b/>
          <w:bCs/>
          <w:w w:val="100"/>
          <w:sz w:val="28"/>
          <w:szCs w:val="28"/>
        </w:rPr>
        <w:t>股东每</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w w:val="100"/>
          <w:sz w:val="28"/>
          <w:szCs w:val="28"/>
        </w:rPr>
        <w:t>股派发</w:t>
      </w:r>
      <w:r>
        <w:rPr>
          <w:rFonts w:ascii="Microsoft JhengHei" w:hAnsi="Microsoft JhengHei" w:cs="Microsoft JhengHei" w:eastAsia="Microsoft JhengHei" w:hint="default"/>
          <w:b/>
          <w:bCs/>
          <w:spacing w:val="2"/>
          <w:w w:val="100"/>
          <w:sz w:val="28"/>
          <w:szCs w:val="28"/>
        </w:rPr>
        <w:t>现</w:t>
      </w:r>
      <w:r>
        <w:rPr>
          <w:rFonts w:ascii="Microsoft JhengHei" w:hAnsi="Microsoft JhengHei" w:cs="Microsoft JhengHei" w:eastAsia="Microsoft JhengHei" w:hint="default"/>
          <w:b/>
          <w:bCs/>
          <w:w w:val="100"/>
          <w:sz w:val="28"/>
          <w:szCs w:val="28"/>
        </w:rPr>
        <w:t>金红利</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w w:val="100"/>
          <w:sz w:val="28"/>
          <w:szCs w:val="28"/>
        </w:rPr>
        <w:t>0.25</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w:t>
      </w:r>
      <w:r>
        <w:rPr>
          <w:rFonts w:ascii="Microsoft JhengHei" w:hAnsi="Microsoft JhengHei" w:cs="Microsoft JhengHei" w:eastAsia="Microsoft JhengHei" w:hint="default"/>
          <w:w w:val="100"/>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4"/>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8" w:top="1060" w:bottom="1160" w:left="980" w:right="96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4"/>
          <w:szCs w:val="14"/>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43"/>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75"/>
            <w:ind w:right="0"/>
            <w:jc w:val="left"/>
            <w:rPr>
              <w:rFonts w:ascii="Times New Roman" w:hAnsi="Times New Roman" w:cs="Times New Roman" w:eastAsia="Times New Roman" w:hint="default"/>
              <w:b w:val="0"/>
              <w:bCs w:val="0"/>
            </w:rPr>
          </w:pPr>
          <w:hyperlink w:history="true" w:anchor="_TOC_250010">
            <w:r>
              <w:rPr/>
              <w:t>第二节</w:t>
            </w:r>
            <w:r>
              <w:rPr>
                <w:spacing w:val="43"/>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43"/>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43"/>
              </w:rPr>
              <w:t> </w:t>
            </w:r>
            <w:r>
              <w:rPr/>
              <w:t>经营情况讨论与分析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43"/>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43"/>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43"/>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43"/>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43"/>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43"/>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43"/>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43"/>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9" w:top="1060" w:bottom="1160" w:left="980" w:right="980"/>
        </w:sectPr>
      </w:pPr>
    </w:p>
    <w:p>
      <w:pPr>
        <w:spacing w:before="841"/>
        <w:ind w:left="2793" w:right="279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本公司、公司、科大国创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合肥国创、控股股东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日本科大国创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株式会社科大国创，系公司全资子公司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中电科运营公司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公共设施运营管理有限公司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安徽中科国创高可信软件有限公司，系公司控股子公司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安徽慧通互联科技有限公司，系公司控股子公司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安徽慧通互联物流科技有限公司，系公司控股孙公司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酷智投资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雅弘投资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上海雅弘股权投资基金中心（有限合伙）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国元直投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国元股权投资有限公司，系国元证券股份有限公司全资子公司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中科大资产经营有限责任公司，系中科大全资子公司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保荐机构、国元证券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针对行业定制化需求和特点研发的软件，具有行业特点并应用于特定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行业，如电信行业软件、电力行业软件、金融行业软件、交通行业软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件等</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9"/>
              <w:jc w:val="both"/>
              <w:rPr>
                <w:rFonts w:ascii="宋体" w:hAnsi="宋体" w:cs="宋体" w:eastAsia="宋体" w:hint="default"/>
                <w:sz w:val="18"/>
                <w:szCs w:val="18"/>
              </w:rPr>
            </w:pPr>
            <w:r>
              <w:rPr>
                <w:rFonts w:ascii="宋体" w:hAnsi="宋体" w:cs="宋体" w:eastAsia="宋体" w:hint="default"/>
                <w:sz w:val="18"/>
                <w:szCs w:val="18"/>
              </w:rPr>
              <w:t>满足客户需求的软、硬件技术方案和实施方案。方案主要包括业务、 </w:t>
            </w:r>
            <w:r>
              <w:rPr>
                <w:rFonts w:ascii="宋体" w:hAnsi="宋体" w:cs="宋体" w:eastAsia="宋体" w:hint="default"/>
                <w:spacing w:val="-3"/>
                <w:sz w:val="18"/>
                <w:szCs w:val="18"/>
              </w:rPr>
              <w:t>需求、系统架构、软件、系统支撑平台、技术选型、设备选型、</w:t>
            </w:r>
            <w:r>
              <w:rPr>
                <w:rFonts w:ascii="Times New Roman" w:hAnsi="Times New Roman" w:cs="Times New Roman" w:eastAsia="Times New Roman" w:hint="default"/>
                <w:spacing w:val="-3"/>
                <w:sz w:val="18"/>
                <w:szCs w:val="18"/>
              </w:rPr>
              <w:t>IT </w:t>
            </w:r>
            <w:r>
              <w:rPr>
                <w:rFonts w:ascii="宋体" w:hAnsi="宋体" w:cs="宋体" w:eastAsia="宋体" w:hint="default"/>
                <w:sz w:val="18"/>
                <w:szCs w:val="18"/>
              </w:rPr>
              <w:t>集</w:t>
            </w:r>
            <w:r>
              <w:rPr>
                <w:rFonts w:ascii="宋体" w:hAnsi="宋体" w:cs="宋体" w:eastAsia="宋体" w:hint="default"/>
                <w:spacing w:val="-70"/>
                <w:sz w:val="18"/>
                <w:szCs w:val="18"/>
              </w:rPr>
              <w:t> </w:t>
            </w:r>
            <w:r>
              <w:rPr>
                <w:rFonts w:ascii="宋体" w:hAnsi="宋体" w:cs="宋体" w:eastAsia="宋体" w:hint="default"/>
                <w:sz w:val="18"/>
                <w:szCs w:val="18"/>
              </w:rPr>
              <w:t>成、信息安全、实施计划、项目管理等</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2"/>
                <w:sz w:val="18"/>
                <w:szCs w:val="18"/>
              </w:rPr>
              <w:t>一种基于互联网的计算方式，通过这种方式，共享的软硬件资源和信</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299"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19"/>
              <w:jc w:val="both"/>
              <w:rPr>
                <w:rFonts w:ascii="宋体" w:hAnsi="宋体" w:cs="宋体" w:eastAsia="宋体" w:hint="default"/>
                <w:sz w:val="18"/>
                <w:szCs w:val="18"/>
              </w:rPr>
            </w:pPr>
            <w:r>
              <w:rPr>
                <w:rFonts w:ascii="宋体" w:hAnsi="宋体" w:cs="宋体" w:eastAsia="宋体" w:hint="default"/>
                <w:spacing w:val="-2"/>
                <w:sz w:val="18"/>
                <w:szCs w:val="18"/>
              </w:rPr>
              <w:t>息可以按需提供给计算机和其他设备。典型的云计算提供商往往提供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通用的网络业务应用，可以通过浏览器等软件或者其他</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服务来访 </w:t>
            </w:r>
            <w:r>
              <w:rPr>
                <w:rFonts w:ascii="宋体" w:hAnsi="宋体" w:cs="宋体" w:eastAsia="宋体" w:hint="default"/>
                <w:spacing w:val="-2"/>
                <w:sz w:val="18"/>
                <w:szCs w:val="18"/>
              </w:rPr>
              <w:t>问，而软件和数据都存储在服务器上。云计算服务通常提供通用的通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过浏览器访问的在线商业应用，软件和数据可存储在数据中心</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是从各种异构、各种类型的数据中发掘有价值的信息，其通常具有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4V</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特点：</w:t>
            </w:r>
            <w:r>
              <w:rPr>
                <w:rFonts w:ascii="Times New Roman" w:hAnsi="Times New Roman" w:cs="Times New Roman" w:eastAsia="Times New Roman" w:hint="default"/>
                <w:sz w:val="18"/>
                <w:szCs w:val="18"/>
              </w:rPr>
              <w:t>Volume(</w:t>
            </w:r>
            <w:r>
              <w:rPr>
                <w:rFonts w:ascii="宋体" w:hAnsi="宋体" w:cs="宋体" w:eastAsia="宋体" w:hint="default"/>
                <w:sz w:val="18"/>
                <w:szCs w:val="18"/>
              </w:rPr>
              <w:t>数据量大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Velocity(</w:t>
            </w:r>
            <w:r>
              <w:rPr>
                <w:rFonts w:ascii="宋体" w:hAnsi="宋体" w:cs="宋体" w:eastAsia="宋体" w:hint="default"/>
                <w:sz w:val="18"/>
                <w:szCs w:val="18"/>
              </w:rPr>
              <w:t>实时性强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Variety(</w:t>
            </w:r>
            <w:r>
              <w:rPr>
                <w:rFonts w:ascii="宋体" w:hAnsi="宋体" w:cs="宋体" w:eastAsia="宋体" w:hint="default"/>
                <w:sz w:val="18"/>
                <w:szCs w:val="18"/>
              </w:rPr>
              <w:t>种类多样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Veracity(</w:t>
            </w:r>
            <w:r>
              <w:rPr>
                <w:rFonts w:ascii="宋体" w:hAnsi="宋体" w:cs="宋体" w:eastAsia="宋体" w:hint="default"/>
                <w:sz w:val="18"/>
                <w:szCs w:val="18"/>
              </w:rPr>
              <w:t>真实性</w:t>
            </w:r>
            <w:r>
              <w:rPr>
                <w:rFonts w:ascii="Times New Roman" w:hAnsi="Times New Roman" w:cs="Times New Roman" w:eastAsia="Times New Roman" w:hint="default"/>
                <w:sz w:val="18"/>
                <w:szCs w:val="18"/>
              </w:rPr>
              <w:t>)</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电信运营支撑系统（</w:t>
            </w:r>
            <w:r>
              <w:rPr>
                <w:rFonts w:ascii="Times New Roman" w:hAnsi="Times New Roman" w:cs="Times New Roman" w:eastAsia="Times New Roman" w:hint="default"/>
                <w:sz w:val="18"/>
                <w:szCs w:val="18"/>
              </w:rPr>
              <w:t>Operation Support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）的缩写，是电信运营 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系统三大主要子系统之一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EDM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企业数据模型（</w:t>
            </w:r>
            <w:r>
              <w:rPr>
                <w:rFonts w:ascii="Times New Roman" w:hAnsi="Times New Roman" w:cs="Times New Roman" w:eastAsia="Times New Roman" w:hint="default"/>
                <w:sz w:val="18"/>
                <w:szCs w:val="18"/>
              </w:rPr>
              <w:t>Enterprise Data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Model</w:t>
            </w:r>
            <w:r>
              <w:rPr>
                <w:rFonts w:ascii="宋体" w:hAnsi="宋体" w:cs="宋体" w:eastAsia="宋体" w:hint="default"/>
                <w:sz w:val="18"/>
                <w:szCs w:val="18"/>
              </w:rPr>
              <w:t>）的缩写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）的缩写</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电信运营商利用通信技术和信息技术资源，为其他行业信息化提供解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决方案和产品服务</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TOC_250010" w:id="2"/>
      <w:r>
        <w:rPr/>
        <w:t>第二节 </w:t>
      </w:r>
      <w:r>
        <w:rPr>
          <w:spacing w:val="13"/>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020004pt;margin-top:114.558502pt;width:396.95pt;height:19.75pt;mso-position-horizontal-relative:page;mso-position-vertical-relative:paragraph;z-index:-8554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300520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GuoChuang Software</w:t>
            </w:r>
            <w:r>
              <w:rPr>
                <w:rFonts w:ascii="Times New Roman"/>
                <w:spacing w:val="-10"/>
                <w:sz w:val="18"/>
              </w:rPr>
              <w:t> </w:t>
            </w:r>
            <w:r>
              <w:rPr>
                <w:rFonts w:ascii="Times New Roman"/>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GuoChuang</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www.kdgcsoft.com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郑磊、齐利平、黄冰冰</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胡伟、戚科仁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594,231,453.27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405,759,134.17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18,374,393.31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56,927,437.17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44,448,491.74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6,469,478.70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48,825,886.50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40,231,132.88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-3,235,178.77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114,707,087.80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35,112,190.06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1,263,333,466.91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1,033,861,455.46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465,067,535.53</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563,244,055.77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527,398,044.19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265,068,856.37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202,400,000</w:t>
            </w:r>
          </w:p>
        </w:tc>
      </w:tr>
    </w:tbl>
    <w:p>
      <w:pPr>
        <w:spacing w:line="314" w:lineRule="auto" w:before="5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61"/>
        <w:ind w:left="15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0.0908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112,341,024.70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157,654,780.29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100,800,517.58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237,061,199.22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-7,511,600.58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12,160,741.17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-13,803,192.34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27,528,445.06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-8,263,371.67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8,641,386.45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-14,368,634.71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20,460,098.63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-72,116,653.05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-34,414,452.33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-83,536,203.00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186,832,129.61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14,806.82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-83,614.68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12,242,268.34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8,544,293.32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4,915,813.34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2,316,129.64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1,054,841.00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-22,037.62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2,042,577.88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1,397,583.65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559,844.80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603,674.69</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54,995.00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11,904,914.61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8,101,550.67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4,217,358.86</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5"/>
          <w:szCs w:val="25"/>
        </w:rPr>
      </w:pPr>
    </w:p>
    <w:p>
      <w:pPr>
        <w:spacing w:line="300" w:lineRule="auto" w:before="44"/>
        <w:ind w:left="153"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90"/>
        <w:jc w:val="center"/>
        <w:rPr>
          <w:b w:val="0"/>
          <w:bCs w:val="0"/>
        </w:rPr>
      </w:pPr>
      <w:bookmarkStart w:name="_TOC_250009" w:id="3"/>
      <w:r>
        <w:rPr/>
        <w:t>第三节 </w:t>
      </w:r>
      <w:r>
        <w:rPr>
          <w:spacing w:val="7"/>
        </w:rPr>
        <w:t> </w:t>
      </w:r>
      <w:r>
        <w:rPr/>
        <w:t>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07" w:lineRule="auto" w:before="4"/>
        <w:ind w:left="489" w:right="0" w:firstLine="84"/>
        <w:jc w:val="left"/>
      </w:pPr>
      <w:r>
        <w:rPr/>
        <w:t>（一）主要业务</w:t>
      </w:r>
      <w:r>
        <w:rPr>
          <w:w w:val="100"/>
        </w:rPr>
        <w:t> </w:t>
      </w:r>
      <w:r>
        <w:rPr/>
        <w:t>公司是国内领先的行业软件及大数据解决方案服务商，主营业务为行业应用软件研发、</w:t>
      </w:r>
      <w:r>
        <w:rPr>
          <w:rFonts w:ascii="Times New Roman" w:hAnsi="Times New Roman" w:cs="Times New Roman" w:eastAsia="Times New Roman" w:hint="default"/>
        </w:rPr>
        <w:t>IT</w:t>
      </w:r>
      <w:r>
        <w:rPr/>
        <w:t>解决方案及</w:t>
      </w:r>
    </w:p>
    <w:p>
      <w:pPr>
        <w:pStyle w:val="BodyText"/>
        <w:spacing w:line="231" w:lineRule="exact"/>
        <w:ind w:right="0"/>
        <w:jc w:val="both"/>
      </w:pPr>
      <w:r>
        <w:rPr/>
        <w:t>信息技术服务。公司积极应用大数据、云计算、物联网、人工智能等新一代信息技术，持续加强与行业应</w:t>
      </w:r>
    </w:p>
    <w:p>
      <w:pPr>
        <w:pStyle w:val="BodyText"/>
        <w:spacing w:line="273" w:lineRule="auto" w:before="37"/>
        <w:ind w:right="206"/>
        <w:jc w:val="both"/>
      </w:pPr>
      <w:r>
        <w:rPr>
          <w:spacing w:val="-2"/>
        </w:rPr>
        <w:t>用软件的融合，为电信、电力、金融、交通、政府等行业领域客户提供优质的行业软件及大数据综合解决</w:t>
      </w:r>
      <w:r>
        <w:rPr>
          <w:spacing w:val="-43"/>
        </w:rPr>
        <w:t> </w:t>
      </w:r>
      <w:r>
        <w:rPr>
          <w:spacing w:val="-43"/>
        </w:rPr>
      </w:r>
      <w:r>
        <w:rPr/>
        <w:t>方案和运营服务。</w:t>
      </w:r>
    </w:p>
    <w:p>
      <w:pPr>
        <w:pStyle w:val="BodyText"/>
        <w:spacing w:line="240" w:lineRule="auto" w:before="48"/>
        <w:ind w:left="573" w:right="0"/>
        <w:jc w:val="left"/>
      </w:pPr>
      <w:r>
        <w:rPr/>
        <w:t>（二）主要产品</w:t>
      </w:r>
    </w:p>
    <w:p>
      <w:pPr>
        <w:pStyle w:val="BodyText"/>
        <w:spacing w:line="256" w:lineRule="auto" w:before="37"/>
        <w:ind w:left="573" w:right="0"/>
        <w:jc w:val="left"/>
      </w:pPr>
      <w:r>
        <w:rPr>
          <w:rFonts w:ascii="Times New Roman" w:hAnsi="Times New Roman" w:cs="Times New Roman" w:eastAsia="Times New Roman" w:hint="default"/>
        </w:rPr>
        <w:t>1</w:t>
      </w:r>
      <w:r>
        <w:rPr/>
        <w:t>、软件及信息技术服务业务</w:t>
      </w:r>
      <w:r>
        <w:rPr>
          <w:w w:val="100"/>
        </w:rPr>
        <w:t> </w:t>
      </w:r>
      <w:r>
        <w:rPr>
          <w:spacing w:val="-2"/>
        </w:rPr>
        <w:t>面向国内、国际市场，在全球产业升级和国内信息化与智能化需求迅速增长的背景下，公司研发了具</w:t>
      </w:r>
    </w:p>
    <w:p>
      <w:pPr>
        <w:pStyle w:val="BodyText"/>
        <w:spacing w:line="273" w:lineRule="auto" w:before="22"/>
        <w:ind w:right="206"/>
        <w:jc w:val="both"/>
      </w:pPr>
      <w:r>
        <w:rPr>
          <w:spacing w:val="-2"/>
        </w:rPr>
        <w:t>有自主知识产权的数据集成、应用集成、工作流、云资源管理、大数据处理等核心技术，聚焦于行业应用</w:t>
      </w:r>
      <w:r>
        <w:rPr>
          <w:spacing w:val="-43"/>
        </w:rPr>
        <w:t> </w:t>
      </w:r>
      <w:r>
        <w:rPr>
          <w:spacing w:val="-43"/>
        </w:rPr>
      </w:r>
      <w:r>
        <w:rPr>
          <w:spacing w:val="-2"/>
        </w:rPr>
        <w:t>软件研发与生产，面向电信、电力、金融、交通、政府等行业领域，形成了电信运营支撑系统软件、电力</w:t>
      </w:r>
      <w:r>
        <w:rPr>
          <w:spacing w:val="-48"/>
        </w:rPr>
        <w:t> </w:t>
      </w:r>
      <w:r>
        <w:rPr>
          <w:spacing w:val="-48"/>
        </w:rPr>
      </w:r>
      <w:r>
        <w:rPr/>
        <w:t>企业管控软件、金融资产管理软件、大数据应用平台及解决方案等核心产品。</w:t>
      </w:r>
    </w:p>
    <w:p>
      <w:pPr>
        <w:pStyle w:val="BodyText"/>
        <w:spacing w:line="256" w:lineRule="auto" w:before="7"/>
        <w:ind w:left="573" w:right="0"/>
        <w:jc w:val="left"/>
      </w:pPr>
      <w:r>
        <w:rPr/>
        <w:t>（</w:t>
      </w:r>
      <w:r>
        <w:rPr>
          <w:rFonts w:ascii="Times New Roman" w:hAnsi="Times New Roman" w:cs="Times New Roman" w:eastAsia="Times New Roman" w:hint="default"/>
        </w:rPr>
        <w:t>1</w:t>
      </w:r>
      <w:r>
        <w:rPr/>
        <w:t>）电信运营支撑系统软件</w:t>
      </w:r>
      <w:r>
        <w:rPr>
          <w:w w:val="100"/>
        </w:rPr>
        <w:t> </w:t>
      </w:r>
      <w:r>
        <w:rPr>
          <w:spacing w:val="-2"/>
        </w:rPr>
        <w:t>电信运营支撑系统主要是为运营商的业务开通激活、投诉与故障处理、网络运营监控等场景提供实时</w:t>
      </w:r>
    </w:p>
    <w:p>
      <w:pPr>
        <w:pStyle w:val="BodyText"/>
        <w:spacing w:line="268" w:lineRule="auto" w:before="22"/>
        <w:ind w:right="184"/>
        <w:jc w:val="both"/>
      </w:pPr>
      <w:r>
        <w:rPr>
          <w:spacing w:val="-2"/>
        </w:rPr>
        <w:t>的运营保障和分析，从而提升电信运营商的客户服务质量和网络运营效率，助力电信运营商更好的服务于</w:t>
      </w:r>
      <w:r>
        <w:rPr>
          <w:spacing w:val="-42"/>
        </w:rPr>
        <w:t> </w:t>
      </w:r>
      <w:r>
        <w:rPr>
          <w:spacing w:val="-42"/>
        </w:rPr>
      </w:r>
      <w:r>
        <w:rPr>
          <w:spacing w:val="-2"/>
        </w:rPr>
        <w:t>个人客户、家庭客户与集团客户。采用了智能、融合、敏捷的设计理念，利用大数据、人工智能等先进技</w:t>
      </w:r>
      <w:r>
        <w:rPr>
          <w:spacing w:val="-42"/>
        </w:rPr>
        <w:t> </w:t>
      </w:r>
      <w:r>
        <w:rPr>
          <w:spacing w:val="-42"/>
        </w:rPr>
      </w:r>
      <w:r>
        <w:rPr>
          <w:spacing w:val="-7"/>
        </w:rPr>
        <w:t>术与</w:t>
      </w:r>
      <w:r>
        <w:rPr>
          <w:rFonts w:ascii="Times New Roman" w:hAnsi="Times New Roman" w:cs="Times New Roman" w:eastAsia="Times New Roman" w:hint="default"/>
          <w:spacing w:val="-7"/>
        </w:rPr>
        <w:t>SDN/NFV</w:t>
      </w:r>
      <w:r>
        <w:rPr>
          <w:spacing w:val="-7"/>
        </w:rPr>
        <w:t>、</w:t>
      </w:r>
      <w:r>
        <w:rPr>
          <w:rFonts w:ascii="Times New Roman" w:hAnsi="Times New Roman" w:cs="Times New Roman" w:eastAsia="Times New Roman" w:hint="default"/>
          <w:spacing w:val="-7"/>
        </w:rPr>
        <w:t>5G</w:t>
      </w:r>
      <w:r>
        <w:rPr>
          <w:spacing w:val="-7"/>
        </w:rPr>
        <w:t>、物联网等转型方向和领域深度融合，高效、智能和全面支撑宽带业务、移动业务、</w:t>
      </w:r>
      <w:r>
        <w:rPr>
          <w:rFonts w:ascii="Times New Roman" w:hAnsi="Times New Roman" w:cs="Times New Roman" w:eastAsia="Times New Roman" w:hint="default"/>
          <w:spacing w:val="-7"/>
        </w:rPr>
        <w:t>ICT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融合业务等多类电信业务，其功能覆盖了电信运营支撑的服务开通系统、服务保障系统、资源管理系统、</w:t>
      </w:r>
      <w:r>
        <w:rPr>
          <w:spacing w:val="-21"/>
        </w:rPr>
        <w:t> </w:t>
      </w:r>
      <w:r>
        <w:rPr>
          <w:spacing w:val="-21"/>
        </w:rPr>
      </w:r>
      <w:r>
        <w:rPr>
          <w:spacing w:val="-2"/>
        </w:rPr>
        <w:t>客户服务系统、智能网管系统、网络服务管理系统、鹰网系统、运维服务机器人等业务领域。目前公司已</w:t>
      </w:r>
      <w:r>
        <w:rPr>
          <w:spacing w:val="-43"/>
        </w:rPr>
        <w:t> </w:t>
      </w:r>
      <w:r>
        <w:rPr>
          <w:spacing w:val="-43"/>
        </w:rPr>
      </w:r>
      <w:r>
        <w:rPr/>
        <w:t>成为中国电信、中国移动和中国联通的运营支撑系统核心供应商。</w:t>
      </w:r>
    </w:p>
    <w:p>
      <w:pPr>
        <w:pStyle w:val="BodyText"/>
        <w:spacing w:line="256" w:lineRule="auto" w:before="12"/>
        <w:ind w:left="573" w:right="0"/>
        <w:jc w:val="left"/>
      </w:pPr>
      <w:r>
        <w:rPr/>
        <w:t>（</w:t>
      </w:r>
      <w:r>
        <w:rPr>
          <w:rFonts w:ascii="Times New Roman" w:hAnsi="Times New Roman" w:cs="Times New Roman" w:eastAsia="Times New Roman" w:hint="default"/>
        </w:rPr>
        <w:t>2</w:t>
      </w:r>
      <w:r>
        <w:rPr/>
        <w:t>）电力企业管控软件</w:t>
      </w:r>
      <w:r>
        <w:rPr>
          <w:w w:val="100"/>
        </w:rPr>
        <w:t> </w:t>
      </w:r>
      <w:r>
        <w:rPr>
          <w:spacing w:val="-2"/>
        </w:rPr>
        <w:t>电力企业管控软件主要是为满足企业过程控制、经营管理、科学决策的要求，以设备感知为基础，以</w:t>
      </w:r>
    </w:p>
    <w:p>
      <w:pPr>
        <w:pStyle w:val="BodyText"/>
        <w:spacing w:line="268" w:lineRule="auto" w:before="22"/>
        <w:ind w:right="206"/>
        <w:jc w:val="both"/>
      </w:pPr>
      <w:r>
        <w:rPr>
          <w:spacing w:val="-2"/>
        </w:rPr>
        <w:t>生产经营数据为驱动，实现电力企业的精准化、智能化管理。采用业界领先的</w:t>
      </w:r>
      <w:r>
        <w:rPr>
          <w:rFonts w:ascii="Times New Roman" w:hAnsi="Times New Roman" w:cs="Times New Roman" w:eastAsia="Times New Roman" w:hint="default"/>
          <w:spacing w:val="-2"/>
        </w:rPr>
        <w:t>SOA</w:t>
      </w:r>
      <w:r>
        <w:rPr>
          <w:spacing w:val="-2"/>
        </w:rPr>
        <w:t>架构、公司自主研发的</w:t>
      </w:r>
      <w:r>
        <w:rPr>
          <w:spacing w:val="-49"/>
        </w:rPr>
        <w:t> </w:t>
      </w:r>
      <w:r>
        <w:rPr>
          <w:spacing w:val="-49"/>
        </w:rPr>
      </w:r>
      <w:r>
        <w:rPr>
          <w:spacing w:val="-2"/>
        </w:rPr>
        <w:t>工作流等核心技术，为发、供电企业的设备管理、安全生产、用电智能管理、经营分析管控、辅助决策起</w:t>
      </w:r>
      <w:r>
        <w:rPr>
          <w:spacing w:val="-42"/>
        </w:rPr>
        <w:t> </w:t>
      </w:r>
      <w:r>
        <w:rPr>
          <w:spacing w:val="-42"/>
        </w:rPr>
      </w:r>
      <w:r>
        <w:rPr>
          <w:spacing w:val="-2"/>
        </w:rPr>
        <w:t>到了至关重要的作用，广泛应用于发电、变电、用电、调度等智能电网多个环节。目前，公司电力企业管</w:t>
      </w:r>
      <w:r>
        <w:rPr>
          <w:spacing w:val="-42"/>
        </w:rPr>
        <w:t> </w:t>
      </w:r>
      <w:r>
        <w:rPr>
          <w:spacing w:val="-42"/>
        </w:rPr>
      </w:r>
      <w:r>
        <w:rPr>
          <w:spacing w:val="-2"/>
        </w:rPr>
        <w:t>控软件已与国家电投集团、大唐集团、皖能电力、神华集团、华电集团、江苏电网、安徽电网和南瑞集团</w:t>
      </w:r>
      <w:r>
        <w:rPr>
          <w:spacing w:val="-42"/>
        </w:rPr>
        <w:t> </w:t>
      </w:r>
      <w:r>
        <w:rPr>
          <w:spacing w:val="-42"/>
        </w:rPr>
      </w:r>
      <w:r>
        <w:rPr/>
        <w:t>等多个发电和电网客户进行了业务合作。</w:t>
      </w:r>
    </w:p>
    <w:p>
      <w:pPr>
        <w:pStyle w:val="BodyText"/>
        <w:spacing w:line="256" w:lineRule="auto" w:before="12"/>
        <w:ind w:left="573" w:right="0"/>
        <w:jc w:val="left"/>
      </w:pPr>
      <w:r>
        <w:rPr/>
        <w:t>（</w:t>
      </w:r>
      <w:r>
        <w:rPr>
          <w:rFonts w:ascii="Times New Roman" w:hAnsi="Times New Roman" w:cs="Times New Roman" w:eastAsia="Times New Roman" w:hint="default"/>
        </w:rPr>
        <w:t>3</w:t>
      </w:r>
      <w:r>
        <w:rPr/>
        <w:t>）金融资产管理软件</w:t>
      </w:r>
      <w:r>
        <w:rPr>
          <w:w w:val="100"/>
        </w:rPr>
        <w:t> </w:t>
      </w:r>
      <w:r>
        <w:rPr>
          <w:spacing w:val="-5"/>
        </w:rPr>
        <w:t>金融资产管理软件主要是为银行、保险、证券、信托、基金相关资产管理业务。采用云计算、大数据、</w:t>
      </w:r>
    </w:p>
    <w:p>
      <w:pPr>
        <w:pStyle w:val="BodyText"/>
        <w:spacing w:line="273" w:lineRule="auto" w:before="22"/>
        <w:ind w:right="206"/>
        <w:jc w:val="both"/>
      </w:pPr>
      <w:r>
        <w:rPr>
          <w:spacing w:val="-2"/>
        </w:rPr>
        <w:t>软件优化等领先技术，严格品质管理，为客户保障资产安全、提升投资效益等方面起到有效支撑作用。公</w:t>
      </w:r>
      <w:r>
        <w:rPr>
          <w:spacing w:val="-47"/>
        </w:rPr>
        <w:t> </w:t>
      </w:r>
      <w:r>
        <w:rPr>
          <w:spacing w:val="-47"/>
        </w:rPr>
      </w:r>
      <w:r>
        <w:rPr>
          <w:spacing w:val="-2"/>
        </w:rPr>
        <w:t>司是日本野村综合研究所的重要合作伙伴，同时公司也在积极扩展该软件在国内市场的应用，目前公司已</w:t>
      </w:r>
      <w:r>
        <w:rPr>
          <w:spacing w:val="-44"/>
        </w:rPr>
        <w:t> </w:t>
      </w:r>
      <w:r>
        <w:rPr>
          <w:spacing w:val="-44"/>
        </w:rPr>
      </w:r>
      <w:r>
        <w:rPr>
          <w:spacing w:val="-2"/>
        </w:rPr>
        <w:t>与国元证券、中国保险信息技术管理公司、光大银行合肥分行、兴业数字金融服务公司、兴业基金、浦银</w:t>
      </w:r>
      <w:r>
        <w:rPr>
          <w:spacing w:val="-43"/>
        </w:rPr>
        <w:t> </w:t>
      </w:r>
      <w:r>
        <w:rPr>
          <w:spacing w:val="-43"/>
        </w:rPr>
      </w:r>
      <w:r>
        <w:rPr/>
        <w:t>安盛、中衡保险、合肥高新建设投资集团、合肥兴泰金融控股公司等国内金融机构进行了业务合作。</w:t>
      </w:r>
    </w:p>
    <w:p>
      <w:pPr>
        <w:pStyle w:val="BodyText"/>
        <w:spacing w:line="256" w:lineRule="auto" w:before="7"/>
        <w:ind w:left="573" w:right="0"/>
        <w:jc w:val="left"/>
      </w:pPr>
      <w:r>
        <w:rPr/>
        <w:t>（</w:t>
      </w:r>
      <w:r>
        <w:rPr>
          <w:rFonts w:ascii="Times New Roman" w:hAnsi="Times New Roman" w:cs="Times New Roman" w:eastAsia="Times New Roman" w:hint="default"/>
        </w:rPr>
        <w:t>4</w:t>
      </w:r>
      <w:r>
        <w:rPr/>
        <w:t>）大数据应用平台及解决方案</w:t>
      </w:r>
      <w:r>
        <w:rPr>
          <w:w w:val="100"/>
        </w:rPr>
        <w:t> </w:t>
      </w:r>
      <w:r>
        <w:rPr>
          <w:spacing w:val="-2"/>
        </w:rPr>
        <w:t>大数据应用平台及解决方案主要系采用了分布式计算、流式计算、海量存储等大数据技术，其功能主</w:t>
      </w:r>
    </w:p>
    <w:p>
      <w:pPr>
        <w:pStyle w:val="BodyText"/>
        <w:spacing w:line="240" w:lineRule="auto" w:before="22"/>
        <w:ind w:right="0"/>
        <w:jc w:val="both"/>
      </w:pPr>
      <w:r>
        <w:rPr/>
        <w:t>要包括大数据采集、大数据预处理、大数据存储及管理、大数据分析及挖掘、大数据可视化，并结合行业</w:t>
      </w:r>
    </w:p>
    <w:p>
      <w:pPr>
        <w:spacing w:after="0" w:line="240"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66" w:lineRule="auto" w:before="36"/>
        <w:ind w:right="206"/>
        <w:jc w:val="both"/>
      </w:pPr>
      <w:r>
        <w:rPr>
          <w:spacing w:val="-2"/>
        </w:rPr>
        <w:t>特征形成大数据应用解决方案，能够对组织内外的海量数据进行分析及挖掘，并将结果应用于指导组织的</w:t>
      </w:r>
      <w:r>
        <w:rPr>
          <w:spacing w:val="-43"/>
        </w:rPr>
        <w:t> </w:t>
      </w:r>
      <w:r>
        <w:rPr>
          <w:spacing w:val="-43"/>
        </w:rPr>
      </w:r>
      <w:r>
        <w:rPr/>
        <w:t>管理及决策。目前，公司电信网络运营分析大数据平台、智慧电厂、互联网</w:t>
      </w:r>
      <w:r>
        <w:rPr>
          <w:rFonts w:ascii="Times New Roman" w:hAnsi="Times New Roman" w:cs="Times New Roman" w:eastAsia="Times New Roman" w:hint="default"/>
        </w:rPr>
        <w:t>+</w:t>
      </w:r>
      <w:r>
        <w:rPr/>
        <w:t>政务、信用大数据平台、数</w:t>
      </w:r>
      <w:r>
        <w:rPr>
          <w:spacing w:val="-35"/>
        </w:rPr>
        <w:t> </w:t>
      </w:r>
      <w:r>
        <w:rPr>
          <w:spacing w:val="-35"/>
        </w:rPr>
      </w:r>
      <w:r>
        <w:rPr>
          <w:spacing w:val="-2"/>
        </w:rPr>
        <w:t>据铁笼、云数据中心、行政执法与综合治超、智慧灯杆物联网平台、智慧校园、慢性肾病管理及血透质控</w:t>
      </w:r>
      <w:r>
        <w:rPr>
          <w:spacing w:val="-43"/>
        </w:rPr>
        <w:t> </w:t>
      </w:r>
      <w:r>
        <w:rPr>
          <w:spacing w:val="-43"/>
        </w:rPr>
      </w:r>
      <w:r>
        <w:rPr/>
        <w:t>大数据平台等已广泛应用于电信、电力、交通和政府等各个行业与领域。</w:t>
      </w:r>
    </w:p>
    <w:p>
      <w:pPr>
        <w:pStyle w:val="BodyText"/>
        <w:spacing w:line="290" w:lineRule="auto" w:before="14"/>
        <w:ind w:left="489" w:right="0" w:firstLine="84"/>
        <w:jc w:val="left"/>
      </w:pP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智慧物流云服务平台</w:t>
      </w:r>
      <w:r>
        <w:rPr>
          <w:w w:val="100"/>
        </w:rPr>
        <w:t> </w:t>
      </w:r>
      <w:r>
        <w:rPr>
          <w:spacing w:val="-3"/>
        </w:rPr>
        <w:t>互联网</w:t>
      </w:r>
      <w:r>
        <w:rPr>
          <w:rFonts w:ascii="Times New Roman" w:hAnsi="Times New Roman" w:cs="Times New Roman" w:eastAsia="Times New Roman" w:hint="default"/>
          <w:spacing w:val="-3"/>
        </w:rPr>
        <w:t>+</w:t>
      </w:r>
      <w:r>
        <w:rPr>
          <w:spacing w:val="-3"/>
        </w:rPr>
        <w:t>智慧物流云服务平台由控股子公司慧通互联运营，利用大数据、云计算、物联网、移动互联等</w:t>
      </w:r>
    </w:p>
    <w:p>
      <w:pPr>
        <w:pStyle w:val="BodyText"/>
        <w:spacing w:line="247" w:lineRule="exact"/>
        <w:ind w:right="0"/>
        <w:jc w:val="both"/>
      </w:pPr>
      <w:r>
        <w:rPr/>
        <w:t>现代信息技术手段与货运物流行业深度融合，围绕车主、物流公司、货主企业等客户对象，大力发展科技</w:t>
      </w:r>
    </w:p>
    <w:p>
      <w:pPr>
        <w:pStyle w:val="BodyText"/>
        <w:spacing w:line="256" w:lineRule="auto" w:before="37"/>
        <w:ind w:right="213"/>
        <w:jc w:val="both"/>
      </w:pPr>
      <w:r>
        <w:rPr>
          <w:spacing w:val="-3"/>
        </w:rPr>
        <w:t>承运、数据金融、交通卡服务等业务，研发推出了互联网</w:t>
      </w:r>
      <w:r>
        <w:rPr>
          <w:rFonts w:ascii="Times New Roman" w:hAnsi="Times New Roman" w:cs="Times New Roman" w:eastAsia="Times New Roman" w:hint="default"/>
          <w:spacing w:val="-3"/>
        </w:rPr>
        <w:t>+</w:t>
      </w:r>
      <w:r>
        <w:rPr>
          <w:spacing w:val="-3"/>
        </w:rPr>
        <w:t>智慧物流云服务平台，致力于用</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思维</w:t>
      </w:r>
      <w:r>
        <w:rPr>
          <w:spacing w:val="-5"/>
        </w:rPr>
        <w:t> </w:t>
      </w:r>
      <w:r>
        <w:rPr/>
        <w:t>打造智慧物流，推进中国货运产业转型升级，引领万亿级公路物流市场的供给侧改革。</w:t>
      </w:r>
    </w:p>
    <w:p>
      <w:pPr>
        <w:pStyle w:val="BodyText"/>
        <w:spacing w:line="240" w:lineRule="auto" w:before="61"/>
        <w:ind w:left="573" w:right="0"/>
        <w:jc w:val="left"/>
      </w:pPr>
      <w:r>
        <w:rPr/>
        <w:t>（三）经营模式</w:t>
      </w:r>
    </w:p>
    <w:p>
      <w:pPr>
        <w:pStyle w:val="BodyText"/>
        <w:spacing w:line="240" w:lineRule="auto" w:before="37"/>
        <w:ind w:left="573" w:right="0"/>
        <w:jc w:val="left"/>
      </w:pPr>
      <w:r>
        <w:rPr>
          <w:rFonts w:ascii="Times New Roman" w:hAnsi="Times New Roman" w:cs="Times New Roman" w:eastAsia="Times New Roman" w:hint="default"/>
        </w:rPr>
        <w:t>1</w:t>
      </w:r>
      <w:r>
        <w:rPr/>
        <w:t>、盈利模式</w:t>
      </w:r>
    </w:p>
    <w:p>
      <w:pPr>
        <w:pStyle w:val="BodyText"/>
        <w:spacing w:line="256" w:lineRule="auto" w:before="22"/>
        <w:ind w:left="573" w:right="0"/>
        <w:jc w:val="left"/>
      </w:pPr>
      <w:r>
        <w:rPr/>
        <w:t>（</w:t>
      </w:r>
      <w:r>
        <w:rPr>
          <w:rFonts w:ascii="Times New Roman" w:hAnsi="Times New Roman" w:cs="Times New Roman" w:eastAsia="Times New Roman" w:hint="default"/>
        </w:rPr>
        <w:t>1</w:t>
      </w:r>
      <w:r>
        <w:rPr/>
        <w:t>）按客户需求承接项目建设模式</w:t>
      </w:r>
      <w:r>
        <w:rPr>
          <w:w w:val="100"/>
        </w:rPr>
        <w:t> </w:t>
      </w:r>
      <w:r>
        <w:rPr>
          <w:spacing w:val="-2"/>
        </w:rPr>
        <w:t>即依据客户需求，公司基于自主研发的软件产品和解决方案，满足客户项目需求进而获得收入。该种</w:t>
      </w:r>
    </w:p>
    <w:p>
      <w:pPr>
        <w:pStyle w:val="BodyText"/>
        <w:spacing w:line="273" w:lineRule="auto" w:before="22"/>
        <w:ind w:right="206"/>
        <w:jc w:val="both"/>
      </w:pPr>
      <w:r>
        <w:rPr>
          <w:spacing w:val="-2"/>
        </w:rPr>
        <w:t>模式，公司根据业务及技术复杂程度、规模大小并参照市场竞争情况等因素定价。公司软件和信息技术服</w:t>
      </w:r>
      <w:r>
        <w:rPr>
          <w:spacing w:val="-45"/>
        </w:rPr>
        <w:t> </w:t>
      </w:r>
      <w:r>
        <w:rPr>
          <w:spacing w:val="-45"/>
        </w:rPr>
      </w:r>
      <w:r>
        <w:rPr/>
        <w:t>务业务以该种模式为主。</w:t>
      </w:r>
    </w:p>
    <w:p>
      <w:pPr>
        <w:pStyle w:val="BodyText"/>
        <w:spacing w:line="256" w:lineRule="auto" w:before="7"/>
        <w:ind w:left="573" w:right="0"/>
        <w:jc w:val="left"/>
      </w:pPr>
      <w:r>
        <w:rPr/>
        <w:t>（</w:t>
      </w:r>
      <w:r>
        <w:rPr>
          <w:rFonts w:ascii="Times New Roman" w:hAnsi="Times New Roman" w:cs="Times New Roman" w:eastAsia="Times New Roman" w:hint="default"/>
        </w:rPr>
        <w:t>2</w:t>
      </w:r>
      <w:r>
        <w:rPr/>
        <w:t>）软件服务运营模式</w:t>
      </w:r>
      <w:r>
        <w:rPr>
          <w:w w:val="100"/>
        </w:rPr>
        <w:t> </w:t>
      </w:r>
      <w:r>
        <w:rPr>
          <w:spacing w:val="-2"/>
        </w:rPr>
        <w:t>即企业依据用户或面向市场需求，自行建设和维护信息系统或服务平台，通过用户购买服务或收取服</w:t>
      </w:r>
    </w:p>
    <w:p>
      <w:pPr>
        <w:pStyle w:val="BodyText"/>
        <w:spacing w:line="256" w:lineRule="auto" w:before="22"/>
        <w:ind w:left="573" w:right="0" w:hanging="420"/>
        <w:jc w:val="left"/>
      </w:pPr>
      <w:r>
        <w:rPr/>
        <w:t>务交易佣金等方式获利。目前，这种盈利模式主要应用于公司的互联网</w:t>
      </w:r>
      <w:r>
        <w:rPr>
          <w:rFonts w:ascii="Times New Roman" w:hAnsi="Times New Roman" w:cs="Times New Roman" w:eastAsia="Times New Roman" w:hint="default"/>
        </w:rPr>
        <w:t>+</w:t>
      </w:r>
      <w:r>
        <w:rPr/>
        <w:t>智慧物流云服务平台。</w:t>
      </w:r>
      <w:r>
        <w:rPr>
          <w:w w:val="100"/>
        </w:rPr>
        <w:t> </w:t>
      </w:r>
      <w:r>
        <w:rPr>
          <w:rFonts w:ascii="Times New Roman" w:hAnsi="Times New Roman" w:cs="Times New Roman" w:eastAsia="Times New Roman" w:hint="default"/>
        </w:rPr>
        <w:t>2</w:t>
      </w:r>
      <w:r>
        <w:rPr/>
        <w:t>、采购模式</w:t>
      </w:r>
      <w:r>
        <w:rPr>
          <w:w w:val="100"/>
        </w:rPr>
        <w:t> </w:t>
      </w:r>
      <w:r>
        <w:rPr>
          <w:spacing w:val="-2"/>
        </w:rPr>
        <w:t>公司业务所需的主要原材料为用于软件研发、解决方案或提供专业技术服务所需的服务器、终端设备</w:t>
      </w:r>
    </w:p>
    <w:p>
      <w:pPr>
        <w:pStyle w:val="BodyText"/>
        <w:spacing w:line="256" w:lineRule="auto" w:before="22"/>
        <w:ind w:right="206"/>
        <w:jc w:val="both"/>
      </w:pPr>
      <w:r>
        <w:rPr>
          <w:spacing w:val="-2"/>
        </w:rPr>
        <w:t>和系统软件等。由于</w:t>
      </w:r>
      <w:r>
        <w:rPr>
          <w:rFonts w:ascii="Times New Roman" w:hAnsi="Times New Roman" w:cs="Times New Roman" w:eastAsia="Times New Roman" w:hint="default"/>
          <w:spacing w:val="-2"/>
        </w:rPr>
        <w:t>IT</w:t>
      </w:r>
      <w:r>
        <w:rPr>
          <w:spacing w:val="-2"/>
        </w:rPr>
        <w:t>软硬件产品更新速度较快，价格波动较大，公司根据行业惯例，对项目所需的软硬</w:t>
      </w:r>
      <w:r>
        <w:rPr>
          <w:spacing w:val="-32"/>
        </w:rPr>
        <w:t> </w:t>
      </w:r>
      <w:r>
        <w:rPr>
          <w:spacing w:val="-32"/>
        </w:rPr>
      </w:r>
      <w:r>
        <w:rPr>
          <w:spacing w:val="-2"/>
        </w:rPr>
        <w:t>件采取</w:t>
      </w:r>
      <w:r>
        <w:rPr>
          <w:rFonts w:ascii="Times New Roman" w:hAnsi="Times New Roman" w:cs="Times New Roman" w:eastAsia="Times New Roman" w:hint="default"/>
          <w:spacing w:val="-2"/>
        </w:rPr>
        <w:t>“</w:t>
      </w:r>
      <w:r>
        <w:rPr>
          <w:spacing w:val="-2"/>
        </w:rPr>
        <w:t>零库存</w:t>
      </w:r>
      <w:r>
        <w:rPr>
          <w:rFonts w:ascii="Times New Roman" w:hAnsi="Times New Roman" w:cs="Times New Roman" w:eastAsia="Times New Roman" w:hint="default"/>
          <w:spacing w:val="-2"/>
        </w:rPr>
        <w:t>”</w:t>
      </w:r>
      <w:r>
        <w:rPr>
          <w:spacing w:val="-2"/>
        </w:rPr>
        <w:t>管理，即根据已签订的合同采购项目所需的软硬件，公司本身不保留软硬件库存。上述原</w:t>
      </w:r>
      <w:r>
        <w:rPr>
          <w:spacing w:val="-18"/>
        </w:rPr>
        <w:t> </w:t>
      </w:r>
      <w:r>
        <w:rPr>
          <w:spacing w:val="-18"/>
        </w:rPr>
      </w:r>
      <w:r>
        <w:rPr/>
        <w:t>材料由公司商务部门根据项目实施的需要进行询价或招标采购。</w:t>
      </w:r>
    </w:p>
    <w:p>
      <w:pPr>
        <w:pStyle w:val="BodyText"/>
        <w:spacing w:line="256" w:lineRule="auto" w:before="23"/>
        <w:ind w:left="573" w:right="0"/>
        <w:jc w:val="left"/>
      </w:pPr>
      <w:r>
        <w:rPr>
          <w:rFonts w:ascii="Times New Roman" w:hAnsi="Times New Roman" w:cs="Times New Roman" w:eastAsia="Times New Roman" w:hint="default"/>
        </w:rPr>
        <w:t>3</w:t>
      </w:r>
      <w:r>
        <w:rPr/>
        <w:t>、研发模式</w:t>
      </w:r>
      <w:r>
        <w:rPr>
          <w:w w:val="100"/>
        </w:rPr>
        <w:t> </w:t>
      </w:r>
      <w:r>
        <w:rPr>
          <w:spacing w:val="-2"/>
        </w:rPr>
        <w:t>公司坚持</w:t>
      </w:r>
      <w:r>
        <w:rPr>
          <w:rFonts w:ascii="Times New Roman" w:hAnsi="Times New Roman" w:cs="Times New Roman" w:eastAsia="Times New Roman" w:hint="default"/>
          <w:spacing w:val="-2"/>
        </w:rPr>
        <w:t>“</w:t>
      </w:r>
      <w:r>
        <w:rPr>
          <w:spacing w:val="-2"/>
        </w:rPr>
        <w:t>融合国际经验，坚持自主创新</w:t>
      </w:r>
      <w:r>
        <w:rPr>
          <w:rFonts w:ascii="Times New Roman" w:hAnsi="Times New Roman" w:cs="Times New Roman" w:eastAsia="Times New Roman" w:hint="default"/>
          <w:spacing w:val="-2"/>
        </w:rPr>
        <w:t>”</w:t>
      </w:r>
      <w:r>
        <w:rPr>
          <w:spacing w:val="-2"/>
        </w:rPr>
        <w:t>，深刻理解与把握公司所处市场环境与行业背景，以市场为</w:t>
      </w:r>
    </w:p>
    <w:p>
      <w:pPr>
        <w:pStyle w:val="BodyText"/>
        <w:spacing w:line="273" w:lineRule="auto" w:before="5"/>
        <w:ind w:left="573" w:right="0" w:hanging="420"/>
        <w:jc w:val="left"/>
      </w:pPr>
      <w:r>
        <w:rPr/>
        <w:t>导向，利用新一代信息技术，产学研用相结合，进行产品研发。</w:t>
      </w:r>
      <w:r>
        <w:rPr>
          <w:w w:val="100"/>
        </w:rPr>
        <w:t> </w:t>
      </w:r>
      <w:r>
        <w:rPr>
          <w:spacing w:val="-5"/>
        </w:rPr>
        <w:t>为实现不同行业软件敏捷开发，降低成本，快速响应客户需求，减少开发风险，经过不断沉淀和积累，</w:t>
      </w:r>
    </w:p>
    <w:p>
      <w:pPr>
        <w:pStyle w:val="BodyText"/>
        <w:spacing w:line="273" w:lineRule="auto" w:before="7"/>
        <w:ind w:right="206"/>
        <w:jc w:val="both"/>
      </w:pPr>
      <w:r>
        <w:rPr>
          <w:spacing w:val="-2"/>
        </w:rPr>
        <w:t>自主研发了公司软件基础开发平台。基于该平台，基础技术框架解决行业软件开发共性的技术问题。该平</w:t>
      </w:r>
      <w:r>
        <w:rPr>
          <w:spacing w:val="-43"/>
        </w:rPr>
        <w:t> </w:t>
      </w:r>
      <w:r>
        <w:rPr>
          <w:spacing w:val="-43"/>
        </w:rPr>
      </w:r>
      <w:r>
        <w:rPr>
          <w:spacing w:val="-2"/>
        </w:rPr>
        <w:t>台的业务流程和业务规则、统一门户等组件直接面向业务开发人员或客户，使其无需关心技术实现，更关</w:t>
      </w:r>
      <w:r>
        <w:rPr>
          <w:spacing w:val="-43"/>
        </w:rPr>
        <w:t> </w:t>
      </w:r>
      <w:r>
        <w:rPr>
          <w:spacing w:val="-43"/>
        </w:rPr>
      </w:r>
      <w:r>
        <w:rPr/>
        <w:t>注业务需求和业务流程，进而快速构建满足行业客户需求的软件产品。</w:t>
      </w:r>
    </w:p>
    <w:p>
      <w:pPr>
        <w:pStyle w:val="BodyText"/>
        <w:spacing w:line="309" w:lineRule="auto" w:before="46"/>
        <w:ind w:left="573" w:right="0"/>
        <w:jc w:val="left"/>
      </w:pPr>
      <w:r>
        <w:rPr/>
        <w:t>（四）公司所处行业分析</w:t>
      </w:r>
      <w:r>
        <w:rPr>
          <w:w w:val="100"/>
        </w:rPr>
        <w:t> </w:t>
      </w:r>
      <w:r>
        <w:rPr/>
        <w:t>公司所处行业为软件行业，按照中国证监会《上市公司行业分类指引》，所处行业为</w:t>
      </w:r>
      <w:r>
        <w:rPr>
          <w:rFonts w:ascii="Times New Roman" w:hAnsi="Times New Roman" w:cs="Times New Roman" w:eastAsia="Times New Roman" w:hint="default"/>
        </w:rPr>
        <w:t>“</w:t>
      </w:r>
      <w:r>
        <w:rPr/>
        <w:t>信息传输、软</w:t>
      </w:r>
    </w:p>
    <w:p>
      <w:pPr>
        <w:pStyle w:val="BodyText"/>
        <w:spacing w:line="245" w:lineRule="exact"/>
        <w:ind w:right="0"/>
        <w:jc w:val="both"/>
      </w:pPr>
      <w:r>
        <w:rPr/>
        <w:t>件和信息技术服务业</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，编码为</w:t>
      </w:r>
      <w:r>
        <w:rPr>
          <w:rFonts w:ascii="Times New Roman" w:hAnsi="Times New Roman" w:cs="Times New Roman" w:eastAsia="Times New Roman" w:hint="default"/>
        </w:rPr>
        <w:t>“I65”</w:t>
      </w:r>
      <w:r>
        <w:rPr/>
        <w:t>。</w:t>
      </w:r>
    </w:p>
    <w:p>
      <w:pPr>
        <w:pStyle w:val="BodyText"/>
        <w:spacing w:line="261" w:lineRule="auto" w:before="60"/>
        <w:ind w:right="205" w:firstLine="420"/>
        <w:jc w:val="both"/>
      </w:pPr>
      <w:r>
        <w:rPr>
          <w:spacing w:val="-2"/>
        </w:rPr>
        <w:t>信息产业是决定</w:t>
      </w:r>
      <w:r>
        <w:rPr>
          <w:rFonts w:ascii="Times New Roman" w:hAnsi="Times New Roman" w:cs="Times New Roman" w:eastAsia="Times New Roman" w:hint="default"/>
          <w:spacing w:val="-2"/>
        </w:rPr>
        <w:t>21</w:t>
      </w:r>
      <w:r>
        <w:rPr>
          <w:spacing w:val="-2"/>
        </w:rPr>
        <w:t>世纪国际竞争地位的先导型和战略性产业，是国民经济的支柱产业之一，软件与</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4"/>
          <w:w w:val="100"/>
        </w:rPr>
        <w:t> </w:t>
      </w:r>
      <w:r>
        <w:rPr>
          <w:spacing w:val="-2"/>
        </w:rPr>
        <w:t>服务产业是信息产业的核心，是国家提高自主创新能力取得突破的关键领域。</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以来，我国软件和</w:t>
      </w:r>
      <w:r>
        <w:rPr>
          <w:spacing w:val="-18"/>
        </w:rPr>
        <w:t> </w:t>
      </w:r>
      <w:r>
        <w:rPr>
          <w:spacing w:val="-18"/>
        </w:rPr>
      </w:r>
      <w:r>
        <w:rPr>
          <w:spacing w:val="-2"/>
        </w:rPr>
        <w:t>信息技术服务业持续快速发展，产业规模迅速扩大，技术创新和应用水平大幅提升，对经济社会发展的支</w:t>
      </w:r>
      <w:r>
        <w:rPr>
          <w:spacing w:val="-44"/>
        </w:rPr>
        <w:t> </w:t>
      </w:r>
      <w:r>
        <w:rPr>
          <w:spacing w:val="-44"/>
        </w:rPr>
      </w:r>
      <w:r>
        <w:rPr>
          <w:spacing w:val="-3"/>
        </w:rPr>
        <w:t>撑和引领作用显著增强。根据工信部公布的数据，</w:t>
      </w:r>
      <w:r>
        <w:rPr>
          <w:rFonts w:ascii="Times New Roman" w:hAnsi="Times New Roman" w:cs="Times New Roman" w:eastAsia="Times New Roman" w:hint="default"/>
          <w:spacing w:val="-3"/>
        </w:rPr>
        <w:t>2017</w:t>
      </w:r>
      <w:r>
        <w:rPr>
          <w:spacing w:val="-3"/>
        </w:rPr>
        <w:t>年我国软件和信息技术服务业完成软件业务收入</w:t>
      </w:r>
      <w:r>
        <w:rPr>
          <w:rFonts w:ascii="Times New Roman" w:hAnsi="Times New Roman" w:cs="Times New Roman" w:eastAsia="Times New Roman" w:hint="default"/>
          <w:spacing w:val="-3"/>
        </w:rPr>
        <w:t>5.5</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万亿元。</w:t>
      </w:r>
    </w:p>
    <w:p>
      <w:pPr>
        <w:pStyle w:val="BodyText"/>
        <w:spacing w:line="266" w:lineRule="auto" w:before="59"/>
        <w:ind w:right="206" w:firstLine="336"/>
        <w:jc w:val="left"/>
        <w:rPr>
          <w:rFonts w:ascii="Times New Roman" w:hAnsi="Times New Roman" w:cs="Times New Roman" w:eastAsia="Times New Roman" w:hint="default"/>
        </w:rPr>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时期是我国全面建成小康社会决胜阶段，全球新一轮科技革命和产业变革持续深入，国内经</w:t>
      </w:r>
      <w:r>
        <w:rPr>
          <w:w w:val="100"/>
        </w:rPr>
        <w:t> </w:t>
      </w:r>
      <w:r>
        <w:rPr>
          <w:spacing w:val="-2"/>
        </w:rPr>
        <w:t>济发展方式加快转变，软件和信息技术服务业迎来更大发展机遇。国家工信部出台了《软件和信息技术服</w:t>
      </w:r>
      <w:r>
        <w:rPr>
          <w:spacing w:val="-44"/>
        </w:rPr>
        <w:t> </w:t>
      </w:r>
      <w:r>
        <w:rPr>
          <w:spacing w:val="-44"/>
        </w:rPr>
      </w:r>
      <w:r>
        <w:rPr>
          <w:spacing w:val="-4"/>
        </w:rPr>
        <w:t>务业发展规划（</w:t>
      </w:r>
      <w:r>
        <w:rPr>
          <w:rFonts w:ascii="Times New Roman" w:hAnsi="Times New Roman" w:cs="Times New Roman" w:eastAsia="Times New Roman" w:hint="default"/>
          <w:spacing w:val="-4"/>
        </w:rPr>
        <w:t>2016-2020</w:t>
      </w:r>
      <w:r>
        <w:rPr>
          <w:spacing w:val="-4"/>
        </w:rPr>
        <w:t>年）》，规划以产业由大变强和支撑国家战略为出发点，以创新发展和融合发展 </w:t>
      </w:r>
      <w:r>
        <w:rPr>
          <w:spacing w:val="-2"/>
        </w:rPr>
        <w:t>为主线，着力突破核心技术，积极培育新兴业态，持续深化融合应用，加快构建具有国际竞争优势的产业</w:t>
      </w:r>
      <w:r>
        <w:rPr>
          <w:spacing w:val="-47"/>
        </w:rPr>
        <w:t> </w:t>
      </w:r>
      <w:r>
        <w:rPr>
          <w:spacing w:val="-47"/>
        </w:rPr>
      </w:r>
      <w:r>
        <w:rPr>
          <w:spacing w:val="-2"/>
        </w:rPr>
        <w:t>生态体系，加速催生和释放创新红利、数据红利和模式红利，实现产业发展新跨越，全力支撑制造强国和</w:t>
      </w:r>
      <w:r>
        <w:rPr>
          <w:spacing w:val="-50"/>
        </w:rPr>
        <w:t> </w:t>
      </w:r>
      <w:r>
        <w:rPr>
          <w:spacing w:val="-50"/>
        </w:rPr>
      </w:r>
      <w:r>
        <w:rPr/>
        <w:t>网络强国建设为指导思想。提出到</w:t>
      </w:r>
      <w:r>
        <w:rPr>
          <w:rFonts w:ascii="Times New Roman" w:hAnsi="Times New Roman" w:cs="Times New Roman" w:eastAsia="Times New Roman" w:hint="default"/>
        </w:rPr>
        <w:t>2020</w:t>
      </w:r>
      <w:r>
        <w:rPr/>
        <w:t>年，软件和信息技术服务业业务收入突破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p>
    <w:p>
      <w:pPr>
        <w:spacing w:after="0" w:line="266" w:lineRule="auto"/>
        <w:jc w:val="left"/>
        <w:rPr>
          <w:rFonts w:ascii="Times New Roman" w:hAnsi="Times New Roman" w:cs="Times New Roman" w:eastAsia="Times New Roman" w:hint="default"/>
        </w:rPr>
        <w:sectPr>
          <w:pgSz w:w="11910" w:h="16840"/>
          <w:pgMar w:header="748" w:footer="979" w:top="1060" w:bottom="1160" w:left="980" w:right="920"/>
        </w:sectPr>
      </w:pPr>
    </w:p>
    <w:p>
      <w:pPr>
        <w:spacing w:line="240" w:lineRule="auto" w:before="3"/>
        <w:rPr>
          <w:rFonts w:ascii="Times New Roman" w:hAnsi="Times New Roman" w:cs="Times New Roman" w:eastAsia="Times New Roman" w:hint="default"/>
          <w:sz w:val="28"/>
          <w:szCs w:val="28"/>
        </w:rPr>
      </w:pPr>
    </w:p>
    <w:p>
      <w:pPr>
        <w:pStyle w:val="BodyText"/>
        <w:spacing w:line="264" w:lineRule="auto" w:before="36"/>
        <w:ind w:right="146"/>
        <w:jc w:val="both"/>
      </w:pPr>
      <w:r>
        <w:rPr>
          <w:spacing w:val="-2"/>
        </w:rPr>
        <w:t>以上，占信息产业比重超过</w:t>
      </w:r>
      <w:r>
        <w:rPr>
          <w:rFonts w:ascii="Times New Roman" w:hAnsi="Times New Roman" w:cs="Times New Roman" w:eastAsia="Times New Roman" w:hint="default"/>
          <w:spacing w:val="-2"/>
        </w:rPr>
        <w:t>30%</w:t>
      </w:r>
      <w:r>
        <w:rPr>
          <w:spacing w:val="-2"/>
        </w:rPr>
        <w:t>，其中信息技术服务收入占业务收入比重达到</w:t>
      </w:r>
      <w:r>
        <w:rPr>
          <w:rFonts w:ascii="Times New Roman" w:hAnsi="Times New Roman" w:cs="Times New Roman" w:eastAsia="Times New Roman" w:hint="default"/>
          <w:spacing w:val="-2"/>
        </w:rPr>
        <w:t>55%</w:t>
      </w:r>
      <w:r>
        <w:rPr>
          <w:spacing w:val="-2"/>
        </w:rPr>
        <w:t>，信息安全产品收入达</w:t>
      </w:r>
      <w:r>
        <w:rPr>
          <w:spacing w:val="-16"/>
        </w:rPr>
        <w:t> </w:t>
      </w:r>
      <w:r>
        <w:rPr>
          <w:spacing w:val="-16"/>
        </w:rPr>
      </w:r>
      <w:r>
        <w:rPr>
          <w:spacing w:val="-2"/>
        </w:rPr>
        <w:t>到</w:t>
      </w:r>
      <w:r>
        <w:rPr>
          <w:rFonts w:ascii="Times New Roman" w:hAnsi="Times New Roman" w:cs="Times New Roman" w:eastAsia="Times New Roman" w:hint="default"/>
          <w:spacing w:val="-2"/>
        </w:rPr>
        <w:t>2000</w:t>
      </w:r>
      <w:r>
        <w:rPr>
          <w:spacing w:val="-2"/>
        </w:rPr>
        <w:t>亿元，年均增长</w:t>
      </w:r>
      <w:r>
        <w:rPr>
          <w:rFonts w:ascii="Times New Roman" w:hAnsi="Times New Roman" w:cs="Times New Roman" w:eastAsia="Times New Roman" w:hint="default"/>
          <w:spacing w:val="-2"/>
        </w:rPr>
        <w:t>20%</w:t>
      </w:r>
      <w:r>
        <w:rPr>
          <w:spacing w:val="-2"/>
        </w:rPr>
        <w:t>以上，软件出口超过</w:t>
      </w:r>
      <w:r>
        <w:rPr>
          <w:rFonts w:ascii="Times New Roman" w:hAnsi="Times New Roman" w:cs="Times New Roman" w:eastAsia="Times New Roman" w:hint="default"/>
          <w:spacing w:val="-2"/>
        </w:rPr>
        <w:t>680</w:t>
      </w:r>
      <w:r>
        <w:rPr>
          <w:spacing w:val="-2"/>
        </w:rPr>
        <w:t>亿美元，软件从业人员达到</w:t>
      </w:r>
      <w:r>
        <w:rPr>
          <w:rFonts w:ascii="Times New Roman" w:hAnsi="Times New Roman" w:cs="Times New Roman" w:eastAsia="Times New Roman" w:hint="default"/>
          <w:spacing w:val="-2"/>
        </w:rPr>
        <w:t>900</w:t>
      </w:r>
      <w:r>
        <w:rPr>
          <w:spacing w:val="-2"/>
        </w:rPr>
        <w:t>万人。人工智能、虚拟</w:t>
      </w:r>
      <w:r>
        <w:rPr>
          <w:spacing w:val="-11"/>
        </w:rPr>
        <w:t> </w:t>
      </w:r>
      <w:r>
        <w:rPr>
          <w:spacing w:val="-11"/>
        </w:rPr>
      </w:r>
      <w:r>
        <w:rPr>
          <w:spacing w:val="-2"/>
        </w:rPr>
        <w:t>现实、区块链等领域创新达到国际先进水平，云计算、大数据、移动互联网、物联网、信息安全等领域的</w:t>
      </w:r>
      <w:r>
        <w:rPr>
          <w:spacing w:val="-42"/>
        </w:rPr>
        <w:t> </w:t>
      </w:r>
      <w:r>
        <w:rPr>
          <w:spacing w:val="-42"/>
        </w:rPr>
      </w:r>
      <w:r>
        <w:rPr>
          <w:spacing w:val="-2"/>
        </w:rPr>
        <w:t>创新发展向更高层次跃升，重点领域标准化取得显著进展，国际标准话语权进一步提升。由此可见，软件</w:t>
      </w:r>
      <w:r>
        <w:rPr>
          <w:spacing w:val="-47"/>
        </w:rPr>
        <w:t> </w:t>
      </w:r>
      <w:r>
        <w:rPr>
          <w:spacing w:val="-47"/>
        </w:rPr>
      </w:r>
      <w:r>
        <w:rPr>
          <w:spacing w:val="-2"/>
        </w:rPr>
        <w:t>与信息技术服务业将继续保持蓬勃发展，公司正处于充满机遇的发展黄金时期。</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期间，公司将围</w:t>
      </w:r>
      <w:r>
        <w:rPr>
          <w:spacing w:val="-18"/>
        </w:rPr>
        <w:t> </w:t>
      </w:r>
      <w:r>
        <w:rPr>
          <w:spacing w:val="-18"/>
        </w:rPr>
      </w:r>
      <w:r>
        <w:rPr>
          <w:spacing w:val="-2"/>
        </w:rPr>
        <w:t>绕主营业务，增强创新管理思想，应用新技术，深化公司经营管理战略和资本管理战略，以内生增长和外</w:t>
      </w:r>
      <w:r>
        <w:rPr>
          <w:spacing w:val="-47"/>
        </w:rPr>
        <w:t> </w:t>
      </w:r>
      <w:r>
        <w:rPr>
          <w:spacing w:val="-47"/>
        </w:rPr>
      </w:r>
      <w:r>
        <w:rPr/>
        <w:t>延增长相结合，促进公司高速发展。</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在建工程期末余额较期初余额增长</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90.26%</w:t>
            </w:r>
            <w:r>
              <w:rPr>
                <w:rFonts w:ascii="宋体" w:hAnsi="宋体" w:cs="宋体" w:eastAsia="宋体" w:hint="default"/>
                <w:spacing w:val="-4"/>
                <w:sz w:val="18"/>
                <w:szCs w:val="18"/>
              </w:rPr>
              <w:t>，主要系本期软件研发生产楼投入以及营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销服务网络建设所致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32"/>
              <w:jc w:val="left"/>
              <w:rPr>
                <w:rFonts w:ascii="宋体" w:hAnsi="宋体" w:cs="宋体" w:eastAsia="宋体" w:hint="default"/>
                <w:sz w:val="18"/>
                <w:szCs w:val="18"/>
              </w:rPr>
            </w:pPr>
            <w:r>
              <w:rPr>
                <w:rFonts w:ascii="宋体" w:hAnsi="宋体" w:cs="宋体" w:eastAsia="宋体" w:hint="default"/>
                <w:sz w:val="18"/>
                <w:szCs w:val="18"/>
              </w:rPr>
              <w:t>应收票据期末余额较期初余额增长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139.90%</w:t>
            </w:r>
            <w:r>
              <w:rPr>
                <w:rFonts w:ascii="宋体" w:hAnsi="宋体" w:cs="宋体" w:eastAsia="宋体" w:hint="default"/>
                <w:sz w:val="18"/>
                <w:szCs w:val="18"/>
              </w:rPr>
              <w:t>，主要系期末收到未到期票据较上期增 长所致</w:t>
            </w:r>
          </w:p>
        </w:tc>
      </w:tr>
      <w:tr>
        <w:trPr>
          <w:trHeight w:val="133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应收账款期末账面价值较期初账面价值增长</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32.90%</w:t>
            </w:r>
            <w:r>
              <w:rPr>
                <w:rFonts w:ascii="宋体" w:hAnsi="宋体" w:cs="宋体" w:eastAsia="宋体" w:hint="default"/>
                <w:spacing w:val="-4"/>
                <w:sz w:val="18"/>
                <w:szCs w:val="18"/>
              </w:rPr>
              <w:t>，主要系营业收入增长，以及部</w:t>
            </w:r>
            <w:r>
              <w:rPr>
                <w:rFonts w:ascii="宋体" w:hAnsi="宋体" w:cs="宋体" w:eastAsia="宋体" w:hint="default"/>
                <w:sz w:val="18"/>
                <w:szCs w:val="18"/>
              </w:rPr>
              <w:t> </w:t>
            </w:r>
            <w:r>
              <w:rPr>
                <w:rFonts w:ascii="宋体" w:hAnsi="宋体" w:cs="宋体" w:eastAsia="宋体" w:hint="default"/>
                <w:spacing w:val="-1"/>
                <w:sz w:val="18"/>
                <w:szCs w:val="18"/>
              </w:rPr>
              <w:t>分应收账款未到合同付款期所致，同时公司客户主要为国有大中型企业以及政府部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门、事业单位，该等客户执行严格预算管理制度，其资金拨付的审批流程较长对应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收账款的增长也有一定影响</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预付款项期末余额较期初余额增长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173.97%</w:t>
            </w:r>
            <w:r>
              <w:rPr>
                <w:rFonts w:ascii="宋体" w:hAnsi="宋体" w:cs="宋体" w:eastAsia="宋体" w:hint="default"/>
                <w:sz w:val="18"/>
                <w:szCs w:val="18"/>
              </w:rPr>
              <w:t>，主要系预付供应商货款增加所致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存货期末余额较期初余额增长</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282.48%</w:t>
            </w:r>
            <w:r>
              <w:rPr>
                <w:rFonts w:ascii="宋体" w:hAnsi="宋体" w:cs="宋体" w:eastAsia="宋体" w:hint="default"/>
                <w:spacing w:val="-4"/>
                <w:sz w:val="18"/>
                <w:szCs w:val="18"/>
              </w:rPr>
              <w:t>，主要是由于本期正在实施的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解决方案业 务增加较大</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其他流动资产期末余额较期初余额下降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34.42%</w:t>
            </w:r>
            <w:r>
              <w:rPr>
                <w:rFonts w:ascii="宋体" w:hAnsi="宋体" w:cs="宋体" w:eastAsia="宋体" w:hint="default"/>
                <w:sz w:val="18"/>
                <w:szCs w:val="18"/>
              </w:rPr>
              <w:t>，主要系上期理财产品到期所致</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1"/>
        <w:gridCol w:w="1066"/>
        <w:gridCol w:w="1064"/>
        <w:gridCol w:w="1063"/>
        <w:gridCol w:w="1066"/>
        <w:gridCol w:w="1063"/>
        <w:gridCol w:w="1059"/>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10,987,994.7</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派驻管理人 </w:t>
            </w:r>
            <w:r>
              <w:rPr>
                <w:rFonts w:ascii="宋体" w:hAnsi="宋体" w:cs="宋体" w:eastAsia="宋体" w:hint="default"/>
                <w:spacing w:val="-12"/>
                <w:sz w:val="18"/>
                <w:szCs w:val="18"/>
              </w:rPr>
              <w:t>员，定期召开</w:t>
            </w:r>
            <w:r>
              <w:rPr>
                <w:rFonts w:ascii="宋体" w:hAnsi="宋体" w:cs="宋体" w:eastAsia="宋体" w:hint="default"/>
                <w:sz w:val="18"/>
                <w:szCs w:val="18"/>
              </w:rPr>
              <w:t> </w:t>
            </w:r>
            <w:r>
              <w:rPr>
                <w:rFonts w:ascii="宋体" w:hAnsi="宋体" w:cs="宋体" w:eastAsia="宋体" w:hint="default"/>
                <w:spacing w:val="-12"/>
                <w:sz w:val="18"/>
                <w:szCs w:val="18"/>
              </w:rPr>
              <w:t>经营会议，建</w:t>
            </w:r>
            <w:r>
              <w:rPr>
                <w:rFonts w:ascii="宋体" w:hAnsi="宋体" w:cs="宋体" w:eastAsia="宋体" w:hint="default"/>
                <w:sz w:val="18"/>
                <w:szCs w:val="18"/>
              </w:rPr>
              <w:t> 立完善管理 制度等</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 净利润</w:t>
            </w:r>
          </w:p>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-4,165.59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0.68%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57"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8"/>
        <w:ind w:right="206" w:firstLine="384"/>
        <w:jc w:val="both"/>
      </w:pPr>
      <w:r>
        <w:rPr>
          <w:spacing w:val="-1"/>
        </w:rPr>
        <w:t>公司是国内领先的行业软件及大数据解决方案服务商。经过十多年的发展，目前公司行业经验、技术</w:t>
      </w:r>
      <w:r>
        <w:rPr>
          <w:w w:val="100"/>
        </w:rPr>
        <w:t> </w:t>
      </w:r>
      <w:r>
        <w:rPr>
          <w:spacing w:val="-2"/>
        </w:rPr>
        <w:t>创新和客户持续经营能力等多方面具有优势，形成了公司核心竞争力。报告期内，公司核心竞争力未发生</w:t>
      </w:r>
      <w:r>
        <w:rPr>
          <w:spacing w:val="-43"/>
        </w:rPr>
        <w:t> </w:t>
      </w:r>
      <w:r>
        <w:rPr>
          <w:spacing w:val="-43"/>
        </w:rPr>
      </w:r>
      <w:r>
        <w:rPr/>
        <w:t>重大变化。</w:t>
      </w:r>
    </w:p>
    <w:p>
      <w:pPr>
        <w:pStyle w:val="BodyText"/>
        <w:spacing w:line="256" w:lineRule="auto" w:before="7"/>
        <w:ind w:left="537" w:right="0"/>
        <w:jc w:val="left"/>
      </w:pPr>
      <w:r>
        <w:rPr>
          <w:rFonts w:ascii="Times New Roman" w:hAnsi="Times New Roman" w:cs="Times New Roman" w:eastAsia="Times New Roman" w:hint="default"/>
        </w:rPr>
        <w:t>1</w:t>
      </w:r>
      <w:r>
        <w:rPr/>
        <w:t>、行业经验优势</w:t>
      </w:r>
      <w:r>
        <w:rPr>
          <w:w w:val="100"/>
        </w:rPr>
        <w:t> </w:t>
      </w:r>
      <w:r>
        <w:rPr>
          <w:spacing w:val="-1"/>
        </w:rPr>
        <w:t>公司聚焦行业应用软件及大数据业务发展，深耕电信、电力、金融、交通、政府等重点行业，专注行</w:t>
      </w:r>
    </w:p>
    <w:p>
      <w:pPr>
        <w:pStyle w:val="BodyText"/>
        <w:spacing w:line="273" w:lineRule="auto" w:before="22"/>
        <w:ind w:right="0"/>
        <w:jc w:val="left"/>
      </w:pPr>
      <w:r>
        <w:rPr>
          <w:spacing w:val="-2"/>
        </w:rPr>
        <w:t>业业务研究，深刻理解行业用户信息化及大数据需求，对行业信息化发展趋势具有前瞻性。公司同步应用</w:t>
      </w:r>
      <w:r>
        <w:rPr>
          <w:spacing w:val="-43"/>
        </w:rPr>
        <w:t> </w:t>
      </w:r>
      <w:r>
        <w:rPr>
          <w:spacing w:val="-43"/>
        </w:rPr>
      </w:r>
      <w:r>
        <w:rPr>
          <w:spacing w:val="-5"/>
        </w:rPr>
        <w:t>新一代信息技术和国际领先的软件开发理念，与丰富的行业经验相结合，为客户提供技术创新、业务创新、</w:t>
      </w:r>
      <w:r>
        <w:rPr>
          <w:spacing w:val="-4"/>
        </w:rPr>
        <w:t> </w:t>
      </w:r>
      <w:r>
        <w:rPr>
          <w:spacing w:val="-4"/>
        </w:rPr>
      </w:r>
      <w:r>
        <w:rPr/>
        <w:t>管理创新的软件与信息服务标准或规范。</w:t>
      </w:r>
    </w:p>
    <w:p>
      <w:pPr>
        <w:pStyle w:val="BodyText"/>
        <w:spacing w:line="259" w:lineRule="auto" w:before="7"/>
        <w:ind w:right="206" w:firstLine="384"/>
        <w:jc w:val="both"/>
      </w:pPr>
      <w:r>
        <w:rPr>
          <w:spacing w:val="2"/>
        </w:rPr>
        <w:t>公司在电信行业作为牵头单位编制了中国电信集团</w:t>
      </w:r>
      <w:r>
        <w:rPr>
          <w:rFonts w:ascii="Times New Roman" w:hAnsi="Times New Roman" w:cs="Times New Roman" w:eastAsia="Times New Roman" w:hint="default"/>
          <w:spacing w:val="2"/>
        </w:rPr>
        <w:t>OSS2.8</w:t>
      </w:r>
      <w:r>
        <w:rPr>
          <w:spacing w:val="2"/>
        </w:rPr>
        <w:t>、智能网管等业务规范，参加了中国电信</w:t>
      </w:r>
      <w:r>
        <w:rPr>
          <w:w w:val="100"/>
        </w:rPr>
        <w:t> </w:t>
      </w:r>
      <w:r>
        <w:rPr>
          <w:rFonts w:ascii="Times New Roman" w:hAnsi="Times New Roman" w:cs="Times New Roman" w:eastAsia="Times New Roman" w:hint="default"/>
          <w:spacing w:val="-1"/>
        </w:rPr>
        <w:t>OSS2.0</w:t>
      </w:r>
      <w:r>
        <w:rPr>
          <w:spacing w:val="-1"/>
        </w:rPr>
        <w:t>、</w:t>
      </w:r>
      <w:r>
        <w:rPr>
          <w:rFonts w:ascii="Times New Roman" w:hAnsi="Times New Roman" w:cs="Times New Roman" w:eastAsia="Times New Roman" w:hint="default"/>
          <w:spacing w:val="-1"/>
        </w:rPr>
        <w:t>OSS2.5</w:t>
      </w:r>
      <w:r>
        <w:rPr>
          <w:spacing w:val="-1"/>
        </w:rPr>
        <w:t>、</w:t>
      </w:r>
      <w:r>
        <w:rPr>
          <w:rFonts w:ascii="Times New Roman" w:hAnsi="Times New Roman" w:cs="Times New Roman" w:eastAsia="Times New Roman" w:hint="default"/>
          <w:spacing w:val="-1"/>
        </w:rPr>
        <w:t>OSS</w:t>
      </w:r>
      <w:r>
        <w:rPr>
          <w:spacing w:val="-1"/>
        </w:rPr>
        <w:t>服务目录、企业数据模型</w:t>
      </w:r>
      <w:r>
        <w:rPr>
          <w:rFonts w:ascii="Times New Roman" w:hAnsi="Times New Roman" w:cs="Times New Roman" w:eastAsia="Times New Roman" w:hint="default"/>
          <w:spacing w:val="-1"/>
        </w:rPr>
        <w:t>EDM3.5</w:t>
      </w:r>
      <w:r>
        <w:rPr>
          <w:spacing w:val="-1"/>
        </w:rPr>
        <w:t>、企业信息化战略</w:t>
      </w:r>
      <w:r>
        <w:rPr>
          <w:rFonts w:ascii="Times New Roman" w:hAnsi="Times New Roman" w:cs="Times New Roman" w:eastAsia="Times New Roman" w:hint="default"/>
          <w:spacing w:val="-1"/>
        </w:rPr>
        <w:t>ITSP3.0</w:t>
      </w:r>
      <w:r>
        <w:rPr>
          <w:spacing w:val="-1"/>
        </w:rPr>
        <w:t>以及中国联通</w:t>
      </w:r>
      <w:r>
        <w:rPr>
          <w:rFonts w:ascii="Times New Roman" w:hAnsi="Times New Roman" w:cs="Times New Roman" w:eastAsia="Times New Roman" w:hint="default"/>
          <w:spacing w:val="-1"/>
        </w:rPr>
        <w:t>U</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cloud</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3"/>
        </w:rPr>
        <w:t>规范体系等编写工作；开展了</w:t>
      </w:r>
      <w:r>
        <w:rPr>
          <w:rFonts w:ascii="Times New Roman" w:hAnsi="Times New Roman" w:cs="Times New Roman" w:eastAsia="Times New Roman" w:hint="default"/>
          <w:spacing w:val="-3"/>
        </w:rPr>
        <w:t>OSS</w:t>
      </w:r>
      <w:r>
        <w:rPr>
          <w:spacing w:val="-3"/>
        </w:rPr>
        <w:t>服务开通激活、服务质量保障、资源管理、</w:t>
      </w:r>
      <w:r>
        <w:rPr>
          <w:rFonts w:ascii="Times New Roman" w:hAnsi="Times New Roman" w:cs="Times New Roman" w:eastAsia="Times New Roman" w:hint="default"/>
          <w:spacing w:val="-3"/>
        </w:rPr>
        <w:t>4G</w:t>
      </w:r>
      <w:r>
        <w:rPr>
          <w:spacing w:val="-3"/>
        </w:rPr>
        <w:t>转租转售、客户服务支撑</w:t>
      </w:r>
      <w:r>
        <w:rPr>
          <w:spacing w:val="-7"/>
        </w:rPr>
        <w:t> </w:t>
      </w:r>
      <w:r>
        <w:rPr>
          <w:spacing w:val="-7"/>
        </w:rPr>
      </w:r>
      <w:r>
        <w:rPr>
          <w:spacing w:val="-2"/>
        </w:rPr>
        <w:t>等产品标准化工作。公司在电力行业主持编写了中国大唐集团、国家电力投资集团信息资源规划以及集团</w:t>
      </w:r>
      <w:r>
        <w:rPr>
          <w:spacing w:val="-43"/>
        </w:rPr>
        <w:t> </w:t>
      </w:r>
      <w:r>
        <w:rPr>
          <w:spacing w:val="-43"/>
        </w:rPr>
      </w:r>
      <w:r>
        <w:rPr>
          <w:spacing w:val="-4"/>
        </w:rPr>
        <w:t>数据标准；开展了发电企业的数据实时采集、全网监控、分析等方面的数据标准工作。在交通行业开展</w:t>
      </w:r>
      <w:r>
        <w:rPr>
          <w:rFonts w:ascii="Times New Roman" w:hAnsi="Times New Roman" w:cs="Times New Roman" w:eastAsia="Times New Roman" w:hint="default"/>
          <w:spacing w:val="-4"/>
        </w:rPr>
        <w:t>“</w:t>
      </w:r>
      <w:r>
        <w:rPr>
          <w:spacing w:val="-4"/>
        </w:rPr>
        <w:t>互</w:t>
      </w:r>
      <w:r>
        <w:rPr>
          <w:spacing w:val="-40"/>
        </w:rPr>
        <w:t> </w:t>
      </w:r>
      <w:r>
        <w:rPr>
          <w:spacing w:val="-2"/>
        </w:rPr>
        <w:t>联网</w:t>
      </w:r>
      <w:r>
        <w:rPr>
          <w:rFonts w:ascii="Times New Roman" w:hAnsi="Times New Roman" w:cs="Times New Roman" w:eastAsia="Times New Roman" w:hint="default"/>
          <w:spacing w:val="-2"/>
        </w:rPr>
        <w:t>+”</w:t>
      </w:r>
      <w:r>
        <w:rPr>
          <w:spacing w:val="-2"/>
        </w:rPr>
        <w:t>物流、交通数据中心、交通大数据等标准体系研究，编制了完整的省级交通数据中心规划与标准体</w:t>
      </w:r>
      <w:r>
        <w:rPr>
          <w:spacing w:val="-48"/>
        </w:rPr>
        <w:t> </w:t>
      </w:r>
      <w:r>
        <w:rPr>
          <w:spacing w:val="-48"/>
        </w:rPr>
      </w:r>
      <w:r>
        <w:rPr/>
        <w:t>系等。</w:t>
      </w:r>
    </w:p>
    <w:p>
      <w:pPr>
        <w:pStyle w:val="BodyText"/>
        <w:spacing w:line="256" w:lineRule="auto" w:before="20"/>
        <w:ind w:left="537" w:right="0"/>
        <w:jc w:val="left"/>
      </w:pPr>
      <w:r>
        <w:rPr>
          <w:rFonts w:ascii="Times New Roman" w:hAnsi="Times New Roman" w:cs="Times New Roman" w:eastAsia="Times New Roman" w:hint="default"/>
        </w:rPr>
        <w:t>2</w:t>
      </w:r>
      <w:r>
        <w:rPr/>
        <w:t>、技术创新优势</w:t>
      </w:r>
      <w:r>
        <w:rPr>
          <w:w w:val="100"/>
        </w:rPr>
        <w:t> </w:t>
      </w:r>
      <w:r>
        <w:rPr>
          <w:spacing w:val="-1"/>
        </w:rPr>
        <w:t>公司以行业应用为导向，以创新驱动企业发展，建设政产学研用金相结合的产业创新体系，加强软件</w:t>
      </w:r>
    </w:p>
    <w:p>
      <w:pPr>
        <w:pStyle w:val="BodyText"/>
        <w:spacing w:line="273" w:lineRule="auto" w:before="22"/>
        <w:ind w:right="0"/>
        <w:jc w:val="left"/>
      </w:pPr>
      <w:r>
        <w:rPr>
          <w:spacing w:val="-2"/>
        </w:rPr>
        <w:t>与重点行业领域的融合应用，研发关键应用软件和行业解决方案，在云计算、大数据、移动互联网、物联</w:t>
      </w:r>
      <w:r>
        <w:rPr>
          <w:spacing w:val="-43"/>
        </w:rPr>
        <w:t> </w:t>
      </w:r>
      <w:r>
        <w:rPr>
          <w:spacing w:val="-43"/>
        </w:rPr>
      </w:r>
      <w:r>
        <w:rPr/>
        <w:t>网等新兴领域积极拓展新业态和新的经营模式。</w:t>
      </w:r>
    </w:p>
    <w:p>
      <w:pPr>
        <w:pStyle w:val="BodyText"/>
        <w:spacing w:line="273" w:lineRule="auto" w:before="8"/>
        <w:ind w:right="206" w:firstLine="384"/>
        <w:jc w:val="both"/>
      </w:pPr>
      <w:r>
        <w:rPr>
          <w:spacing w:val="-1"/>
        </w:rPr>
        <w:t>公司坚持走创新与发展并重的研发路线，注重技术的积累与创新，密切跟踪行业内的技术发展趋势。</w:t>
      </w:r>
      <w:r>
        <w:rPr>
          <w:w w:val="100"/>
        </w:rPr>
        <w:t> </w:t>
      </w:r>
      <w:r>
        <w:rPr>
          <w:spacing w:val="-2"/>
        </w:rPr>
        <w:t>公司拥有自主知识产权的数据集成、应用集成、工作流、云资源管理、大数据处理等核心技术，拥有基础</w:t>
      </w:r>
      <w:r>
        <w:rPr>
          <w:spacing w:val="-43"/>
        </w:rPr>
        <w:t> </w:t>
      </w:r>
      <w:r>
        <w:rPr>
          <w:spacing w:val="-43"/>
        </w:rPr>
      </w:r>
      <w:r>
        <w:rPr>
          <w:spacing w:val="-2"/>
        </w:rPr>
        <w:t>软件开发平台、大数据技术平台、云资源管理平台、智慧物流云平台等核心技术平台，奠定了公司领先的</w:t>
      </w:r>
      <w:r>
        <w:rPr>
          <w:spacing w:val="-50"/>
        </w:rPr>
        <w:t> </w:t>
      </w:r>
      <w:r>
        <w:rPr>
          <w:spacing w:val="-50"/>
        </w:rPr>
      </w:r>
      <w:r>
        <w:rPr/>
        <w:t>技术竞争力。</w:t>
      </w:r>
    </w:p>
    <w:p>
      <w:pPr>
        <w:pStyle w:val="BodyText"/>
        <w:spacing w:line="264" w:lineRule="auto" w:before="7"/>
        <w:ind w:right="184" w:firstLine="384"/>
        <w:jc w:val="both"/>
      </w:pPr>
      <w:r>
        <w:rPr/>
        <w:t>公司与中国科学技术大学在</w:t>
      </w:r>
      <w:r>
        <w:rPr>
          <w:rFonts w:ascii="Times New Roman" w:hAnsi="Times New Roman" w:cs="Times New Roman" w:eastAsia="Times New Roman" w:hint="default"/>
        </w:rPr>
        <w:t>“</w:t>
      </w:r>
      <w:r>
        <w:rPr/>
        <w:t>中国科大</w:t>
      </w:r>
      <w:r>
        <w:rPr>
          <w:rFonts w:ascii="Times New Roman" w:hAnsi="Times New Roman" w:cs="Times New Roman" w:eastAsia="Times New Roman" w:hint="default"/>
        </w:rPr>
        <w:t>——</w:t>
      </w:r>
      <w:r>
        <w:rPr/>
        <w:t>国创高可信软件工程中心</w:t>
      </w:r>
      <w:r>
        <w:rPr>
          <w:rFonts w:ascii="Times New Roman" w:hAnsi="Times New Roman" w:cs="Times New Roman" w:eastAsia="Times New Roman" w:hint="default"/>
        </w:rPr>
        <w:t>”</w:t>
      </w:r>
      <w:r>
        <w:rPr/>
        <w:t>的基础上，共同设立了安徽中科</w:t>
      </w:r>
      <w:r>
        <w:rPr>
          <w:w w:val="100"/>
        </w:rPr>
        <w:t> </w:t>
      </w:r>
      <w:r>
        <w:rPr>
          <w:spacing w:val="-2"/>
        </w:rPr>
        <w:t>国创高可信软件有限公司，开展国际领先的安全嵌入式操作系统、程序分析及验证工具、可信编译器以及</w:t>
      </w:r>
      <w:r>
        <w:rPr>
          <w:spacing w:val="-44"/>
        </w:rPr>
        <w:t> </w:t>
      </w:r>
      <w:r>
        <w:rPr>
          <w:spacing w:val="-44"/>
        </w:rPr>
      </w:r>
      <w:r>
        <w:rPr>
          <w:spacing w:val="-2"/>
        </w:rPr>
        <w:t>定理证明器等理论研究和技术开发；共建安徽大数据应用协同创新中心，开展大数据采集、大数据存储、</w:t>
      </w:r>
      <w:r>
        <w:rPr>
          <w:spacing w:val="-21"/>
        </w:rPr>
        <w:t> </w:t>
      </w:r>
      <w:r>
        <w:rPr>
          <w:spacing w:val="-21"/>
        </w:rPr>
      </w:r>
      <w:r>
        <w:rPr/>
        <w:t>大数据共享、大数据挖掘与分析等关键共性技术研发和科技成果的产业化。公司</w:t>
      </w:r>
      <w:r>
        <w:rPr>
          <w:rFonts w:ascii="Times New Roman" w:hAnsi="Times New Roman" w:cs="Times New Roman" w:eastAsia="Times New Roman" w:hint="default"/>
        </w:rPr>
        <w:t>“</w:t>
      </w:r>
      <w:r>
        <w:rPr/>
        <w:t>安徽省信用大数据平台</w:t>
      </w:r>
      <w:r>
        <w:rPr>
          <w:spacing w:val="-13"/>
        </w:rPr>
        <w:t> </w:t>
      </w:r>
      <w:r>
        <w:rPr>
          <w:spacing w:val="-13"/>
        </w:rPr>
      </w:r>
      <w:r>
        <w:rPr/>
        <w:t>建设项目</w:t>
      </w:r>
      <w:r>
        <w:rPr>
          <w:rFonts w:ascii="Times New Roman" w:hAnsi="Times New Roman" w:cs="Times New Roman" w:eastAsia="Times New Roman" w:hint="default"/>
        </w:rPr>
        <w:t>”</w:t>
      </w:r>
      <w:r>
        <w:rPr/>
        <w:t>被国家发改委列为</w:t>
      </w:r>
      <w:r>
        <w:rPr>
          <w:rFonts w:ascii="Times New Roman" w:hAnsi="Times New Roman" w:cs="Times New Roman" w:eastAsia="Times New Roman" w:hint="default"/>
        </w:rPr>
        <w:t>2018</w:t>
      </w:r>
      <w:r>
        <w:rPr/>
        <w:t>年数字经济试点重大工程，标志着公司大数据解决方案能力已进入国家</w:t>
      </w:r>
      <w:r>
        <w:rPr>
          <w:spacing w:val="-17"/>
        </w:rPr>
        <w:t> </w:t>
      </w:r>
      <w:r>
        <w:rPr>
          <w:spacing w:val="-17"/>
        </w:rPr>
      </w:r>
      <w:r>
        <w:rPr/>
        <w:t>队。</w:t>
      </w:r>
    </w:p>
    <w:p>
      <w:pPr>
        <w:pStyle w:val="BodyText"/>
        <w:spacing w:line="256" w:lineRule="auto" w:before="16"/>
        <w:ind w:right="208" w:firstLine="384"/>
        <w:jc w:val="both"/>
      </w:pPr>
      <w:r>
        <w:rPr>
          <w:spacing w:val="-3"/>
        </w:rPr>
        <w:t>报告期内，公司获得了</w:t>
      </w:r>
      <w:r>
        <w:rPr>
          <w:rFonts w:ascii="Times New Roman" w:hAnsi="Times New Roman" w:cs="Times New Roman" w:eastAsia="Times New Roman" w:hint="default"/>
          <w:spacing w:val="-3"/>
        </w:rPr>
        <w:t>“</w:t>
      </w:r>
      <w:r>
        <w:rPr>
          <w:spacing w:val="-3"/>
        </w:rPr>
        <w:t>面向分布式系统的全局事务管理器及事务处理方法</w:t>
      </w:r>
      <w:r>
        <w:rPr>
          <w:rFonts w:ascii="Times New Roman" w:hAnsi="Times New Roman" w:cs="Times New Roman" w:eastAsia="Times New Roman" w:hint="default"/>
          <w:spacing w:val="-3"/>
        </w:rPr>
        <w:t>”</w:t>
      </w:r>
      <w:r>
        <w:rPr>
          <w:spacing w:val="-3"/>
        </w:rPr>
        <w:t>一项发明专利以及</w:t>
      </w:r>
      <w:r>
        <w:rPr>
          <w:rFonts w:ascii="Times New Roman" w:hAnsi="Times New Roman" w:cs="Times New Roman" w:eastAsia="Times New Roman" w:hint="default"/>
          <w:spacing w:val="-3"/>
        </w:rPr>
        <w:t>“</w:t>
      </w:r>
      <w:r>
        <w:rPr>
          <w:spacing w:val="-3"/>
        </w:rPr>
        <w:t>科大国</w:t>
      </w:r>
      <w:r>
        <w:rPr>
          <w:w w:val="100"/>
        </w:rPr>
        <w:t> </w:t>
      </w:r>
      <w:r>
        <w:rPr>
          <w:spacing w:val="-4"/>
        </w:rPr>
        <w:t>创实时大数据系统</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科大国创智慧灯杆运营支撑平台软件</w:t>
      </w:r>
      <w:r>
        <w:rPr>
          <w:rFonts w:ascii="Times New Roman" w:hAnsi="Times New Roman" w:cs="Times New Roman" w:eastAsia="Times New Roman" w:hint="default"/>
          <w:spacing w:val="-4"/>
        </w:rPr>
        <w:t>”</w:t>
      </w:r>
      <w:r>
        <w:rPr>
          <w:spacing w:val="-4"/>
        </w:rPr>
        <w:t>等多项软件著作权；截至报告期末，公司累计</w:t>
      </w:r>
      <w:r>
        <w:rPr>
          <w:spacing w:val="-19"/>
        </w:rPr>
        <w:t> </w:t>
      </w:r>
      <w:r>
        <w:rPr>
          <w:spacing w:val="-19"/>
        </w:rPr>
      </w:r>
      <w:r>
        <w:rPr/>
        <w:t>获得计算机软件著作权</w:t>
      </w:r>
      <w:r>
        <w:rPr>
          <w:rFonts w:ascii="Times New Roman" w:hAnsi="Times New Roman" w:cs="Times New Roman" w:eastAsia="Times New Roman" w:hint="default"/>
        </w:rPr>
        <w:t>171</w:t>
      </w:r>
      <w:r>
        <w:rPr/>
        <w:t>项。</w:t>
      </w:r>
    </w:p>
    <w:p>
      <w:pPr>
        <w:pStyle w:val="BodyText"/>
        <w:spacing w:line="256" w:lineRule="auto" w:before="5"/>
        <w:ind w:left="537" w:right="0"/>
        <w:jc w:val="left"/>
      </w:pPr>
      <w:r>
        <w:rPr>
          <w:rFonts w:ascii="Times New Roman" w:hAnsi="Times New Roman" w:cs="Times New Roman" w:eastAsia="Times New Roman" w:hint="default"/>
        </w:rPr>
        <w:t>3</w:t>
      </w:r>
      <w:r>
        <w:rPr/>
        <w:t>、客户持续经营能力</w:t>
      </w:r>
      <w:r>
        <w:rPr>
          <w:w w:val="100"/>
        </w:rPr>
        <w:t> </w:t>
      </w:r>
      <w:r>
        <w:rPr>
          <w:spacing w:val="-1"/>
        </w:rPr>
        <w:t>公司自成立以来，始终坚持以核心技术、优质服务以及高品质的产品和解决方案实现客户持续经营能</w:t>
      </w:r>
    </w:p>
    <w:p>
      <w:pPr>
        <w:pStyle w:val="BodyText"/>
        <w:spacing w:line="261" w:lineRule="auto" w:before="22"/>
        <w:ind w:right="206"/>
        <w:jc w:val="both"/>
      </w:pPr>
      <w:r>
        <w:rPr>
          <w:spacing w:val="-2"/>
        </w:rPr>
        <w:t>力。公司核心技术是拓展新客户、深耕老客户的保障，</w:t>
      </w:r>
      <w:r>
        <w:rPr>
          <w:rFonts w:ascii="Times New Roman" w:hAnsi="Times New Roman" w:cs="Times New Roman" w:eastAsia="Times New Roman" w:hint="default"/>
          <w:spacing w:val="-2"/>
        </w:rPr>
        <w:t>“</w:t>
      </w:r>
      <w:r>
        <w:rPr>
          <w:spacing w:val="-2"/>
        </w:rPr>
        <w:t>紧贴用户需求</w:t>
      </w:r>
      <w:r>
        <w:rPr>
          <w:rFonts w:ascii="Times New Roman" w:hAnsi="Times New Roman" w:cs="Times New Roman" w:eastAsia="Times New Roman" w:hint="default"/>
          <w:spacing w:val="-2"/>
        </w:rPr>
        <w:t>”</w:t>
      </w:r>
      <w:r>
        <w:rPr>
          <w:spacing w:val="-2"/>
        </w:rPr>
        <w:t>的服务策略是增强客户黏性并持续</w:t>
      </w:r>
      <w:r>
        <w:rPr>
          <w:spacing w:val="-17"/>
        </w:rPr>
        <w:t> </w:t>
      </w:r>
      <w:r>
        <w:rPr>
          <w:spacing w:val="-17"/>
        </w:rPr>
      </w:r>
      <w:r>
        <w:rPr>
          <w:spacing w:val="-2"/>
        </w:rPr>
        <w:t>创造客户需求的关键，高品质的产品和解决方案是赢得品牌影响力和行业客户的核心。公司现已形成自主</w:t>
      </w:r>
      <w:r>
        <w:rPr>
          <w:spacing w:val="-43"/>
        </w:rPr>
        <w:t> </w:t>
      </w:r>
      <w:r>
        <w:rPr>
          <w:spacing w:val="-43"/>
        </w:rPr>
      </w:r>
      <w:r>
        <w:rPr/>
        <w:t>特色的客户经营路径：突破重点客户</w:t>
      </w:r>
      <w:r>
        <w:rPr>
          <w:rFonts w:ascii="Times New Roman" w:hAnsi="Times New Roman" w:cs="Times New Roman" w:eastAsia="Times New Roman" w:hint="default"/>
        </w:rPr>
        <w:t>--</w:t>
      </w:r>
      <w:r>
        <w:rPr/>
        <w:t>树立行业标杆</w:t>
      </w:r>
      <w:r>
        <w:rPr>
          <w:rFonts w:ascii="Times New Roman" w:hAnsi="Times New Roman" w:cs="Times New Roman" w:eastAsia="Times New Roman" w:hint="default"/>
        </w:rPr>
        <w:t>--</w:t>
      </w:r>
      <w:r>
        <w:rPr/>
        <w:t>形成行业竞争优势</w:t>
      </w:r>
      <w:r>
        <w:rPr>
          <w:rFonts w:ascii="Times New Roman" w:hAnsi="Times New Roman" w:cs="Times New Roman" w:eastAsia="Times New Roman" w:hint="default"/>
        </w:rPr>
        <w:t>--</w:t>
      </w:r>
      <w:r>
        <w:rPr/>
        <w:t>获得行业全面影响力</w:t>
      </w:r>
      <w:r>
        <w:rPr>
          <w:rFonts w:ascii="Times New Roman" w:hAnsi="Times New Roman" w:cs="Times New Roman" w:eastAsia="Times New Roman" w:hint="default"/>
        </w:rPr>
        <w:t>--</w:t>
      </w:r>
      <w:r>
        <w:rPr/>
        <w:t>深度经营</w:t>
      </w:r>
      <w:r>
        <w:rPr>
          <w:spacing w:val="-61"/>
        </w:rPr>
        <w:t> </w:t>
      </w:r>
      <w:r>
        <w:rPr>
          <w:spacing w:val="-61"/>
        </w:rPr>
      </w:r>
      <w:r>
        <w:rPr/>
        <w:t>行业优质客户</w:t>
      </w:r>
      <w:r>
        <w:rPr>
          <w:rFonts w:ascii="Times New Roman" w:hAnsi="Times New Roman" w:cs="Times New Roman" w:eastAsia="Times New Roman" w:hint="default"/>
        </w:rPr>
        <w:t>--</w:t>
      </w:r>
      <w:r>
        <w:rPr/>
        <w:t>与客户共同成长发展。</w:t>
      </w:r>
    </w:p>
    <w:p>
      <w:pPr>
        <w:pStyle w:val="BodyText"/>
        <w:spacing w:line="271" w:lineRule="auto" w:before="41"/>
        <w:ind w:right="102" w:firstLine="336"/>
        <w:jc w:val="both"/>
      </w:pPr>
      <w:r>
        <w:rPr/>
        <w:t>经过十多年的经营，公司已拥有一批信息化需求大、实力雄厚、信誉良好、业务关系持续稳定的优质</w:t>
      </w:r>
      <w:r>
        <w:rPr>
          <w:w w:val="100"/>
        </w:rPr>
        <w:t> </w:t>
      </w:r>
      <w:r>
        <w:rPr>
          <w:spacing w:val="-5"/>
        </w:rPr>
        <w:t>客户，包括电信行业的中国电信、中国移动和中国联通；电力行业的国家电投集团、华润电力、大唐集团、</w:t>
      </w:r>
    </w:p>
    <w:p>
      <w:pPr>
        <w:spacing w:after="0" w:line="271"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皖能电力、神华集团、华电集团、江苏电网、安徽电网和南瑞集团等；交通行业的安徽省交通厅及各市县</w:t>
      </w:r>
      <w:r>
        <w:rPr>
          <w:spacing w:val="-43"/>
        </w:rPr>
        <w:t> </w:t>
      </w:r>
      <w:r>
        <w:rPr>
          <w:spacing w:val="-43"/>
        </w:rPr>
      </w:r>
      <w:r>
        <w:rPr>
          <w:spacing w:val="-2"/>
        </w:rPr>
        <w:t>交通局、公路局等；政府领域的安徽省政府办公厅、安徽省教育厅、安徽省发改委、安徽省经信委、贵阳</w:t>
      </w:r>
      <w:r>
        <w:rPr>
          <w:spacing w:val="-42"/>
        </w:rPr>
        <w:t> </w:t>
      </w:r>
      <w:r>
        <w:rPr>
          <w:spacing w:val="-42"/>
        </w:rPr>
      </w:r>
      <w:r>
        <w:rPr>
          <w:spacing w:val="-2"/>
        </w:rPr>
        <w:t>市发改委、安徽省检察院等；国际客户包括野村综合研究所、富士施乐、电通国际等世界知名企业。公司</w:t>
      </w:r>
      <w:r>
        <w:rPr>
          <w:spacing w:val="-43"/>
        </w:rPr>
        <w:t> </w:t>
      </w:r>
      <w:r>
        <w:rPr>
          <w:spacing w:val="-43"/>
        </w:rPr>
      </w:r>
      <w:r>
        <w:rPr>
          <w:spacing w:val="-2"/>
        </w:rPr>
        <w:t>与优质客户的共同发展推动了公司创新能力的不断提升和服务能力的不断提高，同时为公司未来持续的发</w:t>
      </w:r>
      <w:r>
        <w:rPr>
          <w:spacing w:val="-43"/>
        </w:rPr>
        <w:t> </w:t>
      </w:r>
      <w:r>
        <w:rPr>
          <w:spacing w:val="-43"/>
        </w:rPr>
      </w:r>
      <w:r>
        <w:rPr/>
        <w:t>展奠定了坚实的基础。</w:t>
      </w:r>
    </w:p>
    <w:p>
      <w:pPr>
        <w:spacing w:after="0" w:line="273" w:lineRule="auto"/>
        <w:jc w:val="both"/>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2964" w:right="0"/>
        <w:jc w:val="left"/>
        <w:rPr>
          <w:b w:val="0"/>
          <w:bCs w:val="0"/>
        </w:rPr>
      </w:pPr>
      <w:bookmarkStart w:name="_TOC_250008" w:id="4"/>
      <w:r>
        <w:rPr/>
        <w:t>第四节 </w:t>
      </w:r>
      <w:r>
        <w:rPr>
          <w:spacing w:val="11"/>
        </w:rPr>
        <w:t> </w:t>
      </w:r>
      <w:r>
        <w:rPr/>
        <w:t>经营情况讨论与分析</w:t>
      </w:r>
      <w:bookmarkEnd w:id="4"/>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一、概述</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9" w:lineRule="auto"/>
        <w:ind w:right="208" w:firstLine="420"/>
        <w:jc w:val="both"/>
      </w:pPr>
      <w:r>
        <w:rPr>
          <w:rFonts w:ascii="Times New Roman" w:hAnsi="Times New Roman" w:cs="Times New Roman" w:eastAsia="Times New Roman" w:hint="default"/>
        </w:rPr>
        <w:t>2017</w:t>
      </w:r>
      <w:r>
        <w:rPr/>
        <w:t>年度，公司实现营业收入</w:t>
      </w:r>
      <w:r>
        <w:rPr>
          <w:rFonts w:ascii="Times New Roman" w:hAnsi="Times New Roman" w:cs="Times New Roman" w:eastAsia="Times New Roman" w:hint="default"/>
        </w:rPr>
        <w:t>60,785.75</w:t>
      </w:r>
      <w:r>
        <w:rPr/>
        <w:t>万元，较上年同期增长</w:t>
      </w:r>
      <w:r>
        <w:rPr>
          <w:rFonts w:ascii="Times New Roman" w:hAnsi="Times New Roman" w:cs="Times New Roman" w:eastAsia="Times New Roman" w:hint="default"/>
        </w:rPr>
        <w:t>2.29%</w:t>
      </w:r>
      <w:r>
        <w:rPr/>
        <w:t>，收入规模基本保持稳定；归属</w:t>
      </w:r>
      <w:r>
        <w:rPr>
          <w:w w:val="100"/>
        </w:rPr>
        <w:t> </w:t>
      </w:r>
      <w:r>
        <w:rPr/>
        <w:t>上市公司股东的净利润为</w:t>
      </w:r>
      <w:r>
        <w:rPr>
          <w:rFonts w:ascii="Times New Roman" w:hAnsi="Times New Roman" w:cs="Times New Roman" w:eastAsia="Times New Roman" w:hint="default"/>
        </w:rPr>
        <w:t>1,837.44</w:t>
      </w:r>
      <w:r>
        <w:rPr/>
        <w:t>万元，较上年同期下降</w:t>
      </w:r>
      <w:r>
        <w:rPr>
          <w:rFonts w:ascii="Times New Roman" w:hAnsi="Times New Roman" w:cs="Times New Roman" w:eastAsia="Times New Roman" w:hint="default"/>
        </w:rPr>
        <w:t>67.72%</w:t>
      </w:r>
      <w:r>
        <w:rPr/>
        <w:t>。公司</w:t>
      </w:r>
      <w:r>
        <w:rPr>
          <w:rFonts w:ascii="Times New Roman" w:hAnsi="Times New Roman" w:cs="Times New Roman" w:eastAsia="Times New Roman" w:hint="default"/>
        </w:rPr>
        <w:t>2017</w:t>
      </w:r>
      <w:r>
        <w:rPr/>
        <w:t>年度经营业绩下降的主要影响</w:t>
      </w:r>
      <w:r>
        <w:rPr>
          <w:spacing w:val="-45"/>
        </w:rPr>
        <w:t> </w:t>
      </w:r>
      <w:r>
        <w:rPr>
          <w:spacing w:val="-45"/>
        </w:rPr>
      </w:r>
      <w:r>
        <w:rPr>
          <w:spacing w:val="-2"/>
        </w:rPr>
        <w:t>因素是：①公司在报告期内终止了</w:t>
      </w:r>
      <w:r>
        <w:rPr>
          <w:rFonts w:ascii="Times New Roman" w:hAnsi="Times New Roman" w:cs="Times New Roman" w:eastAsia="Times New Roman" w:hint="default"/>
          <w:spacing w:val="-2"/>
        </w:rPr>
        <w:t>“2016</w:t>
      </w:r>
      <w:r>
        <w:rPr>
          <w:spacing w:val="-2"/>
        </w:rPr>
        <w:t>年限制性股票激励计划</w:t>
      </w:r>
      <w:r>
        <w:rPr>
          <w:rFonts w:ascii="Times New Roman" w:hAnsi="Times New Roman" w:cs="Times New Roman" w:eastAsia="Times New Roman" w:hint="default"/>
          <w:spacing w:val="-2"/>
        </w:rPr>
        <w:t>”</w:t>
      </w:r>
      <w:r>
        <w:rPr>
          <w:spacing w:val="-2"/>
        </w:rPr>
        <w:t>，根据《企业会计准则》的相关规定，本</w:t>
      </w:r>
      <w:r>
        <w:rPr>
          <w:spacing w:val="-15"/>
        </w:rPr>
        <w:t> </w:t>
      </w:r>
      <w:r>
        <w:rPr>
          <w:spacing w:val="-15"/>
        </w:rPr>
      </w:r>
      <w:r>
        <w:rPr/>
        <w:t>报告期累计摊销股份支付费用</w:t>
      </w:r>
      <w:r>
        <w:rPr>
          <w:rFonts w:ascii="Times New Roman" w:hAnsi="Times New Roman" w:cs="Times New Roman" w:eastAsia="Times New Roman" w:hint="default"/>
        </w:rPr>
        <w:t>3,116.34</w:t>
      </w:r>
      <w:r>
        <w:rPr/>
        <w:t>万元；②公司部分项目推进进度未达到预期，导致项目收入无法于</w:t>
      </w:r>
      <w:r>
        <w:rPr>
          <w:spacing w:val="-27"/>
        </w:rPr>
        <w:t> </w:t>
      </w:r>
      <w:r>
        <w:rPr>
          <w:spacing w:val="-27"/>
        </w:rPr>
      </w:r>
      <w:r>
        <w:rPr>
          <w:spacing w:val="-2"/>
        </w:rPr>
        <w:t>报告期内确认；③随着公司募集资金项目建设不断推进，公司研发投入增长较大，报告期内，公司研发费</w:t>
      </w:r>
      <w:r>
        <w:rPr>
          <w:spacing w:val="-46"/>
        </w:rPr>
        <w:t> </w:t>
      </w:r>
      <w:r>
        <w:rPr>
          <w:spacing w:val="-46"/>
        </w:rPr>
      </w:r>
      <w:r>
        <w:rPr/>
        <w:t>用为</w:t>
      </w:r>
      <w:r>
        <w:rPr>
          <w:rFonts w:ascii="Times New Roman" w:hAnsi="Times New Roman" w:cs="Times New Roman" w:eastAsia="Times New Roman" w:hint="default"/>
        </w:rPr>
        <w:t>12,998.66</w:t>
      </w:r>
      <w:r>
        <w:rPr/>
        <w:t>万元，较上年同期数增加</w:t>
      </w:r>
      <w:r>
        <w:rPr>
          <w:rFonts w:ascii="Times New Roman" w:hAnsi="Times New Roman" w:cs="Times New Roman" w:eastAsia="Times New Roman" w:hint="default"/>
        </w:rPr>
        <w:t>4,848.98</w:t>
      </w:r>
      <w:r>
        <w:rPr/>
        <w:t>万元，增长</w:t>
      </w:r>
      <w:r>
        <w:rPr>
          <w:rFonts w:ascii="Times New Roman" w:hAnsi="Times New Roman" w:cs="Times New Roman" w:eastAsia="Times New Roman" w:hint="default"/>
        </w:rPr>
        <w:t>59.50%</w:t>
      </w:r>
      <w:r>
        <w:rPr/>
        <w:t>；此外，报告期内日元汇率整体下跌亦</w:t>
      </w:r>
      <w:r>
        <w:rPr>
          <w:spacing w:val="-46"/>
        </w:rPr>
        <w:t> </w:t>
      </w:r>
      <w:r>
        <w:rPr>
          <w:spacing w:val="-46"/>
        </w:rPr>
      </w:r>
      <w:r>
        <w:rPr/>
        <w:t>对</w:t>
      </w:r>
      <w:r>
        <w:rPr>
          <w:rFonts w:ascii="Times New Roman" w:hAnsi="Times New Roman" w:cs="Times New Roman" w:eastAsia="Times New Roman" w:hint="default"/>
        </w:rPr>
        <w:t>2017</w:t>
      </w:r>
      <w:r>
        <w:rPr/>
        <w:t>年度业绩产生一定影响。</w:t>
      </w:r>
    </w:p>
    <w:p>
      <w:pPr>
        <w:pStyle w:val="BodyText"/>
        <w:spacing w:line="240" w:lineRule="auto" w:before="41"/>
        <w:ind w:left="573" w:right="0"/>
        <w:jc w:val="left"/>
      </w:pPr>
      <w:r>
        <w:rPr/>
        <w:t>报告期内，公司开展的主要工作如下：</w:t>
      </w:r>
    </w:p>
    <w:p>
      <w:pPr>
        <w:pStyle w:val="BodyText"/>
        <w:spacing w:line="290" w:lineRule="auto" w:before="78"/>
        <w:ind w:left="573" w:right="0"/>
        <w:jc w:val="left"/>
      </w:pPr>
      <w:r>
        <w:rPr/>
        <w:t>（一）业务稳定发展，积极推进</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战略的融合创新应用</w:t>
      </w:r>
      <w:r>
        <w:rPr>
          <w:w w:val="100"/>
        </w:rPr>
        <w:t> </w:t>
      </w:r>
      <w:r>
        <w:rPr>
          <w:spacing w:val="-2"/>
        </w:rPr>
        <w:t>报告期内，公司在行业软件和大数据应用基础上，融合大数据、云计算、物联网、人工智能等新一代</w:t>
      </w:r>
    </w:p>
    <w:p>
      <w:pPr>
        <w:pStyle w:val="BodyText"/>
        <w:spacing w:line="284" w:lineRule="exact"/>
        <w:ind w:right="0"/>
        <w:jc w:val="both"/>
      </w:pPr>
      <w:r>
        <w:rPr/>
        <w:t>信息技术，积极布局和推进</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战略在公司各业务领域的融合创新应用。</w:t>
      </w:r>
    </w:p>
    <w:p>
      <w:pPr>
        <w:pStyle w:val="BodyText"/>
        <w:spacing w:line="240" w:lineRule="auto" w:before="59"/>
        <w:ind w:left="573" w:right="0"/>
        <w:jc w:val="left"/>
      </w:pPr>
      <w:r>
        <w:rPr>
          <w:rFonts w:ascii="Times New Roman" w:hAnsi="Times New Roman" w:cs="Times New Roman" w:eastAsia="Times New Roman" w:hint="default"/>
        </w:rPr>
        <w:t>1</w:t>
      </w:r>
      <w:r>
        <w:rPr/>
        <w:t>、软件及信息技术服务</w:t>
      </w:r>
    </w:p>
    <w:p>
      <w:pPr>
        <w:pStyle w:val="BodyText"/>
        <w:spacing w:line="290" w:lineRule="auto" w:before="62"/>
        <w:ind w:left="573" w:right="0"/>
        <w:jc w:val="left"/>
      </w:pPr>
      <w:r>
        <w:rPr/>
        <w:t>（</w:t>
      </w:r>
      <w:r>
        <w:rPr>
          <w:rFonts w:ascii="Times New Roman" w:hAnsi="Times New Roman" w:cs="Times New Roman" w:eastAsia="Times New Roman" w:hint="default"/>
        </w:rPr>
        <w:t>1</w:t>
      </w:r>
      <w:r>
        <w:rPr/>
        <w:t>）运营商业务板块</w:t>
      </w:r>
      <w:r>
        <w:rPr>
          <w:w w:val="100"/>
        </w:rPr>
        <w:t> </w:t>
      </w:r>
      <w:r>
        <w:rPr>
          <w:spacing w:val="-2"/>
        </w:rPr>
        <w:t>报告期内，公司紧密围绕中国电信、中国移动和中国联通三大核心客户，以现有优势产品运营支撑系</w:t>
      </w:r>
    </w:p>
    <w:p>
      <w:pPr>
        <w:pStyle w:val="BodyText"/>
        <w:spacing w:line="290" w:lineRule="auto"/>
        <w:ind w:left="573" w:right="0" w:hanging="420"/>
        <w:jc w:val="left"/>
      </w:pPr>
      <w:r>
        <w:rPr/>
        <w:t>统为基础，持续提升在大数据、人工智能、物联网、</w:t>
      </w:r>
      <w:r>
        <w:rPr>
          <w:rFonts w:ascii="Times New Roman" w:hAnsi="Times New Roman" w:cs="Times New Roman" w:eastAsia="Times New Roman" w:hint="default"/>
        </w:rPr>
        <w:t>ICT</w:t>
      </w:r>
      <w:r>
        <w:rPr/>
        <w:t>等领域的创新业务合作。</w:t>
      </w:r>
      <w:r>
        <w:rPr>
          <w:w w:val="100"/>
        </w:rPr>
        <w:t> </w:t>
      </w:r>
      <w:r>
        <w:rPr>
          <w:spacing w:val="-2"/>
        </w:rPr>
        <w:t>在业务开展方面，报告期内，公司在持续为客户做好原有系统升级推广运营的基础上，先后承建了中</w:t>
      </w:r>
    </w:p>
    <w:p>
      <w:pPr>
        <w:pStyle w:val="BodyText"/>
        <w:spacing w:line="271" w:lineRule="auto"/>
        <w:ind w:right="206"/>
        <w:jc w:val="both"/>
      </w:pPr>
      <w:r>
        <w:rPr>
          <w:spacing w:val="-2"/>
        </w:rPr>
        <w:t>国联通智能语音基地全业务流程监控平台、中移在线网罗天下互联网爬虫信息采集平台、安徽电信客户体</w:t>
      </w:r>
      <w:r>
        <w:rPr>
          <w:spacing w:val="-44"/>
        </w:rPr>
        <w:t> </w:t>
      </w:r>
      <w:r>
        <w:rPr>
          <w:spacing w:val="-44"/>
        </w:rPr>
      </w:r>
      <w:r>
        <w:rPr>
          <w:spacing w:val="-2"/>
        </w:rPr>
        <w:t>验平台、重庆电信基础设施集中管理平台、黑龙江电信大数据应用平台、甘肃电信动力与环境监控、云南</w:t>
      </w:r>
      <w:r>
        <w:rPr>
          <w:spacing w:val="-50"/>
        </w:rPr>
        <w:t> </w:t>
      </w:r>
      <w:r>
        <w:rPr>
          <w:spacing w:val="-50"/>
        </w:rPr>
      </w:r>
      <w:r>
        <w:rPr>
          <w:spacing w:val="-2"/>
        </w:rPr>
        <w:t>电信外呼营销平台、四川移动预处理、辽宁移动集客综合支撑、青海移动集客综合支撑、西藏移动工程挂</w:t>
      </w:r>
      <w:r>
        <w:rPr>
          <w:spacing w:val="-50"/>
        </w:rPr>
        <w:t> </w:t>
      </w:r>
      <w:r>
        <w:rPr>
          <w:spacing w:val="-50"/>
        </w:rPr>
      </w:r>
      <w:r>
        <w:rPr/>
        <w:t>测及装维调度和</w:t>
      </w:r>
      <w:r>
        <w:rPr>
          <w:rFonts w:ascii="Times New Roman" w:hAnsi="Times New Roman" w:cs="Times New Roman" w:eastAsia="Times New Roman" w:hint="default"/>
        </w:rPr>
        <w:t>IVR</w:t>
      </w:r>
      <w:r>
        <w:rPr/>
        <w:t>系统、黑龙江移动客户故障自动诊断系统、上海联通</w:t>
      </w:r>
      <w:r>
        <w:rPr>
          <w:rFonts w:ascii="Times New Roman" w:hAnsi="Times New Roman" w:cs="Times New Roman" w:eastAsia="Times New Roman" w:hint="default"/>
        </w:rPr>
        <w:t>OSS</w:t>
      </w:r>
      <w:r>
        <w:rPr/>
        <w:t>能力集成平台、天津联通接</w:t>
      </w:r>
      <w:r>
        <w:rPr>
          <w:spacing w:val="-39"/>
        </w:rPr>
        <w:t> </w:t>
      </w:r>
      <w:r>
        <w:rPr>
          <w:spacing w:val="-39"/>
        </w:rPr>
      </w:r>
      <w:r>
        <w:rPr>
          <w:spacing w:val="-2"/>
        </w:rPr>
        <w:t>入网故障自动诊断系统、陕西联通大客户透明化服务支撑系统等多个典型项目。目前，公司已成为中国电</w:t>
      </w:r>
      <w:r>
        <w:rPr>
          <w:spacing w:val="-43"/>
        </w:rPr>
        <w:t> </w:t>
      </w:r>
      <w:r>
        <w:rPr>
          <w:spacing w:val="-43"/>
        </w:rPr>
      </w:r>
      <w:r>
        <w:rPr>
          <w:spacing w:val="-2"/>
        </w:rPr>
        <w:t>信、中国移动和中国联通的运营支撑系统核心供应商，公司为中国电信开发的电子运维、应用集成、三码</w:t>
      </w:r>
      <w:r>
        <w:rPr>
          <w:spacing w:val="-47"/>
        </w:rPr>
        <w:t> </w:t>
      </w:r>
      <w:r>
        <w:rPr>
          <w:spacing w:val="-47"/>
        </w:rPr>
      </w:r>
      <w:r>
        <w:rPr>
          <w:spacing w:val="-2"/>
        </w:rPr>
        <w:t>融合，为中国联通开发的公众客服、统一采集和指令适配平台，为中国移动开发的家庭宽带业务综合支撑</w:t>
      </w:r>
      <w:r>
        <w:rPr>
          <w:spacing w:val="-44"/>
        </w:rPr>
        <w:t> </w:t>
      </w:r>
      <w:r>
        <w:rPr>
          <w:spacing w:val="-44"/>
        </w:rPr>
      </w:r>
      <w:r>
        <w:rPr/>
        <w:t>系统等产品均是三大运营商集团级运营支撑核心系统。</w:t>
      </w:r>
    </w:p>
    <w:p>
      <w:pPr>
        <w:pStyle w:val="BodyText"/>
        <w:spacing w:line="264" w:lineRule="auto" w:before="50"/>
        <w:ind w:right="206" w:firstLine="420"/>
        <w:jc w:val="both"/>
      </w:pPr>
      <w:r>
        <w:rPr/>
        <w:t>在客户开拓方面，公司在报告期内实现了上海、天津、广东和四川等</w:t>
      </w:r>
      <w:r>
        <w:rPr>
          <w:rFonts w:ascii="Times New Roman" w:hAnsi="Times New Roman" w:cs="Times New Roman" w:eastAsia="Times New Roman" w:hint="default"/>
        </w:rPr>
        <w:t>4</w:t>
      </w:r>
      <w:r>
        <w:rPr/>
        <w:t>个中心省市运营商市场零的突</w:t>
      </w:r>
      <w:r>
        <w:rPr>
          <w:w w:val="100"/>
        </w:rPr>
        <w:t> </w:t>
      </w:r>
      <w:r>
        <w:rPr>
          <w:spacing w:val="-2"/>
        </w:rPr>
        <w:t>破，新增上海联通、广东联通、天津联通、四川移动、黑龙江移动、福建移动、中国移动杭州研究院、中</w:t>
      </w:r>
      <w:r>
        <w:rPr>
          <w:spacing w:val="-49"/>
        </w:rPr>
        <w:t> </w:t>
      </w:r>
      <w:r>
        <w:rPr>
          <w:spacing w:val="-49"/>
        </w:rPr>
      </w:r>
      <w:r>
        <w:rPr>
          <w:spacing w:val="-2"/>
        </w:rPr>
        <w:t>国联通智能语音基地等多个客户。截至报告期末，公司产品已广泛应用于中国电信总部及其所属的国际公</w:t>
      </w:r>
      <w:r>
        <w:rPr>
          <w:spacing w:val="-43"/>
        </w:rPr>
        <w:t> </w:t>
      </w:r>
      <w:r>
        <w:rPr>
          <w:spacing w:val="-43"/>
        </w:rPr>
      </w:r>
      <w:r>
        <w:rPr/>
        <w:t>司、</w:t>
      </w:r>
      <w:r>
        <w:rPr>
          <w:rFonts w:ascii="Times New Roman" w:hAnsi="Times New Roman" w:cs="Times New Roman" w:eastAsia="Times New Roman" w:hint="default"/>
        </w:rPr>
        <w:t>22</w:t>
      </w:r>
      <w:r>
        <w:rPr/>
        <w:t>家省分公司，中国移动所属中移苏州研究院、中移杭州研究院、中移在线、中移物联网等</w:t>
      </w:r>
      <w:r>
        <w:rPr>
          <w:rFonts w:ascii="Times New Roman" w:hAnsi="Times New Roman" w:cs="Times New Roman" w:eastAsia="Times New Roman" w:hint="default"/>
        </w:rPr>
        <w:t>4</w:t>
      </w:r>
      <w:r>
        <w:rPr/>
        <w:t>家专业</w:t>
      </w:r>
      <w:r>
        <w:rPr>
          <w:spacing w:val="-20"/>
        </w:rPr>
        <w:t> </w:t>
      </w:r>
      <w:r>
        <w:rPr>
          <w:spacing w:val="-20"/>
        </w:rPr>
      </w:r>
      <w:r>
        <w:rPr/>
        <w:t>子公司和</w:t>
      </w:r>
      <w:r>
        <w:rPr>
          <w:rFonts w:ascii="Times New Roman" w:hAnsi="Times New Roman" w:cs="Times New Roman" w:eastAsia="Times New Roman" w:hint="default"/>
        </w:rPr>
        <w:t>16</w:t>
      </w:r>
      <w:r>
        <w:rPr/>
        <w:t>家省分公司，中国联通总部、智能语音客服运营中心和</w:t>
      </w:r>
      <w:r>
        <w:rPr>
          <w:rFonts w:ascii="Times New Roman" w:hAnsi="Times New Roman" w:cs="Times New Roman" w:eastAsia="Times New Roman" w:hint="default"/>
        </w:rPr>
        <w:t>31</w:t>
      </w:r>
      <w:r>
        <w:rPr/>
        <w:t>家省分公司。</w:t>
      </w:r>
    </w:p>
    <w:p>
      <w:pPr>
        <w:pStyle w:val="BodyText"/>
        <w:spacing w:line="290" w:lineRule="auto" w:before="39"/>
        <w:ind w:left="573" w:right="0"/>
        <w:jc w:val="left"/>
      </w:pPr>
      <w:r>
        <w:rPr>
          <w:rFonts w:ascii="Times New Roman" w:hAnsi="Times New Roman" w:cs="Times New Roman" w:eastAsia="Times New Roman" w:hint="default"/>
        </w:rPr>
        <w:t>(2)</w:t>
      </w:r>
      <w:r>
        <w:rPr/>
        <w:t>智慧城市业务板块</w:t>
      </w:r>
      <w:r>
        <w:rPr>
          <w:w w:val="100"/>
        </w:rPr>
        <w:t> </w:t>
      </w:r>
      <w:r>
        <w:rPr>
          <w:rFonts w:ascii="Times New Roman" w:hAnsi="Times New Roman" w:cs="Times New Roman" w:eastAsia="Times New Roman" w:hint="default"/>
          <w:spacing w:val="-2"/>
        </w:rPr>
        <w:t>2017</w:t>
      </w:r>
      <w:r>
        <w:rPr>
          <w:spacing w:val="-2"/>
        </w:rPr>
        <w:t>年，公司对电力、交通、政府等行业及应用领域的软件产品和解决方案进行了战略梳理与融合，</w:t>
      </w:r>
    </w:p>
    <w:p>
      <w:pPr>
        <w:pStyle w:val="BodyText"/>
        <w:spacing w:line="263" w:lineRule="exact"/>
        <w:ind w:right="0"/>
        <w:jc w:val="both"/>
      </w:pPr>
      <w:r>
        <w:rPr/>
        <w:t>围绕产业、民生、政务三大业务生态，成立智慧城市业务板块，积极推进</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战略在智慧城市的落地</w:t>
      </w:r>
    </w:p>
    <w:p>
      <w:pPr>
        <w:pStyle w:val="BodyText"/>
        <w:spacing w:line="240" w:lineRule="auto" w:before="21"/>
        <w:ind w:right="0"/>
        <w:jc w:val="both"/>
      </w:pPr>
      <w:r>
        <w:rPr/>
        <w:t>应用。</w:t>
      </w:r>
    </w:p>
    <w:p>
      <w:pPr>
        <w:pStyle w:val="BodyText"/>
        <w:spacing w:line="256" w:lineRule="auto" w:before="78"/>
        <w:ind w:right="0" w:firstLine="420"/>
        <w:jc w:val="left"/>
      </w:pPr>
      <w:r>
        <w:rPr/>
        <w:t>报告期内，公司在现有行业信息化解决方案基础上，针对性发布了公司智慧城市</w:t>
      </w:r>
      <w:r>
        <w:rPr>
          <w:rFonts w:ascii="Times New Roman" w:hAnsi="Times New Roman" w:cs="Times New Roman" w:eastAsia="Times New Roman" w:hint="default"/>
        </w:rPr>
        <w:t>IT</w:t>
      </w:r>
      <w:r>
        <w:rPr/>
        <w:t>一体化解决方案，</w:t>
      </w:r>
      <w:r>
        <w:rPr>
          <w:w w:val="100"/>
        </w:rPr>
        <w:t> </w:t>
      </w:r>
      <w:r>
        <w:rPr>
          <w:spacing w:val="-6"/>
        </w:rPr>
        <w:t>该方案在通信网、互联网、物联网三张网络的基础上，打造科大国创</w:t>
      </w:r>
      <w:r>
        <w:rPr>
          <w:rFonts w:ascii="Times New Roman" w:hAnsi="Times New Roman" w:cs="Times New Roman" w:eastAsia="Times New Roman" w:hint="default"/>
          <w:spacing w:val="-6"/>
        </w:rPr>
        <w:t>“15632”</w:t>
      </w:r>
      <w:r>
        <w:rPr>
          <w:spacing w:val="-6"/>
        </w:rPr>
        <w:t>智慧城市体系，通过分层建设，</w:t>
      </w:r>
      <w:r>
        <w:rPr>
          <w:spacing w:val="-14"/>
        </w:rPr>
        <w:t> </w:t>
      </w:r>
      <w:r>
        <w:rPr>
          <w:spacing w:val="-14"/>
        </w:rPr>
      </w:r>
      <w:r>
        <w:rPr>
          <w:spacing w:val="-2"/>
        </w:rPr>
        <w:t>达到平台能力及应用的可成长、可扩充，创造面向未来的智慧城市系统框架。同时，公司立足安徽、面向</w:t>
      </w:r>
    </w:p>
    <w:p>
      <w:pPr>
        <w:spacing w:after="0" w:line="256"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206"/>
        <w:jc w:val="both"/>
      </w:pPr>
      <w:r>
        <w:rPr/>
        <w:t>全国，积极加大互联网</w:t>
      </w:r>
      <w:r>
        <w:rPr>
          <w:rFonts w:ascii="Times New Roman" w:hAnsi="Times New Roman" w:cs="Times New Roman" w:eastAsia="Times New Roman" w:hint="default"/>
        </w:rPr>
        <w:t>+</w:t>
      </w:r>
      <w:r>
        <w:rPr/>
        <w:t>政务、信用平台、数据铁笼、云计算数据中心、行政执法、智慧灯杆物联网解决</w:t>
      </w:r>
      <w:r>
        <w:rPr>
          <w:spacing w:val="-37"/>
        </w:rPr>
        <w:t> </w:t>
      </w:r>
      <w:r>
        <w:rPr>
          <w:spacing w:val="-37"/>
        </w:rPr>
      </w:r>
      <w:r>
        <w:rPr>
          <w:spacing w:val="-2"/>
        </w:rPr>
        <w:t>方案、智慧电厂等多个智慧城市软件产品和解决方案的推广应用，先后承建推广了安徽省政府办公厅信息</w:t>
      </w:r>
      <w:r>
        <w:rPr>
          <w:spacing w:val="-42"/>
        </w:rPr>
        <w:t> </w:t>
      </w:r>
      <w:r>
        <w:rPr>
          <w:spacing w:val="-42"/>
        </w:rPr>
      </w:r>
      <w:r>
        <w:rPr>
          <w:spacing w:val="-2"/>
        </w:rPr>
        <w:t>处理与决策系统、安徽省网上政务服务及政务信息资源共享平台、安徽省公共信用信息服务平台、安徽农</w:t>
      </w:r>
      <w:r>
        <w:rPr>
          <w:spacing w:val="-45"/>
        </w:rPr>
        <w:t> </w:t>
      </w:r>
      <w:r>
        <w:rPr>
          <w:spacing w:val="-45"/>
        </w:rPr>
      </w:r>
      <w:r>
        <w:rPr>
          <w:spacing w:val="-2"/>
        </w:rPr>
        <w:t>业大数据、安徽省食品药品管理局行政执法平台、安徽省经济信息委员会工业云平台、安徽省人民检察院</w:t>
      </w:r>
      <w:r>
        <w:rPr>
          <w:spacing w:val="-44"/>
        </w:rPr>
        <w:t> </w:t>
      </w:r>
      <w:r>
        <w:rPr>
          <w:spacing w:val="-44"/>
        </w:rPr>
      </w:r>
      <w:r>
        <w:rPr>
          <w:spacing w:val="-2"/>
        </w:rPr>
        <w:t>综合管理平台、六安市人民法院智能机器人服务应用、神华集团富平智慧电厂、合肥联合发电公司电力设</w:t>
      </w:r>
      <w:r>
        <w:rPr>
          <w:spacing w:val="-43"/>
        </w:rPr>
        <w:t> </w:t>
      </w:r>
      <w:r>
        <w:rPr>
          <w:spacing w:val="-43"/>
        </w:rPr>
      </w:r>
      <w:r>
        <w:rPr/>
        <w:t>备运行管控系统、南京老山景区智慧灯杆平台等项目。</w:t>
      </w:r>
    </w:p>
    <w:p>
      <w:pPr>
        <w:pStyle w:val="BodyText"/>
        <w:spacing w:line="290" w:lineRule="auto" w:before="52"/>
        <w:ind w:left="573" w:right="0"/>
        <w:jc w:val="left"/>
      </w:pPr>
      <w:r>
        <w:rPr/>
        <w:t>（</w:t>
      </w:r>
      <w:r>
        <w:rPr>
          <w:rFonts w:ascii="Times New Roman" w:hAnsi="Times New Roman" w:cs="Times New Roman" w:eastAsia="Times New Roman" w:hint="default"/>
        </w:rPr>
        <w:t>3</w:t>
      </w:r>
      <w:r>
        <w:rPr/>
        <w:t>）国际业务板块</w:t>
      </w:r>
      <w:r>
        <w:rPr>
          <w:w w:val="100"/>
        </w:rPr>
        <w:t> </w:t>
      </w:r>
      <w:r>
        <w:rPr>
          <w:spacing w:val="2"/>
        </w:rPr>
        <w:t>报告期内，公司国际业务在持续深耕日本野村综合研究所金融资产管理等金融业务软件服务的基础</w:t>
      </w:r>
    </w:p>
    <w:p>
      <w:pPr>
        <w:pStyle w:val="BodyText"/>
        <w:spacing w:line="271" w:lineRule="auto"/>
        <w:ind w:right="206"/>
        <w:jc w:val="both"/>
      </w:pPr>
      <w:r>
        <w:rPr>
          <w:spacing w:val="-2"/>
        </w:rPr>
        <w:t>上，继续积极推进大客户战略，拓展和提升电通国际情报服务株式会社、日本电子计算株式会社、京瓷信</w:t>
      </w:r>
      <w:r>
        <w:rPr>
          <w:spacing w:val="-50"/>
        </w:rPr>
        <w:t> </w:t>
      </w:r>
      <w:r>
        <w:rPr>
          <w:spacing w:val="-50"/>
        </w:rPr>
      </w:r>
      <w:r>
        <w:rPr>
          <w:spacing w:val="-2"/>
        </w:rPr>
        <w:t>息系统（上海）有限公司、日立制作所、富士施乐等日本国际知名企业的软件开发业务合作。同时，公司</w:t>
      </w:r>
      <w:r>
        <w:rPr>
          <w:spacing w:val="-42"/>
        </w:rPr>
        <w:t> </w:t>
      </w:r>
      <w:r>
        <w:rPr>
          <w:spacing w:val="-42"/>
        </w:rPr>
      </w:r>
      <w:r>
        <w:rPr>
          <w:spacing w:val="-2"/>
        </w:rPr>
        <w:t>在融合国际先进的软件开发管理经验和信息技术的基础上，积极拓展国际优秀软件产品和解决方案在国内</w:t>
      </w:r>
      <w:r>
        <w:rPr>
          <w:spacing w:val="-43"/>
        </w:rPr>
        <w:t> </w:t>
      </w:r>
      <w:r>
        <w:rPr>
          <w:spacing w:val="-43"/>
        </w:rPr>
      </w:r>
      <w:r>
        <w:rPr>
          <w:spacing w:val="-2"/>
        </w:rPr>
        <w:t>行业的创新应用。报告期末，公司金融资产管理等金融业务软件已应用于中国保险信息技术管理公司、兴</w:t>
      </w:r>
      <w:r>
        <w:rPr>
          <w:spacing w:val="-43"/>
        </w:rPr>
        <w:t> </w:t>
      </w:r>
      <w:r>
        <w:rPr>
          <w:spacing w:val="-43"/>
        </w:rPr>
      </w:r>
      <w:r>
        <w:rPr>
          <w:spacing w:val="-2"/>
        </w:rPr>
        <w:t>业基金、兴业数字金融公司、浦银安盛基金、合肥兴泰金融控股、合肥高新建设投资集团、中衡保险、国</w:t>
      </w:r>
      <w:r>
        <w:rPr>
          <w:spacing w:val="-45"/>
        </w:rPr>
        <w:t> </w:t>
      </w:r>
      <w:r>
        <w:rPr>
          <w:spacing w:val="-45"/>
        </w:rPr>
      </w:r>
      <w:r>
        <w:rPr/>
        <w:t>元证券等多家国内金融机构；慢性肾病管理及质控平台已广泛应用于北京</w:t>
      </w:r>
      <w:r>
        <w:rPr>
          <w:rFonts w:ascii="Times New Roman" w:hAnsi="Times New Roman" w:cs="Times New Roman" w:eastAsia="Times New Roman" w:hint="default"/>
        </w:rPr>
        <w:t>301</w:t>
      </w:r>
      <w:r>
        <w:rPr/>
        <w:t>医院、上海华山医院、福建</w:t>
      </w:r>
      <w:r>
        <w:rPr>
          <w:spacing w:val="-25"/>
        </w:rPr>
        <w:t> </w:t>
      </w:r>
      <w:r>
        <w:rPr>
          <w:spacing w:val="-25"/>
        </w:rPr>
      </w:r>
      <w:r>
        <w:rPr/>
        <w:t>省立医院、安徽省立医院、武警</w:t>
      </w:r>
      <w:r>
        <w:rPr>
          <w:rFonts w:ascii="Times New Roman" w:hAnsi="Times New Roman" w:cs="Times New Roman" w:eastAsia="Times New Roman" w:hint="default"/>
        </w:rPr>
        <w:t>105</w:t>
      </w:r>
      <w:r>
        <w:rPr/>
        <w:t>医院等国内多家知名医院和武汉市血透质控中心。</w:t>
      </w:r>
    </w:p>
    <w:p>
      <w:pPr>
        <w:pStyle w:val="BodyText"/>
        <w:spacing w:line="290" w:lineRule="auto" w:before="32"/>
        <w:ind w:left="573" w:right="0"/>
        <w:jc w:val="left"/>
      </w:pP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智慧物流云服务平台</w:t>
      </w:r>
      <w:r>
        <w:rPr>
          <w:w w:val="100"/>
        </w:rPr>
        <w:t> </w:t>
      </w:r>
      <w:r>
        <w:rPr/>
        <w:t>报告期内，公司继续坚持科技创新、数据驱动的科技型互联网</w:t>
      </w:r>
      <w:r>
        <w:rPr>
          <w:rFonts w:ascii="Times New Roman" w:hAnsi="Times New Roman" w:cs="Times New Roman" w:eastAsia="Times New Roman" w:hint="default"/>
        </w:rPr>
        <w:t>+</w:t>
      </w:r>
      <w:r>
        <w:rPr/>
        <w:t>智慧物流云服务平台的打造。公司控</w:t>
      </w:r>
    </w:p>
    <w:p>
      <w:pPr>
        <w:pStyle w:val="BodyText"/>
        <w:spacing w:line="247" w:lineRule="exact"/>
        <w:ind w:right="0"/>
        <w:jc w:val="both"/>
      </w:pPr>
      <w:r>
        <w:rPr/>
        <w:t>股子公司慧通互联围绕货车交通卡服务，加大线上运营力度，继续加强可信运力池建设，目前用户范围已</w:t>
      </w:r>
    </w:p>
    <w:p>
      <w:pPr>
        <w:pStyle w:val="BodyText"/>
        <w:spacing w:line="264" w:lineRule="auto" w:before="37"/>
        <w:ind w:right="206"/>
        <w:jc w:val="both"/>
      </w:pPr>
      <w:r>
        <w:rPr/>
        <w:t>覆盖全国</w:t>
      </w:r>
      <w:r>
        <w:rPr>
          <w:rFonts w:ascii="Times New Roman" w:hAnsi="Times New Roman" w:cs="Times New Roman" w:eastAsia="Times New Roman" w:hint="default"/>
        </w:rPr>
        <w:t>29</w:t>
      </w:r>
      <w:r>
        <w:rPr/>
        <w:t>省市自治区。同时，公司持续研发升级互联网</w:t>
      </w:r>
      <w:r>
        <w:rPr>
          <w:rFonts w:ascii="Times New Roman" w:hAnsi="Times New Roman" w:cs="Times New Roman" w:eastAsia="Times New Roman" w:hint="default"/>
        </w:rPr>
        <w:t>+</w:t>
      </w:r>
      <w:r>
        <w:rPr/>
        <w:t>智慧物流云服务平台，积极进行大客户营销，</w:t>
      </w:r>
      <w:r>
        <w:rPr>
          <w:spacing w:val="-37"/>
        </w:rPr>
        <w:t> </w:t>
      </w:r>
      <w:r>
        <w:rPr>
          <w:spacing w:val="-37"/>
        </w:rPr>
      </w:r>
      <w:r>
        <w:rPr>
          <w:spacing w:val="-2"/>
        </w:rPr>
        <w:t>拓展物流货源池，并基于物流供应链，创建完善信用体系，试点数据金融服务业务。截至报告期末，慧通</w:t>
      </w:r>
      <w:r>
        <w:rPr>
          <w:spacing w:val="-43"/>
        </w:rPr>
        <w:t> </w:t>
      </w:r>
      <w:r>
        <w:rPr>
          <w:spacing w:val="-43"/>
        </w:rPr>
      </w:r>
      <w:r>
        <w:rPr/>
        <w:t>互联已达到经营目标，并实现盈利。</w:t>
      </w:r>
    </w:p>
    <w:p>
      <w:pPr>
        <w:pStyle w:val="BodyText"/>
        <w:spacing w:line="309" w:lineRule="auto" w:before="54"/>
        <w:ind w:left="573" w:right="0"/>
        <w:jc w:val="left"/>
      </w:pPr>
      <w:r>
        <w:rPr/>
        <w:t>（二）持续完善市场营销网络，初步构建产业生态的共建共赢联盟</w:t>
      </w:r>
      <w:r>
        <w:rPr>
          <w:w w:val="100"/>
        </w:rPr>
        <w:t> </w:t>
      </w:r>
      <w:r>
        <w:rPr>
          <w:spacing w:val="-2"/>
        </w:rPr>
        <w:t>为加强市场营销服务能力，提升营销网络运营水平，公司持续协同整合市场销售资源，完善营销网络</w:t>
      </w:r>
    </w:p>
    <w:p>
      <w:pPr>
        <w:pStyle w:val="BodyText"/>
        <w:spacing w:line="251" w:lineRule="exact"/>
        <w:ind w:right="0"/>
        <w:jc w:val="both"/>
      </w:pPr>
      <w:r>
        <w:rPr/>
        <w:t>建设。报告期内，围绕区域战略布局，持续细化省内区域化发展和推进省外重点区域布局。目前，公司省</w:t>
      </w:r>
    </w:p>
    <w:p>
      <w:pPr>
        <w:pStyle w:val="BodyText"/>
        <w:spacing w:line="273" w:lineRule="auto" w:before="37"/>
        <w:ind w:right="208"/>
        <w:jc w:val="both"/>
      </w:pPr>
      <w:r>
        <w:rPr>
          <w:spacing w:val="-2"/>
        </w:rPr>
        <w:t>内已建立了较为完善的市县区域化销售网络，以安徽、北京、江苏、贵州、新疆、重庆、陕西和日本东京</w:t>
      </w:r>
      <w:r>
        <w:rPr>
          <w:spacing w:val="-48"/>
        </w:rPr>
        <w:t> </w:t>
      </w:r>
      <w:r>
        <w:rPr>
          <w:spacing w:val="-48"/>
        </w:rPr>
      </w:r>
      <w:r>
        <w:rPr/>
        <w:t>等重点区域为辐射的全国性和国际市场一体化的营销网络已初步建立。</w:t>
      </w:r>
    </w:p>
    <w:p>
      <w:pPr>
        <w:pStyle w:val="BodyText"/>
        <w:spacing w:line="268" w:lineRule="auto" w:before="48"/>
        <w:ind w:right="0" w:firstLine="420"/>
        <w:jc w:val="left"/>
      </w:pPr>
      <w:r>
        <w:rPr/>
        <w:t>同时，公司作为国内领先的行业软件及大数据解决方案服务商，积极谋求构建共建共赢的产业联盟，</w:t>
      </w:r>
      <w:r>
        <w:rPr>
          <w:w w:val="100"/>
        </w:rPr>
        <w:t> </w:t>
      </w:r>
      <w:r>
        <w:rPr>
          <w:spacing w:val="-5"/>
        </w:rPr>
        <w:t>公司先后与贵州省大数据局、合肥市数据资源局、中国移动、中电科集团、江苏省交通科学研究院、浪潮、 </w:t>
      </w:r>
      <w:r>
        <w:rPr>
          <w:spacing w:val="-5"/>
        </w:rPr>
        <w:t>新华三等多家政府机构和大型企业达成联盟合作。目前，公司已成为安徽省大数据联盟、安徽省软件协会、</w:t>
      </w:r>
      <w:r>
        <w:rPr>
          <w:spacing w:val="-4"/>
        </w:rPr>
        <w:t> </w:t>
      </w:r>
      <w:r>
        <w:rPr>
          <w:spacing w:val="-4"/>
        </w:rPr>
      </w:r>
      <w:r>
        <w:rPr>
          <w:spacing w:val="-2"/>
        </w:rPr>
        <w:t>合肥市大数据创新产业联盟等大数据和软件领域协会、联盟的主要成员。报告期内，公司成功牵头举办首</w:t>
      </w:r>
      <w:r>
        <w:rPr>
          <w:spacing w:val="-42"/>
        </w:rPr>
        <w:t> </w:t>
      </w:r>
      <w:r>
        <w:rPr>
          <w:spacing w:val="-42"/>
        </w:rPr>
      </w:r>
      <w:r>
        <w:rPr/>
        <w:t>届</w:t>
      </w:r>
      <w:r>
        <w:rPr>
          <w:rFonts w:ascii="Times New Roman" w:hAnsi="Times New Roman" w:cs="Times New Roman" w:eastAsia="Times New Roman" w:hint="default"/>
        </w:rPr>
        <w:t>“</w:t>
      </w:r>
      <w:r>
        <w:rPr/>
        <w:t>中国合肥大数据产业发展峰会</w:t>
      </w:r>
      <w:r>
        <w:rPr>
          <w:rFonts w:ascii="Times New Roman" w:hAnsi="Times New Roman" w:cs="Times New Roman" w:eastAsia="Times New Roman" w:hint="default"/>
        </w:rPr>
        <w:t>”</w:t>
      </w:r>
      <w:r>
        <w:rPr/>
        <w:t>，取得了良好的社会影响，推动了公司与大数据业界的紧密合作和共建</w:t>
      </w:r>
      <w:r>
        <w:rPr>
          <w:w w:val="100"/>
        </w:rPr>
        <w:t> </w:t>
      </w:r>
      <w:r>
        <w:rPr/>
        <w:t>共赢。</w:t>
      </w:r>
    </w:p>
    <w:p>
      <w:pPr>
        <w:pStyle w:val="BodyText"/>
        <w:spacing w:line="309" w:lineRule="auto" w:before="50"/>
        <w:ind w:left="573" w:right="0"/>
        <w:jc w:val="left"/>
      </w:pPr>
      <w:r>
        <w:rPr/>
        <w:t>（三）研发投入持续增加，以大数据驱动的智能软件布局人工智能</w:t>
      </w:r>
      <w:r>
        <w:rPr>
          <w:w w:val="100"/>
        </w:rPr>
        <w:t> </w:t>
      </w:r>
      <w:r>
        <w:rPr/>
        <w:t>报告期内，公司研发投入为</w:t>
      </w:r>
      <w:r>
        <w:rPr>
          <w:rFonts w:ascii="Times New Roman" w:hAnsi="Times New Roman" w:cs="Times New Roman" w:eastAsia="Times New Roman" w:hint="default"/>
        </w:rPr>
        <w:t>13,112.82</w:t>
      </w:r>
      <w:r>
        <w:rPr/>
        <w:t>万元，较上年同期数增加</w:t>
      </w:r>
      <w:r>
        <w:rPr>
          <w:rFonts w:ascii="Times New Roman" w:hAnsi="Times New Roman" w:cs="Times New Roman" w:eastAsia="Times New Roman" w:hint="default"/>
        </w:rPr>
        <w:t>4,963.15</w:t>
      </w:r>
      <w:r>
        <w:rPr/>
        <w:t>万元，增长</w:t>
      </w:r>
      <w:r>
        <w:rPr>
          <w:rFonts w:ascii="Times New Roman" w:hAnsi="Times New Roman" w:cs="Times New Roman" w:eastAsia="Times New Roman" w:hint="default"/>
        </w:rPr>
        <w:t>60.90%</w:t>
      </w:r>
      <w:r>
        <w:rPr/>
        <w:t>。一方面，</w:t>
      </w:r>
    </w:p>
    <w:p>
      <w:pPr>
        <w:pStyle w:val="BodyText"/>
        <w:spacing w:line="229" w:lineRule="exact"/>
        <w:ind w:right="0"/>
        <w:jc w:val="both"/>
      </w:pPr>
      <w:r>
        <w:rPr/>
        <w:t>公司持续优化研发中心的组织机构和资源协同，筹建中央研究院，致力于公司现有技术的整合和未来发展</w:t>
      </w:r>
    </w:p>
    <w:p>
      <w:pPr>
        <w:pStyle w:val="BodyText"/>
        <w:spacing w:line="261" w:lineRule="auto" w:before="37"/>
        <w:ind w:right="206"/>
        <w:jc w:val="both"/>
      </w:pPr>
      <w:r>
        <w:rPr>
          <w:spacing w:val="-2"/>
        </w:rPr>
        <w:t>技术的研究。另一方面，坚持产学研相结合，以市场为导向，持续加强大数据、云计算、物联网、人工智</w:t>
      </w:r>
      <w:r>
        <w:rPr>
          <w:spacing w:val="-48"/>
        </w:rPr>
        <w:t> </w:t>
      </w:r>
      <w:r>
        <w:rPr>
          <w:spacing w:val="-48"/>
        </w:rPr>
      </w:r>
      <w:r>
        <w:rPr>
          <w:spacing w:val="-4"/>
          <w:w w:val="100"/>
        </w:rPr>
        <w:t>能等新一代信息技术与行业应用软件的融合，推进了</w:t>
      </w:r>
      <w:r>
        <w:rPr>
          <w:rFonts w:ascii="Times New Roman" w:hAnsi="Times New Roman" w:cs="Times New Roman" w:eastAsia="Times New Roman" w:hint="default"/>
          <w:spacing w:val="-4"/>
          <w:w w:val="100"/>
        </w:rPr>
        <w:t>“</w:t>
      </w:r>
      <w:r>
        <w:rPr>
          <w:spacing w:val="-4"/>
          <w:w w:val="100"/>
        </w:rPr>
        <w:t>新一代电信运营支撑系统</w:t>
      </w:r>
      <w:r>
        <w:rPr>
          <w:rFonts w:ascii="Times New Roman" w:hAnsi="Times New Roman" w:cs="Times New Roman" w:eastAsia="Times New Roman" w:hint="default"/>
          <w:spacing w:val="-4"/>
          <w:w w:val="100"/>
        </w:rPr>
        <w:t>”</w:t>
      </w:r>
      <w:r>
        <w:rPr>
          <w:spacing w:val="-4"/>
          <w:w w:val="100"/>
        </w:rPr>
        <w:t>和</w:t>
      </w:r>
      <w:r>
        <w:rPr>
          <w:rFonts w:ascii="Times New Roman" w:hAnsi="Times New Roman" w:cs="Times New Roman" w:eastAsia="Times New Roman" w:hint="default"/>
          <w:spacing w:val="-4"/>
          <w:w w:val="100"/>
        </w:rPr>
        <w:t>“</w:t>
      </w:r>
      <w:r>
        <w:rPr>
          <w:spacing w:val="-4"/>
          <w:w w:val="100"/>
        </w:rPr>
        <w:t>大数据驱动的智能应用</w:t>
      </w:r>
      <w:r>
        <w:rPr>
          <w:spacing w:val="-75"/>
          <w:w w:val="100"/>
        </w:rPr>
        <w:t> </w:t>
      </w:r>
      <w:r>
        <w:rPr>
          <w:spacing w:val="-75"/>
          <w:w w:val="100"/>
        </w:rPr>
      </w:r>
      <w:r>
        <w:rPr>
          <w:spacing w:val="-3"/>
        </w:rPr>
        <w:t>软件</w:t>
      </w:r>
      <w:r>
        <w:rPr>
          <w:rFonts w:ascii="Times New Roman" w:hAnsi="Times New Roman" w:cs="Times New Roman" w:eastAsia="Times New Roman" w:hint="default"/>
          <w:spacing w:val="-3"/>
        </w:rPr>
        <w:t>”</w:t>
      </w:r>
      <w:r>
        <w:rPr>
          <w:spacing w:val="-3"/>
        </w:rPr>
        <w:t>募集资金投资项目的实施，升级了科技创新、数据驱动的互联网</w:t>
      </w:r>
      <w:r>
        <w:rPr>
          <w:rFonts w:ascii="Times New Roman" w:hAnsi="Times New Roman" w:cs="Times New Roman" w:eastAsia="Times New Roman" w:hint="default"/>
          <w:spacing w:val="-3"/>
        </w:rPr>
        <w:t>+</w:t>
      </w:r>
      <w:r>
        <w:rPr>
          <w:spacing w:val="-3"/>
        </w:rPr>
        <w:t>智慧物流云服务平台，优化了大数</w:t>
      </w:r>
      <w:r>
        <w:rPr>
          <w:spacing w:val="-4"/>
        </w:rPr>
        <w:t> </w:t>
      </w:r>
      <w:r>
        <w:rPr>
          <w:spacing w:val="-4"/>
        </w:rPr>
      </w:r>
      <w:r>
        <w:rPr>
          <w:spacing w:val="-2"/>
        </w:rPr>
        <w:t>据应用平台及解决方案。报告期内，公司</w:t>
      </w:r>
      <w:r>
        <w:rPr>
          <w:rFonts w:ascii="Times New Roman" w:hAnsi="Times New Roman" w:cs="Times New Roman" w:eastAsia="Times New Roman" w:hint="default"/>
          <w:spacing w:val="-2"/>
        </w:rPr>
        <w:t>“</w:t>
      </w:r>
      <w:r>
        <w:rPr>
          <w:spacing w:val="-2"/>
        </w:rPr>
        <w:t>安徽省信用大数据平台建设项目</w:t>
      </w:r>
      <w:r>
        <w:rPr>
          <w:rFonts w:ascii="Times New Roman" w:hAnsi="Times New Roman" w:cs="Times New Roman" w:eastAsia="Times New Roman" w:hint="default"/>
          <w:spacing w:val="-2"/>
        </w:rPr>
        <w:t>”</w:t>
      </w:r>
      <w:r>
        <w:rPr>
          <w:spacing w:val="-2"/>
        </w:rPr>
        <w:t>被国家发改委列为</w:t>
      </w:r>
      <w:r>
        <w:rPr>
          <w:rFonts w:ascii="Times New Roman" w:hAnsi="Times New Roman" w:cs="Times New Roman" w:eastAsia="Times New Roman" w:hint="default"/>
          <w:spacing w:val="-2"/>
        </w:rPr>
        <w:t>2018</w:t>
      </w:r>
      <w:r>
        <w:rPr>
          <w:spacing w:val="-2"/>
        </w:rPr>
        <w:t>年数字</w:t>
      </w:r>
      <w:r>
        <w:rPr>
          <w:spacing w:val="-14"/>
        </w:rPr>
        <w:t> </w:t>
      </w:r>
      <w:r>
        <w:rPr>
          <w:spacing w:val="-14"/>
        </w:rPr>
      </w:r>
      <w:r>
        <w:rPr>
          <w:spacing w:val="-1"/>
        </w:rPr>
        <w:t>经济试点重大工程，标志着公司大数据解决方案能力已进入国家队；以</w:t>
      </w:r>
      <w:r>
        <w:rPr>
          <w:rFonts w:ascii="Times New Roman" w:hAnsi="Times New Roman" w:cs="Times New Roman" w:eastAsia="Times New Roman" w:hint="default"/>
          <w:spacing w:val="-1"/>
        </w:rPr>
        <w:t>“</w:t>
      </w:r>
      <w:r>
        <w:rPr>
          <w:spacing w:val="-1"/>
        </w:rPr>
        <w:t>中科大</w:t>
      </w:r>
      <w:r>
        <w:rPr>
          <w:rFonts w:ascii="Times New Roman" w:hAnsi="Times New Roman" w:cs="Times New Roman" w:eastAsia="Times New Roman" w:hint="default"/>
          <w:spacing w:val="-1"/>
        </w:rPr>
        <w:t>----</w:t>
      </w:r>
      <w:r>
        <w:rPr>
          <w:spacing w:val="-1"/>
        </w:rPr>
        <w:t>国创高可信软件工程中</w:t>
      </w:r>
      <w:r>
        <w:rPr>
          <w:spacing w:val="-37"/>
        </w:rPr>
        <w:t> </w:t>
      </w:r>
      <w:r>
        <w:rPr>
          <w:spacing w:val="-37"/>
        </w:rPr>
      </w:r>
      <w:r>
        <w:rPr/>
        <w:t>心</w:t>
      </w:r>
      <w:r>
        <w:rPr>
          <w:rFonts w:ascii="Times New Roman" w:hAnsi="Times New Roman" w:cs="Times New Roman" w:eastAsia="Times New Roman" w:hint="default"/>
        </w:rPr>
        <w:t>”</w:t>
      </w:r>
      <w:r>
        <w:rPr/>
        <w:t>为基础，公司与中国科学技术大学及相关研发团队共同设立了安徽中科国创高可信软件有限公司，开</w:t>
      </w:r>
      <w:r>
        <w:rPr>
          <w:spacing w:val="-18"/>
        </w:rPr>
        <w:t> </w:t>
      </w:r>
      <w:r>
        <w:rPr>
          <w:spacing w:val="-18"/>
        </w:rPr>
      </w:r>
      <w:r>
        <w:rPr>
          <w:spacing w:val="-2"/>
        </w:rPr>
        <w:t>展国际领先的高可信软件集成开发平台和验证工具的研发，该公司研发的高可信软件程序分析工具已实现</w:t>
      </w:r>
      <w:r>
        <w:rPr>
          <w:spacing w:val="-43"/>
        </w:rPr>
        <w:t> </w:t>
      </w:r>
      <w:r>
        <w:rPr>
          <w:spacing w:val="-43"/>
        </w:rPr>
      </w:r>
      <w:r>
        <w:rPr/>
        <w:t>了试点应用。</w:t>
      </w:r>
    </w:p>
    <w:p>
      <w:pPr>
        <w:spacing w:after="0" w:line="261"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307" w:lineRule="auto" w:before="36"/>
        <w:ind w:left="573" w:right="0"/>
        <w:jc w:val="left"/>
      </w:pPr>
      <w:r>
        <w:rPr/>
        <w:t>（四）战略整合多措并举，协同经营发展</w:t>
      </w:r>
      <w:r>
        <w:rPr>
          <w:w w:val="100"/>
        </w:rPr>
        <w:t> </w:t>
      </w:r>
      <w:r>
        <w:rPr>
          <w:spacing w:val="-3"/>
        </w:rPr>
        <w:t>为实现公司战略目标，优化组织机构，提升经营业绩，进一步发挥经营团队、管理流程与经营发展的</w:t>
      </w:r>
    </w:p>
    <w:p>
      <w:pPr>
        <w:pStyle w:val="BodyText"/>
        <w:spacing w:line="253" w:lineRule="exact"/>
        <w:ind w:right="0"/>
        <w:jc w:val="left"/>
      </w:pPr>
      <w:r>
        <w:rPr/>
        <w:t>协同效应，报告期内，公司对高级管理人员岗位分工进行了战略调整，同时对各分（子）公司、事业部、</w:t>
      </w:r>
    </w:p>
    <w:p>
      <w:pPr>
        <w:pStyle w:val="BodyText"/>
        <w:spacing w:line="273" w:lineRule="auto" w:before="37"/>
        <w:ind w:right="0"/>
        <w:jc w:val="left"/>
      </w:pPr>
      <w:r>
        <w:rPr>
          <w:spacing w:val="-2"/>
        </w:rPr>
        <w:t>销售体系等进行了整合，对销售、市场、研发、质量、财务等前中后端各项流程进行了优化提升，多措并</w:t>
      </w:r>
      <w:r>
        <w:rPr>
          <w:spacing w:val="-44"/>
        </w:rPr>
        <w:t> </w:t>
      </w:r>
      <w:r>
        <w:rPr>
          <w:spacing w:val="-44"/>
        </w:rPr>
      </w:r>
      <w:r>
        <w:rPr/>
        <w:t>举，不断提高公司管理效率，加强与公司经营发展的协同效应。</w:t>
      </w:r>
    </w:p>
    <w:p>
      <w:pPr>
        <w:pStyle w:val="BodyText"/>
        <w:spacing w:line="307" w:lineRule="auto" w:before="46"/>
        <w:ind w:left="489" w:right="0" w:firstLine="84"/>
        <w:jc w:val="left"/>
      </w:pPr>
      <w:r>
        <w:rPr/>
        <w:t>（五）持续完善公司治理，促进规范运作</w:t>
      </w:r>
      <w:r>
        <w:rPr>
          <w:w w:val="100"/>
        </w:rPr>
        <w:t> </w:t>
      </w:r>
      <w:r>
        <w:rPr/>
        <w:t>公司在上市后持续按照上市公司监管要求积极推进完善内控建设、信息披露、投资者关系和三会运作</w:t>
      </w:r>
    </w:p>
    <w:p>
      <w:pPr>
        <w:pStyle w:val="BodyText"/>
        <w:spacing w:line="269" w:lineRule="exact"/>
        <w:ind w:right="0"/>
        <w:jc w:val="left"/>
      </w:pPr>
      <w:r>
        <w:rPr/>
        <w:t>等工作，不断提升公司治理水平。报告期内，公司成功承办了</w:t>
      </w:r>
      <w:r>
        <w:rPr>
          <w:rFonts w:ascii="Times New Roman" w:hAnsi="Times New Roman" w:cs="Times New Roman" w:eastAsia="Times New Roman" w:hint="default"/>
        </w:rPr>
        <w:t>“</w:t>
      </w:r>
      <w:r>
        <w:rPr/>
        <w:t>安徽地区投资者服务周</w:t>
      </w:r>
      <w:r>
        <w:rPr>
          <w:rFonts w:ascii="Times New Roman" w:hAnsi="Times New Roman" w:cs="Times New Roman" w:eastAsia="Times New Roman" w:hint="default"/>
        </w:rPr>
        <w:t>”</w:t>
      </w:r>
      <w:r>
        <w:rPr/>
        <w:t>启动仪式暨走进上</w:t>
      </w:r>
    </w:p>
    <w:p>
      <w:pPr>
        <w:pStyle w:val="BodyText"/>
        <w:spacing w:line="273" w:lineRule="auto" w:before="21"/>
        <w:ind w:right="0"/>
        <w:jc w:val="left"/>
      </w:pPr>
      <w:r>
        <w:rPr>
          <w:spacing w:val="-2"/>
        </w:rPr>
        <w:t>市公司活动，该活动由深圳证券交易所、安徽证监局联合主办，活动受到监管部门、媒体以及广大投资者</w:t>
      </w:r>
      <w:r>
        <w:rPr>
          <w:spacing w:val="-50"/>
        </w:rPr>
        <w:t> </w:t>
      </w:r>
      <w:r>
        <w:rPr>
          <w:spacing w:val="-50"/>
        </w:rPr>
      </w:r>
      <w:r>
        <w:rPr>
          <w:spacing w:val="-5"/>
        </w:rPr>
        <w:t>的充分认可。通过公司不断完善与投资者的交流渠道，增强了公司运作透明度，维护了公司良好市场形象。</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3" w:right="55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605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3" w:right="4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3" w:right="6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3" w:right="21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39"/>
        <w:ind w:left="153" w:right="74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1"/>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594,231,453.27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软件与信息技术服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594,231,453.27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软件与信息技术服 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行业应用软件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348,801,888.75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307,215,011.20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220,059,708.48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269,208,021.24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信息技术服务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16,741,606.48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7,494,048.98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 云服务平台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22,254,318.08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10,314,371.85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396,353,530.58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382,202,319.10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49,450,770.82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54,520,704.89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44,960,563.96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35,079,232.04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26,975,877.17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19,460,871.91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21,710,894.03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19,015,397.87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4,874,094.61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2,840,597.89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4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含港澳 台</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63,531,790.62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81,112,329.57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line="348"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4" w:space="5707"/>
            <w:col w:w="1029"/>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357,933,725.48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348,801,888.75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142,038,890.43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220,059,708.48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195,700,495.73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544,325,731.17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313,532,552.10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 澳台</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63,531,790.62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44,401,173.38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232,656,051.87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260,152,159.71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108,221,353.44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99,704,242.11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17,056,320.17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15,220,222.72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27.63%</w:t>
            </w:r>
          </w:p>
        </w:tc>
      </w:tr>
    </w:tbl>
    <w:p>
      <w:pPr>
        <w:spacing w:before="4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23,283,130.47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24,347,928.30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103,021,051.89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89,347,434.13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15,734,708.07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12,239,083.48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194,126,036.67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226,815,038.10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1,036,793.27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8,610,020.00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-87.96%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537,665.79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2,625,323.58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-79.52%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272,896.49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4,163,508.28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1,746,787.98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783,946.31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355,815.66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 流云服务平台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14,973,988.24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8,989,193.32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40.22%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61" w:lineRule="auto" w:before="80"/>
        <w:ind w:right="146" w:firstLine="420"/>
        <w:jc w:val="both"/>
      </w:pPr>
      <w:r>
        <w:rPr>
          <w:spacing w:val="-2"/>
        </w:rPr>
        <w:t>报告期内，公司新增纳入合并范围的子公司变化情况如下：新设控股子公司安徽中科国创高可信软件</w:t>
      </w:r>
      <w:r>
        <w:rPr>
          <w:w w:val="100"/>
        </w:rPr>
        <w:t> </w:t>
      </w:r>
      <w:r>
        <w:rPr>
          <w:spacing w:val="-2"/>
        </w:rPr>
        <w:t>有限公司，公司出资占其注册资本的</w:t>
      </w:r>
      <w:r>
        <w:rPr>
          <w:rFonts w:ascii="Times New Roman" w:hAnsi="Times New Roman" w:cs="Times New Roman" w:eastAsia="Times New Roman" w:hint="default"/>
          <w:spacing w:val="-2"/>
        </w:rPr>
        <w:t>68.5%</w:t>
      </w:r>
      <w:r>
        <w:rPr>
          <w:spacing w:val="-2"/>
        </w:rPr>
        <w:t>；新设全资子公司安徽科大国创智能科技有限公司；公司控股</w:t>
      </w:r>
      <w:r>
        <w:rPr>
          <w:spacing w:val="-16"/>
        </w:rPr>
        <w:t> </w:t>
      </w:r>
      <w:r>
        <w:rPr>
          <w:spacing w:val="-16"/>
        </w:rPr>
      </w:r>
      <w:r>
        <w:rPr>
          <w:spacing w:val="-3"/>
        </w:rPr>
        <w:t>子公司慧通互联新设全资子公司安徽慧通互联物流科技有限公司，公司通过慧通互联间接控制其</w:t>
      </w:r>
      <w:r>
        <w:rPr>
          <w:rFonts w:ascii="Times New Roman" w:hAnsi="Times New Roman" w:cs="Times New Roman" w:eastAsia="Times New Roman" w:hint="default"/>
          <w:spacing w:val="-3"/>
        </w:rPr>
        <w:t>60% </w:t>
      </w:r>
      <w:r>
        <w:rPr>
          <w:spacing w:val="-3"/>
        </w:rPr>
        <w:t>的股</w:t>
      </w:r>
      <w:r>
        <w:rPr>
          <w:spacing w:val="-63"/>
        </w:rPr>
        <w:t> </w:t>
      </w:r>
      <w:r>
        <w:rPr/>
        <w:t>权。</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279,857,307.54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46.04%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106,596,958.48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17.54%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70,857,901.36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41,828,469.10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39,510,605.95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第五各</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21,063,372.65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279,857,307.54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7"/>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150,807,884.98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55,231,652.11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46,862,981.26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22,169,636.30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16,072,871.49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10,470,743.82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150,807,884.98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56,880,442.24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34,512,221.25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公司加大市场开拓力度</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184,041,878.51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121,247,533.91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募投项目建设不断推进，公司研发投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入增长较大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-993,096.61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-542,936.48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利息收入增长较大</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报告期内公司主要研发情况如下：</w:t>
      </w:r>
    </w:p>
    <w:p>
      <w:pPr>
        <w:spacing w:line="240" w:lineRule="auto" w:before="8"/>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399"/>
        <w:gridCol w:w="4451"/>
        <w:gridCol w:w="1213"/>
        <w:gridCol w:w="2504"/>
      </w:tblGrid>
      <w:tr>
        <w:trPr>
          <w:trHeight w:val="432" w:hRule="exact"/>
        </w:trPr>
        <w:tc>
          <w:tcPr>
            <w:tcW w:w="1399"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4"/>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4451"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4"/>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拟达目标</w:t>
            </w:r>
            <w:r>
              <w:rPr>
                <w:rFonts w:ascii="Microsoft JhengHei" w:hAnsi="Microsoft JhengHei" w:cs="Microsoft JhengHei" w:eastAsia="Microsoft JhengHei" w:hint="default"/>
                <w:sz w:val="18"/>
                <w:szCs w:val="18"/>
              </w:rPr>
            </w:r>
          </w:p>
        </w:tc>
        <w:tc>
          <w:tcPr>
            <w:tcW w:w="1213"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4"/>
              <w:ind w:left="2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研发进度</w:t>
            </w:r>
            <w:r>
              <w:rPr>
                <w:rFonts w:ascii="Microsoft JhengHei" w:hAnsi="Microsoft JhengHei" w:cs="Microsoft JhengHei" w:eastAsia="Microsoft JhengHei" w:hint="default"/>
                <w:sz w:val="18"/>
                <w:szCs w:val="18"/>
              </w:rPr>
            </w:r>
          </w:p>
        </w:tc>
        <w:tc>
          <w:tcPr>
            <w:tcW w:w="2504"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4"/>
              <w:ind w:left="1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预计对公司未来发展的影响</w:t>
            </w:r>
            <w:r>
              <w:rPr>
                <w:rFonts w:ascii="Microsoft JhengHei" w:hAnsi="Microsoft JhengHei" w:cs="Microsoft JhengHei" w:eastAsia="Microsoft JhengHei" w:hint="default"/>
                <w:sz w:val="18"/>
                <w:szCs w:val="18"/>
              </w:rPr>
            </w:r>
          </w:p>
        </w:tc>
      </w:tr>
      <w:tr>
        <w:trPr>
          <w:trHeight w:val="1680"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3"/>
              <w:ind w:left="331" w:right="55" w:hanging="269"/>
              <w:jc w:val="left"/>
              <w:rPr>
                <w:rFonts w:ascii="宋体" w:hAnsi="宋体" w:cs="宋体" w:eastAsia="宋体" w:hint="default"/>
                <w:sz w:val="18"/>
                <w:szCs w:val="18"/>
              </w:rPr>
            </w:pPr>
            <w:r>
              <w:rPr>
                <w:rFonts w:ascii="宋体" w:hAnsi="宋体" w:cs="宋体" w:eastAsia="宋体" w:hint="default"/>
                <w:sz w:val="18"/>
                <w:szCs w:val="18"/>
              </w:rPr>
              <w:t>新一代电信运营 支撑系统</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2"/>
              <w:jc w:val="both"/>
              <w:rPr>
                <w:rFonts w:ascii="宋体" w:hAnsi="宋体" w:cs="宋体" w:eastAsia="宋体" w:hint="default"/>
                <w:sz w:val="18"/>
                <w:szCs w:val="18"/>
              </w:rPr>
            </w:pPr>
            <w:r>
              <w:rPr>
                <w:rFonts w:ascii="宋体" w:hAnsi="宋体" w:cs="宋体" w:eastAsia="宋体" w:hint="default"/>
                <w:spacing w:val="-3"/>
                <w:sz w:val="18"/>
                <w:szCs w:val="18"/>
              </w:rPr>
              <w:t>项目采用分层化、组件化、松耦合、可配置、易运营的设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计思路，使用大数据、云计算、移动互联等新技术，满足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电信运营商提升网络运营管理水平、提高客户服务能力和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企业竞争力的需求，为运营商规模发展、高效运营、提升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客户满意度提供有力支撑</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22"/>
              <w:jc w:val="center"/>
              <w:rPr>
                <w:rFonts w:ascii="宋体" w:hAnsi="宋体" w:cs="宋体" w:eastAsia="宋体" w:hint="default"/>
                <w:sz w:val="18"/>
                <w:szCs w:val="18"/>
              </w:rPr>
            </w:pPr>
            <w:r>
              <w:rPr>
                <w:rFonts w:ascii="宋体" w:hAnsi="宋体" w:cs="宋体" w:eastAsia="宋体" w:hint="default"/>
                <w:spacing w:val="-7"/>
                <w:sz w:val="18"/>
                <w:szCs w:val="18"/>
              </w:rPr>
              <w:t>基本功能完成，</w:t>
            </w:r>
            <w:r>
              <w:rPr>
                <w:rFonts w:ascii="宋体" w:hAnsi="宋体" w:cs="宋体" w:eastAsia="宋体" w:hint="default"/>
                <w:spacing w:val="-48"/>
                <w:sz w:val="18"/>
                <w:szCs w:val="18"/>
              </w:rPr>
              <w:t> </w:t>
            </w:r>
            <w:r>
              <w:rPr>
                <w:rFonts w:ascii="宋体" w:hAnsi="宋体" w:cs="宋体" w:eastAsia="宋体" w:hint="default"/>
                <w:sz w:val="18"/>
                <w:szCs w:val="18"/>
              </w:rPr>
              <w:t>智能模块研发</w:t>
            </w:r>
            <w:r>
              <w:rPr>
                <w:rFonts w:ascii="宋体" w:hAnsi="宋体" w:cs="宋体" w:eastAsia="宋体" w:hint="default"/>
                <w:sz w:val="18"/>
                <w:szCs w:val="18"/>
              </w:rPr>
              <w:t> 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10"/>
                <w:sz w:val="18"/>
                <w:szCs w:val="18"/>
              </w:rPr>
              <w:t>丰富公司电信运营支撑系统产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品线和技术水平，获得在行业内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的领先竞争力，提升公司在细分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市场的领导地位</w:t>
            </w:r>
          </w:p>
        </w:tc>
      </w:tr>
      <w:tr>
        <w:trPr>
          <w:trHeight w:val="1368"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3"/>
              <w:ind w:left="242" w:right="55" w:hanging="180"/>
              <w:jc w:val="left"/>
              <w:rPr>
                <w:rFonts w:ascii="宋体" w:hAnsi="宋体" w:cs="宋体" w:eastAsia="宋体" w:hint="default"/>
                <w:sz w:val="18"/>
                <w:szCs w:val="18"/>
              </w:rPr>
            </w:pPr>
            <w:r>
              <w:rPr>
                <w:rFonts w:ascii="宋体" w:hAnsi="宋体" w:cs="宋体" w:eastAsia="宋体" w:hint="default"/>
                <w:sz w:val="18"/>
                <w:szCs w:val="18"/>
              </w:rPr>
              <w:t>大数据驱动的智 能应用软件</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3"/>
                <w:sz w:val="18"/>
                <w:szCs w:val="18"/>
              </w:rPr>
              <w:t>运用大数据采集、存储、分析、挖掘、机器学习、知识获</w:t>
            </w:r>
            <w:r>
              <w:rPr>
                <w:rFonts w:ascii="宋体" w:hAnsi="宋体" w:cs="宋体" w:eastAsia="宋体" w:hint="default"/>
                <w:sz w:val="18"/>
                <w:szCs w:val="18"/>
              </w:rPr>
              <w:t> </w:t>
            </w:r>
            <w:r>
              <w:rPr>
                <w:rFonts w:ascii="宋体" w:hAnsi="宋体" w:cs="宋体" w:eastAsia="宋体" w:hint="default"/>
                <w:spacing w:val="-4"/>
                <w:sz w:val="18"/>
                <w:szCs w:val="18"/>
              </w:rPr>
              <w:t>取、自适应、模式识别等技术，为电信、能源、交通、金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融、政府等行业或领域用户提供大数据平台、分析决策软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件、智能应用软件</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3"/>
              <w:ind w:left="237" w:right="-2" w:hanging="236"/>
              <w:jc w:val="left"/>
              <w:rPr>
                <w:rFonts w:ascii="宋体" w:hAnsi="宋体" w:cs="宋体" w:eastAsia="宋体" w:hint="default"/>
                <w:sz w:val="18"/>
                <w:szCs w:val="18"/>
              </w:rPr>
            </w:pPr>
            <w:r>
              <w:rPr>
                <w:rFonts w:ascii="宋体" w:hAnsi="宋体" w:cs="宋体" w:eastAsia="宋体" w:hint="default"/>
                <w:spacing w:val="-10"/>
                <w:sz w:val="18"/>
                <w:szCs w:val="18"/>
              </w:rPr>
              <w:t>设计已完成，模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块研发中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10"/>
                <w:sz w:val="18"/>
                <w:szCs w:val="18"/>
              </w:rPr>
              <w:t>占领人工智能时代智能软件的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制高点，使公司成为智能应用软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件领域的领导者</w:t>
            </w:r>
          </w:p>
        </w:tc>
      </w:tr>
      <w:tr>
        <w:trPr>
          <w:trHeight w:val="1681"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4"/>
              <w:ind w:left="511" w:right="55" w:hanging="449"/>
              <w:jc w:val="left"/>
              <w:rPr>
                <w:rFonts w:ascii="宋体" w:hAnsi="宋体" w:cs="宋体" w:eastAsia="宋体" w:hint="default"/>
                <w:sz w:val="18"/>
                <w:szCs w:val="18"/>
              </w:rPr>
            </w:pPr>
            <w:r>
              <w:rPr>
                <w:rFonts w:ascii="宋体" w:hAnsi="宋体" w:cs="宋体" w:eastAsia="宋体" w:hint="default"/>
                <w:sz w:val="18"/>
                <w:szCs w:val="18"/>
              </w:rPr>
              <w:t>智慧物流云服务 平台</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64"/>
              <w:ind w:left="2" w:right="-2"/>
              <w:jc w:val="both"/>
              <w:rPr>
                <w:rFonts w:ascii="宋体" w:hAnsi="宋体" w:cs="宋体" w:eastAsia="宋体" w:hint="default"/>
                <w:sz w:val="18"/>
                <w:szCs w:val="18"/>
              </w:rPr>
            </w:pPr>
            <w:r>
              <w:rPr>
                <w:rFonts w:ascii="宋体" w:hAnsi="宋体" w:cs="宋体" w:eastAsia="宋体" w:hint="default"/>
                <w:spacing w:val="-3"/>
                <w:sz w:val="18"/>
                <w:szCs w:val="18"/>
              </w:rPr>
              <w:t>项目采用互联网、大数据、人工智能和物联网技术，实现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信息技术、物流与金融深度融合发展，建设形成可信运力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池，打造货源池，构建货主、物流公司、车主等的完整物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流生态链。为托运方和承运方提供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无车承运服务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数据金</w:t>
            </w:r>
            <w:r>
              <w:rPr>
                <w:rFonts w:ascii="宋体" w:hAnsi="宋体" w:cs="宋体" w:eastAsia="宋体" w:hint="default"/>
                <w:spacing w:val="-86"/>
                <w:sz w:val="18"/>
                <w:szCs w:val="18"/>
              </w:rPr>
              <w:t> </w:t>
            </w:r>
            <w:r>
              <w:rPr>
                <w:rFonts w:ascii="宋体" w:hAnsi="宋体" w:cs="宋体" w:eastAsia="宋体" w:hint="default"/>
                <w:sz w:val="18"/>
                <w:szCs w:val="18"/>
              </w:rPr>
              <w:t>融服务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物流信息化服务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的综合服务</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4"/>
              <w:ind w:left="2" w:right="-2" w:hanging="3"/>
              <w:jc w:val="center"/>
              <w:rPr>
                <w:rFonts w:ascii="宋体" w:hAnsi="宋体" w:cs="宋体" w:eastAsia="宋体" w:hint="default"/>
                <w:sz w:val="18"/>
                <w:szCs w:val="18"/>
              </w:rPr>
            </w:pPr>
            <w:r>
              <w:rPr>
                <w:rFonts w:ascii="宋体" w:hAnsi="宋体" w:cs="宋体" w:eastAsia="宋体" w:hint="default"/>
                <w:sz w:val="18"/>
                <w:szCs w:val="18"/>
              </w:rPr>
              <w:t>部分功能模块 </w:t>
            </w:r>
            <w:r>
              <w:rPr>
                <w:rFonts w:ascii="宋体" w:hAnsi="宋体" w:cs="宋体" w:eastAsia="宋体" w:hint="default"/>
                <w:spacing w:val="-10"/>
                <w:sz w:val="18"/>
                <w:szCs w:val="18"/>
              </w:rPr>
              <w:t>已实现，其他模</w:t>
            </w:r>
            <w:r>
              <w:rPr>
                <w:rFonts w:ascii="宋体" w:hAnsi="宋体" w:cs="宋体" w:eastAsia="宋体" w:hint="default"/>
                <w:sz w:val="18"/>
                <w:szCs w:val="18"/>
              </w:rPr>
              <w:t> 块研发中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64"/>
              <w:ind w:left="2" w:right="0"/>
              <w:jc w:val="both"/>
              <w:rPr>
                <w:rFonts w:ascii="宋体" w:hAnsi="宋体" w:cs="宋体" w:eastAsia="宋体" w:hint="default"/>
                <w:sz w:val="18"/>
                <w:szCs w:val="18"/>
              </w:rPr>
            </w:pPr>
            <w:r>
              <w:rPr>
                <w:rFonts w:ascii="宋体" w:hAnsi="宋体" w:cs="宋体" w:eastAsia="宋体" w:hint="default"/>
                <w:spacing w:val="10"/>
                <w:sz w:val="18"/>
                <w:szCs w:val="18"/>
              </w:rPr>
              <w:t>开展以平台为业务载体的互联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智慧物流业务，通过平台运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营服务，实现公司收入几何级数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增长</w:t>
            </w:r>
          </w:p>
        </w:tc>
      </w:tr>
      <w:tr>
        <w:trPr>
          <w:trHeight w:val="1368"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高可信软件</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63"/>
              <w:ind w:left="2" w:right="-2"/>
              <w:jc w:val="both"/>
              <w:rPr>
                <w:rFonts w:ascii="宋体" w:hAnsi="宋体" w:cs="宋体" w:eastAsia="宋体" w:hint="default"/>
                <w:sz w:val="18"/>
                <w:szCs w:val="18"/>
              </w:rPr>
            </w:pPr>
            <w:r>
              <w:rPr>
                <w:rFonts w:ascii="宋体" w:hAnsi="宋体" w:cs="宋体" w:eastAsia="宋体" w:hint="default"/>
                <w:spacing w:val="-3"/>
                <w:sz w:val="18"/>
                <w:szCs w:val="18"/>
              </w:rPr>
              <w:t>以形式程序验证和人工智能技术为主要方法，研究提高软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件可信度的理论和技术，开展</w:t>
            </w:r>
            <w:r>
              <w:rPr>
                <w:rFonts w:ascii="Times New Roman" w:hAnsi="Times New Roman" w:cs="Times New Roman" w:eastAsia="Times New Roman" w:hint="default"/>
                <w:sz w:val="18"/>
                <w:szCs w:val="18"/>
              </w:rPr>
              <w:t>C</w:t>
            </w:r>
            <w:r>
              <w:rPr>
                <w:rFonts w:ascii="宋体" w:hAnsi="宋体" w:cs="宋体" w:eastAsia="宋体" w:hint="default"/>
                <w:sz w:val="18"/>
                <w:szCs w:val="18"/>
              </w:rPr>
              <w:t>程序的分析与验证、嵌入 </w:t>
            </w:r>
            <w:r>
              <w:rPr>
                <w:rFonts w:ascii="宋体" w:hAnsi="宋体" w:cs="宋体" w:eastAsia="宋体" w:hint="default"/>
                <w:spacing w:val="-3"/>
                <w:sz w:val="18"/>
                <w:szCs w:val="18"/>
              </w:rPr>
              <w:t>式软件、系统软件的验证、关键领域智能软件的研发，实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现高可信软件智能验证</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2" w:hanging="3"/>
              <w:jc w:val="center"/>
              <w:rPr>
                <w:rFonts w:ascii="宋体" w:hAnsi="宋体" w:cs="宋体" w:eastAsia="宋体" w:hint="default"/>
                <w:sz w:val="18"/>
                <w:szCs w:val="18"/>
              </w:rPr>
            </w:pPr>
            <w:r>
              <w:rPr>
                <w:rFonts w:ascii="宋体" w:hAnsi="宋体" w:cs="宋体" w:eastAsia="宋体" w:hint="default"/>
                <w:sz w:val="18"/>
                <w:szCs w:val="18"/>
              </w:rPr>
              <w:t>程序分析工具 </w:t>
            </w:r>
            <w:r>
              <w:rPr>
                <w:rFonts w:ascii="宋体" w:hAnsi="宋体" w:cs="宋体" w:eastAsia="宋体" w:hint="default"/>
                <w:spacing w:val="-10"/>
                <w:sz w:val="18"/>
                <w:szCs w:val="18"/>
              </w:rPr>
              <w:t>基本完成，验证</w:t>
            </w:r>
            <w:r>
              <w:rPr>
                <w:rFonts w:ascii="宋体" w:hAnsi="宋体" w:cs="宋体" w:eastAsia="宋体" w:hint="default"/>
                <w:sz w:val="18"/>
                <w:szCs w:val="18"/>
              </w:rPr>
              <w:t> 工具研发中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10"/>
                <w:sz w:val="18"/>
                <w:szCs w:val="18"/>
              </w:rPr>
              <w:t>致力于高可信软件集成开发平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台及验证工具的研发，在人工智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能、航天、核电、军事、医疗等</w:t>
            </w:r>
            <w:r>
              <w:rPr>
                <w:rFonts w:ascii="宋体" w:hAnsi="宋体" w:cs="宋体" w:eastAsia="宋体" w:hint="default"/>
                <w:sz w:val="18"/>
                <w:szCs w:val="18"/>
              </w:rPr>
              <w:t> 领域开展软件验证</w:t>
            </w:r>
          </w:p>
        </w:tc>
      </w:tr>
    </w:tbl>
    <w:p>
      <w:pPr>
        <w:spacing w:after="0" w:line="316" w:lineRule="auto"/>
        <w:jc w:val="both"/>
        <w:rPr>
          <w:rFonts w:ascii="宋体" w:hAnsi="宋体" w:cs="宋体" w:eastAsia="宋体" w:hint="default"/>
          <w:sz w:val="18"/>
          <w:szCs w:val="18"/>
        </w:rPr>
        <w:sectPr>
          <w:pgSz w:w="11910" w:h="16840"/>
          <w:pgMar w:header="748" w:footer="979" w:top="1060" w:bottom="1160" w:left="980" w:right="98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131,128,241.63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81,496,766.71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51,177,130.80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1,141,625.93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8" w:lineRule="auto" w:before="117"/>
        <w:ind w:left="153" w:right="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研发投入总额占营业收入的比重较上年发生较大变化主要系公司募投项目建设不断推进，研发投入增长较大所致。 研发投入资本化率大幅变动的原因及其合理性说明</w:t>
      </w:r>
    </w:p>
    <w:p>
      <w:pPr>
        <w:spacing w:before="3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655,083,554.27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675,149,595.77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658,318,733.04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560,442,507.97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-3,235,178.77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114,707,087.80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7,969,491.42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2,335,487.36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43,149,333.23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19,084,979.57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-35,179,841.81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-16,749,492.21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172,153,790.00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470,637,729.44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194,368,410.41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154,216,121.04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-22,214,620.41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316,421,608.40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-60,480,650.19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416,855,187.07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-114.51%</w:t>
            </w:r>
            <w:r>
              <w:rPr>
                <w:rFonts w:ascii="Times New Roman"/>
                <w:spacing w:val="-1"/>
                <w:sz w:val="18"/>
              </w:rPr>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51" w:firstLine="0"/>
        <w:jc w:val="lef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经营活动产生的现金流量净额本期为</w:t>
      </w:r>
      <w:r>
        <w:rPr>
          <w:rFonts w:ascii="Times New Roman" w:hAnsi="Times New Roman" w:cs="Times New Roman" w:eastAsia="Times New Roman" w:hint="default"/>
          <w:spacing w:val="-1"/>
          <w:sz w:val="18"/>
          <w:szCs w:val="18"/>
        </w:rPr>
        <w:t>-323.52</w:t>
      </w:r>
      <w:r>
        <w:rPr>
          <w:rFonts w:ascii="宋体" w:hAnsi="宋体" w:cs="宋体" w:eastAsia="宋体" w:hint="default"/>
          <w:spacing w:val="-1"/>
          <w:sz w:val="18"/>
          <w:szCs w:val="18"/>
        </w:rPr>
        <w:t>万元，较上年下降了</w:t>
      </w:r>
      <w:r>
        <w:rPr>
          <w:rFonts w:ascii="Times New Roman" w:hAnsi="Times New Roman" w:cs="Times New Roman" w:eastAsia="Times New Roman" w:hint="default"/>
          <w:spacing w:val="-1"/>
          <w:sz w:val="18"/>
          <w:szCs w:val="18"/>
        </w:rPr>
        <w:t>102.82%</w:t>
      </w:r>
      <w:r>
        <w:rPr>
          <w:rFonts w:ascii="宋体" w:hAnsi="宋体" w:cs="宋体" w:eastAsia="宋体" w:hint="default"/>
          <w:spacing w:val="-1"/>
          <w:sz w:val="18"/>
          <w:szCs w:val="18"/>
        </w:rPr>
        <w:t>，主要是由于本期正在实施的</w:t>
      </w:r>
      <w:r>
        <w:rPr>
          <w:rFonts w:ascii="Times New Roman" w:hAnsi="Times New Roman" w:cs="Times New Roman" w:eastAsia="Times New Roman" w:hint="default"/>
          <w:spacing w:val="-1"/>
          <w:sz w:val="18"/>
          <w:szCs w:val="18"/>
        </w:rPr>
        <w:t>IT</w:t>
      </w:r>
      <w:r>
        <w:rPr>
          <w:rFonts w:ascii="宋体" w:hAnsi="宋体" w:cs="宋体" w:eastAsia="宋体" w:hint="default"/>
          <w:spacing w:val="-1"/>
          <w:sz w:val="18"/>
          <w:szCs w:val="18"/>
        </w:rPr>
        <w:t>解决方案业务增加</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较大，导致货款支付增加；本期投资活动产生的现金流量净额为</w:t>
      </w:r>
      <w:r>
        <w:rPr>
          <w:rFonts w:ascii="Times New Roman" w:hAnsi="Times New Roman" w:cs="Times New Roman" w:eastAsia="Times New Roman" w:hint="default"/>
          <w:sz w:val="18"/>
          <w:szCs w:val="18"/>
        </w:rPr>
        <w:t>-3,517.98</w:t>
      </w:r>
      <w:r>
        <w:rPr>
          <w:rFonts w:ascii="宋体" w:hAnsi="宋体" w:cs="宋体" w:eastAsia="宋体" w:hint="default"/>
          <w:sz w:val="18"/>
          <w:szCs w:val="18"/>
        </w:rPr>
        <w:t>万元，较上年下降了</w:t>
      </w:r>
      <w:r>
        <w:rPr>
          <w:rFonts w:ascii="Times New Roman" w:hAnsi="Times New Roman" w:cs="Times New Roman" w:eastAsia="Times New Roman" w:hint="default"/>
          <w:sz w:val="18"/>
          <w:szCs w:val="18"/>
        </w:rPr>
        <w:t>110.04%</w:t>
      </w:r>
      <w:r>
        <w:rPr>
          <w:rFonts w:ascii="宋体" w:hAnsi="宋体" w:cs="宋体" w:eastAsia="宋体" w:hint="default"/>
          <w:sz w:val="18"/>
          <w:szCs w:val="18"/>
        </w:rPr>
        <w:t>，主要系本期软件研</w:t>
      </w:r>
    </w:p>
    <w:p>
      <w:pPr>
        <w:spacing w:after="0" w:line="30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5"/>
          <w:szCs w:val="25"/>
        </w:rPr>
      </w:pPr>
    </w:p>
    <w:p>
      <w:pPr>
        <w:spacing w:line="300" w:lineRule="auto" w:before="44"/>
        <w:ind w:left="153" w:right="158" w:firstLine="0"/>
        <w:jc w:val="left"/>
        <w:rPr>
          <w:rFonts w:ascii="宋体" w:hAnsi="宋体" w:cs="宋体" w:eastAsia="宋体" w:hint="default"/>
          <w:sz w:val="18"/>
          <w:szCs w:val="18"/>
        </w:rPr>
      </w:pPr>
      <w:r>
        <w:rPr>
          <w:rFonts w:ascii="宋体" w:hAnsi="宋体" w:cs="宋体" w:eastAsia="宋体" w:hint="default"/>
          <w:sz w:val="18"/>
          <w:szCs w:val="18"/>
        </w:rPr>
        <w:t>发生产楼投入以及营销网络建设所致；筹资活动产生的现金流量净额为</w:t>
      </w:r>
      <w:r>
        <w:rPr>
          <w:rFonts w:ascii="Times New Roman" w:hAnsi="Times New Roman" w:cs="Times New Roman" w:eastAsia="Times New Roman" w:hint="default"/>
          <w:sz w:val="18"/>
          <w:szCs w:val="18"/>
        </w:rPr>
        <w:t>-2,221.46</w:t>
      </w:r>
      <w:r>
        <w:rPr>
          <w:rFonts w:ascii="宋体" w:hAnsi="宋体" w:cs="宋体" w:eastAsia="宋体" w:hint="default"/>
          <w:sz w:val="18"/>
          <w:szCs w:val="18"/>
        </w:rPr>
        <w:t>万元，较上年下降</w:t>
      </w:r>
      <w:r>
        <w:rPr>
          <w:rFonts w:ascii="Times New Roman" w:hAnsi="Times New Roman" w:cs="Times New Roman" w:eastAsia="Times New Roman" w:hint="default"/>
          <w:sz w:val="18"/>
          <w:szCs w:val="18"/>
        </w:rPr>
        <w:t>107.02%</w:t>
      </w:r>
      <w:r>
        <w:rPr>
          <w:rFonts w:ascii="宋体" w:hAnsi="宋体" w:cs="宋体" w:eastAsia="宋体" w:hint="default"/>
          <w:sz w:val="18"/>
          <w:szCs w:val="18"/>
        </w:rPr>
        <w:t>，系因回购限制 性股票、资金周转需要增加借款及股利分配所致。</w:t>
      </w:r>
    </w:p>
    <w:p>
      <w:pPr>
        <w:spacing w:before="7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2,502,527.79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8"/>
              <w:jc w:val="center"/>
              <w:rPr>
                <w:rFonts w:ascii="宋体" w:hAnsi="宋体" w:cs="宋体" w:eastAsia="宋体" w:hint="default"/>
                <w:sz w:val="18"/>
                <w:szCs w:val="18"/>
              </w:rPr>
            </w:pPr>
            <w:r>
              <w:rPr>
                <w:rFonts w:ascii="宋体" w:hAnsi="宋体" w:cs="宋体" w:eastAsia="宋体" w:hint="default"/>
                <w:sz w:val="18"/>
                <w:szCs w:val="18"/>
              </w:rPr>
              <w:t>主要系银行理财产品收益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10,537,401.67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98.89%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2"/>
              <w:jc w:val="left"/>
              <w:rPr>
                <w:rFonts w:ascii="宋体" w:hAnsi="宋体" w:cs="宋体" w:eastAsia="宋体" w:hint="default"/>
                <w:sz w:val="18"/>
                <w:szCs w:val="18"/>
              </w:rPr>
            </w:pPr>
            <w:r>
              <w:rPr>
                <w:rFonts w:ascii="宋体" w:hAnsi="宋体" w:cs="宋体" w:eastAsia="宋体" w:hint="default"/>
                <w:sz w:val="18"/>
                <w:szCs w:val="18"/>
              </w:rPr>
              <w:t>期末应收款项余额相应计 提的坏账准备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12,242,268.34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2"/>
              <w:jc w:val="left"/>
              <w:rPr>
                <w:rFonts w:ascii="宋体" w:hAnsi="宋体" w:cs="宋体" w:eastAsia="宋体" w:hint="default"/>
                <w:sz w:val="18"/>
                <w:szCs w:val="18"/>
              </w:rPr>
            </w:pPr>
            <w:r>
              <w:rPr>
                <w:rFonts w:ascii="宋体" w:hAnsi="宋体" w:cs="宋体" w:eastAsia="宋体" w:hint="default"/>
                <w:sz w:val="18"/>
                <w:szCs w:val="18"/>
              </w:rPr>
              <w:t>主要系政府补助及递延收 益摊销转入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507,759,919.1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530,402,589.74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募投项目的投入、支付限制性股票回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371,380,793.1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279,447,762.62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152,625,218.8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39,904,234.05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主要是由于本期正在实施的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 方案业务增加较大</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4,385,130.38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4,198,732.23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37,848,375.96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38,908,044.34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47,711,713.22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主要系因资金周转需要增加借款所 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230,458,019.3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319,781,368.47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主要系本期互联网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智慧物流云服务 平台预收的交易结算款增长及支付 限制性股票终止确认的负债所致</w:t>
            </w:r>
          </w:p>
        </w:tc>
      </w:tr>
    </w:tbl>
    <w:p>
      <w:pPr>
        <w:spacing w:after="0" w:line="309"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3241"/>
        <w:gridCol w:w="3029"/>
        <w:gridCol w:w="2864"/>
      </w:tblGrid>
      <w:tr>
        <w:trPr>
          <w:trHeight w:val="350" w:hRule="exact"/>
        </w:trPr>
        <w:tc>
          <w:tcPr>
            <w:tcW w:w="3241" w:type="dxa"/>
            <w:tcBorders>
              <w:top w:val="single" w:sz="6" w:space="0" w:color="000000"/>
              <w:left w:val="single" w:sz="6" w:space="0" w:color="000000"/>
              <w:bottom w:val="single" w:sz="8" w:space="0" w:color="000000"/>
              <w:right w:val="single" w:sz="6" w:space="0" w:color="000000"/>
            </w:tcBorders>
          </w:tcPr>
          <w:p>
            <w:pPr>
              <w:pStyle w:val="TableParagraph"/>
              <w:tabs>
                <w:tab w:pos="472"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2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期末账面价值（元）</w:t>
            </w:r>
          </w:p>
        </w:tc>
        <w:tc>
          <w:tcPr>
            <w:tcW w:w="286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6" w:hRule="exact"/>
        </w:trPr>
        <w:tc>
          <w:tcPr>
            <w:tcW w:w="3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15,321,236.99</w:t>
            </w:r>
          </w:p>
        </w:tc>
        <w:tc>
          <w:tcPr>
            <w:tcW w:w="28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用于开具银行承兑汇票和保函</w:t>
            </w:r>
          </w:p>
        </w:tc>
      </w:tr>
      <w:tr>
        <w:trPr>
          <w:trHeight w:val="348" w:hRule="exact"/>
        </w:trPr>
        <w:tc>
          <w:tcPr>
            <w:tcW w:w="3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6,872,962.06</w:t>
            </w:r>
          </w:p>
        </w:tc>
        <w:tc>
          <w:tcPr>
            <w:tcW w:w="286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抵押用于取得银行贷款</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五、投资状况分析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71"/>
        <w:gridCol w:w="869"/>
        <w:gridCol w:w="871"/>
        <w:gridCol w:w="869"/>
        <w:gridCol w:w="872"/>
        <w:gridCol w:w="869"/>
        <w:gridCol w:w="871"/>
        <w:gridCol w:w="869"/>
      </w:tblGrid>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19,560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11,287.95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14,418.97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32.46%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5,141.03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存放于募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2"/>
        <w:gridCol w:w="869"/>
        <w:gridCol w:w="871"/>
        <w:gridCol w:w="869"/>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6"/>
              <w:jc w:val="center"/>
              <w:rPr>
                <w:rFonts w:ascii="宋体" w:hAnsi="宋体" w:cs="宋体" w:eastAsia="宋体" w:hint="default"/>
                <w:sz w:val="18"/>
                <w:szCs w:val="18"/>
              </w:rPr>
            </w:pPr>
            <w:r>
              <w:rPr>
                <w:rFonts w:ascii="宋体" w:hAnsi="宋体" w:cs="宋体" w:eastAsia="宋体" w:hint="default"/>
                <w:sz w:val="18"/>
                <w:szCs w:val="18"/>
              </w:rPr>
              <w:t>发行股票</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5"/>
              <w:jc w:val="left"/>
              <w:rPr>
                <w:rFonts w:ascii="宋体" w:hAnsi="宋体" w:cs="宋体" w:eastAsia="宋体" w:hint="default"/>
                <w:sz w:val="18"/>
                <w:szCs w:val="18"/>
              </w:rPr>
            </w:pPr>
            <w:r>
              <w:rPr>
                <w:rFonts w:ascii="宋体" w:hAnsi="宋体" w:cs="宋体" w:eastAsia="宋体" w:hint="default"/>
                <w:sz w:val="18"/>
                <w:szCs w:val="18"/>
              </w:rPr>
              <w:t>集资金专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19,560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11,287.95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14,418.97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32.46%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5,141.03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5"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实际募集资金金额、资金到账时间：经中国证券监督管理委员会《关于核准科大国创软件股份有限公司首次公开发行</w:t>
            </w:r>
            <w:r>
              <w:rPr>
                <w:rFonts w:ascii="宋体" w:hAnsi="宋体" w:cs="宋体" w:eastAsia="宋体" w:hint="default"/>
                <w:sz w:val="18"/>
                <w:szCs w:val="18"/>
              </w:rPr>
              <w:t> </w:t>
            </w:r>
            <w:r>
              <w:rPr>
                <w:rFonts w:ascii="宋体" w:hAnsi="宋体" w:cs="宋体" w:eastAsia="宋体" w:hint="default"/>
                <w:spacing w:val="-5"/>
                <w:sz w:val="18"/>
                <w:szCs w:val="18"/>
              </w:rPr>
              <w:t>股票的批复》（证监许可</w:t>
            </w:r>
            <w:r>
              <w:rPr>
                <w:rFonts w:ascii="Times New Roman" w:hAnsi="Times New Roman" w:cs="Times New Roman" w:eastAsia="Times New Roman" w:hint="default"/>
                <w:spacing w:val="-5"/>
                <w:sz w:val="18"/>
                <w:szCs w:val="18"/>
              </w:rPr>
              <w:t>[2016]1302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号文）核准，并经深圳证券交易所批准，公司由主承销商国元证券股份有限公司（以</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1"/>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国元证券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）采用网下向配售对象询价配售与网上向社会公众投资者定价发行相结合的方式，向社会公开发行人民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6"/>
                <w:sz w:val="18"/>
                <w:szCs w:val="18"/>
              </w:rPr>
              <w:t>币普通股（</w:t>
            </w:r>
            <w:r>
              <w:rPr>
                <w:rFonts w:ascii="Times New Roman" w:hAnsi="Times New Roman" w:cs="Times New Roman" w:eastAsia="Times New Roman" w:hint="default"/>
                <w:spacing w:val="-6"/>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2,300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股。募集资金总额人民币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23,115.00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万元，扣除发行费用人民币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3,555.00</w:t>
            </w:r>
          </w:p>
          <w:p>
            <w:pPr>
              <w:pStyle w:val="TableParagraph"/>
              <w:spacing w:line="300" w:lineRule="auto" w:before="7"/>
              <w:ind w:left="24" w:right="17"/>
              <w:jc w:val="both"/>
              <w:rPr>
                <w:rFonts w:ascii="宋体" w:hAnsi="宋体" w:cs="宋体" w:eastAsia="宋体" w:hint="default"/>
                <w:sz w:val="18"/>
                <w:szCs w:val="18"/>
              </w:rPr>
            </w:pPr>
            <w:r>
              <w:rPr>
                <w:rFonts w:ascii="宋体" w:hAnsi="宋体" w:cs="宋体" w:eastAsia="宋体" w:hint="default"/>
                <w:sz w:val="18"/>
                <w:szCs w:val="18"/>
              </w:rPr>
              <w:t>万元，实际募集资金净额为人民币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19,560.00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万元。以上募集资金已于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日到位，上述资金到位情况业经华普 天健会计师事务所会验字</w:t>
            </w:r>
            <w:r>
              <w:rPr>
                <w:rFonts w:ascii="Times New Roman" w:hAnsi="Times New Roman" w:cs="Times New Roman" w:eastAsia="Times New Roman" w:hint="default"/>
                <w:sz w:val="18"/>
                <w:szCs w:val="18"/>
              </w:rPr>
              <w:t>[2016]3985 </w:t>
            </w:r>
            <w:r>
              <w:rPr>
                <w:rFonts w:ascii="宋体" w:hAnsi="宋体" w:cs="宋体" w:eastAsia="宋体" w:hint="default"/>
                <w:sz w:val="18"/>
                <w:szCs w:val="18"/>
              </w:rPr>
              <w:t>号《验资报告》验证。② 募集资金使用及结余情况：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年度公司实际使用募集资 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11,287.95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万元，募集资金专用账户累计收到利息收入（扣除银行手续费）</w:t>
            </w:r>
            <w:r>
              <w:rPr>
                <w:rFonts w:ascii="Times New Roman" w:hAnsi="Times New Roman" w:cs="Times New Roman" w:eastAsia="Times New Roman" w:hint="default"/>
                <w:sz w:val="18"/>
                <w:szCs w:val="18"/>
              </w:rPr>
              <w:t>368.74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资金专用账户余额为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7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1"/>
        <w:gridCol w:w="780"/>
        <w:gridCol w:w="780"/>
        <w:gridCol w:w="780"/>
      </w:tblGrid>
      <w:tr>
        <w:trPr>
          <w:trHeight w:val="133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新一代电信运营支撑 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4,445.39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5,321.42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电力企业一体化管控 软件建设项目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5"/>
              <w:jc w:val="left"/>
              <w:rPr>
                <w:rFonts w:ascii="宋体" w:hAnsi="宋体" w:cs="宋体" w:eastAsia="宋体" w:hint="default"/>
                <w:sz w:val="18"/>
                <w:szCs w:val="18"/>
              </w:rPr>
            </w:pPr>
            <w:r>
              <w:rPr>
                <w:rFonts w:ascii="宋体" w:hAnsi="宋体" w:cs="宋体" w:eastAsia="宋体" w:hint="default"/>
                <w:sz w:val="18"/>
                <w:szCs w:val="18"/>
              </w:rPr>
              <w:t>企业级信息集成平台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大数据驱动的智能应 用软件项目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1,463.03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营销与服务网络建设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1,715.67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72.88%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补充公司流动资金项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11,287.95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14,418.97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1.999985pt;width:479.3pt;height:694.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8"/>
                    <w:gridCol w:w="780"/>
                    <w:gridCol w:w="780"/>
                    <w:gridCol w:w="780"/>
                    <w:gridCol w:w="780"/>
                    <w:gridCol w:w="780"/>
                    <w:gridCol w:w="781"/>
                    <w:gridCol w:w="780"/>
                    <w:gridCol w:w="780"/>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19,560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19,560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11,287.95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14,418.97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01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日召开了第二届董事会十三次会议、于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w:t>
                        </w:r>
                        <w:r>
                          <w:rPr>
                            <w:rFonts w:ascii="宋体" w:hAnsi="宋体" w:cs="宋体" w:eastAsia="宋体" w:hint="default"/>
                            <w:spacing w:val="-3"/>
                            <w:sz w:val="18"/>
                            <w:szCs w:val="18"/>
                          </w:rPr>
                          <w:t>次临时股东大会，会议审议通过了《关于变更部分募集资金用途的议案》，主要内容是：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电力企业</w:t>
                        </w:r>
                        <w:r>
                          <w:rPr>
                            <w:rFonts w:ascii="宋体" w:hAnsi="宋体" w:cs="宋体" w:eastAsia="宋体" w:hint="default"/>
                            <w:spacing w:val="-48"/>
                            <w:sz w:val="18"/>
                            <w:szCs w:val="18"/>
                          </w:rPr>
                          <w:t> </w:t>
                        </w:r>
                        <w:r>
                          <w:rPr>
                            <w:rFonts w:ascii="宋体" w:hAnsi="宋体" w:cs="宋体" w:eastAsia="宋体" w:hint="default"/>
                            <w:sz w:val="18"/>
                            <w:szCs w:val="18"/>
                          </w:rPr>
                          <w:t>一体化管控软件建设项目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年立项，原计划通过建设场地</w:t>
                        </w:r>
                        <w:r>
                          <w:rPr>
                            <w:rFonts w:ascii="宋体" w:hAnsi="宋体" w:cs="宋体" w:eastAsia="宋体" w:hint="default"/>
                            <w:sz w:val="18"/>
                            <w:szCs w:val="18"/>
                          </w:rPr>
                          <w:t> 购买设备、搭建研发平台等分别升级开发电力企业一体化管控软件和企业级信息集成平台。然而随 着公司业务的发展，为满足日常经营需要，公司利用现有资源开展了部分升级开发工作，相关成果 已经基本达到上述项目的技术开发要求。近年来大数据、云计算、人工智能、工业智能化、互联网</w:t>
                        </w:r>
                      </w:p>
                      <w:p>
                        <w:pPr>
                          <w:pStyle w:val="TableParagraph"/>
                          <w:spacing w:line="307" w:lineRule="auto" w:before="26"/>
                          <w:ind w:left="24"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等逐步成为行业发展方向，为抢占机遇，发挥优势，公司计划建设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，该项目利用大数据的技术手段，对组织（企业）内外海量的数据进行分析处理，挖掘出这些海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量数据蕴含的价值，从而指导组织进行决策、管理、优化流程，对企业进行生产、销售、经营、服 务改进、管理等。项目的实施地点为公司自有土地，土地使用权证号为合高新国用（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004</w:t>
                        </w:r>
                      </w:p>
                      <w:p>
                        <w:pPr>
                          <w:pStyle w:val="TableParagraph"/>
                          <w:spacing w:line="300" w:lineRule="auto" w:before="7"/>
                          <w:ind w:left="24" w:right="20"/>
                          <w:jc w:val="both"/>
                          <w:rPr>
                            <w:rFonts w:ascii="宋体" w:hAnsi="宋体" w:cs="宋体" w:eastAsia="宋体" w:hint="default"/>
                            <w:sz w:val="18"/>
                            <w:szCs w:val="18"/>
                          </w:rPr>
                        </w:pPr>
                        <w:r>
                          <w:rPr>
                            <w:rFonts w:ascii="宋体" w:hAnsi="宋体" w:cs="宋体" w:eastAsia="宋体" w:hint="default"/>
                            <w:spacing w:val="-4"/>
                            <w:sz w:val="18"/>
                            <w:szCs w:val="18"/>
                          </w:rPr>
                          <w:t>号，实施主体为公司，项目计划建设期限为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个月。该项目已经合肥高新技术产业开发区经济贸易 局备案，并出具了《关于科大国创软件股份有限公司大数据驱动的智能应用软件项目备案的通知》</w:t>
                        </w:r>
                      </w:p>
                      <w:p>
                        <w:pPr>
                          <w:pStyle w:val="TableParagraph"/>
                          <w:spacing w:line="307" w:lineRule="auto" w:before="31"/>
                          <w:ind w:left="24" w:right="21"/>
                          <w:jc w:val="both"/>
                          <w:rPr>
                            <w:rFonts w:ascii="宋体" w:hAnsi="宋体" w:cs="宋体" w:eastAsia="宋体" w:hint="default"/>
                            <w:sz w:val="18"/>
                            <w:szCs w:val="18"/>
                          </w:rPr>
                        </w:pPr>
                        <w:r>
                          <w:rPr>
                            <w:rFonts w:ascii="宋体" w:hAnsi="宋体" w:cs="宋体" w:eastAsia="宋体" w:hint="default"/>
                            <w:spacing w:val="-1"/>
                            <w:sz w:val="18"/>
                            <w:szCs w:val="18"/>
                          </w:rPr>
                          <w:t>（合高经贸</w:t>
                        </w:r>
                        <w:r>
                          <w:rPr>
                            <w:rFonts w:ascii="Times New Roman" w:hAnsi="Times New Roman" w:cs="Times New Roman" w:eastAsia="Times New Roman" w:hint="default"/>
                            <w:spacing w:val="-1"/>
                            <w:sz w:val="18"/>
                            <w:szCs w:val="18"/>
                          </w:rPr>
                          <w:t>[2017]40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号）。项目建成后，将为电信、能源、交通、金融、政府等行业或领域提供有效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智能应用软件，提高用户应用新一代信息技术的能力，提升公司业务收入及盈利水平，提高募集资 金使用效率，实现股东利益最大化，经济效益和社会效益明显。综上，为提高募集资金使用效率，</w:t>
                        </w:r>
                        <w:r>
                          <w:rPr>
                            <w:rFonts w:ascii="宋体" w:hAnsi="宋体" w:cs="宋体" w:eastAsia="宋体" w:hint="default"/>
                            <w:sz w:val="18"/>
                            <w:szCs w:val="18"/>
                          </w:rPr>
                          <w:t> 节约资源，实现股东利益最大化，公司经审慎研究，决定终止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电力企业一体化管控软件建设项目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的相关建设内容，并将未投入的募集资金共计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6,350.00 </w:t>
                        </w:r>
                        <w:r>
                          <w:rPr>
                            <w:rFonts w:ascii="宋体" w:hAnsi="宋体" w:cs="宋体" w:eastAsia="宋体" w:hint="default"/>
                            <w:sz w:val="18"/>
                            <w:szCs w:val="18"/>
                          </w:rPr>
                          <w:t>万元及其 利息变更用途用于建设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。具体内容详见公司在巨潮资讯网上披露 的相关公告。</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1"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0" w:right="1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800"/>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截至报告期末，尚未使用的募集资金存放于募集资金专用账户中。</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4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27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大数据驱动 的智能应用 软件项目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 一体化管控 软件建设项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 级信息集成 平台建设项 目</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58.66%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289"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日召开了第二届董事会十三次会议、于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p>
          <w:p>
            <w:pPr>
              <w:pStyle w:val="TableParagraph"/>
              <w:spacing w:line="309" w:lineRule="auto" w:before="60"/>
              <w:ind w:left="24" w:right="4"/>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年第一次临时股东大会，会议审议通过了《关于变更部分募集资金用途的议 </w:t>
            </w:r>
            <w:r>
              <w:rPr>
                <w:rFonts w:ascii="宋体" w:hAnsi="宋体" w:cs="宋体" w:eastAsia="宋体" w:hint="default"/>
                <w:spacing w:val="-3"/>
                <w:w w:val="100"/>
                <w:sz w:val="18"/>
                <w:szCs w:val="18"/>
              </w:rPr>
              <w:t>案》，主要内容是：</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电力企业一体化管控软件建设项目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企业级信息集成平台建设</w:t>
            </w:r>
            <w:r>
              <w:rPr>
                <w:rFonts w:ascii="宋体" w:hAnsi="宋体" w:cs="宋体" w:eastAsia="宋体" w:hint="default"/>
                <w:spacing w:val="-65"/>
                <w:w w:val="100"/>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年立项，原计划通过建设场地、购买设备、搭建研发平台等分别升级开 发电力企业一体化管控软件和企业级信息集成平台。然而随着公司业务的发展，为满 足日常经营需要，公司利用现有资源开展了部分升级开发工作，相关成果已经基本达 到上述项目的技术开发要求。近年来大数据、云计算、人工智能、工业智能化、互联 网</w:t>
            </w:r>
            <w:r>
              <w:rPr>
                <w:rFonts w:ascii="Times New Roman" w:hAnsi="Times New Roman" w:cs="Times New Roman" w:eastAsia="Times New Roman" w:hint="default"/>
                <w:sz w:val="18"/>
                <w:szCs w:val="18"/>
              </w:rPr>
              <w:t>+</w:t>
            </w:r>
            <w:r>
              <w:rPr>
                <w:rFonts w:ascii="宋体" w:hAnsi="宋体" w:cs="宋体" w:eastAsia="宋体" w:hint="default"/>
                <w:sz w:val="18"/>
                <w:szCs w:val="18"/>
              </w:rPr>
              <w:t>等逐步成为行业发展方向，为抢占机遇，发挥优势，公司计划建设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 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，该项目利用大数据的技术手段，对组织（企业）内外海量的数 据进行分析处理，挖掘出这些海量数据蕴含的价值，从而指导组织进行决策、管理、 优化流程，对企业进行生产、销售、经营、服务改进、管理等。项目的实施地点为公 司自有土地，土地使用权证号为合高新国用（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号，实施主体为公司，项</w:t>
            </w:r>
          </w:p>
          <w:p>
            <w:pPr>
              <w:pStyle w:val="TableParagraph"/>
              <w:spacing w:line="309"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目计划建设期限为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个月。该项目已经合肥高新技术产业开发区经济贸易局备案， </w:t>
            </w:r>
            <w:r>
              <w:rPr>
                <w:rFonts w:ascii="宋体" w:hAnsi="宋体" w:cs="宋体" w:eastAsia="宋体" w:hint="default"/>
                <w:spacing w:val="-1"/>
                <w:sz w:val="18"/>
                <w:szCs w:val="18"/>
              </w:rPr>
              <w:t>并出具了《关于科大国创软件股份有限公司大数据驱动的智能应用软件项目备案的通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知》（合高经贸</w:t>
            </w:r>
            <w:r>
              <w:rPr>
                <w:rFonts w:ascii="Times New Roman" w:hAnsi="Times New Roman" w:cs="Times New Roman" w:eastAsia="Times New Roman" w:hint="default"/>
                <w:spacing w:val="-7"/>
                <w:sz w:val="18"/>
                <w:szCs w:val="18"/>
              </w:rPr>
              <w:t>[2017]40</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号）。项目建成后，将为电信、能源、交通、金融、政府等行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业或领域提供有效智能应用软件，提高用户应用新一代信息技术的能力，提升公司业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务收入及盈利水平，提高募集资金使用效率，实现股东利益最大化，经济效益和社会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效益明显。综上，为提高募集资金使用效率，节约资源，实现股东利益最大化，公司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w w:val="100"/>
                <w:sz w:val="18"/>
                <w:szCs w:val="18"/>
              </w:rPr>
              <w:t>经审慎研究，决定终止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电力企业一体化管控软件建设项目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企业级信息集成平台建</w:t>
            </w:r>
            <w:r>
              <w:rPr>
                <w:rFonts w:ascii="宋体" w:hAnsi="宋体" w:cs="宋体" w:eastAsia="宋体" w:hint="default"/>
                <w:spacing w:val="-54"/>
                <w:w w:val="100"/>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的相关建设内容，并将未投入的募集资金共计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万元及其利息变更用</w:t>
            </w:r>
          </w:p>
        </w:tc>
      </w:tr>
    </w:tbl>
    <w:p>
      <w:pPr>
        <w:spacing w:after="0" w:line="309"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700"/>
      </w:tblGrid>
      <w:tr>
        <w:trPr>
          <w:trHeight w:val="67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4" w:right="23"/>
              <w:jc w:val="left"/>
              <w:rPr>
                <w:rFonts w:ascii="宋体" w:hAnsi="宋体" w:cs="宋体" w:eastAsia="宋体" w:hint="default"/>
                <w:sz w:val="18"/>
                <w:szCs w:val="18"/>
              </w:rPr>
            </w:pPr>
            <w:r>
              <w:rPr>
                <w:rFonts w:ascii="宋体" w:hAnsi="宋体" w:cs="宋体" w:eastAsia="宋体" w:hint="default"/>
                <w:sz w:val="18"/>
                <w:szCs w:val="18"/>
              </w:rPr>
              <w:t>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。具体内容详见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日在巨 潮资讯网上披露的相关公告。</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8" w:footer="979" w:top="1060" w:bottom="1160" w:left="980" w:right="98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安徽科大国 创云网科技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软件与信息 技术服务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170,438,375.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148,092,142.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157,074,702.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25,270,828.7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29,385,499.7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安徽慧通互 联科技有限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 慧物流云服 务平台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237,823,898.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5,798,141.68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22,378,438.4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49,338.58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2,197,461.05</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
              <w:jc w:val="both"/>
              <w:rPr>
                <w:rFonts w:ascii="宋体" w:hAnsi="宋体" w:cs="宋体" w:eastAsia="宋体" w:hint="default"/>
                <w:sz w:val="18"/>
                <w:szCs w:val="18"/>
              </w:rPr>
            </w:pPr>
            <w:r>
              <w:rPr>
                <w:rFonts w:ascii="宋体" w:hAnsi="宋体" w:cs="宋体" w:eastAsia="宋体" w:hint="default"/>
                <w:spacing w:val="-14"/>
                <w:sz w:val="18"/>
                <w:szCs w:val="18"/>
              </w:rPr>
              <w:t>国创恒星（合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肥）软件技术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软件与信息 技术服务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3,685,807.50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3,685,807.50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11,295,750.2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-3,814,844.4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-4,755,520.9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公司将其吸收合并（正在进行）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6"/>
              <w:jc w:val="left"/>
              <w:rPr>
                <w:rFonts w:ascii="宋体" w:hAnsi="宋体" w:cs="宋体" w:eastAsia="宋体" w:hint="default"/>
                <w:sz w:val="18"/>
                <w:szCs w:val="18"/>
              </w:rPr>
            </w:pPr>
            <w:r>
              <w:rPr>
                <w:rFonts w:ascii="宋体" w:hAnsi="宋体" w:cs="宋体" w:eastAsia="宋体" w:hint="default"/>
                <w:sz w:val="18"/>
                <w:szCs w:val="18"/>
              </w:rPr>
              <w:t>吸收合并对公司无实质影响，国创恒星 报告期实现净利</w:t>
            </w:r>
            <w:r>
              <w:rPr>
                <w:rFonts w:ascii="Times New Roman" w:hAnsi="Times New Roman" w:cs="Times New Roman" w:eastAsia="Times New Roman" w:hint="default"/>
                <w:sz w:val="18"/>
                <w:szCs w:val="18"/>
              </w:rPr>
              <w:t>-475.55 </w:t>
            </w:r>
            <w:r>
              <w:rPr>
                <w:rFonts w:ascii="宋体" w:hAnsi="宋体" w:cs="宋体" w:eastAsia="宋体" w:hint="default"/>
                <w:sz w:val="18"/>
                <w:szCs w:val="18"/>
              </w:rPr>
              <w:t>万元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公司和中科大及相关研发团队共同发起 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推动了公司高可信软件技术的发展，目 前对公司业绩无重大影响</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公司发起设立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提升公司在区域市场的服务能力，目前 对公司业绩无重大影响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控股子公司发起设立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6"/>
              <w:jc w:val="left"/>
              <w:rPr>
                <w:rFonts w:ascii="宋体" w:hAnsi="宋体" w:cs="宋体" w:eastAsia="宋体" w:hint="default"/>
                <w:sz w:val="18"/>
                <w:szCs w:val="18"/>
              </w:rPr>
            </w:pPr>
            <w:r>
              <w:rPr>
                <w:rFonts w:ascii="宋体" w:hAnsi="宋体" w:cs="宋体" w:eastAsia="宋体" w:hint="default"/>
                <w:sz w:val="18"/>
                <w:szCs w:val="18"/>
              </w:rPr>
              <w:t>有利于慧通互联业务发展，目前对公司 业绩无重大影响</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300" w:lineRule="auto" w:before="117"/>
        <w:ind w:left="153" w:right="247" w:firstLine="0"/>
        <w:jc w:val="both"/>
        <w:rPr>
          <w:rFonts w:ascii="宋体" w:hAnsi="宋体" w:cs="宋体" w:eastAsia="宋体" w:hint="default"/>
          <w:sz w:val="18"/>
          <w:szCs w:val="18"/>
        </w:rPr>
      </w:pPr>
      <w:r>
        <w:rPr>
          <w:rFonts w:ascii="宋体" w:hAnsi="宋体" w:cs="宋体" w:eastAsia="宋体" w:hint="default"/>
          <w:sz w:val="18"/>
          <w:szCs w:val="18"/>
        </w:rPr>
        <w:t>报告期内，云网科技实现净利润</w:t>
      </w:r>
      <w:r>
        <w:rPr>
          <w:rFonts w:ascii="Times New Roman" w:hAnsi="Times New Roman" w:cs="Times New Roman" w:eastAsia="Times New Roman" w:hint="default"/>
          <w:sz w:val="18"/>
          <w:szCs w:val="18"/>
        </w:rPr>
        <w:t>2,938.55</w:t>
      </w:r>
      <w:r>
        <w:rPr>
          <w:rFonts w:ascii="宋体" w:hAnsi="宋体" w:cs="宋体" w:eastAsia="宋体" w:hint="default"/>
          <w:sz w:val="18"/>
          <w:szCs w:val="18"/>
        </w:rPr>
        <w:t>万元，较上年同期增长</w:t>
      </w:r>
      <w:r>
        <w:rPr>
          <w:rFonts w:ascii="Times New Roman" w:hAnsi="Times New Roman" w:cs="Times New Roman" w:eastAsia="Times New Roman" w:hint="default"/>
          <w:sz w:val="18"/>
          <w:szCs w:val="18"/>
        </w:rPr>
        <w:t>47%</w:t>
      </w:r>
      <w:r>
        <w:rPr>
          <w:rFonts w:ascii="宋体" w:hAnsi="宋体" w:cs="宋体" w:eastAsia="宋体" w:hint="default"/>
          <w:sz w:val="18"/>
          <w:szCs w:val="18"/>
        </w:rPr>
        <w:t>，主要系云网科技行业应用软件及大数据解决方案业务 持续增加所致；慧通互联实现净利润</w:t>
      </w:r>
      <w:r>
        <w:rPr>
          <w:rFonts w:ascii="Times New Roman" w:hAnsi="Times New Roman" w:cs="Times New Roman" w:eastAsia="Times New Roman" w:hint="default"/>
          <w:sz w:val="18"/>
          <w:szCs w:val="18"/>
        </w:rPr>
        <w:t>219.75</w:t>
      </w:r>
      <w:r>
        <w:rPr>
          <w:rFonts w:ascii="宋体" w:hAnsi="宋体" w:cs="宋体" w:eastAsia="宋体" w:hint="default"/>
          <w:sz w:val="18"/>
          <w:szCs w:val="18"/>
        </w:rPr>
        <w:t>万元，较上年实现扭亏为盈，主要系慧通互联互联网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智慧物流云服务平台业务 持续发展所致；国创恒星实现净利润</w:t>
      </w:r>
      <w:r>
        <w:rPr>
          <w:rFonts w:ascii="Times New Roman" w:hAnsi="Times New Roman" w:cs="Times New Roman" w:eastAsia="Times New Roman" w:hint="default"/>
          <w:sz w:val="18"/>
          <w:szCs w:val="18"/>
        </w:rPr>
        <w:t>-475.55</w:t>
      </w:r>
      <w:r>
        <w:rPr>
          <w:rFonts w:ascii="宋体" w:hAnsi="宋体" w:cs="宋体" w:eastAsia="宋体" w:hint="default"/>
          <w:sz w:val="18"/>
          <w:szCs w:val="18"/>
        </w:rPr>
        <w:t>万元，主要系公司拟将其吸收合并，下半年未实质开展业务。</w:t>
      </w:r>
    </w:p>
    <w:p>
      <w:pPr>
        <w:spacing w:line="240" w:lineRule="auto" w:before="7"/>
        <w:rPr>
          <w:rFonts w:ascii="宋体" w:hAnsi="宋体" w:cs="宋体" w:eastAsia="宋体" w:hint="default"/>
          <w:sz w:val="14"/>
          <w:szCs w:val="14"/>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九、公司未来发展的展望</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90" w:lineRule="auto"/>
        <w:ind w:left="573" w:right="0"/>
        <w:jc w:val="left"/>
      </w:pPr>
      <w:r>
        <w:rPr>
          <w:rFonts w:ascii="Times New Roman" w:hAnsi="Times New Roman" w:cs="Times New Roman" w:eastAsia="Times New Roman" w:hint="default"/>
        </w:rPr>
        <w:t>1</w:t>
      </w:r>
      <w:r>
        <w:rPr/>
        <w:t>、行业格局和趋势</w:t>
      </w:r>
      <w:r>
        <w:rPr>
          <w:w w:val="100"/>
        </w:rPr>
        <w:t> </w:t>
      </w:r>
      <w:r>
        <w:rPr>
          <w:spacing w:val="-2"/>
        </w:rPr>
        <w:t>公司发展历程与信息技术创新紧密结合，与国家信息化进程共同成长。在国家新的战略发展时期，新</w:t>
      </w:r>
    </w:p>
    <w:p>
      <w:pPr>
        <w:pStyle w:val="BodyText"/>
        <w:spacing w:line="256" w:lineRule="auto"/>
        <w:ind w:right="0"/>
        <w:jc w:val="left"/>
      </w:pPr>
      <w:r>
        <w:rPr>
          <w:spacing w:val="-2"/>
        </w:rPr>
        <w:t>一代信息技术带来新机遇。未来</w:t>
      </w:r>
      <w:r>
        <w:rPr>
          <w:rFonts w:ascii="Times New Roman" w:hAnsi="Times New Roman" w:cs="Times New Roman" w:eastAsia="Times New Roman" w:hint="default"/>
          <w:spacing w:val="-2"/>
        </w:rPr>
        <w:t>5</w:t>
      </w:r>
      <w:r>
        <w:rPr>
          <w:spacing w:val="-2"/>
        </w:rPr>
        <w:t>到</w:t>
      </w:r>
      <w:r>
        <w:rPr>
          <w:rFonts w:ascii="Times New Roman" w:hAnsi="Times New Roman" w:cs="Times New Roman" w:eastAsia="Times New Roman" w:hint="default"/>
          <w:spacing w:val="-2"/>
        </w:rPr>
        <w:t>10</w:t>
      </w:r>
      <w:r>
        <w:rPr>
          <w:spacing w:val="-2"/>
        </w:rPr>
        <w:t>年，全球新一轮科技革命和产业变革将群体迸发，物联网、云计算、</w:t>
      </w:r>
      <w:r>
        <w:rPr>
          <w:spacing w:val="-39"/>
        </w:rPr>
        <w:t> </w:t>
      </w:r>
      <w:r>
        <w:rPr>
          <w:spacing w:val="-39"/>
        </w:rPr>
      </w:r>
      <w:r>
        <w:rPr/>
        <w:t>大数据、人工智能等技术广泛渗透于经济社会各个领域，信息经济将持续繁荣昌盛。</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w:t>
      </w:r>
      <w:r>
        <w:rPr>
          <w:w w:val="100"/>
        </w:rPr>
        <w:t> </w:t>
      </w:r>
      <w:r>
        <w:rPr>
          <w:spacing w:val="-4"/>
        </w:rPr>
        <w:t>全面建成小康社会的决胜阶段，新一代信息技术将是我国成为世界经济领导者的重要战略机遇之一，《</w:t>
      </w:r>
      <w:r>
        <w:rPr>
          <w:rFonts w:ascii="Times New Roman" w:hAnsi="Times New Roman" w:cs="Times New Roman" w:eastAsia="Times New Roman" w:hint="default"/>
          <w:spacing w:val="-4"/>
        </w:rPr>
        <w:t>“</w:t>
      </w:r>
      <w:r>
        <w:rPr>
          <w:spacing w:val="-4"/>
        </w:rPr>
        <w:t>十</w:t>
      </w:r>
      <w:r>
        <w:rPr>
          <w:spacing w:val="-40"/>
        </w:rPr>
        <w:t> </w:t>
      </w:r>
      <w:r>
        <w:rPr>
          <w:spacing w:val="-4"/>
        </w:rPr>
        <w:t>三五</w:t>
      </w:r>
      <w:r>
        <w:rPr>
          <w:rFonts w:ascii="Times New Roman" w:hAnsi="Times New Roman" w:cs="Times New Roman" w:eastAsia="Times New Roman" w:hint="default"/>
          <w:spacing w:val="-4"/>
        </w:rPr>
        <w:t>”</w:t>
      </w:r>
      <w:r>
        <w:rPr>
          <w:spacing w:val="-4"/>
        </w:rPr>
        <w:t>国家战略性新兴产业发展规划》和《</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国家信息化规划》提出信息经济全面发展，信息基础设</w:t>
      </w:r>
      <w:r>
        <w:rPr>
          <w:spacing w:val="-21"/>
        </w:rPr>
        <w:t> </w:t>
      </w:r>
      <w:r>
        <w:rPr>
          <w:spacing w:val="-21"/>
        </w:rPr>
      </w:r>
      <w:r>
        <w:rPr/>
        <w:t>施达到全球领先水平，到</w:t>
      </w:r>
      <w:r>
        <w:rPr>
          <w:rFonts w:ascii="Times New Roman" w:hAnsi="Times New Roman" w:cs="Times New Roman" w:eastAsia="Times New Roman" w:hint="default"/>
        </w:rPr>
        <w:t>2020</w:t>
      </w:r>
      <w:r>
        <w:rPr/>
        <w:t>年，实现新一代信息技术产业总产值超过</w:t>
      </w:r>
      <w:r>
        <w:rPr>
          <w:rFonts w:ascii="Times New Roman" w:hAnsi="Times New Roman" w:cs="Times New Roman" w:eastAsia="Times New Roman" w:hint="default"/>
        </w:rPr>
        <w:t>12</w:t>
      </w:r>
      <w:r>
        <w:rPr/>
        <w:t>万亿的宏大目标。</w:t>
      </w:r>
    </w:p>
    <w:p>
      <w:pPr>
        <w:pStyle w:val="BodyText"/>
        <w:spacing w:line="256" w:lineRule="auto" w:before="46"/>
        <w:ind w:right="208" w:firstLine="420"/>
        <w:jc w:val="both"/>
      </w:pPr>
      <w:r>
        <w:rPr>
          <w:spacing w:val="-3"/>
        </w:rPr>
        <w:t>国家工信部《软件和信息技术服务业发展规划（</w:t>
      </w:r>
      <w:r>
        <w:rPr>
          <w:rFonts w:ascii="Times New Roman" w:hAnsi="Times New Roman" w:cs="Times New Roman" w:eastAsia="Times New Roman" w:hint="default"/>
          <w:spacing w:val="-3"/>
        </w:rPr>
        <w:t>2016-2020</w:t>
      </w:r>
      <w:r>
        <w:rPr>
          <w:spacing w:val="-3"/>
        </w:rPr>
        <w:t>年）》提出，到</w:t>
      </w:r>
      <w:r>
        <w:rPr>
          <w:rFonts w:ascii="Times New Roman" w:hAnsi="Times New Roman" w:cs="Times New Roman" w:eastAsia="Times New Roman" w:hint="default"/>
          <w:spacing w:val="-3"/>
        </w:rPr>
        <w:t>2020</w:t>
      </w:r>
      <w:r>
        <w:rPr>
          <w:spacing w:val="-3"/>
        </w:rPr>
        <w:t>年，软件和信息技术服</w:t>
      </w:r>
      <w:r>
        <w:rPr>
          <w:w w:val="100"/>
        </w:rPr>
        <w:t> </w:t>
      </w:r>
      <w:r>
        <w:rPr>
          <w:spacing w:val="-3"/>
        </w:rPr>
        <w:t>务业业务收入突破</w:t>
      </w:r>
      <w:r>
        <w:rPr>
          <w:rFonts w:ascii="Times New Roman" w:hAnsi="Times New Roman" w:cs="Times New Roman" w:eastAsia="Times New Roman" w:hint="default"/>
          <w:spacing w:val="-3"/>
        </w:rPr>
        <w:t>8</w:t>
      </w:r>
      <w:r>
        <w:rPr>
          <w:spacing w:val="-3"/>
        </w:rPr>
        <w:t>万亿元，年均增长</w:t>
      </w:r>
      <w:r>
        <w:rPr>
          <w:rFonts w:ascii="Times New Roman" w:hAnsi="Times New Roman" w:cs="Times New Roman" w:eastAsia="Times New Roman" w:hint="default"/>
          <w:spacing w:val="-3"/>
        </w:rPr>
        <w:t>13%</w:t>
      </w:r>
      <w:r>
        <w:rPr>
          <w:spacing w:val="-3"/>
        </w:rPr>
        <w:t>以上。信息安全产品收入达到</w:t>
      </w:r>
      <w:r>
        <w:rPr>
          <w:rFonts w:ascii="Times New Roman" w:hAnsi="Times New Roman" w:cs="Times New Roman" w:eastAsia="Times New Roman" w:hint="default"/>
          <w:spacing w:val="-3"/>
        </w:rPr>
        <w:t>2000</w:t>
      </w:r>
      <w:r>
        <w:rPr>
          <w:spacing w:val="-3"/>
        </w:rPr>
        <w:t>亿元，年均增长</w:t>
      </w:r>
      <w:r>
        <w:rPr>
          <w:rFonts w:ascii="Times New Roman" w:hAnsi="Times New Roman" w:cs="Times New Roman" w:eastAsia="Times New Roman" w:hint="default"/>
          <w:spacing w:val="-3"/>
        </w:rPr>
        <w:t>20%</w:t>
      </w:r>
      <w:r>
        <w:rPr>
          <w:spacing w:val="-3"/>
        </w:rPr>
        <w:t>以上。软</w:t>
      </w:r>
      <w:r>
        <w:rPr>
          <w:spacing w:val="-20"/>
        </w:rPr>
        <w:t> </w:t>
      </w:r>
      <w:r>
        <w:rPr>
          <w:spacing w:val="-20"/>
        </w:rPr>
      </w:r>
      <w:r>
        <w:rPr/>
        <w:t>件出口超过</w:t>
      </w:r>
      <w:r>
        <w:rPr>
          <w:rFonts w:ascii="Times New Roman" w:hAnsi="Times New Roman" w:cs="Times New Roman" w:eastAsia="Times New Roman" w:hint="default"/>
        </w:rPr>
        <w:t>680</w:t>
      </w:r>
      <w:r>
        <w:rPr/>
        <w:t>亿美元。软件从业人员达到</w:t>
      </w:r>
      <w:r>
        <w:rPr>
          <w:rFonts w:ascii="Times New Roman" w:hAnsi="Times New Roman" w:cs="Times New Roman" w:eastAsia="Times New Roman" w:hint="default"/>
        </w:rPr>
        <w:t>900</w:t>
      </w:r>
      <w:r>
        <w:rPr/>
        <w:t>万人。</w:t>
      </w:r>
    </w:p>
    <w:p>
      <w:pPr>
        <w:pStyle w:val="BodyText"/>
        <w:spacing w:line="256" w:lineRule="auto" w:before="46"/>
        <w:ind w:right="0" w:firstLine="420"/>
        <w:jc w:val="left"/>
      </w:pPr>
      <w:r>
        <w:rPr/>
        <w:t>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时期，以数据为驱动的</w:t>
      </w:r>
      <w:r>
        <w:rPr>
          <w:rFonts w:ascii="Times New Roman" w:hAnsi="Times New Roman" w:cs="Times New Roman" w:eastAsia="Times New Roman" w:hint="default"/>
        </w:rPr>
        <w:t>“</w:t>
      </w:r>
      <w:r>
        <w:rPr/>
        <w:t>软件定义</w:t>
      </w:r>
      <w:r>
        <w:rPr>
          <w:rFonts w:ascii="Times New Roman" w:hAnsi="Times New Roman" w:cs="Times New Roman" w:eastAsia="Times New Roman" w:hint="default"/>
        </w:rPr>
        <w:t>”</w:t>
      </w:r>
      <w:r>
        <w:rPr/>
        <w:t>成为软件和信息技术服务业发展的突出特征。软件和信</w:t>
      </w:r>
      <w:r>
        <w:rPr>
          <w:w w:val="100"/>
        </w:rPr>
        <w:t> </w:t>
      </w:r>
      <w:r>
        <w:rPr>
          <w:spacing w:val="-2"/>
        </w:rPr>
        <w:t>息技术服务业加快向网络化、平台化、服务化、智能化、生态化演进，以</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模式</w:t>
      </w:r>
      <w:r>
        <w:rPr>
          <w:rFonts w:ascii="Times New Roman" w:hAnsi="Times New Roman" w:cs="Times New Roman" w:eastAsia="Times New Roman" w:hint="default"/>
          <w:spacing w:val="-2"/>
        </w:rPr>
        <w:t>+</w:t>
      </w:r>
      <w:r>
        <w:rPr>
          <w:spacing w:val="-2"/>
        </w:rPr>
        <w:t>生态</w:t>
      </w:r>
      <w:r>
        <w:rPr>
          <w:rFonts w:ascii="Times New Roman" w:hAnsi="Times New Roman" w:cs="Times New Roman" w:eastAsia="Times New Roman" w:hint="default"/>
          <w:spacing w:val="-2"/>
        </w:rPr>
        <w:t>”</w:t>
      </w:r>
      <w:r>
        <w:rPr>
          <w:spacing w:val="-2"/>
        </w:rPr>
        <w:t>为核心的协同</w:t>
      </w:r>
      <w:r>
        <w:rPr>
          <w:spacing w:val="-48"/>
        </w:rPr>
        <w:t> </w:t>
      </w:r>
      <w:r>
        <w:rPr>
          <w:spacing w:val="-48"/>
        </w:rPr>
      </w:r>
      <w:r>
        <w:rPr/>
        <w:t>创新持续深化产业变革。</w:t>
      </w:r>
      <w:r>
        <w:rPr>
          <w:spacing w:val="-61"/>
        </w:rPr>
        <w:t> </w:t>
      </w:r>
      <w:r>
        <w:rPr>
          <w:spacing w:val="-5"/>
        </w:rPr>
        <w:t>以</w:t>
      </w:r>
      <w:r>
        <w:rPr>
          <w:rFonts w:ascii="Times New Roman" w:hAnsi="Times New Roman" w:cs="Times New Roman" w:eastAsia="Times New Roman" w:hint="default"/>
          <w:spacing w:val="-5"/>
        </w:rPr>
        <w:t>“</w:t>
      </w:r>
      <w:r>
        <w:rPr>
          <w:spacing w:val="-5"/>
        </w:rPr>
        <w:t>软件定义</w:t>
      </w:r>
      <w:r>
        <w:rPr>
          <w:rFonts w:ascii="Times New Roman" w:hAnsi="Times New Roman" w:cs="Times New Roman" w:eastAsia="Times New Roman" w:hint="default"/>
          <w:spacing w:val="-5"/>
        </w:rPr>
        <w:t>”</w:t>
      </w:r>
      <w:r>
        <w:rPr>
          <w:spacing w:val="-5"/>
        </w:rPr>
        <w:t>为特征的融合应用开启信息经济新图景，网络为平台、软件为载体、</w:t>
      </w:r>
      <w:r>
        <w:rPr>
          <w:spacing w:val="-76"/>
        </w:rPr>
        <w:t> </w:t>
      </w:r>
      <w:r>
        <w:rPr>
          <w:spacing w:val="-76"/>
        </w:rPr>
      </w:r>
      <w:r>
        <w:rPr/>
        <w:t>数据为要素、云计算为方法和途径成为融合应用的显著特征。</w:t>
      </w:r>
    </w:p>
    <w:p>
      <w:pPr>
        <w:pStyle w:val="BodyText"/>
        <w:spacing w:line="266" w:lineRule="auto" w:before="61"/>
        <w:ind w:right="184" w:firstLine="420"/>
        <w:jc w:val="both"/>
      </w:pPr>
      <w:r>
        <w:rPr>
          <w:spacing w:val="-2"/>
        </w:rPr>
        <w:t>在技术创新方面，基础软件协同创新将取得突破，形成若干具有竞争力的平台解决方案并规模应用；</w:t>
      </w:r>
      <w:r>
        <w:rPr>
          <w:w w:val="100"/>
        </w:rPr>
        <w:t> </w:t>
      </w:r>
      <w:r>
        <w:rPr>
          <w:spacing w:val="-2"/>
        </w:rPr>
        <w:t>人工智能、虚拟现实、区块链等领域创新将达到国际先进水平；云计算、大数据、移动互联网、物联网、</w:t>
      </w:r>
      <w:r>
        <w:rPr>
          <w:spacing w:val="-21"/>
        </w:rPr>
        <w:t> </w:t>
      </w:r>
      <w:r>
        <w:rPr>
          <w:spacing w:val="-21"/>
        </w:rPr>
      </w:r>
      <w:r>
        <w:rPr>
          <w:spacing w:val="-2"/>
        </w:rPr>
        <w:t>信息安全等领域的创新发展向更高层次跃升。在企业培育方面，以收入百亿级企业达</w:t>
      </w:r>
      <w:r>
        <w:rPr>
          <w:rFonts w:ascii="Times New Roman" w:hAnsi="Times New Roman" w:cs="Times New Roman" w:eastAsia="Times New Roman" w:hint="default"/>
          <w:spacing w:val="-2"/>
        </w:rPr>
        <w:t>20</w:t>
      </w:r>
      <w:r>
        <w:rPr>
          <w:spacing w:val="-2"/>
        </w:rPr>
        <w:t>家以上，产生</w:t>
      </w:r>
      <w:r>
        <w:rPr>
          <w:rFonts w:ascii="Times New Roman" w:hAnsi="Times New Roman" w:cs="Times New Roman" w:eastAsia="Times New Roman" w:hint="default"/>
          <w:spacing w:val="-2"/>
        </w:rPr>
        <w:t>5</w:t>
      </w:r>
      <w:r>
        <w:rPr>
          <w:spacing w:val="-2"/>
        </w:rPr>
        <w:t>到</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4"/>
        </w:rPr>
        <w:t> </w:t>
      </w:r>
      <w:r>
        <w:rPr/>
        <w:t>家收入千亿级企业。产业收入超千亿元的城市达</w:t>
      </w:r>
      <w:r>
        <w:rPr>
          <w:rFonts w:ascii="Times New Roman" w:hAnsi="Times New Roman" w:cs="Times New Roman" w:eastAsia="Times New Roman" w:hint="default"/>
        </w:rPr>
        <w:t>20</w:t>
      </w:r>
      <w:r>
        <w:rPr/>
        <w:t>个以上。</w:t>
      </w:r>
    </w:p>
    <w:p>
      <w:pPr>
        <w:pStyle w:val="BodyText"/>
        <w:spacing w:line="290" w:lineRule="auto" w:before="37"/>
        <w:ind w:left="573" w:right="0"/>
        <w:jc w:val="left"/>
      </w:pPr>
      <w:r>
        <w:rPr>
          <w:rFonts w:ascii="Times New Roman" w:hAnsi="Times New Roman" w:cs="Times New Roman" w:eastAsia="Times New Roman" w:hint="default"/>
        </w:rPr>
        <w:t>2</w:t>
      </w:r>
      <w:r>
        <w:rPr/>
        <w:t>、公司发展战略</w:t>
      </w:r>
      <w:r>
        <w:rPr>
          <w:w w:val="100"/>
        </w:rPr>
        <w:t> </w:t>
      </w:r>
      <w:r>
        <w:rPr>
          <w:spacing w:val="-3"/>
        </w:rPr>
        <w:t>围绕公司主营业务，应用大数据、物联网、人工智能、</w:t>
      </w:r>
      <w:r>
        <w:rPr>
          <w:rFonts w:ascii="Times New Roman" w:hAnsi="Times New Roman" w:cs="Times New Roman" w:eastAsia="Times New Roman" w:hint="default"/>
          <w:spacing w:val="-3"/>
        </w:rPr>
        <w:t>5G</w:t>
      </w:r>
      <w:r>
        <w:rPr>
          <w:spacing w:val="-3"/>
        </w:rPr>
        <w:t>等新一代信息技术，向客户提供领先的产品</w:t>
      </w:r>
    </w:p>
    <w:p>
      <w:pPr>
        <w:pStyle w:val="BodyText"/>
        <w:spacing w:line="263" w:lineRule="exact"/>
        <w:ind w:right="0"/>
        <w:jc w:val="both"/>
        <w:rPr>
          <w:rFonts w:ascii="Times New Roman" w:hAnsi="Times New Roman" w:cs="Times New Roman" w:eastAsia="Times New Roman" w:hint="default"/>
        </w:rPr>
      </w:pPr>
      <w:r>
        <w:rPr/>
        <w:t>与服务。针对公司布局的行业软件及大数据、互联网</w:t>
      </w:r>
      <w:r>
        <w:rPr>
          <w:rFonts w:ascii="Times New Roman" w:hAnsi="Times New Roman" w:cs="Times New Roman" w:eastAsia="Times New Roman" w:hint="default"/>
        </w:rPr>
        <w:t>+</w:t>
      </w:r>
      <w:r>
        <w:rPr/>
        <w:t>、智能软件面向各个行业领域的应用提出了</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p>
    <w:p>
      <w:pPr>
        <w:pStyle w:val="BodyText"/>
        <w:spacing w:line="240" w:lineRule="auto" w:before="21"/>
        <w:ind w:right="0"/>
        <w:jc w:val="both"/>
      </w:pPr>
      <w:r>
        <w:rPr/>
        <w:t>战略，涵盖了电信、能源、交通、金融、政府、教育、医疗、智慧城市等。</w:t>
      </w:r>
    </w:p>
    <w:p>
      <w:pPr>
        <w:pStyle w:val="BodyText"/>
        <w:spacing w:line="290" w:lineRule="auto" w:before="75"/>
        <w:ind w:left="573" w:right="0"/>
        <w:jc w:val="left"/>
      </w:pPr>
      <w:r>
        <w:rPr/>
        <w:t>（</w:t>
      </w:r>
      <w:r>
        <w:rPr>
          <w:rFonts w:ascii="Times New Roman" w:hAnsi="Times New Roman" w:cs="Times New Roman" w:eastAsia="Times New Roman" w:hint="default"/>
        </w:rPr>
        <w:t>1</w:t>
      </w:r>
      <w:r>
        <w:rPr/>
        <w:t>）行业软件及大数据发展战略</w:t>
      </w:r>
      <w:r>
        <w:rPr>
          <w:w w:val="100"/>
        </w:rPr>
        <w:t> </w:t>
      </w:r>
      <w:r>
        <w:rPr>
          <w:spacing w:val="-2"/>
        </w:rPr>
        <w:t>坚持行业软件及大数据为基础的发展战略。行业软件业务是公司成长和壮大的基础，拥有完整的产品</w:t>
      </w:r>
    </w:p>
    <w:p>
      <w:pPr>
        <w:pStyle w:val="BodyText"/>
        <w:spacing w:line="273" w:lineRule="auto"/>
        <w:ind w:right="208"/>
        <w:jc w:val="both"/>
      </w:pPr>
      <w:r>
        <w:rPr>
          <w:spacing w:val="-2"/>
        </w:rPr>
        <w:t>线、成熟的技术团队、丰富的行业经验、良好的品牌口碑和优质的行业客户。公司将自主核心技术与前瞻</w:t>
      </w:r>
      <w:r>
        <w:rPr>
          <w:spacing w:val="-47"/>
        </w:rPr>
        <w:t> </w:t>
      </w:r>
      <w:r>
        <w:rPr>
          <w:spacing w:val="-47"/>
        </w:rPr>
      </w:r>
      <w:r>
        <w:rPr>
          <w:spacing w:val="-2"/>
        </w:rPr>
        <w:t>性业务需求紧密结合，立足电信、能源、金融、交通、政府等公司具有广泛竞争优势的行业，兼顾公司现</w:t>
      </w:r>
      <w:r>
        <w:rPr>
          <w:spacing w:val="-45"/>
        </w:rPr>
        <w:t> </w:t>
      </w:r>
      <w:r>
        <w:rPr>
          <w:spacing w:val="-45"/>
        </w:rPr>
      </w:r>
      <w:r>
        <w:rPr>
          <w:spacing w:val="-2"/>
        </w:rPr>
        <w:t>有产品及服务可快速复制的行业，精耕细作，敏捷打造行业软件产品，发展大数据应用新业态，积极把握</w:t>
      </w:r>
      <w:r>
        <w:rPr>
          <w:spacing w:val="-47"/>
        </w:rPr>
        <w:t> </w:t>
      </w:r>
      <w:r>
        <w:rPr>
          <w:spacing w:val="-47"/>
        </w:rPr>
      </w:r>
      <w:r>
        <w:rPr/>
        <w:t>大数据运营与服务业务的开展，为公司新技术、新产品发展奠定基础。</w:t>
      </w:r>
    </w:p>
    <w:p>
      <w:pPr>
        <w:spacing w:after="0" w:line="273"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90" w:lineRule="auto" w:before="36"/>
        <w:ind w:left="573" w:right="0"/>
        <w:jc w:val="left"/>
      </w:pPr>
      <w:r>
        <w:rPr/>
        <w:t>（</w:t>
      </w:r>
      <w:r>
        <w:rPr>
          <w:rFonts w:ascii="Times New Roman" w:hAnsi="Times New Roman" w:cs="Times New Roman" w:eastAsia="Times New Roman" w:hint="default"/>
        </w:rPr>
        <w:t>2</w:t>
      </w:r>
      <w:r>
        <w:rPr/>
        <w:t>）业务创新驱动发展战略</w:t>
      </w:r>
      <w:r>
        <w:rPr>
          <w:w w:val="100"/>
        </w:rPr>
        <w:t> </w:t>
      </w:r>
      <w:r>
        <w:rPr>
          <w:spacing w:val="-2"/>
        </w:rPr>
        <w:t>坚持业务创新为驱动发展战略。创新是公司发展的核心，是公司发展的加速器。要深入实施创新驱动</w:t>
      </w:r>
    </w:p>
    <w:p>
      <w:pPr>
        <w:pStyle w:val="BodyText"/>
        <w:spacing w:line="273" w:lineRule="auto"/>
        <w:ind w:right="208"/>
        <w:jc w:val="both"/>
      </w:pPr>
      <w:r>
        <w:rPr>
          <w:spacing w:val="-2"/>
        </w:rPr>
        <w:t>发展战略，大力推进技术创新、业务模式创新和管理创新。聚焦突破核心关键技术，进一步提高自主创新</w:t>
      </w:r>
      <w:r>
        <w:rPr>
          <w:spacing w:val="-50"/>
        </w:rPr>
        <w:t> </w:t>
      </w:r>
      <w:r>
        <w:rPr>
          <w:spacing w:val="-50"/>
        </w:rPr>
      </w:r>
      <w:r>
        <w:rPr>
          <w:spacing w:val="-2"/>
        </w:rPr>
        <w:t>能力，全面提升产品和服务的附加价值和市场竞争力。勇于开拓创新业务模式，运用互联网思维，推进互</w:t>
      </w:r>
      <w:r>
        <w:rPr>
          <w:spacing w:val="-47"/>
        </w:rPr>
        <w:t> </w:t>
      </w:r>
      <w:r>
        <w:rPr>
          <w:spacing w:val="-47"/>
        </w:rPr>
      </w:r>
      <w:r>
        <w:rPr/>
        <w:t>联网业务几何级数增长。</w:t>
      </w:r>
    </w:p>
    <w:p>
      <w:pPr>
        <w:pStyle w:val="BodyText"/>
        <w:spacing w:line="261" w:lineRule="auto" w:before="46"/>
        <w:ind w:right="206" w:firstLine="420"/>
        <w:jc w:val="both"/>
      </w:pPr>
      <w:r>
        <w:rPr>
          <w:spacing w:val="-2"/>
        </w:rPr>
        <w:t>在</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业务板块，在现有互联网</w:t>
      </w:r>
      <w:r>
        <w:rPr>
          <w:rFonts w:ascii="Times New Roman" w:hAnsi="Times New Roman" w:cs="Times New Roman" w:eastAsia="Times New Roman" w:hint="default"/>
          <w:spacing w:val="-2"/>
        </w:rPr>
        <w:t>+</w:t>
      </w:r>
      <w:r>
        <w:rPr>
          <w:spacing w:val="-2"/>
        </w:rPr>
        <w:t>智慧物流云服务平台的基础上，进一步运用人工智能和物联网</w:t>
      </w:r>
      <w:r>
        <w:rPr>
          <w:w w:val="100"/>
        </w:rPr>
        <w:t> </w:t>
      </w:r>
      <w:r>
        <w:rPr>
          <w:spacing w:val="-2"/>
        </w:rPr>
        <w:t>技术，实现信息技术、物流与金融深度融合发展，建设形成可信运力池，打造货源池，构建货主、物流公</w:t>
      </w:r>
      <w:r>
        <w:rPr>
          <w:spacing w:val="-42"/>
        </w:rPr>
        <w:t> </w:t>
      </w:r>
      <w:r>
        <w:rPr>
          <w:spacing w:val="-42"/>
        </w:rPr>
      </w:r>
      <w:r>
        <w:rPr>
          <w:spacing w:val="-3"/>
        </w:rPr>
        <w:t>司、车主等的完整物流生态链，为托运方和承运方提供</w:t>
      </w:r>
      <w:r>
        <w:rPr>
          <w:rFonts w:ascii="Times New Roman" w:hAnsi="Times New Roman" w:cs="Times New Roman" w:eastAsia="Times New Roman" w:hint="default"/>
          <w:spacing w:val="-3"/>
        </w:rPr>
        <w:t>“</w:t>
      </w:r>
      <w:r>
        <w:rPr>
          <w:spacing w:val="-3"/>
        </w:rPr>
        <w:t>无车承运服务</w:t>
      </w:r>
      <w:r>
        <w:rPr>
          <w:rFonts w:ascii="Times New Roman" w:hAnsi="Times New Roman" w:cs="Times New Roman" w:eastAsia="Times New Roman" w:hint="default"/>
          <w:spacing w:val="-3"/>
        </w:rPr>
        <w:t>+</w:t>
      </w:r>
      <w:r>
        <w:rPr>
          <w:spacing w:val="-3"/>
        </w:rPr>
        <w:t>数据金融服务</w:t>
      </w:r>
      <w:r>
        <w:rPr>
          <w:rFonts w:ascii="Times New Roman" w:hAnsi="Times New Roman" w:cs="Times New Roman" w:eastAsia="Times New Roman" w:hint="default"/>
          <w:spacing w:val="-3"/>
        </w:rPr>
        <w:t>+</w:t>
      </w:r>
      <w:r>
        <w:rPr>
          <w:spacing w:val="-3"/>
        </w:rPr>
        <w:t>物流信息化服务</w:t>
      </w:r>
      <w:r>
        <w:rPr>
          <w:rFonts w:ascii="Times New Roman" w:hAnsi="Times New Roman" w:cs="Times New Roman" w:eastAsia="Times New Roman" w:hint="default"/>
          <w:spacing w:val="-3"/>
        </w:rPr>
        <w:t>”</w:t>
      </w:r>
      <w:r>
        <w:rPr>
          <w:spacing w:val="-3"/>
        </w:rPr>
        <w:t>的</w:t>
      </w:r>
      <w:r>
        <w:rPr>
          <w:spacing w:val="-4"/>
        </w:rPr>
        <w:t> </w:t>
      </w:r>
      <w:r>
        <w:rPr/>
        <w:t>综合服务，使整个物流行业智慧起来。通过平台运营服务，实现公司收入几何级数增长。</w:t>
      </w:r>
    </w:p>
    <w:p>
      <w:pPr>
        <w:pStyle w:val="BodyText"/>
        <w:spacing w:line="290" w:lineRule="auto" w:before="59"/>
        <w:ind w:left="633" w:right="0" w:hanging="60"/>
        <w:jc w:val="left"/>
      </w:pPr>
      <w:r>
        <w:rPr/>
        <w:t>（</w:t>
      </w:r>
      <w:r>
        <w:rPr>
          <w:rFonts w:ascii="Times New Roman" w:hAnsi="Times New Roman" w:cs="Times New Roman" w:eastAsia="Times New Roman" w:hint="default"/>
        </w:rPr>
        <w:t>3</w:t>
      </w:r>
      <w:r>
        <w:rPr/>
        <w:t>）智能软件引领战略</w:t>
      </w:r>
      <w:r>
        <w:rPr>
          <w:w w:val="100"/>
        </w:rPr>
        <w:t> </w:t>
      </w:r>
      <w:r>
        <w:rPr>
          <w:spacing w:val="-4"/>
        </w:rPr>
        <w:t>坚持智能软件为引领的发展战略。智能软件引领发展是公司发展战略的聚变器，将新一代信息技术与</w:t>
      </w:r>
    </w:p>
    <w:p>
      <w:pPr>
        <w:pStyle w:val="BodyText"/>
        <w:spacing w:line="273" w:lineRule="auto"/>
        <w:ind w:right="208"/>
        <w:jc w:val="both"/>
      </w:pPr>
      <w:r>
        <w:rPr>
          <w:spacing w:val="-2"/>
        </w:rPr>
        <w:t>社会各领域信息化需求紧密结合，研究物联网、新一代计算、人工智能等领域前瞻性产品，加快推进新产</w:t>
      </w:r>
      <w:r>
        <w:rPr>
          <w:spacing w:val="-47"/>
        </w:rPr>
        <w:t> </w:t>
      </w:r>
      <w:r>
        <w:rPr>
          <w:spacing w:val="-47"/>
        </w:rPr>
      </w:r>
      <w:r>
        <w:rPr/>
        <w:t>品、新服务的应用示范，打造开创性业务。</w:t>
      </w:r>
    </w:p>
    <w:p>
      <w:pPr>
        <w:pStyle w:val="BodyText"/>
        <w:spacing w:line="273" w:lineRule="auto" w:before="46"/>
        <w:ind w:right="0" w:firstLine="420"/>
        <w:jc w:val="left"/>
      </w:pPr>
      <w:r>
        <w:rPr>
          <w:spacing w:val="-5"/>
        </w:rPr>
        <w:t>开展智能软件研究，充分发挥公司在行业应用软件领域积累的深厚技术与应用优势，运用大数据采集、</w:t>
      </w:r>
      <w:r>
        <w:rPr>
          <w:w w:val="100"/>
        </w:rPr>
        <w:t> </w:t>
      </w:r>
      <w:r>
        <w:rPr>
          <w:spacing w:val="-2"/>
        </w:rPr>
        <w:t>存储、分析、挖掘、机器学习、知识获取、自适应、模式识别等技术，为电信、能源、交通、金融、政府</w:t>
      </w:r>
      <w:r>
        <w:rPr>
          <w:spacing w:val="-45"/>
        </w:rPr>
        <w:t> </w:t>
      </w:r>
      <w:r>
        <w:rPr>
          <w:spacing w:val="-45"/>
        </w:rPr>
      </w:r>
      <w:r>
        <w:rPr>
          <w:spacing w:val="-2"/>
        </w:rPr>
        <w:t>等行业或领域用户提供大数据平台、分析决策软件、智能应用软件等，抢占人工智能时代智能软件的制高</w:t>
      </w:r>
      <w:r>
        <w:rPr>
          <w:spacing w:val="-44"/>
        </w:rPr>
        <w:t> </w:t>
      </w:r>
      <w:r>
        <w:rPr>
          <w:spacing w:val="-44"/>
        </w:rPr>
      </w:r>
      <w:r>
        <w:rPr/>
        <w:t>点，成为智能应用软件领域的领导者。</w:t>
      </w:r>
    </w:p>
    <w:p>
      <w:pPr>
        <w:pStyle w:val="BodyText"/>
        <w:spacing w:line="264" w:lineRule="auto" w:before="48"/>
        <w:ind w:right="206" w:firstLine="420"/>
        <w:jc w:val="both"/>
      </w:pPr>
      <w:r>
        <w:rPr>
          <w:spacing w:val="-2"/>
        </w:rPr>
        <w:t>人工智能时代的到来，对软件的可信和安全需求十分迫切。加快高可信软件研发，研发安全嵌入式操</w:t>
      </w:r>
      <w:r>
        <w:rPr>
          <w:w w:val="100"/>
        </w:rPr>
        <w:t> </w:t>
      </w:r>
      <w:r>
        <w:rPr/>
        <w:t>作系统、程序分析工具、</w:t>
      </w:r>
      <w:r>
        <w:rPr>
          <w:rFonts w:ascii="Times New Roman" w:hAnsi="Times New Roman" w:cs="Times New Roman" w:eastAsia="Times New Roman" w:hint="default"/>
        </w:rPr>
        <w:t>C</w:t>
      </w:r>
      <w:r>
        <w:rPr/>
        <w:t>程序验证工具等具有世界领先水平的高可信软件产品和技术，为人工智能、航</w:t>
      </w:r>
      <w:r>
        <w:rPr>
          <w:spacing w:val="-60"/>
        </w:rPr>
        <w:t> </w:t>
      </w:r>
      <w:r>
        <w:rPr>
          <w:spacing w:val="-60"/>
        </w:rPr>
      </w:r>
      <w:r>
        <w:rPr/>
        <w:t>天、核工业、医疗机器人等尖端科技领域提供安全攸关的产品和创新的检验评测服务。</w:t>
      </w:r>
    </w:p>
    <w:p>
      <w:pPr>
        <w:pStyle w:val="BodyText"/>
        <w:spacing w:line="240" w:lineRule="auto" w:before="57"/>
        <w:ind w:left="573" w:right="0"/>
        <w:jc w:val="left"/>
      </w:pPr>
      <w:r>
        <w:rPr>
          <w:rFonts w:ascii="Times New Roman" w:hAnsi="Times New Roman" w:cs="Times New Roman" w:eastAsia="Times New Roman" w:hint="default"/>
        </w:rPr>
        <w:t>3</w:t>
      </w:r>
      <w:r>
        <w:rPr/>
        <w:t>、经营计划</w:t>
      </w:r>
    </w:p>
    <w:p>
      <w:pPr>
        <w:pStyle w:val="BodyText"/>
        <w:spacing w:line="261" w:lineRule="auto" w:before="59"/>
        <w:ind w:right="0" w:firstLine="420"/>
        <w:jc w:val="left"/>
      </w:pPr>
      <w:r>
        <w:rPr>
          <w:rFonts w:ascii="Times New Roman" w:hAnsi="Times New Roman" w:cs="Times New Roman" w:eastAsia="Times New Roman" w:hint="default"/>
          <w:spacing w:val="-5"/>
        </w:rPr>
        <w:t>2018</w:t>
      </w:r>
      <w:r>
        <w:rPr>
          <w:spacing w:val="-5"/>
        </w:rPr>
        <w:t>年，公司将坚持以内生发展和外延扩张相结合、市场与研发双轮驱动、项目制和产品化共同推进、</w:t>
      </w:r>
      <w:r>
        <w:rPr>
          <w:w w:val="100"/>
        </w:rPr>
        <w:t> </w:t>
      </w:r>
      <w:r>
        <w:rPr>
          <w:spacing w:val="-2"/>
        </w:rPr>
        <w:t>创新引领和行业精耕细作相融合、团队高素质和工作高效率相协同为总体思路，贯彻以行业软件及大数据</w:t>
      </w:r>
      <w:r>
        <w:rPr>
          <w:spacing w:val="-44"/>
        </w:rPr>
        <w:t> </w:t>
      </w:r>
      <w:r>
        <w:rPr>
          <w:spacing w:val="-44"/>
        </w:rPr>
      </w:r>
      <w:r>
        <w:rPr/>
        <w:t>为基础、业务创新驱动发展、智能软件引领的</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发展战略，促进公司高速度、高质量发展。</w:t>
      </w:r>
      <w:r>
        <w:rPr>
          <w:rFonts w:ascii="Times New Roman" w:hAnsi="Times New Roman" w:cs="Times New Roman" w:eastAsia="Times New Roman" w:hint="default"/>
        </w:rPr>
        <w:t>2018</w:t>
      </w:r>
      <w:r>
        <w:rPr/>
        <w:t>年</w:t>
      </w:r>
      <w:r>
        <w:rPr>
          <w:spacing w:val="-17"/>
        </w:rPr>
        <w:t> </w:t>
      </w:r>
      <w:r>
        <w:rPr/>
        <w:t>重点经营管理工作计划如下：</w:t>
      </w:r>
    </w:p>
    <w:p>
      <w:pPr>
        <w:pStyle w:val="BodyText"/>
        <w:spacing w:line="290" w:lineRule="auto" w:before="59"/>
        <w:ind w:left="573" w:right="4793"/>
        <w:jc w:val="left"/>
      </w:pPr>
      <w:r>
        <w:rPr>
          <w:spacing w:val="-2"/>
        </w:rPr>
        <w:t>（</w:t>
      </w:r>
      <w:r>
        <w:rPr>
          <w:rFonts w:ascii="Times New Roman" w:hAnsi="Times New Roman" w:cs="Times New Roman" w:eastAsia="Times New Roman" w:hint="default"/>
          <w:spacing w:val="-2"/>
        </w:rPr>
        <w:t>1</w:t>
      </w:r>
      <w:r>
        <w:rPr>
          <w:spacing w:val="-2"/>
        </w:rPr>
        <w:t>）加快市场布局，推进各业务领域快速发展</w:t>
      </w:r>
      <w:r>
        <w:rPr>
          <w:spacing w:val="-66"/>
        </w:rPr>
        <w:t> </w:t>
      </w:r>
      <w:r>
        <w:rPr>
          <w:spacing w:val="-66"/>
        </w:rPr>
      </w:r>
      <w:r>
        <w:rPr/>
        <w:t>软件与信息技术服务</w:t>
      </w:r>
    </w:p>
    <w:p>
      <w:pPr>
        <w:pStyle w:val="BodyText"/>
        <w:spacing w:line="273" w:lineRule="auto" w:before="31"/>
        <w:ind w:right="206" w:firstLine="420"/>
        <w:jc w:val="both"/>
      </w:pPr>
      <w:r>
        <w:rPr>
          <w:spacing w:val="-2"/>
        </w:rPr>
        <w:t>围绕区域战略布局，深化推进省内区域化发展和重点战略省份区域布局，持续强化区域营销中心辐射</w:t>
      </w:r>
      <w:r>
        <w:rPr>
          <w:w w:val="100"/>
        </w:rPr>
        <w:t> </w:t>
      </w:r>
      <w:r>
        <w:rPr>
          <w:spacing w:val="-2"/>
        </w:rPr>
        <w:t>功能，不断提升市场开拓、技术服务的综合水平和能力，初步形成点上出彩、线上结果、面上开花的区域</w:t>
      </w:r>
      <w:r>
        <w:rPr>
          <w:spacing w:val="-43"/>
        </w:rPr>
        <w:t> </w:t>
      </w:r>
      <w:r>
        <w:rPr>
          <w:spacing w:val="-43"/>
        </w:rPr>
      </w:r>
      <w:r>
        <w:rPr/>
        <w:t>格局。</w:t>
      </w:r>
    </w:p>
    <w:p>
      <w:pPr>
        <w:pStyle w:val="BodyText"/>
        <w:spacing w:line="273" w:lineRule="auto" w:before="48"/>
        <w:ind w:right="0" w:firstLine="420"/>
        <w:jc w:val="left"/>
      </w:pPr>
      <w:r>
        <w:rPr>
          <w:spacing w:val="-5"/>
        </w:rPr>
        <w:t>以市场拓展和品牌推广为抓手，巩固优势领域市场和行业地位，力争成为行业标准的制定者和引领者；</w:t>
      </w:r>
      <w:r>
        <w:rPr>
          <w:w w:val="100"/>
        </w:rPr>
        <w:t> </w:t>
      </w:r>
      <w:r>
        <w:rPr>
          <w:spacing w:val="-2"/>
        </w:rPr>
        <w:t>加强新进行业或应用领域的示范创建工作，加快示范项目的创建进程，坚持运营商业务、智慧城市业务和</w:t>
      </w:r>
      <w:r>
        <w:rPr>
          <w:spacing w:val="-43"/>
        </w:rPr>
        <w:t> </w:t>
      </w:r>
      <w:r>
        <w:rPr>
          <w:spacing w:val="-43"/>
        </w:rPr>
      </w:r>
      <w:r>
        <w:rPr/>
        <w:t>国际业务三驾马车齐头并进，为公司的快速增长、可持续性发展奠定坚实的基础。</w:t>
      </w:r>
    </w:p>
    <w:p>
      <w:pPr>
        <w:pStyle w:val="BodyText"/>
        <w:spacing w:line="271" w:lineRule="auto" w:before="48"/>
        <w:ind w:right="0" w:firstLine="420"/>
        <w:jc w:val="left"/>
      </w:pPr>
      <w:r>
        <w:rPr>
          <w:spacing w:val="-2"/>
        </w:rPr>
        <w:t>运营商业务：加快推进新一代电信运营支撑系统的研发，占领产品制高点，加大市场开拓力度，围绕</w:t>
      </w:r>
      <w:r>
        <w:rPr>
          <w:w w:val="100"/>
        </w:rPr>
        <w:t> </w:t>
      </w:r>
      <w:r>
        <w:rPr>
          <w:spacing w:val="-2"/>
        </w:rPr>
        <w:t>三大运营商不断提升市场占有率，并向大数据、物联网、人工智能等方向延伸；智慧城市业务：公司将继</w:t>
      </w:r>
      <w:r>
        <w:rPr>
          <w:spacing w:val="-43"/>
        </w:rPr>
        <w:t> </w:t>
      </w:r>
      <w:r>
        <w:rPr>
          <w:spacing w:val="-43"/>
        </w:rPr>
      </w:r>
      <w:r>
        <w:rPr/>
        <w:t>续依托智慧城市</w:t>
      </w:r>
      <w:r>
        <w:rPr>
          <w:rFonts w:ascii="Times New Roman" w:hAnsi="Times New Roman" w:cs="Times New Roman" w:eastAsia="Times New Roman" w:hint="default"/>
        </w:rPr>
        <w:t>IT</w:t>
      </w:r>
      <w:r>
        <w:rPr/>
        <w:t>一体化解决方案、信用大数据平台、互联网</w:t>
      </w:r>
      <w:r>
        <w:rPr>
          <w:rFonts w:ascii="Times New Roman" w:hAnsi="Times New Roman" w:cs="Times New Roman" w:eastAsia="Times New Roman" w:hint="default"/>
        </w:rPr>
        <w:t>+</w:t>
      </w:r>
      <w:r>
        <w:rPr/>
        <w:t>政务、云计算数据中心、智能交通、智慧</w:t>
      </w:r>
      <w:r>
        <w:rPr>
          <w:spacing w:val="-26"/>
        </w:rPr>
        <w:t> </w:t>
      </w:r>
      <w:r>
        <w:rPr>
          <w:spacing w:val="-26"/>
        </w:rPr>
      </w:r>
      <w:r>
        <w:rPr>
          <w:spacing w:val="-2"/>
        </w:rPr>
        <w:t>电厂、智慧灯杆物联网平台等优势产品和解决方案，深耕安徽市场，重点突破贵州、新疆、陕西等重点区</w:t>
      </w:r>
      <w:r>
        <w:rPr>
          <w:spacing w:val="-43"/>
        </w:rPr>
        <w:t> </w:t>
      </w:r>
      <w:r>
        <w:rPr>
          <w:spacing w:val="-43"/>
        </w:rPr>
      </w:r>
      <w:r>
        <w:rPr>
          <w:spacing w:val="-5"/>
        </w:rPr>
        <w:t>域，加快推进在政府、能源、交通、教育、医疗等行业及领域的应用扩展。同时，加强与产业圈联盟合作，</w:t>
      </w:r>
      <w:r>
        <w:rPr>
          <w:spacing w:val="-8"/>
        </w:rPr>
        <w:t> </w:t>
      </w:r>
      <w:r>
        <w:rPr>
          <w:spacing w:val="-8"/>
        </w:rPr>
      </w:r>
      <w:r>
        <w:rPr>
          <w:spacing w:val="-2"/>
        </w:rPr>
        <w:t>积极开拓国家鼓励的重大的标杆性项目，提升公司综合竞争力，加快公司产品向平台化、智能化演进，构</w:t>
      </w:r>
      <w:r>
        <w:rPr>
          <w:spacing w:val="-47"/>
        </w:rPr>
        <w:t> </w:t>
      </w:r>
      <w:r>
        <w:rPr>
          <w:spacing w:val="-47"/>
        </w:rPr>
      </w:r>
      <w:r>
        <w:rPr>
          <w:spacing w:val="-2"/>
        </w:rPr>
        <w:t>建业务生态圈；国际业务：持续增强日本国创的国际市场平台功能，积极开拓优质潜力大客户和深耕现有</w:t>
      </w:r>
      <w:r>
        <w:rPr>
          <w:spacing w:val="-45"/>
        </w:rPr>
        <w:t> </w:t>
      </w:r>
      <w:r>
        <w:rPr>
          <w:spacing w:val="-45"/>
        </w:rPr>
      </w:r>
      <w:r>
        <w:rPr/>
        <w:t>核心客户，同时积极发挥中、日两个市场优势，实现联动。</w:t>
      </w:r>
    </w:p>
    <w:p>
      <w:pPr>
        <w:pStyle w:val="BodyText"/>
        <w:spacing w:line="240" w:lineRule="auto" w:before="48"/>
        <w:ind w:left="573" w:right="0"/>
        <w:jc w:val="left"/>
      </w:pPr>
      <w:r>
        <w:rPr/>
        <w:t>互联网</w:t>
      </w:r>
      <w:r>
        <w:rPr>
          <w:rFonts w:ascii="Times New Roman" w:hAnsi="Times New Roman" w:cs="Times New Roman" w:eastAsia="Times New Roman" w:hint="default"/>
        </w:rPr>
        <w:t>+</w:t>
      </w:r>
      <w:r>
        <w:rPr/>
        <w:t>智慧物流云服务平台</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206" w:firstLine="420"/>
        <w:jc w:val="both"/>
      </w:pPr>
      <w:r>
        <w:rPr>
          <w:spacing w:val="-2"/>
        </w:rPr>
        <w:t>围绕无车承运、交通卡服务、数据金融业务，大力发展用户数，重点突破战略性大用户，打造可信运</w:t>
      </w:r>
      <w:r>
        <w:rPr>
          <w:w w:val="100"/>
        </w:rPr>
        <w:t> </w:t>
      </w:r>
      <w:r>
        <w:rPr>
          <w:spacing w:val="-2"/>
        </w:rPr>
        <w:t>力池和货源池，创新数据金融产品，依托优质服务，建成前台、中台、后台三位一体的协同运输智慧物流</w:t>
      </w:r>
      <w:r>
        <w:rPr>
          <w:spacing w:val="-43"/>
        </w:rPr>
        <w:t> </w:t>
      </w:r>
      <w:r>
        <w:rPr>
          <w:spacing w:val="-43"/>
        </w:rPr>
      </w:r>
      <w:r>
        <w:rPr/>
        <w:t>云平台。</w:t>
      </w:r>
    </w:p>
    <w:p>
      <w:pPr>
        <w:pStyle w:val="BodyText"/>
        <w:spacing w:line="290" w:lineRule="auto" w:before="48"/>
        <w:ind w:left="573" w:right="0"/>
        <w:jc w:val="left"/>
      </w:pPr>
      <w:r>
        <w:rPr/>
        <w:t>（</w:t>
      </w:r>
      <w:r>
        <w:rPr>
          <w:rFonts w:ascii="Times New Roman" w:hAnsi="Times New Roman" w:cs="Times New Roman" w:eastAsia="Times New Roman" w:hint="default"/>
        </w:rPr>
        <w:t>2</w:t>
      </w:r>
      <w:r>
        <w:rPr/>
        <w:t>）集聚研发力量，加速推进产品化进程</w:t>
      </w:r>
      <w:r>
        <w:rPr>
          <w:w w:val="100"/>
        </w:rPr>
        <w:t> </w:t>
      </w:r>
      <w:r>
        <w:rPr>
          <w:spacing w:val="-2"/>
        </w:rPr>
        <w:t>公司将继续加大研发投入，通过不断完善中央研究院的各项职能、加强知识产权管理、深入推进产学</w:t>
      </w:r>
    </w:p>
    <w:p>
      <w:pPr>
        <w:pStyle w:val="BodyText"/>
        <w:spacing w:line="256" w:lineRule="auto"/>
        <w:ind w:right="208"/>
        <w:jc w:val="both"/>
      </w:pPr>
      <w:r>
        <w:rPr>
          <w:spacing w:val="-2"/>
        </w:rPr>
        <w:t>研合作等途径，逐步夯实自主研发及产品开发能力，加快推进公司产品化进程。</w:t>
      </w:r>
      <w:r>
        <w:rPr>
          <w:rFonts w:ascii="Times New Roman" w:hAnsi="Times New Roman" w:cs="Times New Roman" w:eastAsia="Times New Roman" w:hint="default"/>
          <w:spacing w:val="-2"/>
        </w:rPr>
        <w:t>2018</w:t>
      </w:r>
      <w:r>
        <w:rPr>
          <w:spacing w:val="-2"/>
        </w:rPr>
        <w:t>年，公司将重点研发</w:t>
      </w:r>
      <w:r>
        <w:rPr>
          <w:spacing w:val="-42"/>
        </w:rPr>
        <w:t> </w:t>
      </w:r>
      <w:r>
        <w:rPr>
          <w:spacing w:val="-42"/>
        </w:rPr>
      </w:r>
      <w:r>
        <w:rPr/>
        <w:t>以下方面：</w:t>
      </w:r>
    </w:p>
    <w:p>
      <w:pPr>
        <w:pStyle w:val="BodyText"/>
        <w:spacing w:line="266" w:lineRule="auto" w:before="63"/>
        <w:ind w:right="0" w:firstLine="420"/>
        <w:jc w:val="left"/>
      </w:pPr>
      <w:r>
        <w:rPr/>
        <w:t>运用大数据、机器学习、知识获取、模式识别等技术，完成大数据驱动的智能应用软件基础平台的开</w:t>
      </w:r>
      <w:r>
        <w:rPr>
          <w:w w:val="100"/>
        </w:rPr>
        <w:t> </w:t>
      </w:r>
      <w:r>
        <w:rPr>
          <w:spacing w:val="-5"/>
        </w:rPr>
        <w:t>发；加快高可信软件研发，程序分析工具完成市场化应用，验证工具研发完成基础版本；持续融合大数据、</w:t>
      </w:r>
      <w:r>
        <w:rPr>
          <w:spacing w:val="-11"/>
        </w:rPr>
        <w:t> </w:t>
      </w:r>
      <w:r>
        <w:rPr>
          <w:spacing w:val="-11"/>
        </w:rPr>
      </w:r>
      <w:r>
        <w:rPr>
          <w:spacing w:val="-5"/>
        </w:rPr>
        <w:t>云计算、物联网、人工智能等新一代信息化技术，完成新一代电信运营支撑系统的研发，占领产品制高点；</w:t>
      </w:r>
      <w:r>
        <w:rPr>
          <w:spacing w:val="-7"/>
        </w:rPr>
        <w:t> </w:t>
      </w:r>
      <w:r>
        <w:rPr>
          <w:spacing w:val="-7"/>
        </w:rPr>
      </w:r>
      <w:r>
        <w:rPr>
          <w:spacing w:val="-2"/>
        </w:rPr>
        <w:t>持续优化和完善智慧城市</w:t>
      </w:r>
      <w:r>
        <w:rPr>
          <w:rFonts w:ascii="Times New Roman" w:hAnsi="Times New Roman" w:cs="Times New Roman" w:eastAsia="Times New Roman" w:hint="default"/>
          <w:spacing w:val="-2"/>
        </w:rPr>
        <w:t>IT</w:t>
      </w:r>
      <w:r>
        <w:rPr>
          <w:spacing w:val="-2"/>
        </w:rPr>
        <w:t>一体化解决方案、信用大数据平台、互联网</w:t>
      </w:r>
      <w:r>
        <w:rPr>
          <w:rFonts w:ascii="Times New Roman" w:hAnsi="Times New Roman" w:cs="Times New Roman" w:eastAsia="Times New Roman" w:hint="default"/>
          <w:spacing w:val="-2"/>
        </w:rPr>
        <w:t>+</w:t>
      </w:r>
      <w:r>
        <w:rPr>
          <w:spacing w:val="-2"/>
        </w:rPr>
        <w:t>政务、智慧灯杆物联网解决方案、</w:t>
      </w:r>
      <w:r>
        <w:rPr>
          <w:spacing w:val="-45"/>
        </w:rPr>
        <w:t> </w:t>
      </w:r>
      <w:r>
        <w:rPr>
          <w:spacing w:val="-45"/>
        </w:rPr>
      </w:r>
      <w:r>
        <w:rPr>
          <w:spacing w:val="-3"/>
        </w:rPr>
        <w:t>智慧电厂等智慧城市软件产品和大数据应用平台；不断升级完善互联网</w:t>
      </w:r>
      <w:r>
        <w:rPr>
          <w:rFonts w:ascii="Times New Roman" w:hAnsi="Times New Roman" w:cs="Times New Roman" w:eastAsia="Times New Roman" w:hint="default"/>
          <w:spacing w:val="-3"/>
        </w:rPr>
        <w:t>+</w:t>
      </w:r>
      <w:r>
        <w:rPr>
          <w:spacing w:val="-3"/>
        </w:rPr>
        <w:t>智慧物流云服务平台的研发建设，</w:t>
      </w:r>
      <w:r>
        <w:rPr>
          <w:spacing w:val="-5"/>
        </w:rPr>
        <w:t> </w:t>
      </w:r>
      <w:r>
        <w:rPr>
          <w:spacing w:val="-5"/>
        </w:rPr>
      </w:r>
      <w:r>
        <w:rPr/>
        <w:t>用科技手段改变传统物流。</w:t>
      </w:r>
    </w:p>
    <w:p>
      <w:pPr>
        <w:pStyle w:val="BodyText"/>
        <w:spacing w:line="290" w:lineRule="auto" w:before="55"/>
        <w:ind w:left="633" w:right="0" w:hanging="60"/>
        <w:jc w:val="left"/>
      </w:pPr>
      <w:r>
        <w:rPr/>
        <w:t>（</w:t>
      </w:r>
      <w:r>
        <w:rPr>
          <w:rFonts w:ascii="Times New Roman" w:hAnsi="Times New Roman" w:cs="Times New Roman" w:eastAsia="Times New Roman" w:hint="default"/>
        </w:rPr>
        <w:t>3</w:t>
      </w:r>
      <w:r>
        <w:rPr/>
        <w:t>）持续加强内控建设，启动</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w:t>
      </w:r>
      <w:r>
        <w:rPr/>
        <w:t>资本</w:t>
      </w:r>
      <w:r>
        <w:rPr>
          <w:rFonts w:ascii="Times New Roman" w:hAnsi="Times New Roman" w:cs="Times New Roman" w:eastAsia="Times New Roman" w:hint="default"/>
        </w:rPr>
        <w:t>”</w:t>
      </w:r>
      <w:r>
        <w:rPr/>
        <w:t>管控型集团架构的实施</w:t>
      </w:r>
      <w:r>
        <w:rPr>
          <w:w w:val="100"/>
        </w:rPr>
        <w:t> </w:t>
      </w:r>
      <w:r>
        <w:rPr>
          <w:spacing w:val="-1"/>
        </w:rPr>
        <w:t>根据公司董事会的战略规划，持续优化组织架构，深化组织机制变革，启动</w:t>
      </w:r>
      <w:r>
        <w:rPr>
          <w:rFonts w:ascii="Times New Roman" w:hAnsi="Times New Roman" w:cs="Times New Roman" w:eastAsia="Times New Roman" w:hint="default"/>
          <w:spacing w:val="-1"/>
        </w:rPr>
        <w:t>“</w:t>
      </w:r>
      <w:r>
        <w:rPr>
          <w:spacing w:val="-1"/>
        </w:rPr>
        <w:t>战略</w:t>
      </w:r>
      <w:r>
        <w:rPr>
          <w:rFonts w:ascii="Times New Roman" w:hAnsi="Times New Roman" w:cs="Times New Roman" w:eastAsia="Times New Roman" w:hint="default"/>
          <w:spacing w:val="-1"/>
        </w:rPr>
        <w:t>+</w:t>
      </w:r>
      <w:r>
        <w:rPr>
          <w:spacing w:val="-1"/>
        </w:rPr>
        <w:t>资本</w:t>
      </w:r>
      <w:r>
        <w:rPr>
          <w:rFonts w:ascii="Times New Roman" w:hAnsi="Times New Roman" w:cs="Times New Roman" w:eastAsia="Times New Roman" w:hint="default"/>
          <w:spacing w:val="-1"/>
        </w:rPr>
        <w:t>”</w:t>
      </w:r>
      <w:r>
        <w:rPr>
          <w:spacing w:val="-1"/>
        </w:rPr>
        <w:t>管控型集团</w:t>
      </w:r>
    </w:p>
    <w:p>
      <w:pPr>
        <w:pStyle w:val="BodyText"/>
        <w:spacing w:line="247" w:lineRule="exact"/>
        <w:ind w:right="0"/>
        <w:jc w:val="both"/>
      </w:pPr>
      <w:r>
        <w:rPr/>
        <w:t>架构的实施。围绕规范运作、战略协同、资本管控等目标，梳理治理架构、规范健全管理体系、推进目标</w:t>
      </w:r>
    </w:p>
    <w:p>
      <w:pPr>
        <w:pStyle w:val="BodyText"/>
        <w:spacing w:line="273" w:lineRule="auto" w:before="37"/>
        <w:ind w:right="206"/>
        <w:jc w:val="both"/>
      </w:pPr>
      <w:r>
        <w:rPr>
          <w:spacing w:val="-2"/>
        </w:rPr>
        <w:t>管理与绩效薪酬激励一体化建设、强化以预算为核心的财务管控、健全公司内部管理的信息系统、加强内</w:t>
      </w:r>
      <w:r>
        <w:rPr>
          <w:spacing w:val="-44"/>
        </w:rPr>
        <w:t> </w:t>
      </w:r>
      <w:r>
        <w:rPr>
          <w:spacing w:val="-44"/>
        </w:rPr>
      </w:r>
      <w:r>
        <w:rPr/>
        <w:t>部审计工作等举措，多维度强化管理与战略协同，实现内生外延协同发展，促进公司发展战略落地。</w:t>
      </w:r>
    </w:p>
    <w:p>
      <w:pPr>
        <w:pStyle w:val="BodyText"/>
        <w:spacing w:line="290" w:lineRule="auto" w:before="48"/>
        <w:ind w:left="573" w:right="0"/>
        <w:jc w:val="left"/>
      </w:pPr>
      <w:r>
        <w:rPr/>
        <w:t>（</w:t>
      </w:r>
      <w:r>
        <w:rPr>
          <w:rFonts w:ascii="Times New Roman" w:hAnsi="Times New Roman" w:cs="Times New Roman" w:eastAsia="Times New Roman" w:hint="default"/>
        </w:rPr>
        <w:t>4</w:t>
      </w:r>
      <w:r>
        <w:rPr/>
        <w:t>）推进人力资源向人力资本管理升级，打造高素质的经营团队</w:t>
      </w:r>
      <w:r>
        <w:rPr>
          <w:w w:val="100"/>
        </w:rPr>
        <w:t> </w:t>
      </w:r>
      <w:r>
        <w:rPr>
          <w:spacing w:val="-4"/>
        </w:rPr>
        <w:t>执行</w:t>
      </w:r>
      <w:r>
        <w:rPr>
          <w:rFonts w:ascii="Times New Roman" w:hAnsi="Times New Roman" w:cs="Times New Roman" w:eastAsia="Times New Roman" w:hint="default"/>
          <w:spacing w:val="-4"/>
        </w:rPr>
        <w:t>“</w:t>
      </w:r>
      <w:r>
        <w:rPr>
          <w:spacing w:val="-4"/>
        </w:rPr>
        <w:t>高质量、高效率、高待遇</w:t>
      </w:r>
      <w:r>
        <w:rPr>
          <w:rFonts w:ascii="Times New Roman" w:hAnsi="Times New Roman" w:cs="Times New Roman" w:eastAsia="Times New Roman" w:hint="default"/>
          <w:spacing w:val="-4"/>
        </w:rPr>
        <w:t>”</w:t>
      </w:r>
      <w:r>
        <w:rPr>
          <w:spacing w:val="-4"/>
        </w:rPr>
        <w:t>经营策略，梳理现有人才结构和数量，紧扣战略主题，开展人才规划，</w:t>
      </w:r>
    </w:p>
    <w:p>
      <w:pPr>
        <w:pStyle w:val="BodyText"/>
        <w:spacing w:line="247" w:lineRule="exact"/>
        <w:ind w:right="0"/>
        <w:jc w:val="both"/>
      </w:pPr>
      <w:r>
        <w:rPr/>
        <w:t>优化人才结构，前瞻性、储备性和针对性培养和引进高端人才，推进人力资源向人力资本管理升级，打造</w:t>
      </w:r>
    </w:p>
    <w:p>
      <w:pPr>
        <w:pStyle w:val="BodyText"/>
        <w:spacing w:line="240" w:lineRule="auto" w:before="37"/>
        <w:ind w:right="0"/>
        <w:jc w:val="both"/>
      </w:pPr>
      <w:r>
        <w:rPr/>
        <w:t>高素质的经营团队。适时实施期权、限制性股票或员工持股计划等股权激励机制。</w:t>
      </w:r>
    </w:p>
    <w:p>
      <w:pPr>
        <w:pStyle w:val="BodyText"/>
        <w:spacing w:line="290" w:lineRule="auto" w:before="76"/>
        <w:ind w:left="573" w:right="0"/>
        <w:jc w:val="left"/>
      </w:pPr>
      <w:r>
        <w:rPr/>
        <w:t>（</w:t>
      </w:r>
      <w:r>
        <w:rPr>
          <w:rFonts w:ascii="Times New Roman" w:hAnsi="Times New Roman" w:cs="Times New Roman" w:eastAsia="Times New Roman" w:hint="default"/>
        </w:rPr>
        <w:t>5</w:t>
      </w:r>
      <w:r>
        <w:rPr/>
        <w:t>）加强资本运营，寻求战略扩张机遇。</w:t>
      </w:r>
      <w:r>
        <w:rPr>
          <w:w w:val="100"/>
        </w:rPr>
        <w:t> </w:t>
      </w:r>
      <w:r>
        <w:rPr>
          <w:spacing w:val="-2"/>
        </w:rPr>
        <w:t>根据公司发展战略，围绕自身核心业务，以增强公司中长期战略竞争能力为目的，围绕智能终端、智</w:t>
      </w:r>
    </w:p>
    <w:p>
      <w:pPr>
        <w:pStyle w:val="BodyText"/>
        <w:spacing w:line="273" w:lineRule="auto"/>
        <w:ind w:right="206"/>
        <w:jc w:val="both"/>
      </w:pPr>
      <w:r>
        <w:rPr>
          <w:spacing w:val="-2"/>
        </w:rPr>
        <w:t>能软件、大数据产品和运营以及具有国际领先技术的相关业务等领域寻求战略扩张机遇，在时机、条件和</w:t>
      </w:r>
      <w:r>
        <w:rPr>
          <w:spacing w:val="-42"/>
        </w:rPr>
        <w:t> </w:t>
      </w:r>
      <w:r>
        <w:rPr>
          <w:spacing w:val="-42"/>
        </w:rPr>
      </w:r>
      <w:r>
        <w:rPr>
          <w:spacing w:val="-2"/>
        </w:rPr>
        <w:t>对象等较为成熟的前提下，充分利用自身优势和资本市场平台，采用兼并收购、资金投入、合作开发等多</w:t>
      </w:r>
      <w:r>
        <w:rPr>
          <w:spacing w:val="-47"/>
        </w:rPr>
        <w:t> </w:t>
      </w:r>
      <w:r>
        <w:rPr>
          <w:spacing w:val="-47"/>
        </w:rPr>
      </w:r>
      <w:r>
        <w:rPr/>
        <w:t>种形式扩张，提升公司的经营业绩和综合竞争力。</w:t>
      </w:r>
    </w:p>
    <w:p>
      <w:pPr>
        <w:pStyle w:val="BodyText"/>
        <w:spacing w:line="240" w:lineRule="auto" w:before="7"/>
        <w:ind w:left="573" w:right="0"/>
        <w:jc w:val="left"/>
      </w:pPr>
      <w:r>
        <w:rPr>
          <w:rFonts w:ascii="Times New Roman" w:hAnsi="Times New Roman" w:cs="Times New Roman" w:eastAsia="Times New Roman" w:hint="default"/>
        </w:rPr>
        <w:t>4</w:t>
      </w:r>
      <w:r>
        <w:rPr/>
        <w:t>、经营风险</w:t>
      </w:r>
    </w:p>
    <w:p>
      <w:pPr>
        <w:pStyle w:val="BodyText"/>
        <w:spacing w:line="256" w:lineRule="auto" w:before="21"/>
        <w:ind w:left="573" w:right="0"/>
        <w:jc w:val="left"/>
      </w:pPr>
      <w:r>
        <w:rPr/>
        <w:t>（</w:t>
      </w:r>
      <w:r>
        <w:rPr>
          <w:rFonts w:ascii="Times New Roman" w:hAnsi="Times New Roman" w:cs="Times New Roman" w:eastAsia="Times New Roman" w:hint="default"/>
        </w:rPr>
        <w:t>1</w:t>
      </w:r>
      <w:r>
        <w:rPr/>
        <w:t>）市场竞争加剧的风险</w:t>
      </w:r>
      <w:r>
        <w:rPr>
          <w:w w:val="100"/>
        </w:rPr>
        <w:t> </w:t>
      </w:r>
      <w:r>
        <w:rPr>
          <w:spacing w:val="-2"/>
        </w:rPr>
        <w:t>国内行业软件市场是一个快速发展、空间广阔的开放市场，从事行业软件研发服务的企业数量持续增</w:t>
      </w:r>
    </w:p>
    <w:p>
      <w:pPr>
        <w:pStyle w:val="BodyText"/>
        <w:spacing w:line="273" w:lineRule="auto" w:before="22"/>
        <w:ind w:right="205"/>
        <w:jc w:val="both"/>
      </w:pPr>
      <w:r>
        <w:rPr>
          <w:spacing w:val="-2"/>
        </w:rPr>
        <w:t>加，加剧了行业竞争。虽然公司经过多年的发展，在电信、电力、金融、交通及政府部门等行业软件领域</w:t>
      </w:r>
      <w:r>
        <w:rPr>
          <w:spacing w:val="-41"/>
        </w:rPr>
        <w:t> </w:t>
      </w:r>
      <w:r>
        <w:rPr>
          <w:spacing w:val="-41"/>
        </w:rPr>
      </w:r>
      <w:r>
        <w:rPr>
          <w:spacing w:val="-2"/>
        </w:rPr>
        <w:t>积累了丰富的业务经验，发展了一批客户黏性度高、业务关系持续稳定的优质客户，确立了公司在行业内</w:t>
      </w:r>
      <w:r>
        <w:rPr>
          <w:spacing w:val="-43"/>
        </w:rPr>
        <w:t> </w:t>
      </w:r>
      <w:r>
        <w:rPr>
          <w:spacing w:val="-43"/>
        </w:rPr>
      </w:r>
      <w:r>
        <w:rPr>
          <w:spacing w:val="-2"/>
        </w:rPr>
        <w:t>的竞争地位，在客户中赢得了良好的声誉，具有较强的市场竞争力。但随着新竞争者的进入、技术的升级</w:t>
      </w:r>
      <w:r>
        <w:rPr>
          <w:spacing w:val="-50"/>
        </w:rPr>
        <w:t> </w:t>
      </w:r>
      <w:r>
        <w:rPr>
          <w:spacing w:val="-50"/>
        </w:rPr>
      </w:r>
      <w:r>
        <w:rPr>
          <w:spacing w:val="-2"/>
        </w:rPr>
        <w:t>和客户信息化需求的提高，若公司不能在产品研发、技术创新、客户服务等方面持续增强实力，公司未来</w:t>
      </w:r>
      <w:r>
        <w:rPr>
          <w:spacing w:val="-47"/>
        </w:rPr>
        <w:t> </w:t>
      </w:r>
      <w:r>
        <w:rPr>
          <w:spacing w:val="-47"/>
        </w:rPr>
      </w:r>
      <w:r>
        <w:rPr/>
        <w:t>将面临市场竞争加剧的风险。</w:t>
      </w:r>
    </w:p>
    <w:p>
      <w:pPr>
        <w:pStyle w:val="BodyText"/>
        <w:spacing w:line="256" w:lineRule="auto" w:before="7"/>
        <w:ind w:left="573" w:right="0"/>
        <w:jc w:val="left"/>
      </w:pPr>
      <w:r>
        <w:rPr/>
        <w:t>（</w:t>
      </w:r>
      <w:r>
        <w:rPr>
          <w:rFonts w:ascii="Times New Roman" w:hAnsi="Times New Roman" w:cs="Times New Roman" w:eastAsia="Times New Roman" w:hint="default"/>
        </w:rPr>
        <w:t>2</w:t>
      </w:r>
      <w:r>
        <w:rPr/>
        <w:t>）季节性波动风险</w:t>
      </w:r>
      <w:r>
        <w:rPr>
          <w:w w:val="100"/>
        </w:rPr>
        <w:t> </w:t>
      </w:r>
      <w:r>
        <w:rPr>
          <w:spacing w:val="-2"/>
        </w:rPr>
        <w:t>公司客户主要为电信运营商、电力企业等国有大中型企业以及政府部门、事业单位，上述客户均执行</w:t>
      </w:r>
    </w:p>
    <w:p>
      <w:pPr>
        <w:pStyle w:val="BodyText"/>
        <w:spacing w:line="273" w:lineRule="auto" w:before="22"/>
        <w:ind w:right="0"/>
        <w:jc w:val="left"/>
      </w:pPr>
      <w:r>
        <w:rPr>
          <w:spacing w:val="-5"/>
        </w:rPr>
        <w:t>严格的预算管理制度和采购审批制度。受上述客户项目立项、审批、实施进度安排及资金预算管理的影响，</w:t>
      </w:r>
      <w:r>
        <w:rPr>
          <w:spacing w:val="-3"/>
        </w:rPr>
        <w:t> </w:t>
      </w:r>
      <w:r>
        <w:rPr>
          <w:spacing w:val="-3"/>
        </w:rPr>
      </w:r>
      <w:r>
        <w:rPr>
          <w:spacing w:val="-2"/>
        </w:rPr>
        <w:t>通常来说，公司营业收入及相应销售回款主要集中在下半年。由于公司的人力成本、差旅费用和研发投入</w:t>
      </w:r>
      <w:r>
        <w:rPr>
          <w:spacing w:val="-44"/>
        </w:rPr>
        <w:t> </w:t>
      </w:r>
      <w:r>
        <w:rPr>
          <w:spacing w:val="-44"/>
        </w:rPr>
      </w:r>
      <w:r>
        <w:rPr>
          <w:spacing w:val="-2"/>
        </w:rPr>
        <w:t>等支出在年度内发生较为均衡，从而导致公司净利润的季节性波动明显，上半年净利润一般明显少于下半</w:t>
      </w:r>
      <w:r>
        <w:rPr>
          <w:spacing w:val="-43"/>
        </w:rPr>
        <w:t> </w:t>
      </w:r>
      <w:r>
        <w:rPr>
          <w:spacing w:val="-43"/>
        </w:rPr>
      </w:r>
      <w:r>
        <w:rPr>
          <w:spacing w:val="-5"/>
        </w:rPr>
        <w:t>年。公司业绩季节性波动会给公司资金使用、融资安排等经营活动造成较大影响，同时也会导致公司收入、</w:t>
      </w:r>
      <w:r>
        <w:rPr>
          <w:spacing w:val="-4"/>
        </w:rPr>
        <w:t> </w:t>
      </w:r>
      <w:r>
        <w:rPr>
          <w:spacing w:val="-4"/>
        </w:rPr>
      </w:r>
      <w:r>
        <w:rPr/>
        <w:t>经营性现金流等财务指标在各季度间出现较大的波动，公司业绩存在季节性波动的风险。</w:t>
      </w:r>
    </w:p>
    <w:p>
      <w:pPr>
        <w:pStyle w:val="BodyText"/>
        <w:spacing w:line="240" w:lineRule="auto" w:before="7"/>
        <w:ind w:left="573" w:right="0"/>
        <w:jc w:val="left"/>
      </w:pPr>
      <w:r>
        <w:rPr/>
        <w:t>（</w:t>
      </w:r>
      <w:r>
        <w:rPr>
          <w:rFonts w:ascii="Times New Roman" w:hAnsi="Times New Roman" w:cs="Times New Roman" w:eastAsia="Times New Roman" w:hint="default"/>
        </w:rPr>
        <w:t>3</w:t>
      </w:r>
      <w:r>
        <w:rPr/>
        <w:t>）核心技术风险</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t>计算机及软件技术发展日新月异，更新换代快，需求不断多样化，公司必须适应技术进步节奏快、软</w:t>
      </w:r>
      <w:r>
        <w:rPr>
          <w:w w:val="100"/>
        </w:rPr>
        <w:t> </w:t>
      </w:r>
      <w:r>
        <w:rPr>
          <w:spacing w:val="-2"/>
        </w:rPr>
        <w:t>件更新频率高、客户需求变化快、软件质量要求高的行业特点。如果今后公司不能准确地预测软件开发技</w:t>
      </w:r>
      <w:r>
        <w:rPr>
          <w:spacing w:val="-43"/>
        </w:rPr>
        <w:t> </w:t>
      </w:r>
      <w:r>
        <w:rPr>
          <w:spacing w:val="-43"/>
        </w:rPr>
      </w:r>
      <w:r>
        <w:rPr>
          <w:spacing w:val="-2"/>
        </w:rPr>
        <w:t>术的发展趋势，或是使用落后、不实用的技术进行软件开发，或对软件和市场需求的把握出现偏差，不能</w:t>
      </w:r>
      <w:r>
        <w:rPr>
          <w:spacing w:val="-50"/>
        </w:rPr>
        <w:t> </w:t>
      </w:r>
      <w:r>
        <w:rPr>
          <w:spacing w:val="-50"/>
        </w:rPr>
      </w:r>
      <w:r>
        <w:rPr>
          <w:spacing w:val="-2"/>
        </w:rPr>
        <w:t>及时调整技术和产品方向，或新技术、新产品不能迅速推广应用，或公司开发的软件存在质量问题，导致</w:t>
      </w:r>
      <w:r>
        <w:rPr>
          <w:spacing w:val="-47"/>
        </w:rPr>
        <w:t> </w:t>
      </w:r>
      <w:r>
        <w:rPr>
          <w:spacing w:val="-47"/>
        </w:rPr>
      </w:r>
      <w:r>
        <w:rPr>
          <w:spacing w:val="-5"/>
        </w:rPr>
        <w:t>客户的正常业务运营和管理受到影响，则会给公司的生产经营造成不利影响。此外，为防止核心技术泄密， </w:t>
      </w:r>
      <w:r>
        <w:rPr>
          <w:spacing w:val="-5"/>
        </w:rPr>
      </w:r>
      <w:r>
        <w:rPr>
          <w:spacing w:val="-2"/>
        </w:rPr>
        <w:t>公司还采取了制定保密管理制度、申请计算机软件著作权保护等相关知识产权保护措施，但上述措施并不</w:t>
      </w:r>
      <w:r>
        <w:rPr>
          <w:spacing w:val="-44"/>
        </w:rPr>
        <w:t> </w:t>
      </w:r>
      <w:r>
        <w:rPr>
          <w:spacing w:val="-44"/>
        </w:rPr>
      </w:r>
      <w:r>
        <w:rPr/>
        <w:t>能完全保证技术不外泄，一旦核心技术失密，将会对公司的业务发展造成不利影响。</w:t>
      </w:r>
    </w:p>
    <w:p>
      <w:pPr>
        <w:pStyle w:val="BodyText"/>
        <w:spacing w:line="256" w:lineRule="auto" w:before="7"/>
        <w:ind w:left="573" w:right="0"/>
        <w:jc w:val="left"/>
      </w:pPr>
      <w:r>
        <w:rPr/>
        <w:t>（</w:t>
      </w:r>
      <w:r>
        <w:rPr>
          <w:rFonts w:ascii="Times New Roman" w:hAnsi="Times New Roman" w:cs="Times New Roman" w:eastAsia="Times New Roman" w:hint="default"/>
        </w:rPr>
        <w:t>4</w:t>
      </w:r>
      <w:r>
        <w:rPr/>
        <w:t>）人力资源风险</w:t>
      </w:r>
      <w:r>
        <w:rPr>
          <w:w w:val="100"/>
        </w:rPr>
        <w:t> </w:t>
      </w:r>
      <w:r>
        <w:rPr>
          <w:spacing w:val="-2"/>
        </w:rPr>
        <w:t>作为软件企业和高新技术企业，企业发展高度依赖人力资源，公司经过多年的快速发展，已形成了自</w:t>
      </w:r>
    </w:p>
    <w:p>
      <w:pPr>
        <w:pStyle w:val="BodyText"/>
        <w:spacing w:line="273" w:lineRule="auto" w:before="22"/>
        <w:ind w:right="184"/>
        <w:jc w:val="both"/>
      </w:pPr>
      <w:r>
        <w:rPr>
          <w:spacing w:val="-2"/>
        </w:rPr>
        <w:t>身的人才培养体系，拥有一支具有丰富行业经验、专业化水平高的员工队伍，公司积极倡导创新和谐、以</w:t>
      </w:r>
      <w:r>
        <w:rPr>
          <w:spacing w:val="-47"/>
        </w:rPr>
        <w:t> </w:t>
      </w:r>
      <w:r>
        <w:rPr>
          <w:spacing w:val="-47"/>
        </w:rPr>
      </w:r>
      <w:r>
        <w:rPr>
          <w:spacing w:val="-2"/>
        </w:rPr>
        <w:t>人为本的企业文化，为人才的培育与发展提供良好的环境，对人才具有较强的凝聚力。但是，随着行业竞</w:t>
      </w:r>
      <w:r>
        <w:rPr>
          <w:spacing w:val="-47"/>
        </w:rPr>
        <w:t> </w:t>
      </w:r>
      <w:r>
        <w:rPr>
          <w:spacing w:val="-47"/>
        </w:rPr>
      </w:r>
      <w:r>
        <w:rPr>
          <w:spacing w:val="-2"/>
        </w:rPr>
        <w:t>争的日趋激烈，对优秀人才的争夺亦趋于激烈，人力资源成本上涨较快，公司存在因竞争而导致的人才流</w:t>
      </w:r>
      <w:r>
        <w:rPr>
          <w:spacing w:val="-45"/>
        </w:rPr>
        <w:t> </w:t>
      </w:r>
      <w:r>
        <w:rPr>
          <w:spacing w:val="-45"/>
        </w:rPr>
      </w:r>
      <w:r>
        <w:rPr>
          <w:spacing w:val="-2"/>
        </w:rPr>
        <w:t>失风险。此外，随着公司业务的快速发展，公司对优秀的软件开发、管理及技术服务等各类人才的需求将</w:t>
      </w:r>
      <w:r>
        <w:rPr>
          <w:spacing w:val="-47"/>
        </w:rPr>
        <w:t> </w:t>
      </w:r>
      <w:r>
        <w:rPr>
          <w:spacing w:val="-47"/>
        </w:rPr>
      </w:r>
      <w:r>
        <w:rPr>
          <w:spacing w:val="-2"/>
        </w:rPr>
        <w:t>不断增加。公司虽然具有良好的人才引入制度和比较完善的激励机制，但不排除无法及时引进合适人才，</w:t>
      </w:r>
      <w:r>
        <w:rPr>
          <w:spacing w:val="-21"/>
        </w:rPr>
        <w:t> </w:t>
      </w:r>
      <w:r>
        <w:rPr>
          <w:spacing w:val="-21"/>
        </w:rPr>
      </w:r>
      <w:r>
        <w:rPr/>
        <w:t>从而对公司经营发展造成不利影响。</w:t>
      </w:r>
    </w:p>
    <w:p>
      <w:pPr>
        <w:pStyle w:val="BodyText"/>
        <w:spacing w:line="290" w:lineRule="auto" w:before="7"/>
        <w:ind w:left="573" w:right="0"/>
        <w:jc w:val="left"/>
      </w:pPr>
      <w:r>
        <w:rPr/>
        <w:t>（</w:t>
      </w:r>
      <w:r>
        <w:rPr>
          <w:rFonts w:ascii="Times New Roman" w:hAnsi="Times New Roman" w:cs="Times New Roman" w:eastAsia="Times New Roman" w:hint="default"/>
        </w:rPr>
        <w:t>5</w:t>
      </w:r>
      <w:r>
        <w:rPr/>
        <w:t>）应收账款余额较大的风险</w:t>
      </w:r>
      <w:r>
        <w:rPr>
          <w:w w:val="100"/>
        </w:rPr>
        <w:t> </w:t>
      </w:r>
      <w:r>
        <w:rPr>
          <w:spacing w:val="-3"/>
        </w:rPr>
        <w:t>截至报告期末，公司应收账款余额为</w:t>
      </w:r>
      <w:r>
        <w:rPr>
          <w:rFonts w:ascii="Times New Roman" w:hAnsi="Times New Roman" w:cs="Times New Roman" w:eastAsia="Times New Roman" w:hint="default"/>
          <w:spacing w:val="-3"/>
        </w:rPr>
        <w:t>401,078,585.52</w:t>
      </w:r>
      <w:r>
        <w:rPr>
          <w:spacing w:val="-3"/>
        </w:rPr>
        <w:t>万元，占公司</w:t>
      </w:r>
      <w:r>
        <w:rPr>
          <w:rFonts w:ascii="Times New Roman" w:hAnsi="Times New Roman" w:cs="Times New Roman" w:eastAsia="Times New Roman" w:hint="default"/>
          <w:spacing w:val="-3"/>
        </w:rPr>
        <w:t>2017</w:t>
      </w:r>
      <w:r>
        <w:rPr>
          <w:spacing w:val="-3"/>
        </w:rPr>
        <w:t>年度营业收入的比例为</w:t>
      </w:r>
      <w:r>
        <w:rPr>
          <w:rFonts w:ascii="Times New Roman" w:hAnsi="Times New Roman" w:cs="Times New Roman" w:eastAsia="Times New Roman" w:hint="default"/>
          <w:spacing w:val="-3"/>
        </w:rPr>
        <w:t>66%</w:t>
      </w:r>
      <w:r>
        <w:rPr>
          <w:spacing w:val="-3"/>
        </w:rPr>
        <w:t>。报</w:t>
      </w:r>
      <w:r>
        <w:rPr/>
      </w:r>
    </w:p>
    <w:p>
      <w:pPr>
        <w:pStyle w:val="BodyText"/>
        <w:spacing w:line="247" w:lineRule="exact"/>
        <w:ind w:right="0"/>
        <w:jc w:val="both"/>
      </w:pPr>
      <w:r>
        <w:rPr/>
        <w:t>告期内公司应收账款余额较大主要原因系：行业软件开发及系统集成项目从合同签订到项目验收需要经历</w:t>
      </w:r>
    </w:p>
    <w:p>
      <w:pPr>
        <w:pStyle w:val="BodyText"/>
        <w:spacing w:line="273" w:lineRule="auto" w:before="37"/>
        <w:ind w:right="206"/>
        <w:jc w:val="both"/>
      </w:pPr>
      <w:r>
        <w:rPr>
          <w:spacing w:val="-2"/>
        </w:rPr>
        <w:t>项目部署、方案设计、实施、调试、试运行、验收等多个阶段，项目实施周期较长；公司主要客户为电信</w:t>
      </w:r>
      <w:r>
        <w:rPr>
          <w:spacing w:val="-46"/>
        </w:rPr>
        <w:t> </w:t>
      </w:r>
      <w:r>
        <w:rPr>
          <w:spacing w:val="-46"/>
        </w:rPr>
      </w:r>
      <w:r>
        <w:rPr>
          <w:spacing w:val="-2"/>
        </w:rPr>
        <w:t>运营商、电力企业等国有大中型企业以及政府部门、事业单位，上述客户均执行严格的预算管理制度，受</w:t>
      </w:r>
      <w:r>
        <w:rPr>
          <w:spacing w:val="-44"/>
        </w:rPr>
        <w:t> </w:t>
      </w:r>
      <w:r>
        <w:rPr>
          <w:spacing w:val="-44"/>
        </w:rPr>
      </w:r>
      <w:r>
        <w:rPr>
          <w:spacing w:val="-2"/>
        </w:rPr>
        <w:t>客户资金预算安排以及付款审批程序的影响，客户付款周期较长，导致公司应收账款回款周期较长。随着</w:t>
      </w:r>
      <w:r>
        <w:rPr>
          <w:spacing w:val="-43"/>
        </w:rPr>
        <w:t> </w:t>
      </w:r>
      <w:r>
        <w:rPr>
          <w:spacing w:val="-43"/>
        </w:rPr>
      </w:r>
      <w:r>
        <w:rPr>
          <w:spacing w:val="-2"/>
        </w:rPr>
        <w:t>公司销售规模的扩大，应收账款余额有可能继续增加。公司主要客户实力雄厚、信誉良好，且公司对应收</w:t>
      </w:r>
      <w:r>
        <w:rPr>
          <w:spacing w:val="-47"/>
        </w:rPr>
        <w:t> </w:t>
      </w:r>
      <w:r>
        <w:rPr>
          <w:spacing w:val="-47"/>
        </w:rPr>
      </w:r>
      <w:r>
        <w:rPr>
          <w:spacing w:val="-2"/>
        </w:rPr>
        <w:t>账款充分计提了坏账准备，但仍然存在应收账款不能按期回收或无法回收产生坏账的风险，进而对公司业</w:t>
      </w:r>
      <w:r>
        <w:rPr>
          <w:spacing w:val="-43"/>
        </w:rPr>
        <w:t> </w:t>
      </w:r>
      <w:r>
        <w:rPr>
          <w:spacing w:val="-43"/>
        </w:rPr>
      </w:r>
      <w:r>
        <w:rPr/>
        <w:t>绩和生产经营产生不利影响。</w:t>
      </w:r>
    </w:p>
    <w:p>
      <w:pPr>
        <w:spacing w:line="240" w:lineRule="auto" w:before="7"/>
        <w:rPr>
          <w:rFonts w:ascii="宋体" w:hAnsi="宋体" w:cs="宋体" w:eastAsia="宋体" w:hint="default"/>
          <w:sz w:val="15"/>
          <w:szCs w:val="15"/>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6"/>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20170323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投资者关系活 动记录表</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4" w:right="7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20170525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投资者关系活 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20170620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投资者关系活 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20170714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投资者关系活 动记录表</w:t>
            </w:r>
          </w:p>
        </w:tc>
      </w:tr>
    </w:tbl>
    <w:p>
      <w:pPr>
        <w:spacing w:after="0" w:line="297" w:lineRule="auto"/>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791"/>
        <w:jc w:val="center"/>
        <w:rPr>
          <w:b w:val="0"/>
          <w:bCs w:val="0"/>
        </w:rPr>
      </w:pPr>
      <w:bookmarkStart w:name="_TOC_250007"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pStyle w:val="BodyText"/>
        <w:spacing w:line="295" w:lineRule="auto" w:before="117"/>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公司严格按照《公司章程》相关利润分配政策和审议程序实施利润分配方案，分红标准和分红比例明确清</w:t>
      </w:r>
      <w:r>
        <w:rPr>
          <w:spacing w:val="-44"/>
        </w:rPr>
        <w:t> </w:t>
      </w:r>
      <w:r>
        <w:rPr>
          <w:spacing w:val="-44"/>
        </w:rPr>
      </w:r>
      <w:r>
        <w:rPr>
          <w:spacing w:val="-2"/>
        </w:rPr>
        <w:t>晰，相关的决策程序和机制完备。公司利润分配方案须经由董事会、监事会审议通过提交股东大会审议，</w:t>
      </w:r>
    </w:p>
    <w:p>
      <w:pPr>
        <w:pStyle w:val="BodyText"/>
        <w:spacing w:line="264" w:lineRule="exact"/>
        <w:ind w:right="0"/>
        <w:jc w:val="left"/>
      </w:pPr>
      <w:r>
        <w:rPr/>
        <w:t>并由独立董事发表独立意见，审议通过后在规定时间内进行实施，切实保证了全体股东的利益。</w:t>
      </w: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7"/>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55" w:firstLine="0"/>
        <w:jc w:val="right"/>
        <w:rPr>
          <w:rFonts w:ascii="宋体" w:hAnsi="宋体" w:cs="宋体" w:eastAsia="宋体" w:hint="default"/>
          <w:sz w:val="18"/>
          <w:szCs w:val="18"/>
        </w:rPr>
      </w:pPr>
      <w:r>
        <w:rPr/>
        <w:pict>
          <v:shape style="position:absolute;margin-left:56.424pt;margin-top:-217.478287pt;width:479.3pt;height:266.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3"/>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5,060,000.00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97,434,304.45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经华普天健会计师事务所（特殊普通合伙）审计确认，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22,575,310.28 </w:t>
                        </w:r>
                        <w:r>
                          <w:rPr>
                            <w:rFonts w:ascii="宋体" w:hAnsi="宋体" w:cs="宋体" w:eastAsia="宋体" w:hint="default"/>
                            <w:sz w:val="18"/>
                            <w:szCs w:val="18"/>
                          </w:rPr>
                          <w:t>元，按实现净利润的</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2,257,531.03 </w:t>
                        </w:r>
                        <w:r>
                          <w:rPr>
                            <w:rFonts w:ascii="宋体" w:hAnsi="宋体" w:cs="宋体" w:eastAsia="宋体" w:hint="default"/>
                            <w:sz w:val="18"/>
                            <w:szCs w:val="18"/>
                          </w:rPr>
                          <w:t>元之后，余下未分配利润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20,317,779.25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元，加上以前年度未分配利润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88,645,525.20 </w:t>
                        </w:r>
                        <w:r>
                          <w:rPr>
                            <w:rFonts w:ascii="宋体" w:hAnsi="宋体" w:cs="宋体" w:eastAsia="宋体" w:hint="default"/>
                            <w:sz w:val="18"/>
                            <w:szCs w:val="18"/>
                          </w:rPr>
                          <w:t>元</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扣除已派发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97,434,304.45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年度利润分配拟以现有</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10"/>
                            <w:sz w:val="18"/>
                            <w:szCs w:val="18"/>
                          </w:rPr>
                          <w:t>，</w:t>
                        </w:r>
                        <w:r>
                          <w:rPr>
                            <w:rFonts w:ascii="宋体" w:hAnsi="宋体" w:cs="宋体" w:eastAsia="宋体" w:hint="default"/>
                            <w:spacing w:val="-3"/>
                            <w:sz w:val="18"/>
                            <w:szCs w:val="18"/>
                          </w:rPr>
                          <w:t>向</w:t>
                        </w:r>
                        <w:r>
                          <w:rPr>
                            <w:rFonts w:ascii="宋体" w:hAnsi="宋体" w:cs="宋体" w:eastAsia="宋体" w:hint="default"/>
                            <w:sz w:val="18"/>
                            <w:szCs w:val="18"/>
                          </w:rPr>
                          <w:t>全体股东按每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合</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9"/>
        <w:rPr>
          <w:rFonts w:ascii="宋体" w:hAnsi="宋体" w:cs="宋体" w:eastAsia="宋体" w:hint="default"/>
          <w:sz w:val="28"/>
          <w:szCs w:val="28"/>
        </w:rPr>
      </w:pPr>
    </w:p>
    <w:p>
      <w:pPr>
        <w:spacing w:line="362" w:lineRule="exact"/>
        <w:ind w:left="15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7998pt" strokecolor="#000000">
            <w10:anchorlock/>
            <v:textbox inset="0,0,0,0">
              <w:txbxContent>
                <w:p>
                  <w:pPr>
                    <w:spacing w:before="11"/>
                    <w:ind w:left="24" w:right="0" w:firstLine="0"/>
                    <w:jc w:val="left"/>
                    <w:rPr>
                      <w:rFonts w:ascii="宋体" w:hAnsi="宋体" w:cs="宋体" w:eastAsia="宋体" w:hint="default"/>
                      <w:sz w:val="18"/>
                      <w:szCs w:val="18"/>
                    </w:rPr>
                  </w:pPr>
                  <w:r>
                    <w:rPr>
                      <w:rFonts w:ascii="宋体" w:hAnsi="宋体" w:cs="宋体" w:eastAsia="宋体" w:hint="default"/>
                      <w:sz w:val="18"/>
                      <w:szCs w:val="18"/>
                    </w:rPr>
                    <w:t>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w:t>
                  </w:r>
                  <w:r>
                    <w:rPr>
                      <w:rFonts w:ascii="宋体" w:hAnsi="宋体" w:cs="宋体" w:eastAsia="宋体" w:hint="default"/>
                      <w:spacing w:val="2"/>
                      <w:sz w:val="18"/>
                      <w:szCs w:val="18"/>
                    </w:rPr>
                    <w:t>以</w:t>
                  </w:r>
                  <w:r>
                    <w:rPr>
                      <w:rFonts w:ascii="宋体" w:hAnsi="宋体" w:cs="宋体" w:eastAsia="宋体" w:hint="default"/>
                      <w:sz w:val="18"/>
                      <w:szCs w:val="18"/>
                    </w:rPr>
                    <w:t>后年度分配。本年度不转增股本，不送红股。</w:t>
                  </w:r>
                </w:p>
              </w:txbxContent>
            </v:textbox>
          </v:shape>
        </w:pict>
      </w:r>
      <w:r>
        <w:rPr>
          <w:rFonts w:ascii="宋体" w:hAnsi="宋体" w:cs="宋体" w:eastAsia="宋体" w:hint="default"/>
          <w:position w:val="-6"/>
          <w:sz w:val="20"/>
          <w:szCs w:val="20"/>
        </w:rPr>
      </w:r>
    </w:p>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年度利润分配方案：不进行现金分红，不送红股，不以资本公积金转增股本。</w:t>
      </w:r>
    </w:p>
    <w:p>
      <w:pPr>
        <w:spacing w:line="300" w:lineRule="auto" w:before="103"/>
        <w:ind w:left="153" w:right="146"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年度利润分配及资本公积转增股本预案：以截止</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日的总股本</w:t>
      </w:r>
      <w:r>
        <w:rPr>
          <w:rFonts w:ascii="Times New Roman" w:hAnsi="Times New Roman" w:cs="Times New Roman" w:eastAsia="Times New Roman" w:hint="default"/>
          <w:spacing w:val="-1"/>
          <w:sz w:val="18"/>
          <w:szCs w:val="18"/>
        </w:rPr>
        <w:t>9607.5</w:t>
      </w:r>
      <w:r>
        <w:rPr>
          <w:rFonts w:ascii="宋体" w:hAnsi="宋体" w:cs="宋体" w:eastAsia="宋体" w:hint="default"/>
          <w:spacing w:val="-1"/>
          <w:sz w:val="18"/>
          <w:szCs w:val="18"/>
        </w:rPr>
        <w:t>万股为基数，向全体股东每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金股利人民币</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元（含税）；同时以资本公积向全体股东每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年度股东大会审议通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过上述议案，并于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日披露了《公司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年度权益分派实施公告》，公司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年度权益分派工作已于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日实施完毕。</w:t>
      </w:r>
    </w:p>
    <w:p>
      <w:pPr>
        <w:spacing w:line="319" w:lineRule="auto"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年度利润分配预案：以现有总股本</w:t>
      </w:r>
      <w:r>
        <w:rPr>
          <w:rFonts w:ascii="Times New Roman" w:hAnsi="Times New Roman" w:cs="Times New Roman" w:eastAsia="Times New Roman" w:hint="default"/>
          <w:spacing w:val="-1"/>
          <w:sz w:val="18"/>
          <w:szCs w:val="18"/>
        </w:rPr>
        <w:t>202,400,000</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元（含税），合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计派发现金股利</w:t>
      </w:r>
      <w:r>
        <w:rPr>
          <w:rFonts w:ascii="Times New Roman" w:hAnsi="Times New Roman" w:cs="Times New Roman" w:eastAsia="Times New Roman" w:hint="default"/>
          <w:sz w:val="18"/>
          <w:szCs w:val="18"/>
        </w:rPr>
        <w:t>5,060,000</w:t>
      </w:r>
      <w:r>
        <w:rPr>
          <w:rFonts w:ascii="宋体" w:hAnsi="宋体" w:cs="宋体" w:eastAsia="宋体" w:hint="default"/>
          <w:sz w:val="18"/>
          <w:szCs w:val="18"/>
        </w:rPr>
        <w:t>元（含税），剩余未分配利润结转以后年度分配。本年度不转增股本，不送红股。 公司近三年（包括本报告期）普通股现金分红情况表</w:t>
      </w:r>
    </w:p>
    <w:p>
      <w:pPr>
        <w:spacing w:before="5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18,374,393.31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56,927,437.17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44,448,491.74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9"/>
        </w:rPr>
        <w:t> </w:t>
      </w:r>
      <w:r>
        <w:rPr>
          <w:spacing w:val="29"/>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7"/>
      </w:tblGrid>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390"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合肥国创智 能科技有限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除公司首次 公开发行股 票时其公开 发售的股份 </w:t>
            </w:r>
            <w:r>
              <w:rPr>
                <w:rFonts w:ascii="宋体" w:hAnsi="宋体" w:cs="宋体" w:eastAsia="宋体" w:hint="default"/>
                <w:spacing w:val="-2"/>
                <w:sz w:val="18"/>
                <w:szCs w:val="18"/>
              </w:rPr>
              <w:t>外，自公司股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人管理其所</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2019-07-08</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1390"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41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持有的公司 公开发行股 票前已发行 的股份，也不 由公司回购 上述股份；公 司上市后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月内如公司 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收盘价均低 于公司首次 公开发行股 票时的发行 价，或者上市 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 公司首次公 开发行股票 时的发行价， 其持有公司 股票的锁定 期限自动延</w:t>
            </w:r>
          </w:p>
          <w:p>
            <w:pPr>
              <w:pStyle w:val="TableParagraph"/>
              <w:spacing w:line="314" w:lineRule="auto" w:before="21"/>
              <w:ind w:left="24" w:right="17"/>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个月。若</w:t>
            </w:r>
            <w:r>
              <w:rPr>
                <w:rFonts w:ascii="宋体" w:hAnsi="宋体" w:cs="宋体" w:eastAsia="宋体" w:hint="default"/>
                <w:sz w:val="18"/>
                <w:szCs w:val="18"/>
              </w:rPr>
              <w:t> 公司股票在 此期间发生 除权、除息 </w:t>
            </w:r>
            <w:r>
              <w:rPr>
                <w:rFonts w:ascii="宋体" w:hAnsi="宋体" w:cs="宋体" w:eastAsia="宋体" w:hint="default"/>
                <w:spacing w:val="-2"/>
                <w:sz w:val="18"/>
                <w:szCs w:val="18"/>
              </w:rPr>
              <w:t>的，发行价格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将作相应调 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00" w:lineRule="auto"/>
              <w:ind w:left="24" w:right="87"/>
              <w:jc w:val="both"/>
              <w:rPr>
                <w:rFonts w:ascii="宋体" w:hAnsi="宋体" w:cs="宋体" w:eastAsia="宋体" w:hint="default"/>
                <w:sz w:val="18"/>
                <w:szCs w:val="18"/>
              </w:rPr>
            </w:pPr>
            <w:r>
              <w:rPr>
                <w:rFonts w:ascii="宋体" w:hAnsi="宋体" w:cs="宋体" w:eastAsia="宋体" w:hint="default"/>
                <w:sz w:val="18"/>
                <w:szCs w:val="18"/>
              </w:rPr>
              <w:t>董永东</w:t>
            </w:r>
            <w:r>
              <w:rPr>
                <w:rFonts w:ascii="Times New Roman" w:hAnsi="Times New Roman" w:cs="Times New Roman" w:eastAsia="Times New Roman" w:hint="default"/>
                <w:sz w:val="18"/>
                <w:szCs w:val="18"/>
              </w:rPr>
              <w:t>;</w:t>
            </w:r>
            <w:r>
              <w:rPr>
                <w:rFonts w:ascii="宋体" w:hAnsi="宋体" w:cs="宋体" w:eastAsia="宋体" w:hint="default"/>
                <w:sz w:val="18"/>
                <w:szCs w:val="18"/>
              </w:rPr>
              <w:t>杨杨</w:t>
            </w:r>
            <w:r>
              <w:rPr>
                <w:rFonts w:ascii="Times New Roman" w:hAnsi="Times New Roman" w:cs="Times New Roman" w:eastAsia="Times New Roman" w:hint="default"/>
                <w:sz w:val="18"/>
                <w:szCs w:val="18"/>
              </w:rPr>
              <w:t>; </w:t>
            </w:r>
            <w:r>
              <w:rPr>
                <w:rFonts w:ascii="宋体" w:hAnsi="宋体" w:cs="宋体" w:eastAsia="宋体" w:hint="default"/>
                <w:sz w:val="18"/>
                <w:szCs w:val="18"/>
              </w:rPr>
              <w:t>史兴领</w:t>
            </w:r>
            <w:r>
              <w:rPr>
                <w:rFonts w:ascii="Times New Roman" w:hAnsi="Times New Roman" w:cs="Times New Roman" w:eastAsia="Times New Roman" w:hint="default"/>
                <w:sz w:val="18"/>
                <w:szCs w:val="18"/>
              </w:rPr>
              <w:t>;</w:t>
            </w:r>
            <w:r>
              <w:rPr>
                <w:rFonts w:ascii="宋体" w:hAnsi="宋体" w:cs="宋体" w:eastAsia="宋体" w:hint="default"/>
                <w:sz w:val="18"/>
                <w:szCs w:val="18"/>
              </w:rPr>
              <w:t>许广 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除公司首次 公开发行股 票时合肥国 创所公开发 售的股份外， 自公司股票 上市之日起 三十六个月 内，不转让或 者委托他人 管理其直接 或间接持有 的公司公开 发行股票前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7"/>
              <w:jc w:val="center"/>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份，也不由公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司回购上述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股份锁定期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满后，担任公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人员期间每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年转让的公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过其持有的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数的百分之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二十五；离职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转让本人持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均低于公司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行股票时的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股票时的发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锁定期限自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月，若公司股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票在此期间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发生除权、除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息的，发行价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格将作相应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调整；本人不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会因职务变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更、离职等原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6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因而拒绝履 行上述承诺。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上海雅弘股 权投资基金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国元股权</w:t>
            </w:r>
            <w:r>
              <w:rPr>
                <w:rFonts w:ascii="宋体" w:hAnsi="宋体" w:cs="宋体" w:eastAsia="宋体" w:hint="default"/>
                <w:spacing w:val="-87"/>
                <w:sz w:val="18"/>
                <w:szCs w:val="18"/>
              </w:rPr>
              <w:t> </w:t>
            </w:r>
            <w:r>
              <w:rPr>
                <w:rFonts w:ascii="宋体" w:hAnsi="宋体" w:cs="宋体" w:eastAsia="宋体" w:hint="default"/>
                <w:sz w:val="18"/>
                <w:szCs w:val="18"/>
              </w:rPr>
              <w:t>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中科大资 产经营有限 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海槟果资产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德同国联</w:t>
            </w:r>
          </w:p>
          <w:p>
            <w:pPr>
              <w:pStyle w:val="TableParagraph"/>
              <w:spacing w:line="312" w:lineRule="auto" w:before="3"/>
              <w:ind w:left="24" w:right="17"/>
              <w:jc w:val="left"/>
              <w:rPr>
                <w:rFonts w:ascii="宋体" w:hAnsi="宋体" w:cs="宋体" w:eastAsia="宋体" w:hint="default"/>
                <w:sz w:val="18"/>
                <w:szCs w:val="18"/>
              </w:rPr>
            </w:pPr>
            <w:r>
              <w:rPr>
                <w:rFonts w:ascii="宋体" w:hAnsi="宋体" w:cs="宋体" w:eastAsia="宋体" w:hint="default"/>
                <w:spacing w:val="-3"/>
                <w:sz w:val="18"/>
                <w:szCs w:val="18"/>
              </w:rPr>
              <w:t>（无锡）投资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安徽酷智</w:t>
            </w:r>
            <w:r>
              <w:rPr>
                <w:rFonts w:ascii="宋体" w:hAnsi="宋体" w:cs="宋体" w:eastAsia="宋体" w:hint="default"/>
                <w:spacing w:val="-87"/>
                <w:sz w:val="18"/>
                <w:szCs w:val="18"/>
              </w:rPr>
              <w:t> </w:t>
            </w:r>
            <w:r>
              <w:rPr>
                <w:rFonts w:ascii="宋体" w:hAnsi="宋体" w:cs="宋体" w:eastAsia="宋体" w:hint="default"/>
                <w:sz w:val="18"/>
                <w:szCs w:val="18"/>
              </w:rPr>
              <w:t>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储士 升</w:t>
            </w:r>
            <w:r>
              <w:rPr>
                <w:rFonts w:ascii="Times New Roman" w:hAnsi="Times New Roman" w:cs="Times New Roman" w:eastAsia="Times New Roman" w:hint="default"/>
                <w:sz w:val="18"/>
                <w:szCs w:val="18"/>
              </w:rPr>
              <w:t>;</w:t>
            </w:r>
            <w:r>
              <w:rPr>
                <w:rFonts w:ascii="宋体" w:hAnsi="宋体" w:cs="宋体" w:eastAsia="宋体" w:hint="default"/>
                <w:sz w:val="18"/>
                <w:szCs w:val="18"/>
              </w:rPr>
              <w:t>博勤投资</w:t>
            </w:r>
          </w:p>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pacing w:val="-3"/>
                <w:sz w:val="18"/>
                <w:szCs w:val="18"/>
              </w:rPr>
              <w:t>（上海）有限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4" w:right="11"/>
              <w:jc w:val="left"/>
              <w:rPr>
                <w:rFonts w:ascii="宋体" w:hAnsi="宋体" w:cs="宋体" w:eastAsia="宋体" w:hint="default"/>
                <w:sz w:val="18"/>
                <w:szCs w:val="18"/>
              </w:rPr>
            </w:pPr>
            <w:r>
              <w:rPr>
                <w:rFonts w:ascii="宋体" w:hAnsi="宋体" w:cs="宋体" w:eastAsia="宋体" w:hint="default"/>
                <w:sz w:val="18"/>
                <w:szCs w:val="18"/>
              </w:rPr>
              <w:t>自公司股票 上市之日起 十二个月内， 不转让或者 委托他人管 理其所持有 的公司公开 发行股票前 已发行的股 份，也不由公 司回购上述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2017-07-08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履行完成</w:t>
            </w: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在本人股份 锁定期满后， 担任公司董 事、监事或高 级管理人员 期间每年转 让的公司股 份不超过所 持有的公司 股份总数的 百分之二十 五；若本人自 公司股票上 市之日起六 个月内申报 离职，自申报 离职之日起 十八个月内 不转让本人 持有的公司 股份；若本人 自公司股票 上市之日起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2017-07-08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履行完成</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职，自申报离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份；若本人自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二个月之后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离职，离职后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半年内不转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且若本人在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格（若发生除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权、除息事项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2"/>
                <w:sz w:val="18"/>
                <w:szCs w:val="18"/>
              </w:rPr>
              <w:t>）</w:t>
            </w:r>
            <w:r>
              <w:rPr>
                <w:rFonts w:ascii="宋体" w:hAnsi="宋体" w:cs="宋体" w:eastAsia="宋体" w:hint="default"/>
                <w:sz w:val="18"/>
                <w:szCs w:val="18"/>
              </w:rPr>
              <w:t>；公司上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发行股票时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的发行价，或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行股票时的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限自动延长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个月，若公司 股票在此期 间发生除权、 除息的，发行 价格将作相 应调整；本人 不会因职务 变更、离职等 原因而拒绝 履行上述承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4" w:right="87"/>
              <w:jc w:val="left"/>
              <w:rPr>
                <w:rFonts w:ascii="宋体" w:hAnsi="宋体" w:cs="宋体" w:eastAsia="宋体" w:hint="default"/>
                <w:sz w:val="18"/>
                <w:szCs w:val="18"/>
              </w:rPr>
            </w:pPr>
            <w:r>
              <w:rPr>
                <w:rFonts w:ascii="宋体" w:hAnsi="宋体" w:cs="宋体" w:eastAsia="宋体" w:hint="default"/>
                <w:sz w:val="18"/>
                <w:szCs w:val="18"/>
              </w:rPr>
              <w:t>合肥国创智 能科技有限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董永东</w:t>
            </w:r>
            <w:r>
              <w:rPr>
                <w:rFonts w:ascii="Times New Roman" w:hAnsi="Times New Roman" w:cs="Times New Roman" w:eastAsia="Times New Roman" w:hint="default"/>
                <w:sz w:val="18"/>
                <w:szCs w:val="18"/>
              </w:rPr>
              <w:t>; </w:t>
            </w:r>
            <w:r>
              <w:rPr>
                <w:rFonts w:ascii="宋体" w:hAnsi="宋体" w:cs="宋体" w:eastAsia="宋体" w:hint="default"/>
                <w:sz w:val="18"/>
                <w:szCs w:val="18"/>
              </w:rPr>
              <w:t>杨杨</w:t>
            </w:r>
            <w:r>
              <w:rPr>
                <w:rFonts w:ascii="Times New Roman" w:hAnsi="Times New Roman" w:cs="Times New Roman" w:eastAsia="Times New Roman" w:hint="default"/>
                <w:sz w:val="18"/>
                <w:szCs w:val="18"/>
              </w:rPr>
              <w:t>;</w:t>
            </w:r>
            <w:r>
              <w:rPr>
                <w:rFonts w:ascii="宋体" w:hAnsi="宋体" w:cs="宋体" w:eastAsia="宋体" w:hint="default"/>
                <w:sz w:val="18"/>
                <w:szCs w:val="18"/>
              </w:rPr>
              <w:t>史兴领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在所持公司 股票锁定期 届满后的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内，在不丧失 公司第一大 股东及实际 控制人地位， 以及不违反 合肥国创及 董永东、杨 杨、史兴领已 作出的相关 承诺的前提 下，合肥国创 及董永东、杨 杨、史兴领存 在对所持公 司股票实施 有限减持的 可能性，但届 时的减持数 量和价格将 以此为限：</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）合肥国 创及董永东、 杨杨、史兴领 在所持公司 股票锁定期 届满后的二 年内，合计减 持数量将不 超过公司股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2021-07-08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份总数的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，各自减持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公司股票的 数量在减持 前由前述各 方协商确定；</w:t>
            </w:r>
          </w:p>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 格将不低于 公司股票首 次公开发行 </w:t>
            </w:r>
            <w:r>
              <w:rPr>
                <w:rFonts w:ascii="宋体" w:hAnsi="宋体" w:cs="宋体" w:eastAsia="宋体" w:hint="default"/>
                <w:spacing w:val="-2"/>
                <w:sz w:val="18"/>
                <w:szCs w:val="18"/>
              </w:rPr>
              <w:t>价格（若发生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除权、除息事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项的，减持价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格作相应调 </w:t>
            </w:r>
            <w:r>
              <w:rPr>
                <w:rFonts w:ascii="宋体" w:hAnsi="宋体" w:cs="宋体" w:eastAsia="宋体" w:hint="default"/>
                <w:spacing w:val="-31"/>
                <w:sz w:val="18"/>
                <w:szCs w:val="18"/>
              </w:rPr>
              <w:t>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z w:val="18"/>
                <w:szCs w:val="18"/>
              </w:rPr>
              <w:t>上海雅弘股 权投资基金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国元股权</w:t>
            </w:r>
            <w:r>
              <w:rPr>
                <w:rFonts w:ascii="宋体" w:hAnsi="宋体" w:cs="宋体" w:eastAsia="宋体" w:hint="default"/>
                <w:spacing w:val="-87"/>
                <w:sz w:val="18"/>
                <w:szCs w:val="18"/>
              </w:rPr>
              <w:t> </w:t>
            </w:r>
            <w:r>
              <w:rPr>
                <w:rFonts w:ascii="宋体" w:hAnsi="宋体" w:cs="宋体" w:eastAsia="宋体" w:hint="default"/>
                <w:sz w:val="18"/>
                <w:szCs w:val="18"/>
              </w:rPr>
              <w:t>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所持公司股 票锁定期届 满后二年内， 在不违反已 作出的相关 承诺的前提 下，存在对所 持公司股票 实施减持的 可能性，但届 时的减持数 量和价格将 以此为限：</w:t>
            </w:r>
          </w:p>
          <w:p>
            <w:pPr>
              <w:pStyle w:val="TableParagraph"/>
              <w:spacing w:line="314"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）在所持 公司股票锁 定期届满后 的二年内，可 减持所持公 司全部股份；</w:t>
            </w:r>
          </w:p>
          <w:p>
            <w:pPr>
              <w:pStyle w:val="TableParagraph"/>
              <w:spacing w:line="316" w:lineRule="auto" w:before="21"/>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）通过证 券交易所集 中竞价交易 系统减持股 份的价格按 届时的市场 </w:t>
            </w:r>
            <w:r>
              <w:rPr>
                <w:rFonts w:ascii="宋体" w:hAnsi="宋体" w:cs="宋体" w:eastAsia="宋体" w:hint="default"/>
                <w:spacing w:val="-2"/>
                <w:sz w:val="18"/>
                <w:szCs w:val="18"/>
              </w:rPr>
              <w:t>价格确定；通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过证券交易 所大宗交易 </w:t>
            </w:r>
            <w:r>
              <w:rPr>
                <w:rFonts w:ascii="宋体" w:hAnsi="宋体" w:cs="宋体" w:eastAsia="宋体" w:hint="default"/>
                <w:spacing w:val="-2"/>
                <w:sz w:val="18"/>
                <w:szCs w:val="18"/>
              </w:rPr>
              <w:t>系统、协议转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9"/>
              <w:jc w:val="left"/>
              <w:rPr>
                <w:rFonts w:ascii="宋体" w:hAnsi="宋体" w:cs="宋体" w:eastAsia="宋体" w:hint="default"/>
                <w:sz w:val="18"/>
                <w:szCs w:val="18"/>
              </w:rPr>
            </w:pPr>
            <w:r>
              <w:rPr>
                <w:rFonts w:ascii="宋体" w:hAnsi="宋体" w:cs="宋体" w:eastAsia="宋体" w:hint="default"/>
                <w:sz w:val="18"/>
                <w:szCs w:val="18"/>
              </w:rPr>
              <w:t>让减持股份 </w:t>
            </w:r>
            <w:r>
              <w:rPr>
                <w:rFonts w:ascii="宋体" w:hAnsi="宋体" w:cs="宋体" w:eastAsia="宋体" w:hint="default"/>
                <w:spacing w:val="-2"/>
                <w:sz w:val="18"/>
                <w:szCs w:val="18"/>
              </w:rPr>
              <w:t>的，转让价格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由转让双方 </w:t>
            </w:r>
            <w:r>
              <w:rPr>
                <w:rFonts w:ascii="宋体" w:hAnsi="宋体" w:cs="宋体" w:eastAsia="宋体" w:hint="default"/>
                <w:spacing w:val="-2"/>
                <w:sz w:val="18"/>
                <w:szCs w:val="18"/>
              </w:rPr>
              <w:t>协商确定，并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符合有关法 律、法规规 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09" w:lineRule="auto"/>
              <w:ind w:left="24" w:right="87"/>
              <w:jc w:val="left"/>
              <w:rPr>
                <w:rFonts w:ascii="宋体" w:hAnsi="宋体" w:cs="宋体" w:eastAsia="宋体" w:hint="default"/>
                <w:sz w:val="18"/>
                <w:szCs w:val="18"/>
              </w:rPr>
            </w:pPr>
            <w:r>
              <w:rPr>
                <w:rFonts w:ascii="宋体" w:hAnsi="宋体" w:cs="宋体" w:eastAsia="宋体" w:hint="default"/>
                <w:sz w:val="18"/>
                <w:szCs w:val="18"/>
              </w:rPr>
              <w:t>合肥国创智 能科技有限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董永东</w:t>
            </w:r>
            <w:r>
              <w:rPr>
                <w:rFonts w:ascii="Times New Roman" w:hAnsi="Times New Roman" w:cs="Times New Roman" w:eastAsia="Times New Roman" w:hint="default"/>
                <w:sz w:val="18"/>
                <w:szCs w:val="18"/>
              </w:rPr>
              <w:t>; </w:t>
            </w:r>
            <w:r>
              <w:rPr>
                <w:rFonts w:ascii="宋体" w:hAnsi="宋体" w:cs="宋体" w:eastAsia="宋体" w:hint="default"/>
                <w:sz w:val="18"/>
                <w:szCs w:val="18"/>
              </w:rPr>
              <w:t>杨杨</w:t>
            </w:r>
            <w:r>
              <w:rPr>
                <w:rFonts w:ascii="Times New Roman" w:hAnsi="Times New Roman" w:cs="Times New Roman" w:eastAsia="Times New Roman" w:hint="default"/>
                <w:sz w:val="18"/>
                <w:szCs w:val="18"/>
              </w:rPr>
              <w:t>;</w:t>
            </w:r>
            <w:r>
              <w:rPr>
                <w:rFonts w:ascii="宋体" w:hAnsi="宋体" w:cs="宋体" w:eastAsia="宋体" w:hint="default"/>
                <w:sz w:val="18"/>
                <w:szCs w:val="18"/>
              </w:rPr>
              <w:t>史兴领</w:t>
            </w:r>
            <w:r>
              <w:rPr>
                <w:rFonts w:ascii="Times New Roman" w:hAnsi="Times New Roman" w:cs="Times New Roman" w:eastAsia="Times New Roman" w:hint="default"/>
                <w:sz w:val="18"/>
                <w:szCs w:val="18"/>
              </w:rPr>
              <w:t>; </w:t>
            </w:r>
            <w:r>
              <w:rPr>
                <w:rFonts w:ascii="宋体" w:hAnsi="宋体" w:cs="宋体" w:eastAsia="宋体" w:hint="default"/>
                <w:sz w:val="18"/>
                <w:szCs w:val="18"/>
              </w:rPr>
              <w:t>许广德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 科大国创股 份期间，本公 司及本公司 控制的其他 企业（若有）</w:t>
            </w:r>
          </w:p>
          <w:p>
            <w:pPr>
              <w:pStyle w:val="TableParagraph"/>
              <w:spacing w:line="316" w:lineRule="auto" w:before="22"/>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本人及本人 控制的其他 企业，不会以 任何形式从 事与科大国 创主营业务 相同或相似 的业务，不会 投资、收购、 兼并与科大 国创主营业 务相同或相 似的公司、企 业和项目，不 会以任何方 式为科大国 创的竞争企 业提供帮助； 若违反上述 承诺，则本公 司及本公司 控制的其他 企业（若有）</w:t>
            </w:r>
          </w:p>
          <w:p>
            <w:pPr>
              <w:pStyle w:val="TableParagraph"/>
              <w:spacing w:line="314" w:lineRule="auto" w:before="1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本人及本人 控制的其他 企业从事同 业竞争所获 得的收益全 部归科大国 </w:t>
            </w:r>
            <w:r>
              <w:rPr>
                <w:rFonts w:ascii="宋体" w:hAnsi="宋体" w:cs="宋体" w:eastAsia="宋体" w:hint="default"/>
                <w:spacing w:val="-2"/>
                <w:sz w:val="18"/>
                <w:szCs w:val="18"/>
              </w:rPr>
              <w:t>创所有，并赔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偿由此给科 大国创造成 的一切经济 损失，同时， 本公司及本 公司控制的 其他企业（若 </w:t>
            </w:r>
            <w:r>
              <w:rPr>
                <w:rFonts w:ascii="宋体" w:hAnsi="宋体" w:cs="宋体" w:eastAsia="宋体" w:hint="default"/>
                <w:spacing w:val="-9"/>
                <w:sz w:val="18"/>
                <w:szCs w:val="18"/>
              </w:rPr>
              <w:t>有）</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本人及本</w:t>
            </w:r>
            <w:r>
              <w:rPr>
                <w:rFonts w:ascii="宋体" w:hAnsi="宋体" w:cs="宋体" w:eastAsia="宋体" w:hint="default"/>
                <w:spacing w:val="-87"/>
                <w:sz w:val="18"/>
                <w:szCs w:val="18"/>
              </w:rPr>
              <w:t> </w:t>
            </w:r>
            <w:r>
              <w:rPr>
                <w:rFonts w:ascii="宋体" w:hAnsi="宋体" w:cs="宋体" w:eastAsia="宋体" w:hint="default"/>
                <w:sz w:val="18"/>
                <w:szCs w:val="18"/>
              </w:rPr>
              <w:t>人控制的其 他企业放弃 此类同业竞 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7"/>
              <w:jc w:val="left"/>
              <w:rPr>
                <w:rFonts w:ascii="宋体" w:hAnsi="宋体" w:cs="宋体" w:eastAsia="宋体" w:hint="default"/>
                <w:sz w:val="18"/>
                <w:szCs w:val="18"/>
              </w:rPr>
            </w:pPr>
            <w:r>
              <w:rPr>
                <w:rFonts w:ascii="宋体" w:hAnsi="宋体" w:cs="宋体" w:eastAsia="宋体" w:hint="default"/>
                <w:sz w:val="18"/>
                <w:szCs w:val="18"/>
              </w:rPr>
              <w:t>上海雅弘股 权投资基金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国元股权</w:t>
            </w:r>
            <w:r>
              <w:rPr>
                <w:rFonts w:ascii="宋体" w:hAnsi="宋体" w:cs="宋体" w:eastAsia="宋体" w:hint="default"/>
                <w:spacing w:val="-87"/>
                <w:sz w:val="18"/>
                <w:szCs w:val="18"/>
              </w:rPr>
              <w:t> </w:t>
            </w:r>
            <w:r>
              <w:rPr>
                <w:rFonts w:ascii="宋体" w:hAnsi="宋体" w:cs="宋体" w:eastAsia="宋体" w:hint="default"/>
                <w:sz w:val="18"/>
                <w:szCs w:val="18"/>
              </w:rPr>
              <w:t>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如本企业与 科大国创不 可避免地出 现关联交易， 将根据《公司 法》等国家法 律、法规和科 大国创公司 章程及科大 国创关于关 联交易的有 关制度的规 定，依照市场 规则，本着一 般商业原则， 通过签订书 面协议，公平 合理地进行 交易，以维护 科大国创及 所有股东的 利益，本企业 将不利用在 科大国创中 的股东地位， 为本企业在 与科大国创 关联交易中 谋取不正当 利益。若违反 前述承诺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企业将在科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7"/>
      </w:tblGrid>
      <w:tr>
        <w:trPr>
          <w:trHeight w:val="5667"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
              <w:jc w:val="left"/>
              <w:rPr>
                <w:rFonts w:ascii="宋体" w:hAnsi="宋体" w:cs="宋体" w:eastAsia="宋体" w:hint="default"/>
                <w:sz w:val="18"/>
                <w:szCs w:val="18"/>
              </w:rPr>
            </w:pPr>
            <w:r>
              <w:rPr>
                <w:rFonts w:ascii="宋体" w:hAnsi="宋体" w:cs="宋体" w:eastAsia="宋体" w:hint="default"/>
                <w:sz w:val="18"/>
                <w:szCs w:val="18"/>
              </w:rPr>
              <w:t>大国创股东 大会及中国 证监会指定 报刊上公开 说明具体原 因并向科大 国创股东和 社会公众投 资者道歉，且 在限期内采 取有效措施 予以纠正，造 成科大国创 或其他股东 利益受损的， 本企业将承 担全额赔偿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Times New Roman" w:hAnsi="Times New Roman" w:cs="Times New Roman" w:eastAsia="Times New Roman" w:hint="default"/>
          <w:sz w:val="22"/>
          <w:szCs w:val="22"/>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9"/>
        </w:rPr>
        <w:t> </w:t>
      </w:r>
      <w:r>
        <w:rPr>
          <w:spacing w:val="29"/>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4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73" w:lineRule="auto" w:before="80"/>
        <w:ind w:left="489" w:right="0"/>
        <w:jc w:val="left"/>
      </w:pPr>
      <w:r>
        <w:rPr/>
        <w:t>报告期内，公司根据财政部统一的会计准则要求变更会计政策，具体如下：</w:t>
      </w:r>
      <w:r>
        <w:rPr>
          <w:w w:val="100"/>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w:t>
      </w:r>
    </w:p>
    <w:p>
      <w:pPr>
        <w:pStyle w:val="BodyText"/>
        <w:spacing w:line="256" w:lineRule="auto"/>
        <w:ind w:right="146"/>
        <w:jc w:val="both"/>
      </w:pPr>
      <w:r>
        <w:rPr/>
        <w:t>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日起施行，对于该准则施行日存在的持有待售的非流动资产、处置组和终止</w:t>
      </w:r>
      <w:r>
        <w:rPr>
          <w:spacing w:val="-28"/>
        </w:rPr>
        <w:t> </w:t>
      </w:r>
      <w:r>
        <w:rPr>
          <w:spacing w:val="-28"/>
        </w:rPr>
      </w:r>
      <w:r>
        <w:rPr/>
        <w:t>经营，采用未来适用法处理。财政部于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w:t>
      </w:r>
      <w:r>
        <w:rPr>
          <w:spacing w:val="-27"/>
        </w:rPr>
        <w:t> </w:t>
      </w:r>
      <w:r>
        <w:rPr>
          <w:spacing w:val="-27"/>
        </w:rPr>
      </w:r>
      <w:r>
        <w:rPr/>
        <w:t>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2"/>
        </w:rPr>
        <w:t>日至该准则施行日之间新增的政府补助根据该准则进行调整。财政部于</w:t>
      </w:r>
      <w:r>
        <w:rPr>
          <w:rFonts w:ascii="Times New Roman" w:hAnsi="Times New Roman" w:cs="Times New Roman" w:eastAsia="Times New Roman" w:hint="default"/>
          <w:spacing w:val="-2"/>
        </w:rPr>
        <w:t>2017</w:t>
      </w:r>
      <w:r>
        <w:rPr>
          <w:spacing w:val="-2"/>
        </w:rPr>
        <w:t>年度发布了《财政部关于修订</w:t>
      </w:r>
      <w:r>
        <w:rPr>
          <w:spacing w:val="-38"/>
        </w:rPr>
        <w:t> </w:t>
      </w:r>
      <w:r>
        <w:rPr>
          <w:spacing w:val="-38"/>
        </w:rPr>
      </w:r>
      <w:r>
        <w:rPr>
          <w:spacing w:val="-2"/>
        </w:rPr>
        <w:t>印发一般企业财务报表格式的通知》，对一般企业财务报表格式进行了修订，适用于</w:t>
      </w:r>
      <w:r>
        <w:rPr>
          <w:rFonts w:ascii="Times New Roman" w:hAnsi="Times New Roman" w:cs="Times New Roman" w:eastAsia="Times New Roman" w:hint="default"/>
          <w:spacing w:val="-2"/>
        </w:rPr>
        <w:t>2017</w:t>
      </w:r>
      <w:r>
        <w:rPr>
          <w:spacing w:val="-2"/>
        </w:rPr>
        <w:t>年度及以后期间</w:t>
      </w:r>
      <w:r>
        <w:rPr>
          <w:spacing w:val="-40"/>
        </w:rPr>
        <w:t> </w:t>
      </w:r>
      <w:r>
        <w:rPr>
          <w:spacing w:val="-40"/>
        </w:rPr>
      </w:r>
      <w:r>
        <w:rPr/>
        <w:t>的财务报表。</w:t>
      </w:r>
    </w:p>
    <w:p>
      <w:pPr>
        <w:pStyle w:val="BodyText"/>
        <w:spacing w:line="240" w:lineRule="auto" w:before="23"/>
        <w:ind w:left="489" w:right="0"/>
        <w:jc w:val="left"/>
      </w:pPr>
      <w:r>
        <w:rPr/>
        <w:t>按照上述通知及上述企业会计准则的规定和要求，公司对原会计政策进行相应变更。</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1" w:lineRule="auto" w:before="80"/>
        <w:ind w:right="150" w:firstLine="336"/>
        <w:jc w:val="both"/>
      </w:pPr>
      <w:r>
        <w:rPr>
          <w:spacing w:val="-2"/>
        </w:rPr>
        <w:t>报告期内，公司新增纳入合并范围的子公司变化情况如下：新设控股子公司安徽中科国创高可信软件</w:t>
      </w:r>
      <w:r>
        <w:rPr>
          <w:w w:val="100"/>
        </w:rPr>
        <w:t> </w:t>
      </w:r>
      <w:r>
        <w:rPr>
          <w:spacing w:val="-2"/>
        </w:rPr>
        <w:t>有限公司，公司出资占其注册资本的</w:t>
      </w:r>
      <w:r>
        <w:rPr>
          <w:rFonts w:ascii="Times New Roman" w:hAnsi="Times New Roman" w:cs="Times New Roman" w:eastAsia="Times New Roman" w:hint="default"/>
          <w:spacing w:val="-2"/>
        </w:rPr>
        <w:t>68.5%</w:t>
      </w:r>
      <w:r>
        <w:rPr>
          <w:spacing w:val="-2"/>
        </w:rPr>
        <w:t>；新设全资子公司安徽科大国创智能科技有限公司；公司控股</w:t>
      </w:r>
      <w:r>
        <w:rPr>
          <w:spacing w:val="-19"/>
        </w:rPr>
        <w:t> </w:t>
      </w:r>
      <w:r>
        <w:rPr>
          <w:spacing w:val="-19"/>
        </w:rPr>
      </w:r>
      <w:r>
        <w:rPr>
          <w:spacing w:val="-3"/>
        </w:rPr>
        <w:t>子公司慧通互联新设全资子公司安徽慧通互联物流科技有限公司，公司通过慧通互联间接控制其</w:t>
      </w:r>
      <w:r>
        <w:rPr>
          <w:rFonts w:ascii="Times New Roman" w:hAnsi="Times New Roman" w:cs="Times New Roman" w:eastAsia="Times New Roman" w:hint="default"/>
          <w:spacing w:val="-3"/>
        </w:rPr>
        <w:t>60%</w:t>
      </w:r>
      <w:r>
        <w:rPr>
          <w:rFonts w:ascii="Times New Roman" w:hAnsi="Times New Roman" w:cs="Times New Roman" w:eastAsia="Times New Roman" w:hint="default"/>
          <w:spacing w:val="27"/>
        </w:rPr>
        <w:t> </w:t>
      </w:r>
      <w:r>
        <w:rPr>
          <w:spacing w:val="-3"/>
        </w:rPr>
        <w:t>的股</w:t>
      </w:r>
      <w:r>
        <w:rPr>
          <w:spacing w:val="-93"/>
        </w:rPr>
        <w:t> </w:t>
      </w:r>
      <w:r>
        <w:rPr/>
        <w:t>权。</w:t>
      </w: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郑磊、齐利平、黄冰冰</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年，齐利平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年，黄冰冰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9"/>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after="0" w:line="3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48" w:firstLine="420"/>
        <w:jc w:val="both"/>
      </w:pPr>
      <w:r>
        <w:rPr/>
        <w:t>报告期内，公司终止实施了</w:t>
      </w:r>
      <w:r>
        <w:rPr>
          <w:rFonts w:ascii="Times New Roman" w:hAnsi="Times New Roman" w:cs="Times New Roman" w:eastAsia="Times New Roman" w:hint="default"/>
        </w:rPr>
        <w:t>2016</w:t>
      </w:r>
      <w:r>
        <w:rPr/>
        <w:t>年限制性股票激励计划，并回购注销了授予的全部限制性股票</w:t>
      </w:r>
      <w:r>
        <w:rPr>
          <w:rFonts w:ascii="Times New Roman" w:hAnsi="Times New Roman" w:cs="Times New Roman" w:eastAsia="Times New Roman" w:hint="default"/>
        </w:rPr>
        <w:t>896.5</w:t>
      </w:r>
      <w:r>
        <w:rPr>
          <w:rFonts w:ascii="Times New Roman" w:hAnsi="Times New Roman" w:cs="Times New Roman" w:eastAsia="Times New Roman" w:hint="default"/>
          <w:w w:val="100"/>
        </w:rPr>
        <w:t> </w:t>
      </w:r>
      <w:r>
        <w:rPr/>
        <w:t>万股。相关审批程序如下：</w:t>
      </w:r>
    </w:p>
    <w:p>
      <w:pPr>
        <w:pStyle w:val="BodyText"/>
        <w:spacing w:line="256" w:lineRule="auto" w:before="22"/>
        <w:ind w:right="14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日，公司召开第二届董事会第十六次会议，审议通过了《关于回购并注销部分股权激励</w:t>
      </w:r>
      <w:r>
        <w:rPr>
          <w:w w:val="100"/>
        </w:rPr>
        <w:t> </w:t>
      </w:r>
      <w:r>
        <w:rPr>
          <w:spacing w:val="-2"/>
        </w:rPr>
        <w:t>限制性股票的议案》，激励对象刘健、程旭等</w:t>
      </w:r>
      <w:r>
        <w:rPr>
          <w:rFonts w:ascii="Times New Roman" w:hAnsi="Times New Roman" w:cs="Times New Roman" w:eastAsia="Times New Roman" w:hint="default"/>
          <w:spacing w:val="-2"/>
        </w:rPr>
        <w:t>10</w:t>
      </w:r>
      <w:r>
        <w:rPr>
          <w:spacing w:val="-2"/>
        </w:rPr>
        <w:t>人因个人原因离职已不符合激励条件，根据公司《激励计</w:t>
      </w:r>
      <w:r>
        <w:rPr>
          <w:spacing w:val="-41"/>
        </w:rPr>
        <w:t> </w:t>
      </w:r>
      <w:r>
        <w:rPr>
          <w:spacing w:val="-41"/>
        </w:rPr>
      </w:r>
      <w:r>
        <w:rPr>
          <w:spacing w:val="-7"/>
          <w:w w:val="100"/>
        </w:rPr>
        <w:t>划》的相关规定，将对其持有的已获授权但尚未解锁的限制性股票</w:t>
      </w:r>
      <w:r>
        <w:rPr>
          <w:rFonts w:ascii="Times New Roman" w:hAnsi="Times New Roman" w:cs="Times New Roman" w:eastAsia="Times New Roman" w:hint="default"/>
          <w:spacing w:val="-7"/>
          <w:w w:val="100"/>
        </w:rPr>
        <w:t>611,600</w:t>
      </w:r>
      <w:r>
        <w:rPr>
          <w:spacing w:val="-7"/>
          <w:w w:val="100"/>
        </w:rPr>
        <w:t>股进行回购注销。详见公司于</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日披露的《关于回购并注销部分股权激励限制性股票的公告》。</w:t>
      </w:r>
    </w:p>
    <w:p>
      <w:pPr>
        <w:pStyle w:val="BodyText"/>
        <w:spacing w:line="264" w:lineRule="auto" w:before="5"/>
        <w:ind w:right="14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日，公司第二届董事会第十七次会议和第二届监事会第十三次会议审议通过了《关于终</w:t>
      </w:r>
      <w:r>
        <w:rPr>
          <w:w w:val="100"/>
        </w:rPr>
        <w:t> </w:t>
      </w:r>
      <w:r>
        <w:rPr>
          <w:spacing w:val="-2"/>
        </w:rPr>
        <w:t>止实施限制性股票激励计划的议案》，同意公司终止实施限制性股票激励计划并回购注销已授予未解锁限</w:t>
      </w:r>
      <w:r>
        <w:rPr>
          <w:spacing w:val="-43"/>
        </w:rPr>
        <w:t> </w:t>
      </w:r>
      <w:r>
        <w:rPr>
          <w:spacing w:val="-43"/>
        </w:rPr>
      </w:r>
      <w:r>
        <w:rPr/>
        <w:t>制性股票</w:t>
      </w:r>
      <w:r>
        <w:rPr>
          <w:rFonts w:ascii="Times New Roman" w:hAnsi="Times New Roman" w:cs="Times New Roman" w:eastAsia="Times New Roman" w:hint="default"/>
        </w:rPr>
        <w:t>8,353,400</w:t>
      </w:r>
      <w:r>
        <w:rPr/>
        <w:t>股。详见公司于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日披露的《关于终止实限制性股票激励计划的公告》。</w:t>
      </w:r>
    </w:p>
    <w:p>
      <w:pPr>
        <w:pStyle w:val="BodyText"/>
        <w:spacing w:line="256" w:lineRule="auto"/>
        <w:ind w:right="15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2017</w:t>
      </w:r>
      <w:r>
        <w:rPr/>
        <w:t>年第二次临时股东大会审议并通过了《关于终止实施限制性股票激励计划</w:t>
      </w:r>
      <w:r>
        <w:rPr>
          <w:w w:val="100"/>
        </w:rPr>
        <w:t> </w:t>
      </w:r>
      <w:r>
        <w:rPr/>
        <w:t>的议案》。同意公司终止实施限制性股票激励计划并回购注销已授予未解锁限制性股票</w:t>
      </w:r>
      <w:r>
        <w:rPr>
          <w:rFonts w:ascii="Times New Roman" w:hAnsi="Times New Roman" w:cs="Times New Roman" w:eastAsia="Times New Roman" w:hint="default"/>
        </w:rPr>
        <w:t>8,353,400</w:t>
      </w:r>
      <w:r>
        <w:rPr/>
        <w:t>股。</w:t>
      </w:r>
    </w:p>
    <w:p>
      <w:pPr>
        <w:pStyle w:val="BodyText"/>
        <w:spacing w:line="256" w:lineRule="auto" w:before="5"/>
        <w:ind w:right="148"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日，经中国证券登记结算有限责任公司深圳分公司审核确认，公司完成上述</w:t>
      </w:r>
      <w:r>
        <w:rPr>
          <w:rFonts w:ascii="Times New Roman" w:hAnsi="Times New Roman" w:cs="Times New Roman" w:eastAsia="Times New Roman" w:hint="default"/>
          <w:spacing w:val="-3"/>
        </w:rPr>
        <w:t>896.5</w:t>
      </w:r>
      <w:r>
        <w:rPr>
          <w:spacing w:val="-3"/>
        </w:rPr>
        <w:t>万股限</w:t>
      </w:r>
      <w:r>
        <w:rPr>
          <w:w w:val="100"/>
        </w:rPr>
        <w:t> </w:t>
      </w:r>
      <w:r>
        <w:rPr/>
        <w:t>制性股票回购注销事宜。本次回购注销完成后，公司股份总数由</w:t>
      </w:r>
      <w:r>
        <w:rPr>
          <w:rFonts w:ascii="Times New Roman" w:hAnsi="Times New Roman" w:cs="Times New Roman" w:eastAsia="Times New Roman" w:hint="default"/>
        </w:rPr>
        <w:t>211,365,000</w:t>
      </w:r>
      <w:r>
        <w:rPr/>
        <w:t>股变更为</w:t>
      </w:r>
      <w:r>
        <w:rPr>
          <w:rFonts w:ascii="Times New Roman" w:hAnsi="Times New Roman" w:cs="Times New Roman" w:eastAsia="Times New Roman" w:hint="default"/>
        </w:rPr>
        <w:t>202,400,000</w:t>
      </w:r>
      <w:r>
        <w:rPr/>
        <w:t>股。</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after="0" w:line="3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2"/>
        <w:gridCol w:w="919"/>
        <w:gridCol w:w="1296"/>
        <w:gridCol w:w="1063"/>
        <w:gridCol w:w="1035"/>
        <w:gridCol w:w="1051"/>
        <w:gridCol w:w="790"/>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4"/>
        <w:gridCol w:w="1302"/>
        <w:gridCol w:w="1057"/>
        <w:gridCol w:w="1041"/>
        <w:gridCol w:w="1048"/>
        <w:gridCol w:w="790"/>
        <w:gridCol w:w="783"/>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安徽慧通互联科技有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15,000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7"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4" w:space="6787"/>
            <w:col w:w="12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8"/>
        <w:gridCol w:w="538"/>
      </w:tblGrid>
      <w:tr>
        <w:trPr>
          <w:trHeight w:val="2275"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0"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94"/>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27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中国 光大 银行 合肥 潜山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低风 险产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合同</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45.12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45.12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45.12</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中国 光大 银行 合肥 潜山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低风 险产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合同</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5.92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5.92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5.92</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51.04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51.04</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9"/>
        <w:gridCol w:w="638"/>
        <w:gridCol w:w="641"/>
        <w:gridCol w:w="639"/>
        <w:gridCol w:w="638"/>
        <w:gridCol w:w="638"/>
        <w:gridCol w:w="636"/>
        <w:gridCol w:w="639"/>
        <w:gridCol w:w="638"/>
        <w:gridCol w:w="638"/>
        <w:gridCol w:w="639"/>
        <w:gridCol w:w="636"/>
      </w:tblGrid>
      <w:tr>
        <w:trPr>
          <w:trHeight w:val="227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7" w:right="39"/>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科大国 创软件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62"/>
              <w:jc w:val="left"/>
              <w:rPr>
                <w:rFonts w:ascii="宋体" w:hAnsi="宋体" w:cs="宋体" w:eastAsia="宋体" w:hint="default"/>
                <w:sz w:val="18"/>
                <w:szCs w:val="18"/>
              </w:rPr>
            </w:pPr>
            <w:r>
              <w:rPr>
                <w:rFonts w:ascii="宋体" w:hAnsi="宋体" w:cs="宋体" w:eastAsia="宋体" w:hint="default"/>
                <w:sz w:val="18"/>
                <w:szCs w:val="18"/>
              </w:rPr>
              <w:t>中煤第 三建设</w:t>
            </w:r>
          </w:p>
          <w:p>
            <w:pPr>
              <w:pStyle w:val="TableParagraph"/>
              <w:spacing w:line="316"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（集 团）有 限责任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科大国 创国际 软件研 发生产 基地软 件研发 生产楼 工程</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招投标 定价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5,999.4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已在</w:t>
            </w:r>
          </w:p>
          <w:p>
            <w:pPr>
              <w:pStyle w:val="TableParagraph"/>
              <w:spacing w:line="316" w:lineRule="auto" w:before="76"/>
              <w:ind w:left="23" w:right="60"/>
              <w:jc w:val="left"/>
              <w:rPr>
                <w:rFonts w:ascii="宋体" w:hAnsi="宋体" w:cs="宋体" w:eastAsia="宋体" w:hint="default"/>
                <w:sz w:val="18"/>
                <w:szCs w:val="18"/>
              </w:rPr>
            </w:pPr>
            <w:r>
              <w:rPr>
                <w:rFonts w:ascii="宋体" w:hAnsi="宋体" w:cs="宋体" w:eastAsia="宋体" w:hint="default"/>
                <w:sz w:val="18"/>
                <w:szCs w:val="18"/>
              </w:rPr>
              <w:t>《招股 说明 书》中 披露</w:t>
            </w:r>
          </w:p>
        </w:tc>
      </w:tr>
    </w:tbl>
    <w:p>
      <w:pPr>
        <w:spacing w:line="240" w:lineRule="auto" w:before="3"/>
        <w:rPr>
          <w:rFonts w:ascii="宋体" w:hAnsi="宋体" w:cs="宋体" w:eastAsia="宋体" w:hint="default"/>
          <w:sz w:val="18"/>
          <w:szCs w:val="18"/>
        </w:rPr>
      </w:pPr>
    </w:p>
    <w:p>
      <w:pPr>
        <w:pStyle w:val="Heading2"/>
        <w:spacing w:line="367" w:lineRule="exact"/>
        <w:ind w:right="0"/>
        <w:jc w:val="both"/>
        <w:rPr>
          <w:b w:val="0"/>
          <w:bCs w:val="0"/>
        </w:rPr>
      </w:pPr>
      <w:r>
        <w:rPr/>
        <w:t>十七、社会责任情况</w:t>
      </w:r>
      <w:r>
        <w:rPr>
          <w:b w:val="0"/>
          <w:bCs w:val="0"/>
        </w:rPr>
      </w:r>
    </w:p>
    <w:p>
      <w:pPr>
        <w:pStyle w:val="BodyText"/>
        <w:spacing w:line="590" w:lineRule="atLeast" w:before="7"/>
        <w:ind w:left="633" w:right="0" w:hanging="48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、履行社会责任情况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公司的社会责任观是以公司的发展实现股东受益、员工成长、客户满意、政府放心，促进经济发展，</w:t>
      </w:r>
    </w:p>
    <w:p>
      <w:pPr>
        <w:pStyle w:val="BodyText"/>
        <w:spacing w:line="240" w:lineRule="auto" w:before="37"/>
        <w:ind w:right="0"/>
        <w:jc w:val="both"/>
      </w:pPr>
      <w:r>
        <w:rPr/>
        <w:t>社会和谐。</w:t>
      </w:r>
    </w:p>
    <w:p>
      <w:pPr>
        <w:pStyle w:val="BodyText"/>
        <w:spacing w:line="256" w:lineRule="auto" w:before="37"/>
        <w:ind w:left="573" w:right="0" w:firstLine="60"/>
        <w:jc w:val="left"/>
      </w:pPr>
      <w:r>
        <w:rPr/>
        <w:t>（</w:t>
      </w:r>
      <w:r>
        <w:rPr>
          <w:rFonts w:ascii="Times New Roman" w:hAnsi="Times New Roman" w:cs="Times New Roman" w:eastAsia="Times New Roman" w:hint="default"/>
        </w:rPr>
        <w:t>1</w:t>
      </w:r>
      <w:r>
        <w:rPr/>
        <w:t>）公司与股东</w:t>
      </w:r>
      <w:r>
        <w:rPr>
          <w:w w:val="100"/>
        </w:rPr>
        <w:t> </w:t>
      </w:r>
      <w:r>
        <w:rPr>
          <w:spacing w:val="-2"/>
        </w:rPr>
        <w:t>公司严格按照《公司法》、《深圳证券交易所创业板股票上市规则》、《深圳证券交易所创业板公司</w:t>
      </w:r>
    </w:p>
    <w:p>
      <w:pPr>
        <w:pStyle w:val="BodyText"/>
        <w:spacing w:line="273" w:lineRule="auto" w:before="22"/>
        <w:ind w:right="206"/>
        <w:jc w:val="both"/>
      </w:pPr>
      <w:r>
        <w:rPr>
          <w:spacing w:val="-3"/>
        </w:rPr>
        <w:t>规范运作指引》等相关法律法规的要求，及时、准确、真实、完整地进行信息披露，秉持公平、公正、公</w:t>
      </w:r>
      <w:r>
        <w:rPr>
          <w:spacing w:val="-5"/>
        </w:rPr>
        <w:t> </w:t>
      </w:r>
      <w:r>
        <w:rPr>
          <w:spacing w:val="-5"/>
        </w:rPr>
      </w:r>
      <w:r>
        <w:rPr>
          <w:spacing w:val="-2"/>
        </w:rPr>
        <w:t>开的原则对待全体投资者，维护广大投资者的利益。通过现场参观、投资者电话、电子邮箱、公司网站和</w:t>
      </w:r>
      <w:r>
        <w:rPr>
          <w:spacing w:val="-43"/>
        </w:rPr>
        <w:t> </w:t>
      </w:r>
      <w:r>
        <w:rPr>
          <w:spacing w:val="-43"/>
        </w:rPr>
      </w:r>
      <w:r>
        <w:rPr>
          <w:spacing w:val="-2"/>
        </w:rPr>
        <w:t>投资者关系互动平台等多种方式与投资者进行沟通交流，提高了公司的透明度和诚信度。规范股东大会的</w:t>
      </w:r>
      <w:r>
        <w:rPr>
          <w:spacing w:val="-43"/>
        </w:rPr>
        <w:t> </w:t>
      </w:r>
      <w:r>
        <w:rPr>
          <w:spacing w:val="-43"/>
        </w:rPr>
      </w:r>
      <w:r>
        <w:rPr>
          <w:spacing w:val="-2"/>
        </w:rPr>
        <w:t>召集、召开及表决程序，通过现场、网络等合法有效的方式，更多的股东特别是中小股东能够参加股东大</w:t>
      </w:r>
      <w:r>
        <w:rPr>
          <w:spacing w:val="-47"/>
        </w:rPr>
        <w:t> </w:t>
      </w:r>
      <w:r>
        <w:rPr>
          <w:spacing w:val="-47"/>
        </w:rPr>
      </w:r>
      <w:r>
        <w:rPr>
          <w:spacing w:val="-2"/>
        </w:rPr>
        <w:t>会，确保股东对公司重大事项的知情权、参与权和表决权。公司非常重视对投资者的合理回报，制定了相</w:t>
      </w:r>
      <w:r>
        <w:rPr>
          <w:spacing w:val="-50"/>
        </w:rPr>
        <w:t> </w:t>
      </w:r>
      <w:r>
        <w:rPr>
          <w:spacing w:val="-50"/>
        </w:rPr>
      </w:r>
      <w:r>
        <w:rPr/>
        <w:t>对稳定的利润分配政策和分红方案以回报股东。</w:t>
      </w:r>
    </w:p>
    <w:p>
      <w:pPr>
        <w:pStyle w:val="BodyText"/>
        <w:spacing w:line="256" w:lineRule="auto" w:before="7"/>
        <w:ind w:left="633" w:right="0"/>
        <w:jc w:val="left"/>
      </w:pPr>
      <w:r>
        <w:rPr/>
        <w:t>（</w:t>
      </w:r>
      <w:r>
        <w:rPr>
          <w:rFonts w:ascii="Times New Roman" w:hAnsi="Times New Roman" w:cs="Times New Roman" w:eastAsia="Times New Roman" w:hint="default"/>
        </w:rPr>
        <w:t>2</w:t>
      </w:r>
      <w:r>
        <w:rPr/>
        <w:t>）公司与客户</w:t>
      </w:r>
      <w:r>
        <w:rPr>
          <w:w w:val="100"/>
        </w:rPr>
        <w:t> </w:t>
      </w:r>
      <w:r>
        <w:rPr>
          <w:spacing w:val="-5"/>
        </w:rPr>
        <w:t>公司始终坚持产业报国，</w:t>
      </w:r>
      <w:r>
        <w:rPr>
          <w:rFonts w:ascii="Times New Roman" w:hAnsi="Times New Roman" w:cs="Times New Roman" w:eastAsia="Times New Roman" w:hint="default"/>
          <w:spacing w:val="-5"/>
        </w:rPr>
        <w:t>“</w:t>
      </w:r>
      <w:r>
        <w:rPr>
          <w:spacing w:val="-5"/>
        </w:rPr>
        <w:t>急国家之所急、想国家之所想</w:t>
      </w:r>
      <w:r>
        <w:rPr>
          <w:rFonts w:ascii="Times New Roman" w:hAnsi="Times New Roman" w:cs="Times New Roman" w:eastAsia="Times New Roman" w:hint="default"/>
          <w:spacing w:val="-5"/>
        </w:rPr>
        <w:t>”</w:t>
      </w:r>
      <w:r>
        <w:rPr>
          <w:spacing w:val="-5"/>
        </w:rPr>
        <w:t>，公司主要客户为电信、电力、金融、交通、</w:t>
      </w:r>
    </w:p>
    <w:p>
      <w:pPr>
        <w:pStyle w:val="BodyText"/>
        <w:spacing w:line="261" w:lineRule="auto" w:before="5"/>
        <w:ind w:right="206"/>
        <w:jc w:val="both"/>
      </w:pPr>
      <w:r>
        <w:rPr>
          <w:spacing w:val="-2"/>
        </w:rPr>
        <w:t>政府领域的国企、央企及政府部门，公司为其提供优质的产品和服务，为提升社会效率贡献力量；公司开</w:t>
      </w:r>
      <w:r>
        <w:rPr>
          <w:spacing w:val="-50"/>
        </w:rPr>
        <w:t> </w:t>
      </w:r>
      <w:r>
        <w:rPr>
          <w:spacing w:val="-50"/>
        </w:rPr>
      </w:r>
      <w:r>
        <w:rPr>
          <w:spacing w:val="-1"/>
        </w:rPr>
        <w:t>发的</w:t>
      </w:r>
      <w:r>
        <w:rPr>
          <w:rFonts w:ascii="Times New Roman" w:hAnsi="Times New Roman" w:cs="Times New Roman" w:eastAsia="Times New Roman" w:hint="default"/>
          <w:spacing w:val="-1"/>
        </w:rPr>
        <w:t>“</w:t>
      </w:r>
      <w:r>
        <w:rPr>
          <w:spacing w:val="-1"/>
        </w:rPr>
        <w:t>数据铁笼</w:t>
      </w:r>
      <w:r>
        <w:rPr>
          <w:rFonts w:ascii="Times New Roman" w:hAnsi="Times New Roman" w:cs="Times New Roman" w:eastAsia="Times New Roman" w:hint="default"/>
          <w:spacing w:val="-1"/>
        </w:rPr>
        <w:t>”</w:t>
      </w:r>
      <w:r>
        <w:rPr>
          <w:spacing w:val="-1"/>
        </w:rPr>
        <w:t>项目获得央视、中纪委等一致好评，开发的</w:t>
      </w:r>
      <w:r>
        <w:rPr>
          <w:rFonts w:ascii="Times New Roman" w:hAnsi="Times New Roman" w:cs="Times New Roman" w:eastAsia="Times New Roman" w:hint="default"/>
          <w:spacing w:val="-1"/>
        </w:rPr>
        <w:t>“</w:t>
      </w:r>
      <w:r>
        <w:rPr>
          <w:spacing w:val="-1"/>
        </w:rPr>
        <w:t>安徽省信用大数据平台建设项目</w:t>
      </w:r>
      <w:r>
        <w:rPr>
          <w:rFonts w:ascii="Times New Roman" w:hAnsi="Times New Roman" w:cs="Times New Roman" w:eastAsia="Times New Roman" w:hint="default"/>
          <w:spacing w:val="-1"/>
        </w:rPr>
        <w:t>”</w:t>
      </w:r>
      <w:r>
        <w:rPr>
          <w:spacing w:val="-1"/>
        </w:rPr>
        <w:t>被国家发改</w:t>
      </w:r>
      <w:r>
        <w:rPr>
          <w:spacing w:val="-43"/>
        </w:rPr>
        <w:t> </w:t>
      </w:r>
      <w:r>
        <w:rPr>
          <w:spacing w:val="-43"/>
        </w:rPr>
      </w:r>
      <w:r>
        <w:rPr>
          <w:spacing w:val="-2"/>
        </w:rPr>
        <w:t>委列为</w:t>
      </w:r>
      <w:r>
        <w:rPr>
          <w:rFonts w:ascii="Times New Roman" w:hAnsi="Times New Roman" w:cs="Times New Roman" w:eastAsia="Times New Roman" w:hint="default"/>
          <w:spacing w:val="-2"/>
        </w:rPr>
        <w:t>2018</w:t>
      </w:r>
      <w:r>
        <w:rPr>
          <w:spacing w:val="-2"/>
        </w:rPr>
        <w:t>数字经济重大试点工程，用科技手段推动了社会发展。同时公司作为安徽省大数据联盟、安徽</w:t>
      </w:r>
      <w:r>
        <w:rPr>
          <w:spacing w:val="-40"/>
        </w:rPr>
        <w:t> </w:t>
      </w:r>
      <w:r>
        <w:rPr>
          <w:spacing w:val="-40"/>
        </w:rPr>
      </w:r>
      <w:r>
        <w:rPr/>
        <w:t>省软件协会、合肥市大数据创新产业联盟等地区行业协会主导单位，引领了地区产业发展。</w:t>
      </w:r>
    </w:p>
    <w:p>
      <w:pPr>
        <w:pStyle w:val="BodyText"/>
        <w:spacing w:line="256" w:lineRule="auto" w:before="18"/>
        <w:ind w:left="633" w:right="0"/>
        <w:jc w:val="left"/>
      </w:pPr>
      <w:r>
        <w:rPr/>
        <w:t>（</w:t>
      </w:r>
      <w:r>
        <w:rPr>
          <w:rFonts w:ascii="Times New Roman" w:hAnsi="Times New Roman" w:cs="Times New Roman" w:eastAsia="Times New Roman" w:hint="default"/>
        </w:rPr>
        <w:t>3</w:t>
      </w:r>
      <w:r>
        <w:rPr/>
        <w:t>）公司与员工</w:t>
      </w:r>
      <w:r>
        <w:rPr>
          <w:w w:val="100"/>
        </w:rPr>
        <w:t> </w:t>
      </w:r>
      <w:r>
        <w:rPr>
          <w:spacing w:val="-4"/>
        </w:rPr>
        <w:t>公司严格遵守《劳动法》等相关法律法规，通过多种方式为员工提供平等的发展机会，尊重和维护员</w:t>
      </w:r>
    </w:p>
    <w:p>
      <w:pPr>
        <w:pStyle w:val="BodyText"/>
        <w:spacing w:line="240" w:lineRule="auto" w:before="22"/>
        <w:ind w:right="0"/>
        <w:jc w:val="both"/>
      </w:pPr>
      <w:r>
        <w:rPr/>
        <w:t>工的个人利益，建立了较为完善的绩效考核体系，为员工提供了良好的劳动环境，重视人才培养，实现员</w:t>
      </w:r>
    </w:p>
    <w:p>
      <w:pPr>
        <w:spacing w:after="0" w:line="240"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工与企业的共同成长。</w:t>
      </w:r>
    </w:p>
    <w:p>
      <w:pPr>
        <w:pStyle w:val="BodyText"/>
        <w:spacing w:line="256" w:lineRule="auto" w:before="37"/>
        <w:ind w:left="573" w:right="0" w:firstLine="60"/>
        <w:jc w:val="left"/>
      </w:pPr>
      <w:r>
        <w:rPr/>
        <w:t>（</w:t>
      </w:r>
      <w:r>
        <w:rPr>
          <w:rFonts w:ascii="Times New Roman" w:hAnsi="Times New Roman" w:cs="Times New Roman" w:eastAsia="Times New Roman" w:hint="default"/>
        </w:rPr>
        <w:t>4</w:t>
      </w:r>
      <w:r>
        <w:rPr/>
        <w:t>）公司与社会</w:t>
      </w:r>
      <w:r>
        <w:rPr>
          <w:w w:val="100"/>
        </w:rPr>
        <w:t> </w:t>
      </w:r>
      <w:r>
        <w:rPr>
          <w:spacing w:val="-2"/>
        </w:rPr>
        <w:t>公司的发展离不开社会的支持，回报社会是公司的责任和使命。公司重视履行社会责任，积极参加社</w:t>
      </w:r>
    </w:p>
    <w:p>
      <w:pPr>
        <w:pStyle w:val="BodyText"/>
        <w:spacing w:line="240" w:lineRule="auto" w:before="22"/>
        <w:ind w:right="0"/>
        <w:jc w:val="left"/>
      </w:pPr>
      <w:r>
        <w:rPr/>
        <w:t>会公益活动。</w:t>
      </w:r>
    </w:p>
    <w:p>
      <w:pPr>
        <w:pStyle w:val="BodyText"/>
        <w:spacing w:line="273" w:lineRule="auto" w:before="37"/>
        <w:ind w:right="206" w:firstLine="420"/>
        <w:jc w:val="both"/>
      </w:pPr>
      <w:r>
        <w:rPr>
          <w:spacing w:val="-2"/>
        </w:rPr>
        <w:t>公司不仅是财富的创造者，税收的上缴者，更是实现就业、关注安全、保护环境等更多社会责任的承</w:t>
      </w:r>
      <w:r>
        <w:rPr>
          <w:w w:val="100"/>
        </w:rPr>
        <w:t> </w:t>
      </w:r>
      <w:r>
        <w:rPr>
          <w:spacing w:val="-2"/>
        </w:rPr>
        <w:t>担者。公司在追求经济效益、保护股东利益的同时，积极维护职工的合法权益，诚信对待客户，并积极致</w:t>
      </w:r>
      <w:r>
        <w:rPr>
          <w:spacing w:val="-43"/>
        </w:rPr>
        <w:t> </w:t>
      </w:r>
      <w:r>
        <w:rPr>
          <w:spacing w:val="-43"/>
        </w:rPr>
      </w:r>
      <w:r>
        <w:rPr/>
        <w:t>力于公益事业，从而促进经济发展、环境保护和社会责任之间的协调可持续发展。</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479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6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1" w:lineRule="auto" w:before="83"/>
        <w:ind w:right="0" w:firstLine="420"/>
        <w:jc w:val="left"/>
      </w:pPr>
      <w:r>
        <w:rPr/>
        <w:t>报告期内，公司第二届董事会第十九次会议及</w:t>
      </w:r>
      <w:r>
        <w:rPr>
          <w:rFonts w:ascii="Times New Roman" w:hAnsi="Times New Roman" w:cs="Times New Roman" w:eastAsia="Times New Roman" w:hint="default"/>
        </w:rPr>
        <w:t>2017</w:t>
      </w:r>
      <w:r>
        <w:rPr/>
        <w:t>年第三次临时股东大会审议通过《关于吸收合并全</w:t>
      </w:r>
      <w:r>
        <w:rPr>
          <w:w w:val="100"/>
        </w:rPr>
        <w:t> </w:t>
      </w:r>
      <w:r>
        <w:rPr>
          <w:spacing w:val="-5"/>
        </w:rPr>
        <w:t>资子公司的议案》，公司拟整合全资子公司国创恒星业务资源，由公司为主体吸收合并，吸收合并完成后，</w:t>
      </w:r>
      <w:r>
        <w:rPr>
          <w:spacing w:val="-8"/>
        </w:rPr>
        <w:t> </w:t>
      </w:r>
      <w:r>
        <w:rPr>
          <w:spacing w:val="-8"/>
        </w:rPr>
      </w:r>
      <w:r>
        <w:rPr/>
        <w:t>国创恒星依法注销，其全部业务、资产、债权、债务由公司依法承继。具体内容详见公司于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rFonts w:ascii="Times New Roman" w:hAnsi="Times New Roman" w:cs="Times New Roman" w:eastAsia="Times New Roman" w:hint="default"/>
          <w:w w:val="100"/>
        </w:rPr>
        <w:t> </w:t>
      </w:r>
      <w:r>
        <w:rPr/>
        <w:t>日在巨潮资讯网（</w:t>
      </w:r>
      <w:hyperlink r:id="rId11">
        <w:r>
          <w:rPr>
            <w:rFonts w:ascii="Times New Roman" w:hAnsi="Times New Roman" w:cs="Times New Roman" w:eastAsia="Times New Roman" w:hint="default"/>
          </w:rPr>
          <w:t>www.cninfo.com.cn</w:t>
        </w:r>
      </w:hyperlink>
      <w:r>
        <w:rPr/>
        <w:t>）上披露的《关于吸收合并全资子公司的公告》。</w:t>
      </w:r>
    </w:p>
    <w:p>
      <w:pPr>
        <w:pStyle w:val="BodyText"/>
        <w:spacing w:line="261" w:lineRule="auto"/>
        <w:ind w:right="206" w:firstLine="420"/>
        <w:jc w:val="both"/>
      </w:pPr>
      <w:r>
        <w:rPr>
          <w:spacing w:val="-2"/>
        </w:rPr>
        <w:t>报告期内，公司第二届董事会第二十次会议及</w:t>
      </w:r>
      <w:r>
        <w:rPr>
          <w:rFonts w:ascii="Times New Roman" w:hAnsi="Times New Roman" w:cs="Times New Roman" w:eastAsia="Times New Roman" w:hint="default"/>
          <w:spacing w:val="-2"/>
        </w:rPr>
        <w:t>2017</w:t>
      </w:r>
      <w:r>
        <w:rPr>
          <w:spacing w:val="-2"/>
        </w:rPr>
        <w:t>年第四次临时股东大会审议通过《关于为控股子公</w:t>
      </w:r>
      <w:r>
        <w:rPr>
          <w:w w:val="100"/>
        </w:rPr>
        <w:t> </w:t>
      </w:r>
      <w:r>
        <w:rPr>
          <w:spacing w:val="-2"/>
        </w:rPr>
        <w:t>司申请银行综合授信提供担保的议案》，公司与控股子公司慧通互联的少数股东，拟共同为慧通互联向相</w:t>
      </w:r>
      <w:r>
        <w:rPr>
          <w:spacing w:val="-44"/>
        </w:rPr>
        <w:t> </w:t>
      </w:r>
      <w:r>
        <w:rPr>
          <w:spacing w:val="-44"/>
        </w:rPr>
      </w:r>
      <w:r>
        <w:rPr>
          <w:spacing w:val="-2"/>
        </w:rPr>
        <w:t>关银行申请综合授信提供总额不超过人民币</w:t>
      </w:r>
      <w:r>
        <w:rPr>
          <w:rFonts w:ascii="Times New Roman" w:hAnsi="Times New Roman" w:cs="Times New Roman" w:eastAsia="Times New Roman" w:hint="default"/>
          <w:spacing w:val="-2"/>
        </w:rPr>
        <w:t>20,000</w:t>
      </w:r>
      <w:r>
        <w:rPr>
          <w:spacing w:val="-2"/>
        </w:rPr>
        <w:t>万元的连带责任保证担保。具体内容详见公司于</w:t>
      </w:r>
      <w:r>
        <w:rPr>
          <w:rFonts w:ascii="Times New Roman" w:hAnsi="Times New Roman" w:cs="Times New Roman" w:eastAsia="Times New Roman" w:hint="default"/>
          <w:spacing w:val="-2"/>
        </w:rPr>
        <w:t>2017</w:t>
      </w:r>
      <w:r>
        <w:rPr>
          <w:spacing w:val="-2"/>
        </w:rPr>
        <w:t>年</w:t>
      </w:r>
      <w:r>
        <w:rPr>
          <w:spacing w:val="-13"/>
        </w:rPr>
        <w:t> </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26</w:t>
      </w:r>
      <w:r>
        <w:rPr>
          <w:spacing w:val="-3"/>
        </w:rPr>
        <w:t>日在巨潮资讯网（</w:t>
      </w:r>
      <w:hyperlink r:id="rId11">
        <w:r>
          <w:rPr>
            <w:rFonts w:ascii="Times New Roman" w:hAnsi="Times New Roman" w:cs="Times New Roman" w:eastAsia="Times New Roman" w:hint="default"/>
            <w:spacing w:val="-3"/>
          </w:rPr>
          <w:t>www.cninfo.com.cn</w:t>
        </w:r>
      </w:hyperlink>
      <w:r>
        <w:rPr>
          <w:spacing w:val="-3"/>
        </w:rPr>
        <w:t>）上披露的《关于为控股子公司申请银行综合授信提供担保的</w:t>
      </w:r>
      <w:r>
        <w:rPr>
          <w:spacing w:val="4"/>
        </w:rPr>
        <w:t> </w:t>
      </w:r>
      <w:r>
        <w:rPr>
          <w:spacing w:val="4"/>
        </w:rPr>
      </w:r>
      <w:r>
        <w:rPr/>
        <w:t>公告》。</w:t>
      </w:r>
    </w:p>
    <w:p>
      <w:pPr>
        <w:spacing w:after="0" w:line="261" w:lineRule="auto"/>
        <w:jc w:val="both"/>
        <w:sectPr>
          <w:pgSz w:w="11910" w:h="16840"/>
          <w:pgMar w:header="748"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2964" w:right="0"/>
        <w:jc w:val="left"/>
        <w:rPr>
          <w:b w:val="0"/>
          <w:bCs w:val="0"/>
        </w:rPr>
      </w:pPr>
      <w:bookmarkStart w:name="_TOC_250006" w:id="6"/>
      <w:r>
        <w:rPr/>
        <w:t>第六节 </w:t>
      </w:r>
      <w:r>
        <w:rPr>
          <w:spacing w:val="11"/>
        </w:rPr>
        <w:t> </w:t>
      </w:r>
      <w:r>
        <w:rPr/>
        <w:t>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5"/>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76.06%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53,843,46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-37,170,4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16,673,00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44.34%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3,228,691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3.36%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-3,228,69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-3,228,69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69,846,30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72.70%</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53,843,46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19,901,70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44.34%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55,956,29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58.24%</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37,543,51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-24,670,0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12,873,47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68,829,76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34.01%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13,890,01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14.46%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16,299,95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-9,271,72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7,028,228</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20,918,24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10.34%</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23.94%</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61,446,54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28,205,45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89,651,99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w w:val="95"/>
                <w:sz w:val="18"/>
              </w:rPr>
              <w:t>112,651,9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55.66%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23.94%</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61,446,54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89,651,99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112,651,9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55.66%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96,075,00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w w:val="95"/>
                <w:sz w:val="18"/>
              </w:rPr>
              <w:t>115,290,0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-8,965,00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106,325,0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202,400,0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日，公司部分首次公开发行前已发行股份解除限售上市流通，解除限售的股份数量为</w:t>
      </w:r>
    </w:p>
    <w:p>
      <w:pPr>
        <w:pStyle w:val="BodyText"/>
        <w:spacing w:line="240" w:lineRule="auto" w:before="21"/>
        <w:ind w:right="0"/>
        <w:jc w:val="left"/>
      </w:pPr>
      <w:r>
        <w:rPr>
          <w:rFonts w:ascii="Times New Roman" w:hAnsi="Times New Roman" w:cs="Times New Roman" w:eastAsia="Times New Roman" w:hint="default"/>
        </w:rPr>
        <w:t>28,205,451</w:t>
      </w:r>
      <w:r>
        <w:rPr/>
        <w:t>股。</w:t>
      </w:r>
    </w:p>
    <w:p>
      <w:pPr>
        <w:pStyle w:val="BodyText"/>
        <w:spacing w:line="256" w:lineRule="auto" w:before="21"/>
        <w:ind w:right="145"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日，公司披露了《</w:t>
      </w:r>
      <w:r>
        <w:rPr>
          <w:rFonts w:ascii="Times New Roman" w:hAnsi="Times New Roman" w:cs="Times New Roman" w:eastAsia="Times New Roman" w:hint="default"/>
          <w:spacing w:val="-2"/>
        </w:rPr>
        <w:t>2016</w:t>
      </w:r>
      <w:r>
        <w:rPr>
          <w:spacing w:val="-2"/>
        </w:rPr>
        <w:t>年度权益分派实施公告》，本次权益分派股权登记日为：</w:t>
      </w:r>
      <w:r>
        <w:rPr>
          <w:rFonts w:ascii="Times New Roman" w:hAnsi="Times New Roman" w:cs="Times New Roman" w:eastAsia="Times New Roman" w:hint="default"/>
          <w:spacing w:val="-2"/>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日。该权益分派方案履行完毕后，公司总股本由</w:t>
      </w:r>
      <w:r>
        <w:rPr>
          <w:rFonts w:ascii="Times New Roman" w:hAnsi="Times New Roman" w:cs="Times New Roman" w:eastAsia="Times New Roman" w:hint="default"/>
        </w:rPr>
        <w:t>96,075,000</w:t>
      </w:r>
      <w:r>
        <w:rPr/>
        <w:t>股增</w:t>
      </w:r>
      <w:r>
        <w:rPr>
          <w:spacing w:val="-24"/>
        </w:rPr>
        <w:t> </w:t>
      </w:r>
      <w:r>
        <w:rPr/>
        <w:t>至</w:t>
      </w:r>
      <w:r>
        <w:rPr>
          <w:rFonts w:ascii="Times New Roman" w:hAnsi="Times New Roman" w:cs="Times New Roman" w:eastAsia="Times New Roman" w:hint="default"/>
        </w:rPr>
        <w:t>211,365,000</w:t>
      </w:r>
      <w:r>
        <w:rPr/>
        <w:t>股。</w:t>
      </w:r>
    </w:p>
    <w:p>
      <w:pPr>
        <w:pStyle w:val="BodyText"/>
        <w:spacing w:line="256" w:lineRule="auto" w:before="5"/>
        <w:ind w:right="146" w:firstLine="42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日，激励对象刘健、程旭等</w:t>
      </w:r>
      <w:r>
        <w:rPr>
          <w:rFonts w:ascii="Times New Roman" w:hAnsi="Times New Roman" w:cs="Times New Roman" w:eastAsia="Times New Roman" w:hint="default"/>
          <w:spacing w:val="-2"/>
        </w:rPr>
        <w:t>10</w:t>
      </w:r>
      <w:r>
        <w:rPr>
          <w:spacing w:val="-2"/>
        </w:rPr>
        <w:t>人因个人原因离职已不符合激励条件，根据公司《激励</w:t>
      </w:r>
      <w:r>
        <w:rPr>
          <w:w w:val="100"/>
        </w:rPr>
        <w:t> </w:t>
      </w:r>
      <w:r>
        <w:rPr>
          <w:spacing w:val="-3"/>
        </w:rPr>
        <w:t>计划》的相关规定，将对其持有的已获授权但尚未解锁的限制性股票</w:t>
      </w:r>
      <w:r>
        <w:rPr>
          <w:rFonts w:ascii="Times New Roman" w:hAnsi="Times New Roman" w:cs="Times New Roman" w:eastAsia="Times New Roman" w:hint="default"/>
          <w:spacing w:val="-3"/>
        </w:rPr>
        <w:t>611,600</w:t>
      </w:r>
      <w:r>
        <w:rPr>
          <w:spacing w:val="-3"/>
        </w:rPr>
        <w:t>股进行回购注销。实施回购注</w:t>
      </w:r>
      <w:r>
        <w:rPr>
          <w:spacing w:val="-41"/>
        </w:rPr>
        <w:t> </w:t>
      </w:r>
      <w:r>
        <w:rPr>
          <w:spacing w:val="-41"/>
        </w:rPr>
      </w:r>
      <w:r>
        <w:rPr/>
        <w:t>销上述激励对象已获授但尚未解锁的限制性股票后，公司总股本由</w:t>
      </w:r>
      <w:r>
        <w:rPr>
          <w:rFonts w:ascii="Times New Roman" w:hAnsi="Times New Roman" w:cs="Times New Roman" w:eastAsia="Times New Roman" w:hint="default"/>
        </w:rPr>
        <w:t>211,365,000</w:t>
      </w:r>
      <w:r>
        <w:rPr/>
        <w:t>股减至</w:t>
      </w:r>
      <w:r>
        <w:rPr>
          <w:rFonts w:ascii="Times New Roman" w:hAnsi="Times New Roman" w:cs="Times New Roman" w:eastAsia="Times New Roman" w:hint="default"/>
        </w:rPr>
        <w:t>210,753,400</w:t>
      </w:r>
      <w:r>
        <w:rPr/>
        <w:t>股。</w:t>
      </w:r>
    </w:p>
    <w:p>
      <w:pPr>
        <w:pStyle w:val="BodyText"/>
        <w:spacing w:line="240" w:lineRule="auto" w:before="5"/>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日，公司终止实施限制性股票激励计划并回购注销已授予未解锁限制性股票</w:t>
      </w:r>
      <w:r>
        <w:rPr>
          <w:rFonts w:ascii="Times New Roman" w:hAnsi="Times New Roman" w:cs="Times New Roman" w:eastAsia="Times New Roman" w:hint="default"/>
        </w:rPr>
        <w:t>8,353,400</w:t>
      </w:r>
    </w:p>
    <w:p>
      <w:pPr>
        <w:pStyle w:val="BodyText"/>
        <w:spacing w:line="240" w:lineRule="auto" w:before="21"/>
        <w:ind w:right="0"/>
        <w:jc w:val="left"/>
      </w:pPr>
      <w:r>
        <w:rPr/>
        <w:t>股。实施回购注销上述激励对象已获授但尚未解锁的限制性股票后，公司注册资本将随之发生变动，总股</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本由</w:t>
      </w:r>
      <w:r>
        <w:rPr>
          <w:rFonts w:ascii="Times New Roman" w:hAnsi="Times New Roman" w:cs="Times New Roman" w:eastAsia="Times New Roman" w:hint="default"/>
        </w:rPr>
        <w:t>210,753,400</w:t>
      </w:r>
      <w:r>
        <w:rPr/>
        <w:t>股减至</w:t>
      </w:r>
      <w:r>
        <w:rPr>
          <w:rFonts w:ascii="Times New Roman" w:hAnsi="Times New Roman" w:cs="Times New Roman" w:eastAsia="Times New Roman" w:hint="default"/>
        </w:rPr>
        <w:t>202,400,000</w:t>
      </w:r>
      <w:r>
        <w:rPr/>
        <w:t>股。</w:t>
      </w:r>
    </w:p>
    <w:p>
      <w:pPr>
        <w:spacing w:before="8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46"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日，公司部分首发股东的股份锁定承诺已履行完毕，根据相关规定上述股东申请解除</w:t>
      </w:r>
      <w:r>
        <w:rPr>
          <w:w w:val="100"/>
        </w:rPr>
        <w:t> </w:t>
      </w:r>
      <w:r>
        <w:rPr/>
        <w:t>其持有的首发前限售股合计</w:t>
      </w:r>
      <w:r>
        <w:rPr>
          <w:rFonts w:ascii="Times New Roman" w:hAnsi="Times New Roman" w:cs="Times New Roman" w:eastAsia="Times New Roman" w:hint="default"/>
        </w:rPr>
        <w:t>28,205,451</w:t>
      </w:r>
      <w:r>
        <w:rPr/>
        <w:t>股。</w:t>
      </w:r>
    </w:p>
    <w:p>
      <w:pPr>
        <w:pStyle w:val="BodyText"/>
        <w:spacing w:line="256" w:lineRule="auto" w:before="5"/>
        <w:ind w:right="146"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日，公司召开了第二届董事会第十四次会议，并于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日召开了</w:t>
      </w:r>
      <w:r>
        <w:rPr>
          <w:rFonts w:ascii="Times New Roman" w:hAnsi="Times New Roman" w:cs="Times New Roman" w:eastAsia="Times New Roman" w:hint="default"/>
        </w:rPr>
        <w:t>2016</w:t>
      </w:r>
      <w:r>
        <w:rPr/>
        <w:t>年度股</w:t>
      </w:r>
      <w:r>
        <w:rPr>
          <w:w w:val="100"/>
        </w:rPr>
        <w:t> </w:t>
      </w:r>
      <w:r>
        <w:rPr/>
        <w:t>东大会，审议通过了《关于公司</w:t>
      </w:r>
      <w:r>
        <w:rPr>
          <w:rFonts w:ascii="Times New Roman" w:hAnsi="Times New Roman" w:cs="Times New Roman" w:eastAsia="Times New Roman" w:hint="default"/>
        </w:rPr>
        <w:t>2016</w:t>
      </w:r>
      <w:r>
        <w:rPr/>
        <w:t>年度利润分配及资本公积转增股本预案的议案》。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r>
        <w:rPr>
          <w:spacing w:val="-25"/>
        </w:rPr>
        <w:t> </w:t>
      </w:r>
      <w:r>
        <w:rPr/>
        <w:t>公司披露了《</w:t>
      </w:r>
      <w:r>
        <w:rPr>
          <w:rFonts w:ascii="Times New Roman" w:hAnsi="Times New Roman" w:cs="Times New Roman" w:eastAsia="Times New Roman" w:hint="default"/>
        </w:rPr>
        <w:t>2016</w:t>
      </w:r>
      <w:r>
        <w:rPr/>
        <w:t>年度权益分派实施公告》，该权益分派方案履行完毕后，公司总股本由</w:t>
      </w:r>
      <w:r>
        <w:rPr>
          <w:rFonts w:ascii="Times New Roman" w:hAnsi="Times New Roman" w:cs="Times New Roman" w:eastAsia="Times New Roman" w:hint="default"/>
        </w:rPr>
        <w:t>96,075,000</w:t>
      </w:r>
      <w:r>
        <w:rPr/>
        <w:t>股增</w:t>
      </w:r>
      <w:r>
        <w:rPr>
          <w:spacing w:val="-27"/>
        </w:rPr>
        <w:t> </w:t>
      </w:r>
      <w:r>
        <w:rPr/>
        <w:t>至</w:t>
      </w:r>
      <w:r>
        <w:rPr>
          <w:rFonts w:ascii="Times New Roman" w:hAnsi="Times New Roman" w:cs="Times New Roman" w:eastAsia="Times New Roman" w:hint="default"/>
        </w:rPr>
        <w:t>211,365,000</w:t>
      </w:r>
      <w:r>
        <w:rPr/>
        <w:t>股。</w:t>
      </w:r>
    </w:p>
    <w:p>
      <w:pPr>
        <w:pStyle w:val="BodyText"/>
        <w:spacing w:line="256" w:lineRule="auto" w:before="5"/>
        <w:ind w:right="146" w:firstLine="42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日，公司召开第二届董事会第十六次会议，审议通过了《关于回购并注销部分股权激</w:t>
      </w:r>
      <w:r>
        <w:rPr>
          <w:w w:val="100"/>
        </w:rPr>
        <w:t> </w:t>
      </w:r>
      <w:r>
        <w:rPr>
          <w:spacing w:val="-2"/>
        </w:rPr>
        <w:t>励限制性股票的议案》，激励对象刘健、程旭等</w:t>
      </w:r>
      <w:r>
        <w:rPr>
          <w:rFonts w:ascii="Times New Roman" w:hAnsi="Times New Roman" w:cs="Times New Roman" w:eastAsia="Times New Roman" w:hint="default"/>
          <w:spacing w:val="-2"/>
        </w:rPr>
        <w:t>10</w:t>
      </w:r>
      <w:r>
        <w:rPr>
          <w:spacing w:val="-2"/>
        </w:rPr>
        <w:t>人因个人原因离职已不符合激励条件，根据公司《激励</w:t>
      </w:r>
      <w:r>
        <w:rPr>
          <w:spacing w:val="-41"/>
        </w:rPr>
        <w:t> </w:t>
      </w:r>
      <w:r>
        <w:rPr>
          <w:spacing w:val="-41"/>
        </w:rPr>
      </w:r>
      <w:r>
        <w:rPr>
          <w:spacing w:val="-3"/>
        </w:rPr>
        <w:t>计划》的相关规定，将对其持有的已获授权但尚未解锁的限制性股票</w:t>
      </w:r>
      <w:r>
        <w:rPr>
          <w:rFonts w:ascii="Times New Roman" w:hAnsi="Times New Roman" w:cs="Times New Roman" w:eastAsia="Times New Roman" w:hint="default"/>
          <w:spacing w:val="-3"/>
        </w:rPr>
        <w:t>611,600</w:t>
      </w:r>
      <w:r>
        <w:rPr>
          <w:spacing w:val="-3"/>
        </w:rPr>
        <w:t>股进行回购注销。实施回购注</w:t>
      </w:r>
      <w:r>
        <w:rPr>
          <w:spacing w:val="-41"/>
        </w:rPr>
        <w:t> </w:t>
      </w:r>
      <w:r>
        <w:rPr>
          <w:spacing w:val="-41"/>
        </w:rPr>
      </w:r>
      <w:r>
        <w:rPr/>
        <w:t>销上述激励对象已获授但尚未解锁的限制性股票后，公司总股本由</w:t>
      </w:r>
      <w:r>
        <w:rPr>
          <w:rFonts w:ascii="Times New Roman" w:hAnsi="Times New Roman" w:cs="Times New Roman" w:eastAsia="Times New Roman" w:hint="default"/>
        </w:rPr>
        <w:t>211,365,000</w:t>
      </w:r>
      <w:r>
        <w:rPr/>
        <w:t>股减至</w:t>
      </w:r>
      <w:r>
        <w:rPr>
          <w:rFonts w:ascii="Times New Roman" w:hAnsi="Times New Roman" w:cs="Times New Roman" w:eastAsia="Times New Roman" w:hint="default"/>
        </w:rPr>
        <w:t>210,753,400</w:t>
      </w:r>
      <w:r>
        <w:rPr/>
        <w:t>股。</w:t>
      </w:r>
    </w:p>
    <w:p>
      <w:pPr>
        <w:pStyle w:val="BodyText"/>
        <w:spacing w:line="261" w:lineRule="auto" w:before="5"/>
        <w:ind w:right="146"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日，公司召开了第二届董事会第十七次会议，并于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日召开了</w:t>
      </w:r>
      <w:r>
        <w:rPr>
          <w:rFonts w:ascii="Times New Roman" w:hAnsi="Times New Roman" w:cs="Times New Roman" w:eastAsia="Times New Roman" w:hint="default"/>
        </w:rPr>
        <w:t>2017</w:t>
      </w:r>
      <w:r>
        <w:rPr/>
        <w:t>年第二</w:t>
      </w:r>
      <w:r>
        <w:rPr>
          <w:w w:val="100"/>
        </w:rPr>
        <w:t> </w:t>
      </w:r>
      <w:r>
        <w:rPr>
          <w:spacing w:val="-2"/>
        </w:rPr>
        <w:t>次临时股东大会，审议通过了《关于终止实施限制性股票激励计划的议案》，同意公司终止实施限制性股</w:t>
      </w:r>
      <w:r>
        <w:rPr>
          <w:spacing w:val="-50"/>
        </w:rPr>
        <w:t> </w:t>
      </w:r>
      <w:r>
        <w:rPr>
          <w:spacing w:val="-50"/>
        </w:rPr>
      </w:r>
      <w:r>
        <w:rPr>
          <w:spacing w:val="-2"/>
        </w:rPr>
        <w:t>票激励计划并回购注销已授予未解锁限制性股票</w:t>
      </w:r>
      <w:r>
        <w:rPr>
          <w:rFonts w:ascii="Times New Roman" w:hAnsi="Times New Roman" w:cs="Times New Roman" w:eastAsia="Times New Roman" w:hint="default"/>
          <w:spacing w:val="-2"/>
        </w:rPr>
        <w:t>8,353,400</w:t>
      </w:r>
      <w:r>
        <w:rPr>
          <w:spacing w:val="-2"/>
        </w:rPr>
        <w:t>股。实施回购注销上述激励对象已获授但尚未解</w:t>
      </w:r>
      <w:r>
        <w:rPr>
          <w:spacing w:val="-36"/>
        </w:rPr>
        <w:t> </w:t>
      </w:r>
      <w:r>
        <w:rPr>
          <w:spacing w:val="-36"/>
        </w:rPr>
      </w:r>
      <w:r>
        <w:rPr/>
        <w:t>锁的限制性股票后，公司总股本由</w:t>
      </w:r>
      <w:r>
        <w:rPr>
          <w:rFonts w:ascii="Times New Roman" w:hAnsi="Times New Roman" w:cs="Times New Roman" w:eastAsia="Times New Roman" w:hint="default"/>
        </w:rPr>
        <w:t>210,753,400</w:t>
      </w:r>
      <w:r>
        <w:rPr/>
        <w:t>股减至</w:t>
      </w:r>
      <w:r>
        <w:rPr>
          <w:rFonts w:ascii="Times New Roman" w:hAnsi="Times New Roman" w:cs="Times New Roman" w:eastAsia="Times New Roman" w:hint="default"/>
        </w:rPr>
        <w:t>202,400,000</w:t>
      </w:r>
      <w:r>
        <w:rPr/>
        <w:t>股。</w:t>
      </w:r>
    </w:p>
    <w:p>
      <w:pPr>
        <w:spacing w:line="240" w:lineRule="auto" w:before="5"/>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73" w:lineRule="auto" w:before="83"/>
        <w:ind w:right="146" w:firstLine="420"/>
        <w:jc w:val="both"/>
      </w:pPr>
      <w:r>
        <w:rPr>
          <w:spacing w:val="-2"/>
        </w:rPr>
        <w:t>公司上述解除限售、资本公积转增股本以及回购注销限制性股票已全部在中国证券登记结算有限责任</w:t>
      </w:r>
      <w:r>
        <w:rPr>
          <w:w w:val="100"/>
        </w:rPr>
        <w:t> </w:t>
      </w:r>
      <w:r>
        <w:rPr/>
        <w:t>公司深圳分公司办理了相关证券变动手续。</w:t>
      </w:r>
    </w:p>
    <w:p>
      <w:pPr>
        <w:spacing w:before="67"/>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0" w:firstLine="420"/>
        <w:jc w:val="left"/>
      </w:pPr>
      <w:r>
        <w:rPr/>
        <w:t>报告期内，公司资本公积转增股本、回购注销限制性股票后，公司总股本由</w:t>
      </w:r>
      <w:r>
        <w:rPr>
          <w:rFonts w:ascii="Times New Roman" w:hAnsi="Times New Roman" w:cs="Times New Roman" w:eastAsia="Times New Roman" w:hint="default"/>
        </w:rPr>
        <w:t>96,075,000</w:t>
      </w:r>
      <w:r>
        <w:rPr/>
        <w:t>股变更至</w:t>
      </w:r>
      <w:r>
        <w:rPr>
          <w:w w:val="100"/>
        </w:rPr>
        <w:t> </w:t>
      </w:r>
      <w:r>
        <w:rPr>
          <w:rFonts w:ascii="Times New Roman" w:hAnsi="Times New Roman" w:cs="Times New Roman" w:eastAsia="Times New Roman" w:hint="default"/>
          <w:spacing w:val="-2"/>
        </w:rPr>
        <w:t>202,400,000</w:t>
      </w:r>
      <w:r>
        <w:rPr>
          <w:spacing w:val="-2"/>
        </w:rPr>
        <w:t>股。公司基本每股收益和稀释每股收益、归属于公司普通股股东的每股净资产等财务指标相应</w:t>
      </w:r>
      <w:r>
        <w:rPr>
          <w:spacing w:val="-31"/>
        </w:rPr>
        <w:t> </w:t>
      </w:r>
      <w:r>
        <w:rPr>
          <w:spacing w:val="-31"/>
        </w:rPr>
      </w:r>
      <w:r>
        <w:rPr/>
        <w:t>产生变动。</w:t>
      </w:r>
    </w:p>
    <w:p>
      <w:pPr>
        <w:spacing w:before="81"/>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3"/>
        <w:gridCol w:w="1369"/>
        <w:gridCol w:w="1368"/>
        <w:gridCol w:w="1371"/>
        <w:gridCol w:w="1369"/>
        <w:gridCol w:w="1370"/>
        <w:gridCol w:w="1361"/>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67"/>
              <w:jc w:val="left"/>
              <w:rPr>
                <w:rFonts w:ascii="宋体" w:hAnsi="宋体" w:cs="宋体" w:eastAsia="宋体" w:hint="default"/>
                <w:sz w:val="18"/>
                <w:szCs w:val="18"/>
              </w:rPr>
            </w:pPr>
            <w:r>
              <w:rPr>
                <w:rFonts w:ascii="宋体" w:hAnsi="宋体" w:cs="宋体" w:eastAsia="宋体" w:hint="default"/>
                <w:sz w:val="18"/>
                <w:szCs w:val="18"/>
              </w:rPr>
              <w:t>合肥国创智能科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31,286,258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37,543,510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68,829,768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首发承诺，本期 增加限售股数为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年度实施资 本公积转增股本 所致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3"/>
              <w:jc w:val="center"/>
              <w:rPr>
                <w:rFonts w:ascii="宋体" w:hAnsi="宋体" w:cs="宋体" w:eastAsia="宋体" w:hint="default"/>
                <w:sz w:val="18"/>
                <w:szCs w:val="18"/>
              </w:rPr>
            </w:pPr>
            <w:r>
              <w:rPr>
                <w:rFonts w:ascii="宋体" w:hAnsi="宋体" w:cs="宋体" w:eastAsia="宋体" w:hint="default"/>
                <w:sz w:val="18"/>
                <w:szCs w:val="18"/>
              </w:rPr>
              <w:t>上海雅弘股权投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12,269,003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1.944pt;margin-top:295.849976pt;width:101.1pt;height:50.8pt;mso-position-horizontal-relative:page;mso-position-vertical-relative:page;z-index:-8554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（无锡）</w:t>
                  </w:r>
                </w:p>
              </w:txbxContent>
            </v:textbox>
            <w10:wrap type="none"/>
          </v:shape>
        </w:pict>
      </w:r>
      <w:r>
        <w:rPr/>
        <w:pict>
          <v:shape style="position:absolute;margin-left:91.944pt;margin-top:661.539978pt;width:101.1pt;height:35.3pt;mso-position-horizontal-relative:page;mso-position-vertical-relative:page;z-index:-855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125.059998pt;margin-top:295.849976pt;width:67.95pt;height:50.8pt;mso-position-horizontal-relative:page;mso-position-vertical-relative:page;z-index:-855352" coordorigin="2501,5917" coordsize="1359,1016">
            <v:group style="position:absolute;left:2501;top:5917;width:1359;height:1016" coordorigin="2501,5917" coordsize="1359,1016">
              <v:shape style="position:absolute;left:2501;top:5917;width:1359;height:1016" coordorigin="2501,5917" coordsize="1359,1016" path="m2501,6932l3860,6932,3860,5917,2501,5917,2501,6932xe" filled="true" fillcolor="#ffffff" stroked="false">
                <v:path arrowok="t"/>
                <v:fill type="solid"/>
              </v:shape>
            </v:group>
            <v:group style="position:absolute;left:2525;top:6229;width:1314;height:392" coordorigin="2525,6229" coordsize="1314,392">
              <v:shape style="position:absolute;left:2525;top:6229;width:1314;height:392" coordorigin="2525,6229" coordsize="1314,392" path="m2525,6620l3838,6620,3838,6229,2525,6229,2525,6620xe" filled="true" fillcolor="#ffffff" stroked="false">
                <v:path arrowok="t"/>
                <v:fill type="solid"/>
              </v:shape>
            </v:group>
            <w10:wrap type="none"/>
          </v:group>
        </w:pict>
      </w:r>
      <w:r>
        <w:rPr/>
        <w:pict>
          <v:group style="position:absolute;margin-left:125.059998pt;margin-top:661.539978pt;width:67.95pt;height:35.3pt;mso-position-horizontal-relative:page;mso-position-vertical-relative:page;z-index:-855328" coordorigin="2501,13231" coordsize="1359,706">
            <v:group style="position:absolute;left:2501;top:13231;width:1359;height:706" coordorigin="2501,13231" coordsize="1359,706">
              <v:shape style="position:absolute;left:2501;top:13231;width:1359;height:706" coordorigin="2501,13231" coordsize="1359,706" path="m2501,13936l3860,13936,3860,13231,2501,13231,2501,13936xe" filled="true" fillcolor="#ffffff" stroked="false">
                <v:path arrowok="t"/>
                <v:fill type="solid"/>
              </v:shape>
            </v:group>
            <v:group style="position:absolute;left:2525;top:13387;width:1314;height:394" coordorigin="2525,13387" coordsize="1314,394">
              <v:shape style="position:absolute;left:2525;top:13387;width:1314;height:394" coordorigin="2525,13387" coordsize="1314,394" path="m2525,13780l3838,13780,3838,13387,2525,13387,2525,1378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3"/>
        <w:gridCol w:w="342"/>
        <w:gridCol w:w="1027"/>
        <w:gridCol w:w="1368"/>
        <w:gridCol w:w="1371"/>
        <w:gridCol w:w="1369"/>
        <w:gridCol w:w="1370"/>
        <w:gridCol w:w="1361"/>
      </w:tblGrid>
      <w:tr>
        <w:trPr>
          <w:trHeight w:val="67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67"/>
              <w:jc w:val="left"/>
              <w:rPr>
                <w:rFonts w:ascii="宋体" w:hAnsi="宋体" w:cs="宋体" w:eastAsia="宋体" w:hint="default"/>
                <w:sz w:val="18"/>
                <w:szCs w:val="18"/>
              </w:rPr>
            </w:pPr>
            <w:r>
              <w:rPr>
                <w:rFonts w:ascii="宋体" w:hAnsi="宋体" w:cs="宋体" w:eastAsia="宋体" w:hint="default"/>
                <w:sz w:val="18"/>
                <w:szCs w:val="18"/>
              </w:rPr>
              <w:t>资基金中心（有 限合伙）</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5,889,081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7,066,897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12,955,978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首发承诺，本期 增加限售股数为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年度实施资 本公积转增股本 所致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国元股权投资有 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4,426,297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4,426,297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中科大资产经营 有限责任公司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3,228,691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3,228,691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上海槟果资产管 理有限公司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3,067,203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3,067,203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德同国联 投资中心（有限 合伙）</w:t>
            </w:r>
          </w:p>
        </w:tc>
        <w:tc>
          <w:tcPr>
            <w:tcW w:w="342" w:type="dxa"/>
            <w:tcBorders>
              <w:top w:val="single" w:sz="4" w:space="0" w:color="000000"/>
              <w:left w:val="single" w:sz="4" w:space="0" w:color="000000"/>
              <w:bottom w:val="single" w:sz="4" w:space="0" w:color="000000"/>
              <w:right w:val="nil" w:sz="6" w:space="0" w:color="auto"/>
            </w:tcBorders>
          </w:tcPr>
          <w:p>
            <w:pP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2,845,888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安徽酷智投资管 理有限公司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1,840,332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1,840,332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1,410,867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1,693,040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3,103,907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首发承诺，本期 增加限售股数为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年度实施资 本公积转增股本 所致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1,288,177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1,545,813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2,833,990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首发承诺，本期 增加限售股数为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年度实施资 本公积转增股本 所致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27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1,226,888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306,722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首发限售股解 禁，高管自动锁 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股份，本 期增加限售股数 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年度实施 资本公积转增股 本所致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 高管锁定股每年 可减持所持股份 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7"/>
              <w:jc w:val="left"/>
              <w:rPr>
                <w:rFonts w:ascii="宋体" w:hAnsi="宋体" w:cs="宋体" w:eastAsia="宋体" w:hint="default"/>
                <w:sz w:val="18"/>
                <w:szCs w:val="18"/>
              </w:rPr>
            </w:pPr>
            <w:r>
              <w:rPr>
                <w:rFonts w:ascii="宋体" w:hAnsi="宋体" w:cs="宋体" w:eastAsia="宋体" w:hint="default"/>
                <w:sz w:val="18"/>
                <w:szCs w:val="18"/>
              </w:rPr>
              <w:t>博勤投资 有限公司</w:t>
            </w:r>
          </w:p>
        </w:tc>
        <w:tc>
          <w:tcPr>
            <w:tcW w:w="342" w:type="dxa"/>
            <w:tcBorders>
              <w:top w:val="single" w:sz="4" w:space="0" w:color="000000"/>
              <w:left w:val="single" w:sz="4" w:space="0" w:color="000000"/>
              <w:bottom w:val="single" w:sz="4" w:space="0" w:color="000000"/>
              <w:right w:val="nil" w:sz="6" w:space="0" w:color="auto"/>
            </w:tcBorders>
          </w:tcPr>
          <w:p>
            <w:pP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29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7"/>
              <w:ind w:left="24" w:right="65"/>
              <w:jc w:val="left"/>
              <w:rPr>
                <w:rFonts w:ascii="宋体" w:hAnsi="宋体" w:cs="宋体" w:eastAsia="宋体" w:hint="default"/>
                <w:sz w:val="18"/>
                <w:szCs w:val="18"/>
              </w:rPr>
            </w:pPr>
            <w:r>
              <w:rPr>
                <w:rFonts w:ascii="宋体" w:hAnsi="宋体" w:cs="宋体" w:eastAsia="宋体" w:hint="default"/>
                <w:sz w:val="18"/>
                <w:szCs w:val="18"/>
              </w:rPr>
              <w:t>武增涛等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314 </w:t>
            </w:r>
            <w:r>
              <w:rPr>
                <w:rFonts w:ascii="宋体" w:hAnsi="宋体" w:cs="宋体" w:eastAsia="宋体" w:hint="default"/>
                <w:sz w:val="18"/>
                <w:szCs w:val="18"/>
              </w:rPr>
              <w:t>名 激励对象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616" w:right="0"/>
              <w:jc w:val="left"/>
              <w:rPr>
                <w:rFonts w:ascii="Times New Roman" w:hAnsi="Times New Roman" w:cs="Times New Roman" w:eastAsia="Times New Roman" w:hint="default"/>
                <w:sz w:val="18"/>
                <w:szCs w:val="18"/>
              </w:rPr>
            </w:pPr>
            <w:r>
              <w:rPr>
                <w:rFonts w:ascii="Times New Roman"/>
                <w:sz w:val="18"/>
              </w:rPr>
              <w:t>4,075,000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8,965,000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4,890,000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股权激励限售 股、本期增加限 售股数为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度实施资本公积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0" w:lineRule="auto" w:before="60"/>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日全部回购 注销</w:t>
            </w:r>
          </w:p>
        </w:tc>
      </w:tr>
    </w:tbl>
    <w:p>
      <w:pPr>
        <w:spacing w:after="0" w:line="30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3"/>
        <w:gridCol w:w="1369"/>
        <w:gridCol w:w="1368"/>
        <w:gridCol w:w="1371"/>
        <w:gridCol w:w="1369"/>
        <w:gridCol w:w="1370"/>
        <w:gridCol w:w="1361"/>
      </w:tblGrid>
      <w:tr>
        <w:trPr>
          <w:trHeight w:val="363" w:hRule="exact"/>
        </w:trPr>
        <w:tc>
          <w:tcPr>
            <w:tcW w:w="136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转增股本所致</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73,075,000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37,170,451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53,843,460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89,748,009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46" w:firstLine="420"/>
        <w:jc w:val="both"/>
      </w:pPr>
      <w:r>
        <w:rPr>
          <w:rFonts w:ascii="Times New Roman" w:hAnsi="Times New Roman" w:cs="Times New Roman" w:eastAsia="Times New Roman" w:hint="default"/>
        </w:rPr>
        <w:t>1</w:t>
      </w:r>
      <w:r>
        <w:rPr/>
        <w:t>、公司第二届董事会第十四次会议及</w:t>
      </w:r>
      <w:r>
        <w:rPr>
          <w:rFonts w:ascii="Times New Roman" w:hAnsi="Times New Roman" w:cs="Times New Roman" w:eastAsia="Times New Roman" w:hint="default"/>
        </w:rPr>
        <w:t>2016</w:t>
      </w:r>
      <w:r>
        <w:rPr/>
        <w:t>年度股东大会审议通过《关于公司</w:t>
      </w:r>
      <w:r>
        <w:rPr>
          <w:rFonts w:ascii="Times New Roman" w:hAnsi="Times New Roman" w:cs="Times New Roman" w:eastAsia="Times New Roman" w:hint="default"/>
        </w:rPr>
        <w:t>2016</w:t>
      </w:r>
      <w:r>
        <w:rPr/>
        <w:t>年度利润分配及资</w:t>
      </w:r>
      <w:r>
        <w:rPr>
          <w:w w:val="100"/>
        </w:rPr>
        <w:t> </w:t>
      </w:r>
      <w:r>
        <w:rPr>
          <w:spacing w:val="-2"/>
        </w:rPr>
        <w:t>本公积转增股本预案的议案》，并于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日实施了该权益分配方案，具体内容详见公司于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21"/>
        </w:rPr>
        <w:t> </w:t>
      </w:r>
      <w:r>
        <w:rPr>
          <w:spacing w:val="2"/>
        </w:rPr>
        <w:t>月</w:t>
      </w:r>
      <w:r>
        <w:rPr>
          <w:rFonts w:ascii="Times New Roman" w:hAnsi="Times New Roman" w:cs="Times New Roman" w:eastAsia="Times New Roman" w:hint="default"/>
          <w:spacing w:val="2"/>
        </w:rPr>
        <w:t>13</w:t>
      </w:r>
      <w:r>
        <w:rPr>
          <w:spacing w:val="2"/>
        </w:rPr>
        <w:t>日在巨潮资讯网上披露的《</w:t>
      </w:r>
      <w:r>
        <w:rPr>
          <w:rFonts w:ascii="Times New Roman" w:hAnsi="Times New Roman" w:cs="Times New Roman" w:eastAsia="Times New Roman" w:hint="default"/>
          <w:spacing w:val="2"/>
        </w:rPr>
        <w:t>2016</w:t>
      </w:r>
      <w:r>
        <w:rPr>
          <w:spacing w:val="2"/>
        </w:rPr>
        <w:t>年度权益分派实施公告》。该分配方案履行完毕后，公司总股本由</w:t>
      </w:r>
      <w:r>
        <w:rPr>
          <w:spacing w:val="-32"/>
        </w:rPr>
        <w:t> </w:t>
      </w:r>
      <w:r>
        <w:rPr>
          <w:spacing w:val="-32"/>
        </w:rPr>
      </w:r>
      <w:r>
        <w:rPr>
          <w:rFonts w:ascii="Times New Roman" w:hAnsi="Times New Roman" w:cs="Times New Roman" w:eastAsia="Times New Roman" w:hint="default"/>
        </w:rPr>
        <w:t>96,075,000</w:t>
      </w:r>
      <w:r>
        <w:rPr/>
        <w:t>股增至</w:t>
      </w:r>
      <w:r>
        <w:rPr>
          <w:rFonts w:ascii="Times New Roman" w:hAnsi="Times New Roman" w:cs="Times New Roman" w:eastAsia="Times New Roman" w:hint="default"/>
        </w:rPr>
        <w:t>211,365,000</w:t>
      </w:r>
      <w:r>
        <w:rPr/>
        <w:t>股。</w:t>
      </w:r>
    </w:p>
    <w:p>
      <w:pPr>
        <w:pStyle w:val="BodyText"/>
        <w:spacing w:line="256" w:lineRule="auto" w:before="5"/>
        <w:ind w:right="146" w:firstLine="420"/>
        <w:jc w:val="both"/>
      </w:pPr>
      <w:r>
        <w:rPr>
          <w:rFonts w:ascii="Times New Roman" w:hAnsi="Times New Roman" w:cs="Times New Roman" w:eastAsia="Times New Roman" w:hint="default"/>
        </w:rPr>
        <w:t>2</w:t>
      </w:r>
      <w:r>
        <w:rPr/>
        <w:t>、公司第二届董事会第十六次会议审议通过《关于回购并注销部分股权激励限制性股票的议案》，</w:t>
      </w:r>
      <w:r>
        <w:rPr>
          <w:w w:val="100"/>
        </w:rPr>
        <w:t> </w:t>
      </w:r>
      <w:r>
        <w:rPr/>
        <w:t>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日在巨潮资讯网上披露的《关于回购并注销部分股权激励限制性股票的</w:t>
      </w:r>
      <w:r>
        <w:rPr>
          <w:spacing w:val="-29"/>
        </w:rPr>
        <w:t> </w:t>
      </w:r>
      <w:r>
        <w:rPr>
          <w:spacing w:val="-29"/>
        </w:rPr>
      </w:r>
      <w:r>
        <w:rPr>
          <w:spacing w:val="-2"/>
        </w:rPr>
        <w:t>公告》；公司第二届董事会第十七次会议及</w:t>
      </w:r>
      <w:r>
        <w:rPr>
          <w:rFonts w:ascii="Times New Roman" w:hAnsi="Times New Roman" w:cs="Times New Roman" w:eastAsia="Times New Roman" w:hint="default"/>
          <w:spacing w:val="-2"/>
        </w:rPr>
        <w:t>2017</w:t>
      </w:r>
      <w:r>
        <w:rPr>
          <w:spacing w:val="-2"/>
        </w:rPr>
        <w:t>年第二次临时股东大会审议通过《关于终止实施限制性股</w:t>
      </w:r>
      <w:r>
        <w:rPr>
          <w:spacing w:val="-40"/>
        </w:rPr>
        <w:t> </w:t>
      </w:r>
      <w:r>
        <w:rPr>
          <w:spacing w:val="-40"/>
        </w:rPr>
      </w:r>
      <w:r>
        <w:rPr/>
        <w:t>票激励计划的议案》，具体内容详见公司于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日在巨潮资讯网上披露的《关于终止实施限制性</w:t>
      </w:r>
      <w:r>
        <w:rPr>
          <w:spacing w:val="-26"/>
        </w:rPr>
        <w:t> </w:t>
      </w:r>
      <w:r>
        <w:rPr>
          <w:spacing w:val="-26"/>
        </w:rPr>
      </w:r>
      <w:r>
        <w:rPr>
          <w:spacing w:val="-2"/>
        </w:rPr>
        <w:t>股票激励计划的公告》。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日，经中国证券登记结算有限责任公司深圳分公司审核确认，公司</w:t>
      </w:r>
      <w:r>
        <w:rPr>
          <w:spacing w:val="-40"/>
        </w:rPr>
        <w:t> </w:t>
      </w:r>
      <w:r>
        <w:rPr>
          <w:spacing w:val="-40"/>
        </w:rPr>
      </w:r>
      <w:r>
        <w:rPr>
          <w:spacing w:val="-3"/>
        </w:rPr>
        <w:t>完成上述</w:t>
      </w:r>
      <w:r>
        <w:rPr>
          <w:rFonts w:ascii="Times New Roman" w:hAnsi="Times New Roman" w:cs="Times New Roman" w:eastAsia="Times New Roman" w:hint="default"/>
          <w:spacing w:val="-3"/>
        </w:rPr>
        <w:t>896.5</w:t>
      </w:r>
      <w:r>
        <w:rPr>
          <w:spacing w:val="-3"/>
        </w:rPr>
        <w:t>万股限制性股票回购注销事宜。本次回购注销完成后，公司股份总数由</w:t>
      </w:r>
      <w:r>
        <w:rPr>
          <w:rFonts w:ascii="Times New Roman" w:hAnsi="Times New Roman" w:cs="Times New Roman" w:eastAsia="Times New Roman" w:hint="default"/>
          <w:spacing w:val="-3"/>
        </w:rPr>
        <w:t>211,365,000</w:t>
      </w:r>
      <w:r>
        <w:rPr>
          <w:spacing w:val="-3"/>
        </w:rPr>
        <w:t>股变更为</w:t>
      </w:r>
      <w:r>
        <w:rPr>
          <w:spacing w:val="-26"/>
        </w:rPr>
        <w:t> </w:t>
      </w:r>
      <w:r>
        <w:rPr>
          <w:spacing w:val="-26"/>
        </w:rPr>
      </w:r>
      <w:r>
        <w:rPr>
          <w:rFonts w:ascii="Times New Roman" w:hAnsi="Times New Roman" w:cs="Times New Roman" w:eastAsia="Times New Roman" w:hint="default"/>
        </w:rPr>
        <w:t>202,400,000</w:t>
      </w:r>
      <w:r>
        <w:rPr/>
        <w:t>股，导致货币资金及其他应付款减少</w:t>
      </w:r>
      <w:r>
        <w:rPr>
          <w:rFonts w:ascii="Times New Roman" w:hAnsi="Times New Roman" w:cs="Times New Roman" w:eastAsia="Times New Roman" w:hint="default"/>
        </w:rPr>
        <w:t>180,318,750</w:t>
      </w:r>
      <w:r>
        <w:rPr/>
        <w:t>元。</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pict>
          <v:shape style="position:absolute;margin-left:449.256989pt;margin-top:17.597723pt;width:85.75pt;height:82.15pt;mso-position-horizontal-relative:page;mso-position-vertical-relative:paragraph;z-index:-855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17.597723pt;width:52.5pt;height:82.15pt;mso-position-horizontal-relative:page;mso-position-vertical-relative:paragraph;z-index:-855280" coordorigin="9650,352" coordsize="1050,1643">
            <v:group style="position:absolute;left:9650;top:352;width:1050;height:1643" coordorigin="9650,352" coordsize="1050,1643">
              <v:shape style="position:absolute;left:9650;top:352;width:1050;height:1643" coordorigin="9650,352" coordsize="1050,1643" path="m9650,1994l10699,1994,10699,352,9650,352,9650,1994xe" filled="true" fillcolor="#ffffff" stroked="false">
                <v:path arrowok="t"/>
                <v:fill type="solid"/>
              </v:shape>
            </v:group>
            <v:group style="position:absolute;left:9672;top:976;width:1004;height:394" coordorigin="9672,976" coordsize="1004,394">
              <v:shape style="position:absolute;left:9672;top:976;width:1004;height:394" coordorigin="9672,976" coordsize="1004,394" path="m9672,1370l10675,1370,10675,976,9672,976,9672,1370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3"/>
        <w:gridCol w:w="749"/>
        <w:gridCol w:w="750"/>
        <w:gridCol w:w="825"/>
        <w:gridCol w:w="334"/>
        <w:gridCol w:w="456"/>
        <w:gridCol w:w="828"/>
        <w:gridCol w:w="797"/>
        <w:gridCol w:w="311"/>
        <w:gridCol w:w="1038"/>
        <w:gridCol w:w="290"/>
        <w:gridCol w:w="502"/>
        <w:gridCol w:w="557"/>
      </w:tblGrid>
      <w:tr>
        <w:trPr>
          <w:trHeight w:val="165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27,841</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27,213</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19"/>
              <w:jc w:val="left"/>
              <w:rPr>
                <w:rFonts w:ascii="Times New Roman" w:hAnsi="Times New Roman" w:cs="Times New Roman" w:eastAsia="Times New Roman" w:hint="default"/>
                <w:sz w:val="18"/>
                <w:szCs w:val="18"/>
              </w:rPr>
            </w:pPr>
            <w:r>
              <w:rPr>
                <w:rFonts w:ascii="Times New Roman"/>
                <w:sz w:val="18"/>
              </w:rPr>
              <w:t>34.01%</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 w:right="0"/>
              <w:jc w:val="left"/>
              <w:rPr>
                <w:rFonts w:ascii="Times New Roman" w:hAnsi="Times New Roman" w:cs="Times New Roman" w:eastAsia="Times New Roman" w:hint="default"/>
                <w:sz w:val="18"/>
                <w:szCs w:val="18"/>
              </w:rPr>
            </w:pPr>
            <w:r>
              <w:rPr>
                <w:rFonts w:ascii="Times New Roman"/>
                <w:sz w:val="18"/>
              </w:rPr>
              <w:t>68,829,76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37,543,51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68,829,76</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8"/>
        <w:gridCol w:w="790"/>
        <w:gridCol w:w="785"/>
        <w:gridCol w:w="841"/>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8</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上海雅弘股权投 </w:t>
            </w:r>
            <w:r>
              <w:rPr>
                <w:rFonts w:ascii="宋体" w:hAnsi="宋体" w:cs="宋体" w:eastAsia="宋体" w:hint="default"/>
                <w:spacing w:val="-4"/>
                <w:sz w:val="18"/>
                <w:szCs w:val="18"/>
              </w:rPr>
              <w:t>资基金中心（有限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24,878,20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12,609,20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24,878,20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12,955,97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7,066,897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11,292,000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中科大资产经营 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7,103,120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3,874,429</w:t>
            </w: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7,103,120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上海槟果资产管 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5,479,780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2,412,577</w:t>
            </w: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5,479,780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3"/>
              <w:jc w:val="left"/>
              <w:rPr>
                <w:rFonts w:ascii="宋体" w:hAnsi="宋体" w:cs="宋体" w:eastAsia="宋体" w:hint="default"/>
                <w:sz w:val="18"/>
                <w:szCs w:val="18"/>
              </w:rPr>
            </w:pPr>
            <w:r>
              <w:rPr>
                <w:rFonts w:ascii="宋体" w:hAnsi="宋体" w:cs="宋体" w:eastAsia="宋体" w:hint="default"/>
                <w:sz w:val="18"/>
                <w:szCs w:val="18"/>
              </w:rPr>
              <w:t>安徽酷智投资管 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4,048,730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2,208,398</w:t>
            </w: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4,048,730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3,103,907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1,693,040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3,103,907</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1,659,800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国元股权投资有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3,101,093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-1,325,20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3,101,093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2,833,990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1,545,813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2,833,990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2,815,900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2,699,154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1,472,266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2,024,366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2,382,000</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公司董事长董永东、董事杨杨、董事史兴领均系公司实际控制人，是一致行动人；合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肥国创智能科技有限公司系公司控股股东；安徽酷智投资管理有限公司系公司员工设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立的投资公司；储士升先生为公司董事会秘书、副总经理和财务总监。未知其他股东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之间是否存在关联关系，是否属于一致行动人。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上海雅弘股权投资基金中心（有限合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24,878,207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24,878,207</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7,103,120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上海槟果资产管理有限公司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5,479,780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4,048,730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国元股权投资有限公司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3,101,093</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德同国联</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刁心臣</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9"/>
        <w:gridCol w:w="3990"/>
        <w:gridCol w:w="1349"/>
        <w:gridCol w:w="1349"/>
      </w:tblGrid>
      <w:tr>
        <w:trPr>
          <w:trHeight w:val="40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344,440</w:t>
            </w:r>
          </w:p>
        </w:tc>
      </w:tr>
      <w:tr>
        <w:trPr>
          <w:trHeight w:val="1339"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1"/>
                <w:sz w:val="18"/>
                <w:szCs w:val="18"/>
              </w:rPr>
              <w:t>安徽酷智投资管理有限公司系公司员工设立的投资公司，储士升先生为公司董事会秘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书、副总经理、财务总监，公司未知其他股东之间是否存在关联关系和是否属于《上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市公司收购管理办法》中规定的一致行动人。</w:t>
            </w:r>
          </w:p>
        </w:tc>
      </w:tr>
      <w:tr>
        <w:trPr>
          <w:trHeight w:val="715"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761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55" w:firstLine="0"/>
        <w:jc w:val="right"/>
        <w:rPr>
          <w:rFonts w:ascii="宋体" w:hAnsi="宋体" w:cs="宋体" w:eastAsia="宋体" w:hint="default"/>
          <w:sz w:val="18"/>
          <w:szCs w:val="18"/>
        </w:rPr>
      </w:pPr>
      <w:r>
        <w:rPr/>
        <w:pict>
          <v:shape style="position:absolute;margin-left:56.424pt;margin-top:-52.088268pt;width:479.3pt;height:138.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3"/>
                    <w:gridCol w:w="223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合肥国创智能科技有限公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913401007964030823</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智能环保及智能工业设备研 </w:t>
                        </w:r>
                        <w:r>
                          <w:rPr>
                            <w:rFonts w:ascii="宋体" w:hAnsi="宋体" w:cs="宋体" w:eastAsia="宋体" w:hint="default"/>
                            <w:spacing w:val="-6"/>
                            <w:sz w:val="18"/>
                            <w:szCs w:val="18"/>
                          </w:rPr>
                          <w:t>发、销售；投资管理、咨询</w:t>
                        </w:r>
                        <w:r>
                          <w:rPr>
                            <w:rFonts w:ascii="宋体" w:hAnsi="宋体" w:cs="宋体" w:eastAsia="宋体" w:hint="default"/>
                            <w:sz w:val="18"/>
                            <w:szCs w:val="18"/>
                          </w:rPr>
                          <w:t> 项目投资。</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43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0" w:right="175" w:firstLine="0"/>
        <w:jc w:val="right"/>
        <w:rPr>
          <w:rFonts w:ascii="宋体" w:hAnsi="宋体" w:cs="宋体" w:eastAsia="宋体" w:hint="default"/>
          <w:sz w:val="18"/>
          <w:szCs w:val="18"/>
        </w:rPr>
      </w:pPr>
      <w:r>
        <w:rPr/>
        <w:pict>
          <v:shape style="position:absolute;margin-left:56.424pt;margin-top:-101.435265pt;width:479.3pt;height:16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董永东先生，中国国籍，无境外永久居留权，</w:t>
                        </w:r>
                        <w:r>
                          <w:rPr>
                            <w:rFonts w:ascii="Times New Roman" w:hAnsi="Times New Roman" w:cs="Times New Roman" w:eastAsia="Times New Roman" w:hint="default"/>
                            <w:sz w:val="18"/>
                            <w:szCs w:val="18"/>
                          </w:rPr>
                          <w:t>1958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月出生，研究生学历 </w:t>
                        </w:r>
                        <w:r>
                          <w:rPr>
                            <w:rFonts w:ascii="宋体" w:hAnsi="宋体" w:cs="宋体" w:eastAsia="宋体" w:hint="default"/>
                            <w:spacing w:val="-4"/>
                            <w:sz w:val="18"/>
                            <w:szCs w:val="18"/>
                          </w:rPr>
                          <w:t>高级工程师。现任公司董事长。杨杨先生，中国国籍，无境外永久居留权，</w:t>
                        </w:r>
                        <w:r>
                          <w:rPr>
                            <w:rFonts w:ascii="Times New Roman" w:hAnsi="Times New Roman" w:cs="Times New Roman" w:eastAsia="Times New Roman" w:hint="default"/>
                            <w:spacing w:val="-4"/>
                            <w:sz w:val="18"/>
                            <w:szCs w:val="18"/>
                          </w:rPr>
                          <w:t>1974</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月出生，大学本科，中国科学技术大学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EMBA</w:t>
                        </w:r>
                        <w:r>
                          <w:rPr>
                            <w:rFonts w:ascii="宋体" w:hAnsi="宋体" w:cs="宋体" w:eastAsia="宋体" w:hint="default"/>
                            <w:sz w:val="18"/>
                            <w:szCs w:val="18"/>
                          </w:rPr>
                          <w:t>。现任公司董事、总经理。 史兴领先生，中国国籍，无境外永久居留权，</w:t>
                        </w:r>
                        <w:r>
                          <w:rPr>
                            <w:rFonts w:ascii="Times New Roman" w:hAnsi="Times New Roman" w:cs="Times New Roman" w:eastAsia="Times New Roman" w:hint="default"/>
                            <w:sz w:val="18"/>
                            <w:szCs w:val="18"/>
                          </w:rPr>
                          <w:t>1971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月出生，硕士，信息系</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5"/>
        <w:gridCol w:w="6234"/>
      </w:tblGrid>
      <w:tr>
        <w:trPr>
          <w:trHeight w:val="67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left"/>
              <w:rPr>
                <w:rFonts w:ascii="宋体" w:hAnsi="宋体" w:cs="宋体" w:eastAsia="宋体" w:hint="default"/>
                <w:sz w:val="18"/>
                <w:szCs w:val="18"/>
              </w:rPr>
            </w:pPr>
            <w:r>
              <w:rPr>
                <w:rFonts w:ascii="宋体" w:hAnsi="宋体" w:cs="宋体" w:eastAsia="宋体" w:hint="default"/>
                <w:spacing w:val="-4"/>
                <w:sz w:val="18"/>
                <w:szCs w:val="18"/>
              </w:rPr>
              <w:t>统项目管理师（高级）。现任公司董事。许广德先生，中国国籍，无境外永久居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留权，</w:t>
            </w:r>
            <w:r>
              <w:rPr>
                <w:rFonts w:ascii="Times New Roman" w:hAnsi="Times New Roman" w:cs="Times New Roman" w:eastAsia="Times New Roman" w:hint="default"/>
                <w:sz w:val="18"/>
                <w:szCs w:val="18"/>
              </w:rPr>
              <w:t>1968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月出生，硕士。现任公司董事、副总经理。</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9"/>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3"/>
        <w:rPr>
          <w:rFonts w:ascii="宋体" w:hAnsi="宋体" w:cs="宋体" w:eastAsia="宋体" w:hint="default"/>
          <w:sz w:val="22"/>
          <w:szCs w:val="22"/>
        </w:rPr>
      </w:pPr>
    </w:p>
    <w:p>
      <w:pPr>
        <w:spacing w:line="4140" w:lineRule="exact"/>
        <w:ind w:left="135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91684" cy="2628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591684" cy="262890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153"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2"/>
        <w:rPr>
          <w:rFonts w:ascii="等线" w:hAnsi="等线" w:cs="等线" w:eastAsia="等线" w:hint="default"/>
          <w:sz w:val="28"/>
          <w:szCs w:val="2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1"/>
        <w:gridCol w:w="1815"/>
        <w:gridCol w:w="1414"/>
        <w:gridCol w:w="1635"/>
        <w:gridCol w:w="2127"/>
      </w:tblGrid>
      <w:tr>
        <w:trPr>
          <w:trHeight w:val="714"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上海雅弘股权投资基金中心（有 限合伙）</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李如成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股权投资，投资管理，投 资咨询。</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TOC_250005" w:id="7"/>
      <w:r>
        <w:rPr/>
        <w:t>第七节 </w:t>
      </w:r>
      <w:r>
        <w:rPr>
          <w:spacing w:val="8"/>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TOC_250004" w:id="8"/>
      <w:r>
        <w:rPr/>
        <w:t>第八节 </w:t>
      </w:r>
      <w:r>
        <w:rPr>
          <w:spacing w:val="18"/>
        </w:rPr>
        <w:t> </w:t>
      </w:r>
      <w:r>
        <w:rPr/>
        <w:t>董事、监事、高级管理人员和员工情况</w:t>
      </w:r>
      <w:bookmarkEnd w:id="8"/>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673626pt;width:63.65pt;height:50.9pt;mso-position-horizontal-relative:page;mso-position-vertical-relative:paragraph;z-index:-855208"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800"/>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18,253,41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21,904,09</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40,157,50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4,899,285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5,879,142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4,479,375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5,375,250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9,854,625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1,845,889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2,215,067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4,060,956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1,204,521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1,445,425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2,649,946</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1,032,446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1,892,818</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800"/>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391,078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469,294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860,372</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副总经 理、财务 总监、董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1,226,888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1,472,266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2,699,154</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33,160,81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39,792,98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72,953,80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both"/>
              <w:rPr>
                <w:rFonts w:ascii="宋体" w:hAnsi="宋体" w:cs="宋体" w:eastAsia="宋体" w:hint="default"/>
                <w:sz w:val="18"/>
                <w:szCs w:val="18"/>
              </w:rPr>
            </w:pPr>
            <w:r>
              <w:rPr>
                <w:rFonts w:ascii="宋体" w:hAnsi="宋体" w:cs="宋体" w:eastAsia="宋体" w:hint="default"/>
                <w:sz w:val="18"/>
                <w:szCs w:val="18"/>
              </w:rPr>
              <w:t>为集中精力履行董事长职责，将工作重心集中于公司 长远发展和战略规划，董永东先生申请辞去公司总经 理职务，辞职后董永东先生仍担任公司董事长。</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第二届董事会第十四次会议聘任。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史兴领先生因个人原因申请辞去公司副总经理职务， 辞职后史兴领先生仍担任公司董事。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第二届董事会第十四次会议聘任。</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6" w:lineRule="auto" w:before="97"/>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、公司现任董事主要工作经历和任职职情况：</w:t>
      </w:r>
      <w:r>
        <w:rPr>
          <w:w w:val="100"/>
        </w:rPr>
        <w:t> </w:t>
      </w:r>
      <w:r>
        <w:rPr>
          <w:spacing w:val="-6"/>
        </w:rPr>
        <w:t>董永东先生，中国国籍，无境外永久居留权，</w:t>
      </w:r>
      <w:r>
        <w:rPr>
          <w:rFonts w:ascii="Times New Roman" w:hAnsi="Times New Roman" w:cs="Times New Roman" w:eastAsia="Times New Roman" w:hint="default"/>
          <w:spacing w:val="-6"/>
        </w:rPr>
        <w:t>1958</w:t>
      </w:r>
      <w:r>
        <w:rPr>
          <w:spacing w:val="-6"/>
        </w:rPr>
        <w:t>年</w:t>
      </w:r>
      <w:r>
        <w:rPr>
          <w:rFonts w:ascii="Times New Roman" w:hAnsi="Times New Roman" w:cs="Times New Roman" w:eastAsia="Times New Roman" w:hint="default"/>
          <w:spacing w:val="-6"/>
        </w:rPr>
        <w:t>11</w:t>
      </w:r>
      <w:r>
        <w:rPr>
          <w:spacing w:val="-6"/>
        </w:rPr>
        <w:t>月出生，研究生学历，高级工程师，安徽省</w:t>
      </w:r>
      <w:r>
        <w:rPr>
          <w:rFonts w:ascii="Times New Roman" w:hAnsi="Times New Roman" w:cs="Times New Roman" w:eastAsia="Times New Roman" w:hint="default"/>
          <w:spacing w:val="-6"/>
        </w:rPr>
        <w:t>2011</w:t>
      </w:r>
    </w:p>
    <w:p>
      <w:pPr>
        <w:pStyle w:val="BodyText"/>
        <w:spacing w:line="256" w:lineRule="auto" w:before="5"/>
        <w:ind w:right="0"/>
        <w:jc w:val="left"/>
      </w:pPr>
      <w:r>
        <w:rPr>
          <w:spacing w:val="-2"/>
        </w:rPr>
        <w:t>年度十大经济人物、合肥市五一劳动奖章获得者、</w:t>
      </w:r>
      <w:r>
        <w:rPr>
          <w:rFonts w:ascii="Times New Roman" w:hAnsi="Times New Roman" w:cs="Times New Roman" w:eastAsia="Times New Roman" w:hint="default"/>
          <w:spacing w:val="-2"/>
        </w:rPr>
        <w:t>2013</w:t>
      </w:r>
      <w:r>
        <w:rPr>
          <w:spacing w:val="-2"/>
        </w:rPr>
        <w:t>年度和</w:t>
      </w:r>
      <w:r>
        <w:rPr>
          <w:rFonts w:ascii="Times New Roman" w:hAnsi="Times New Roman" w:cs="Times New Roman" w:eastAsia="Times New Roman" w:hint="default"/>
          <w:spacing w:val="-2"/>
        </w:rPr>
        <w:t>2015</w:t>
      </w:r>
      <w:r>
        <w:rPr>
          <w:spacing w:val="-2"/>
        </w:rPr>
        <w:t>年度中国行业信息化领军人物。历任公</w:t>
      </w:r>
      <w:r>
        <w:rPr>
          <w:spacing w:val="-39"/>
        </w:rPr>
        <w:t> </w:t>
      </w:r>
      <w:r>
        <w:rPr>
          <w:spacing w:val="-39"/>
        </w:rPr>
      </w:r>
      <w:r>
        <w:rPr/>
        <w:t>司副总经理、总经理、董事长。现任公司董事长。</w:t>
      </w:r>
    </w:p>
    <w:p>
      <w:pPr>
        <w:pStyle w:val="BodyText"/>
        <w:spacing w:line="268" w:lineRule="auto" w:before="22"/>
        <w:ind w:right="146" w:firstLine="420"/>
        <w:jc w:val="both"/>
      </w:pPr>
      <w:r>
        <w:rPr/>
        <w:t>应勇先生，中国国籍，无永久境外居留权，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月出生，硕士。曾担任中国科学技术大学科技实</w:t>
      </w:r>
      <w:r>
        <w:rPr>
          <w:w w:val="100"/>
        </w:rPr>
        <w:t> </w:t>
      </w:r>
      <w:r>
        <w:rPr>
          <w:spacing w:val="-2"/>
        </w:rPr>
        <w:t>业总公司总裁助理、董事会秘书。现任中科大资产经营有限责任公司董事、总经理，安徽科大擎天科技有</w:t>
      </w:r>
      <w:r>
        <w:rPr>
          <w:spacing w:val="-50"/>
        </w:rPr>
        <w:t> </w:t>
      </w:r>
      <w:r>
        <w:rPr>
          <w:spacing w:val="-50"/>
        </w:rPr>
      </w:r>
      <w:r>
        <w:rPr>
          <w:spacing w:val="-2"/>
        </w:rPr>
        <w:t>限公司董事长，科大智能科技股份有限公司董事，科大国盾量子技术股份有限公司董事，安徽问天量子科</w:t>
      </w:r>
      <w:r>
        <w:rPr>
          <w:spacing w:val="-43"/>
        </w:rPr>
        <w:t> </w:t>
      </w:r>
      <w:r>
        <w:rPr>
          <w:spacing w:val="-43"/>
        </w:rPr>
      </w:r>
      <w:r>
        <w:rPr>
          <w:spacing w:val="-7"/>
        </w:rPr>
        <w:t>技股份有限公司董事，合肥中科大爱克科技有限公司董事长，合肥华西科技开发有限公司董事，吉世尔（合</w:t>
      </w:r>
      <w:r>
        <w:rPr>
          <w:spacing w:val="-23"/>
        </w:rPr>
        <w:t> </w:t>
      </w:r>
      <w:r>
        <w:rPr>
          <w:spacing w:val="-23"/>
        </w:rPr>
      </w:r>
      <w:r>
        <w:rPr>
          <w:spacing w:val="-2"/>
        </w:rPr>
        <w:t>肥）能源科技有限公司董事，合肥科佳高分子材料科技有限公司董事，中国科学技术大学出版社有限责任</w:t>
      </w:r>
      <w:r>
        <w:rPr>
          <w:spacing w:val="-42"/>
        </w:rPr>
        <w:t> </w:t>
      </w:r>
      <w:r>
        <w:rPr>
          <w:spacing w:val="-42"/>
        </w:rPr>
      </w:r>
      <w:r>
        <w:rPr/>
        <w:t>公司董事，合肥科创教育服务有限公司董事，安徽广行通信科技股份有限公司董事。</w:t>
      </w:r>
    </w:p>
    <w:p>
      <w:pPr>
        <w:spacing w:after="0" w:line="268" w:lineRule="auto"/>
        <w:jc w:val="both"/>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64" w:lineRule="auto" w:before="36"/>
        <w:ind w:right="0" w:firstLine="420"/>
        <w:jc w:val="left"/>
      </w:pPr>
      <w:r>
        <w:rPr>
          <w:spacing w:val="-4"/>
        </w:rPr>
        <w:t>杨杨先生，中国国籍，无境外永久居留权，</w:t>
      </w:r>
      <w:r>
        <w:rPr>
          <w:rFonts w:ascii="Times New Roman" w:hAnsi="Times New Roman" w:cs="Times New Roman" w:eastAsia="Times New Roman" w:hint="default"/>
          <w:spacing w:val="-4"/>
        </w:rPr>
        <w:t>1974</w:t>
      </w:r>
      <w:r>
        <w:rPr>
          <w:spacing w:val="-4"/>
        </w:rPr>
        <w:t>年</w:t>
      </w:r>
      <w:r>
        <w:rPr>
          <w:rFonts w:ascii="Times New Roman" w:hAnsi="Times New Roman" w:cs="Times New Roman" w:eastAsia="Times New Roman" w:hint="default"/>
          <w:spacing w:val="-4"/>
        </w:rPr>
        <w:t>4</w:t>
      </w:r>
      <w:r>
        <w:rPr>
          <w:spacing w:val="-4"/>
        </w:rPr>
        <w:t>月出生，大学本科，中国科学技术大学</w:t>
      </w:r>
      <w:r>
        <w:rPr>
          <w:rFonts w:ascii="Times New Roman" w:hAnsi="Times New Roman" w:cs="Times New Roman" w:eastAsia="Times New Roman" w:hint="default"/>
          <w:spacing w:val="-4"/>
        </w:rPr>
        <w:t>EMBA</w:t>
      </w:r>
      <w:r>
        <w:rPr>
          <w:spacing w:val="-4"/>
        </w:rPr>
        <w:t>。曾</w:t>
      </w:r>
      <w:r>
        <w:rPr>
          <w:spacing w:val="-17"/>
          <w:w w:val="100"/>
        </w:rPr>
        <w:t> </w:t>
      </w:r>
      <w:r>
        <w:rPr>
          <w:spacing w:val="-5"/>
        </w:rPr>
        <w:t>任职于中兴通讯股份有限公司，历任科大恒星电子商务技术有限公司区域市场总监、部门经理、副总经理、 </w:t>
      </w:r>
      <w:r>
        <w:rPr>
          <w:spacing w:val="-5"/>
        </w:rPr>
      </w:r>
      <w:r>
        <w:rPr/>
        <w:t>董事。现任公司董事、总经理。</w:t>
      </w:r>
    </w:p>
    <w:p>
      <w:pPr>
        <w:pStyle w:val="BodyText"/>
        <w:spacing w:line="266" w:lineRule="auto" w:before="16"/>
        <w:ind w:right="0" w:firstLine="420"/>
        <w:jc w:val="left"/>
      </w:pPr>
      <w:r>
        <w:rPr>
          <w:spacing w:val="-5"/>
        </w:rPr>
        <w:t>史兴领先生，中国国籍，无境外永久居留权，</w:t>
      </w:r>
      <w:r>
        <w:rPr>
          <w:rFonts w:ascii="Times New Roman" w:hAnsi="Times New Roman" w:cs="Times New Roman" w:eastAsia="Times New Roman" w:hint="default"/>
          <w:spacing w:val="-5"/>
        </w:rPr>
        <w:t>1971</w:t>
      </w:r>
      <w:r>
        <w:rPr>
          <w:spacing w:val="-5"/>
        </w:rPr>
        <w:t>年</w:t>
      </w:r>
      <w:r>
        <w:rPr>
          <w:rFonts w:ascii="Times New Roman" w:hAnsi="Times New Roman" w:cs="Times New Roman" w:eastAsia="Times New Roman" w:hint="default"/>
          <w:spacing w:val="-5"/>
        </w:rPr>
        <w:t>11</w:t>
      </w:r>
      <w:r>
        <w:rPr>
          <w:spacing w:val="-5"/>
        </w:rPr>
        <w:t>月出生，硕士，信息系统项目管理师（高级）。</w:t>
      </w:r>
      <w:r>
        <w:rPr>
          <w:w w:val="100"/>
        </w:rPr>
        <w:t> </w:t>
      </w:r>
      <w:r>
        <w:rPr>
          <w:spacing w:val="-5"/>
        </w:rPr>
        <w:t>曾任职于安徽科苑集团股份有限公司、合肥蓝威科技有限责任公司，历任本公司区域市场总监、部门经理、 </w:t>
      </w:r>
      <w:r>
        <w:rPr>
          <w:spacing w:val="-5"/>
        </w:rPr>
      </w:r>
      <w:r>
        <w:rPr>
          <w:spacing w:val="-2"/>
        </w:rPr>
        <w:t>副总经理、董事。现任公司董事，安徽贵博新能科技有限公司总经理、云上神州浪潮国创大数据产业发展</w:t>
      </w:r>
      <w:r>
        <w:rPr>
          <w:spacing w:val="-47"/>
        </w:rPr>
        <w:t> </w:t>
      </w:r>
      <w:r>
        <w:rPr>
          <w:spacing w:val="-47"/>
        </w:rPr>
      </w:r>
      <w:r>
        <w:rPr/>
        <w:t>有限公司董事。</w:t>
      </w:r>
    </w:p>
    <w:p>
      <w:pPr>
        <w:pStyle w:val="BodyText"/>
        <w:spacing w:line="264" w:lineRule="auto" w:before="14"/>
        <w:ind w:right="206" w:firstLine="420"/>
        <w:jc w:val="both"/>
      </w:pPr>
      <w:r>
        <w:rPr/>
        <w:t>许广德先生，中国国籍，无境外永久居留权，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月出生，硕士。曾任职于国宝计算机股份有限</w:t>
      </w:r>
      <w:r>
        <w:rPr>
          <w:w w:val="100"/>
        </w:rPr>
        <w:t> </w:t>
      </w:r>
      <w:r>
        <w:rPr>
          <w:spacing w:val="-2"/>
        </w:rPr>
        <w:t>公司，历任科大恒星电子商务技术有限公司研发中心项目经理、部门经理、副总经理、董事。现任公司董</w:t>
      </w:r>
      <w:r>
        <w:rPr>
          <w:spacing w:val="-43"/>
        </w:rPr>
        <w:t> </w:t>
      </w:r>
      <w:r>
        <w:rPr>
          <w:spacing w:val="-43"/>
        </w:rPr>
      </w:r>
      <w:r>
        <w:rPr/>
        <w:t>事、副总经理，中电科</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公共设施运营管理有限公司董事。</w:t>
      </w:r>
    </w:p>
    <w:p>
      <w:pPr>
        <w:pStyle w:val="BodyText"/>
        <w:spacing w:line="256" w:lineRule="auto"/>
        <w:ind w:right="206" w:firstLine="420"/>
        <w:jc w:val="both"/>
      </w:pPr>
      <w:r>
        <w:rPr/>
        <w:t>程先乐先生，中国国籍，无境外永久居留权，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3</w:t>
      </w:r>
      <w:r>
        <w:rPr/>
        <w:t>月出生，大学本科，信息系统项目管理师（高</w:t>
      </w:r>
      <w:r>
        <w:rPr>
          <w:w w:val="100"/>
        </w:rPr>
        <w:t> </w:t>
      </w:r>
      <w:r>
        <w:rPr>
          <w:spacing w:val="-4"/>
        </w:rPr>
        <w:t>级），</w:t>
      </w:r>
      <w:r>
        <w:rPr>
          <w:rFonts w:ascii="Times New Roman" w:hAnsi="Times New Roman" w:cs="Times New Roman" w:eastAsia="Times New Roman" w:hint="default"/>
          <w:spacing w:val="-4"/>
        </w:rPr>
        <w:t>2013-2014</w:t>
      </w:r>
      <w:r>
        <w:rPr>
          <w:spacing w:val="-4"/>
        </w:rPr>
        <w:t>年度安徽省优秀软件人才。历任科大恒星电子商务技术有限公司研发中心项目经理、部门</w:t>
      </w:r>
      <w:r>
        <w:rPr>
          <w:spacing w:val="-3"/>
        </w:rPr>
        <w:t> </w:t>
      </w:r>
      <w:r>
        <w:rPr>
          <w:spacing w:val="-3"/>
        </w:rPr>
      </w:r>
      <w:r>
        <w:rPr/>
        <w:t>经理、董事。现任公司董事、副总经理，株式会社科大国创代表取缔役。</w:t>
      </w:r>
    </w:p>
    <w:p>
      <w:pPr>
        <w:pStyle w:val="BodyText"/>
        <w:spacing w:line="256" w:lineRule="auto" w:before="22"/>
        <w:ind w:right="206" w:firstLine="420"/>
        <w:jc w:val="both"/>
      </w:pPr>
      <w:r>
        <w:rPr>
          <w:spacing w:val="-1"/>
        </w:rPr>
        <w:t>齐美彬先生，中国国籍，无境外永久居留权，</w:t>
      </w:r>
      <w:r>
        <w:rPr>
          <w:rFonts w:ascii="Times New Roman" w:hAnsi="Times New Roman" w:cs="Times New Roman" w:eastAsia="Times New Roman" w:hint="default"/>
          <w:spacing w:val="-1"/>
        </w:rPr>
        <w:t>1969</w:t>
      </w:r>
      <w:r>
        <w:rPr>
          <w:spacing w:val="-1"/>
        </w:rPr>
        <w:t>年</w:t>
      </w:r>
      <w:r>
        <w:rPr>
          <w:rFonts w:ascii="Times New Roman" w:hAnsi="Times New Roman" w:cs="Times New Roman" w:eastAsia="Times New Roman" w:hint="default"/>
          <w:spacing w:val="-1"/>
        </w:rPr>
        <w:t>6</w:t>
      </w:r>
      <w:r>
        <w:rPr>
          <w:spacing w:val="-1"/>
        </w:rPr>
        <w:t>月出生</w:t>
      </w:r>
      <w:r>
        <w:rPr>
          <w:rFonts w:ascii="Times New Roman" w:hAnsi="Times New Roman" w:cs="Times New Roman" w:eastAsia="Times New Roman" w:hint="default"/>
          <w:spacing w:val="-1"/>
        </w:rPr>
        <w:t>,</w:t>
      </w:r>
      <w:r>
        <w:rPr>
          <w:spacing w:val="-1"/>
        </w:rPr>
        <w:t>博士，现任公司独立董事，合肥工业大</w:t>
      </w:r>
      <w:r>
        <w:rPr>
          <w:w w:val="100"/>
        </w:rPr>
        <w:t> </w:t>
      </w:r>
      <w:r>
        <w:rPr/>
        <w:t>学教授，博士生导师，安徽省电子学会理事。</w:t>
      </w:r>
    </w:p>
    <w:p>
      <w:pPr>
        <w:pStyle w:val="BodyText"/>
        <w:spacing w:line="256" w:lineRule="auto" w:before="22"/>
        <w:ind w:right="211" w:firstLine="420"/>
        <w:jc w:val="both"/>
      </w:pPr>
      <w:r>
        <w:rPr/>
        <w:t>胡晓珂先生，中国国籍，无境外永久居留权，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6</w:t>
      </w:r>
      <w:r>
        <w:rPr/>
        <w:t>月出生，法学博士，中央财经大学法学院副教</w:t>
      </w:r>
      <w:r>
        <w:rPr>
          <w:w w:val="100"/>
        </w:rPr>
        <w:t> </w:t>
      </w:r>
      <w:r>
        <w:rPr/>
        <w:t>授。曾任职于国家农业部、农民日报社。现任公司独立董事。</w:t>
      </w:r>
    </w:p>
    <w:p>
      <w:pPr>
        <w:pStyle w:val="BodyText"/>
        <w:spacing w:line="268" w:lineRule="auto" w:before="22"/>
        <w:ind w:right="0" w:firstLine="420"/>
        <w:jc w:val="left"/>
      </w:pPr>
      <w:r>
        <w:rPr/>
        <w:t>周学民先生，中国国籍，无境外永久居留权，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8</w:t>
      </w:r>
      <w:r>
        <w:rPr/>
        <w:t>月出生，大学本科，中国注册会计师、注册造</w:t>
      </w:r>
      <w:r>
        <w:rPr>
          <w:w w:val="100"/>
        </w:rPr>
        <w:t> </w:t>
      </w:r>
      <w:r>
        <w:rPr>
          <w:spacing w:val="-2"/>
        </w:rPr>
        <w:t>价工程师、资深执业会员。历任安徽永诚会计师事务所主任会计师、所长。现任公司独立董事，天职国际</w:t>
      </w:r>
      <w:r>
        <w:rPr>
          <w:spacing w:val="-43"/>
        </w:rPr>
        <w:t> </w:t>
      </w:r>
      <w:r>
        <w:rPr>
          <w:spacing w:val="-43"/>
        </w:rPr>
      </w:r>
      <w:r>
        <w:rPr>
          <w:spacing w:val="-5"/>
        </w:rPr>
        <w:t>会计师事务所（特殊普通合伙）合伙人、副主任会计师、安徽分所所长，安徽省注册会计师协会常务理事、</w:t>
      </w:r>
      <w:r>
        <w:rPr>
          <w:spacing w:val="-6"/>
        </w:rPr>
        <w:t> </w:t>
      </w:r>
      <w:r>
        <w:rPr>
          <w:spacing w:val="-6"/>
        </w:rPr>
      </w:r>
      <w:r>
        <w:rPr>
          <w:spacing w:val="-2"/>
        </w:rPr>
        <w:t>自律委员会委员，安徽安德利百货股份有限公司、奇瑞徽银汽车金融股份有限公司、惠而浦（中国）股份</w:t>
      </w:r>
      <w:r>
        <w:rPr>
          <w:spacing w:val="-43"/>
        </w:rPr>
        <w:t> </w:t>
      </w:r>
      <w:r>
        <w:rPr>
          <w:spacing w:val="-43"/>
        </w:rPr>
      </w:r>
      <w:r>
        <w:rPr/>
        <w:t>有限公司独立董事、洽洽食品股份公司独立董事。</w:t>
      </w:r>
    </w:p>
    <w:p>
      <w:pPr>
        <w:pStyle w:val="BodyText"/>
        <w:spacing w:line="256" w:lineRule="auto" w:before="12"/>
        <w:ind w:left="573" w:right="0"/>
        <w:jc w:val="left"/>
      </w:pPr>
      <w:r>
        <w:rPr>
          <w:rFonts w:ascii="Times New Roman" w:hAnsi="Times New Roman" w:cs="Times New Roman" w:eastAsia="Times New Roman" w:hint="default"/>
        </w:rPr>
        <w:t>2</w:t>
      </w:r>
      <w:r>
        <w:rPr/>
        <w:t>、公司现任监事主要工作经历和任职情况：</w:t>
      </w:r>
      <w:r>
        <w:rPr>
          <w:w w:val="100"/>
        </w:rPr>
        <w:t> </w:t>
      </w:r>
      <w:r>
        <w:rPr>
          <w:spacing w:val="-2"/>
        </w:rPr>
        <w:t>陈方友先生，中国国籍，无境外永久居留权，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10</w:t>
      </w:r>
      <w:r>
        <w:rPr>
          <w:spacing w:val="-2"/>
        </w:rPr>
        <w:t>月出生，大学本科双学士，工信部认证信息系</w:t>
      </w:r>
    </w:p>
    <w:p>
      <w:pPr>
        <w:pStyle w:val="BodyText"/>
        <w:spacing w:line="273" w:lineRule="auto" w:before="5"/>
        <w:ind w:right="0"/>
        <w:jc w:val="left"/>
      </w:pPr>
      <w:r>
        <w:rPr>
          <w:spacing w:val="-2"/>
        </w:rPr>
        <w:t>统集成高级项目经理。曾任苏州科大国创信息技术有限公司副总经理。现任公司监事会主席、党委书记，</w:t>
      </w:r>
      <w:r>
        <w:rPr>
          <w:spacing w:val="-21"/>
        </w:rPr>
        <w:t> </w:t>
      </w:r>
      <w:r>
        <w:rPr>
          <w:spacing w:val="-21"/>
        </w:rPr>
      </w:r>
      <w:r>
        <w:rPr/>
        <w:t>安徽慧通互联科技有限公司执行总经理。</w:t>
      </w:r>
    </w:p>
    <w:p>
      <w:pPr>
        <w:pStyle w:val="BodyText"/>
        <w:spacing w:line="264" w:lineRule="auto" w:before="7"/>
        <w:ind w:right="208" w:firstLine="420"/>
        <w:jc w:val="both"/>
      </w:pPr>
      <w:r>
        <w:rPr>
          <w:spacing w:val="-3"/>
        </w:rPr>
        <w:t>韩民先生，中国国籍，无境外永久居留权</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12</w:t>
      </w:r>
      <w:r>
        <w:rPr>
          <w:spacing w:val="-3"/>
        </w:rPr>
        <w:t>月出生，硕士，曾任安徽省安通发展有限公司办公</w:t>
      </w:r>
      <w:r>
        <w:rPr>
          <w:w w:val="100"/>
        </w:rPr>
        <w:t> </w:t>
      </w:r>
      <w:r>
        <w:rPr>
          <w:spacing w:val="-2"/>
        </w:rPr>
        <w:t>室副主任、机构管理部经理、资产管理部经理、安徽国元安通有限责任公司副总经理。现任国元股权投资</w:t>
      </w:r>
      <w:r>
        <w:rPr>
          <w:spacing w:val="-47"/>
        </w:rPr>
        <w:t> </w:t>
      </w:r>
      <w:r>
        <w:rPr>
          <w:spacing w:val="-47"/>
        </w:rPr>
      </w:r>
      <w:r>
        <w:rPr/>
        <w:t>有限公司副总经理兼项目投资部总监。</w:t>
      </w:r>
    </w:p>
    <w:p>
      <w:pPr>
        <w:pStyle w:val="BodyText"/>
        <w:spacing w:line="256" w:lineRule="auto" w:before="16"/>
        <w:ind w:right="0" w:firstLine="420"/>
        <w:jc w:val="left"/>
      </w:pPr>
      <w:r>
        <w:rPr>
          <w:spacing w:val="-8"/>
        </w:rPr>
        <w:t>孔皖生先生，中国国籍，无境外永久居留权，</w:t>
      </w:r>
      <w:r>
        <w:rPr>
          <w:rFonts w:ascii="Times New Roman" w:hAnsi="Times New Roman" w:cs="Times New Roman" w:eastAsia="Times New Roman" w:hint="default"/>
          <w:spacing w:val="-8"/>
        </w:rPr>
        <w:t>1977</w:t>
      </w:r>
      <w:r>
        <w:rPr>
          <w:spacing w:val="-8"/>
        </w:rPr>
        <w:t>年</w:t>
      </w:r>
      <w:r>
        <w:rPr>
          <w:rFonts w:ascii="Times New Roman" w:hAnsi="Times New Roman" w:cs="Times New Roman" w:eastAsia="Times New Roman" w:hint="default"/>
          <w:spacing w:val="-8"/>
        </w:rPr>
        <w:t>8</w:t>
      </w:r>
      <w:r>
        <w:rPr>
          <w:spacing w:val="-8"/>
        </w:rPr>
        <w:t>月出生，大学本科</w:t>
      </w:r>
      <w:r>
        <w:rPr>
          <w:rFonts w:ascii="Times New Roman" w:hAnsi="Times New Roman" w:cs="Times New Roman" w:eastAsia="Times New Roman" w:hint="default"/>
          <w:spacing w:val="-8"/>
        </w:rPr>
        <w:t>,</w:t>
      </w:r>
      <w:r>
        <w:rPr>
          <w:spacing w:val="-8"/>
        </w:rPr>
        <w:t>信息系统项目管理师（高级）。</w:t>
      </w:r>
      <w:r>
        <w:rPr>
          <w:w w:val="100"/>
        </w:rPr>
        <w:t> </w:t>
      </w:r>
      <w:r>
        <w:rPr/>
        <w:t>历任科大恒星电子商务技术有限公司研发中心项目经理、部门经理。现任公司监事、总裁助理。</w:t>
      </w:r>
    </w:p>
    <w:p>
      <w:pPr>
        <w:pStyle w:val="BodyText"/>
        <w:spacing w:line="256" w:lineRule="auto" w:before="22"/>
        <w:ind w:left="573" w:right="0"/>
        <w:jc w:val="left"/>
      </w:pPr>
      <w:r>
        <w:rPr>
          <w:rFonts w:ascii="Times New Roman" w:hAnsi="Times New Roman" w:cs="Times New Roman" w:eastAsia="Times New Roman" w:hint="default"/>
        </w:rPr>
        <w:t>3</w:t>
      </w:r>
      <w:r>
        <w:rPr/>
        <w:t>、公司现任高级管理人员主要工作经历和兼职情况：</w:t>
      </w:r>
      <w:r>
        <w:rPr>
          <w:w w:val="100"/>
        </w:rPr>
        <w:t> </w:t>
      </w:r>
      <w:r>
        <w:rPr/>
        <w:t>杨杨先生，任本公司总经理，简历参见本小节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许广德先生，任本公司副总经理，简历参见本小节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程先乐先生，任本公司副总经理，简历参见本小节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p>
    <w:p>
      <w:pPr>
        <w:pStyle w:val="BodyText"/>
        <w:spacing w:line="264" w:lineRule="auto" w:before="46"/>
        <w:ind w:right="206" w:firstLine="420"/>
        <w:jc w:val="both"/>
      </w:pPr>
      <w:r>
        <w:rPr>
          <w:spacing w:val="-2"/>
        </w:rPr>
        <w:t>储士升先生，中国国籍，无境外永久居留权，</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10</w:t>
      </w:r>
      <w:r>
        <w:rPr>
          <w:spacing w:val="-2"/>
        </w:rPr>
        <w:t>月出生，大学本科，中国注册会计师、注册税</w:t>
      </w:r>
      <w:r>
        <w:rPr>
          <w:w w:val="100"/>
        </w:rPr>
        <w:t> </w:t>
      </w:r>
      <w:r>
        <w:rPr>
          <w:spacing w:val="-2"/>
        </w:rPr>
        <w:t>务师。曾担任华普会计师事务所项目经理、国元证券风险管理部职员。现任公司副总经理、财务总监、董</w:t>
      </w:r>
      <w:r>
        <w:rPr>
          <w:spacing w:val="-43"/>
        </w:rPr>
        <w:t> </w:t>
      </w:r>
      <w:r>
        <w:rPr>
          <w:spacing w:val="-43"/>
        </w:rPr>
      </w:r>
      <w:r>
        <w:rPr/>
        <w:t>事会秘书。</w:t>
      </w:r>
    </w:p>
    <w:p>
      <w:pPr>
        <w:spacing w:before="75"/>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1"/>
        <w:gridCol w:w="1066"/>
        <w:gridCol w:w="1196"/>
        <w:gridCol w:w="1330"/>
        <w:gridCol w:w="1589"/>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国元股权投资有限公司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副总经理兼 项目投资部 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安徽省信息化专家咨询委员会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安徽省软件行业协会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安徽省电子商务协会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安徽省信息化协会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副监事长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安徽慧通互联科技有限公司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合肥市大数据创新产业联盟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安徽科大擎天科技有限公司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科大智能科技股份有限公司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科大国盾量子技术股份有限公司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安徽问天量子科技股份有限公司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合肥中科大爱克科技有限公司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合肥华西科技开发有限公司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吉世尔（合肥）能源科技有限公司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合肥科佳高分子材料科技有限公司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中国科学技术大学出版社有限责任公司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合肥科创教育服务有限公司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r>
        <w:rPr/>
        <w:pict>
          <v:shape style="position:absolute;margin-left:207.383011pt;margin-top:275.689972pt;width:121.85pt;height:50.8pt;mso-position-horizontal-relative:page;mso-position-vertical-relative:page;z-index:-85516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（特殊普通合伙）</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96"/>
              <w:jc w:val="left"/>
              <w:rPr>
                <w:rFonts w:ascii="宋体" w:hAnsi="宋体" w:cs="宋体" w:eastAsia="宋体" w:hint="default"/>
                <w:sz w:val="18"/>
                <w:szCs w:val="18"/>
              </w:rPr>
            </w:pPr>
            <w:r>
              <w:rPr>
                <w:rFonts w:ascii="宋体" w:hAnsi="宋体" w:cs="宋体" w:eastAsia="宋体" w:hint="default"/>
                <w:sz w:val="18"/>
                <w:szCs w:val="18"/>
              </w:rPr>
              <w:t>云上神州浪潮国创大数据产业发展有限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154"/>
              <w:jc w:val="left"/>
              <w:rPr>
                <w:rFonts w:ascii="宋体" w:hAnsi="宋体" w:cs="宋体" w:eastAsia="宋体" w:hint="default"/>
                <w:sz w:val="18"/>
                <w:szCs w:val="18"/>
              </w:rPr>
            </w:pPr>
            <w:r>
              <w:rPr>
                <w:rFonts w:ascii="宋体" w:hAnsi="宋体" w:cs="宋体" w:eastAsia="宋体" w:hint="default"/>
                <w:sz w:val="18"/>
                <w:szCs w:val="18"/>
              </w:rPr>
              <w:t>中电科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公共设施运营管理有限公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株式会社科大国创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代表取缔役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教授、硕士生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苏州虞创智能仪表科技有限公司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7"/>
              <w:jc w:val="left"/>
              <w:rPr>
                <w:rFonts w:ascii="宋体" w:hAnsi="宋体" w:cs="宋体" w:eastAsia="宋体" w:hint="default"/>
                <w:sz w:val="18"/>
                <w:szCs w:val="18"/>
              </w:rPr>
            </w:pPr>
            <w:r>
              <w:rPr>
                <w:rFonts w:ascii="宋体" w:hAnsi="宋体" w:cs="宋体" w:eastAsia="宋体" w:hint="default"/>
                <w:sz w:val="18"/>
                <w:szCs w:val="18"/>
              </w:rPr>
              <w:t>总经理（兼 职）</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中央财经大学法学院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
              <w:jc w:val="both"/>
              <w:rPr>
                <w:rFonts w:ascii="宋体" w:hAnsi="宋体" w:cs="宋体" w:eastAsia="宋体" w:hint="default"/>
                <w:sz w:val="18"/>
                <w:szCs w:val="18"/>
              </w:rPr>
            </w:pPr>
            <w:r>
              <w:rPr>
                <w:rFonts w:ascii="宋体" w:hAnsi="宋体" w:cs="宋体" w:eastAsia="宋体" w:hint="default"/>
                <w:spacing w:val="-12"/>
                <w:sz w:val="18"/>
                <w:szCs w:val="18"/>
              </w:rPr>
              <w:t>合伙人、副主</w:t>
            </w:r>
            <w:r>
              <w:rPr>
                <w:rFonts w:ascii="宋体" w:hAnsi="宋体" w:cs="宋体" w:eastAsia="宋体" w:hint="default"/>
                <w:sz w:val="18"/>
                <w:szCs w:val="18"/>
              </w:rPr>
              <w:t> </w:t>
            </w:r>
            <w:r>
              <w:rPr>
                <w:rFonts w:ascii="宋体" w:hAnsi="宋体" w:cs="宋体" w:eastAsia="宋体" w:hint="default"/>
                <w:spacing w:val="-12"/>
                <w:sz w:val="18"/>
                <w:szCs w:val="18"/>
              </w:rPr>
              <w:t>任会计师、安</w:t>
            </w:r>
            <w:r>
              <w:rPr>
                <w:rFonts w:ascii="宋体" w:hAnsi="宋体" w:cs="宋体" w:eastAsia="宋体" w:hint="default"/>
                <w:sz w:val="18"/>
                <w:szCs w:val="18"/>
              </w:rPr>
              <w:t> 徽分所所长</w:t>
            </w:r>
          </w:p>
          <w:p>
            <w:pPr>
              <w:pStyle w:val="TableParagraph"/>
              <w:spacing w:line="1015"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52.7pt;height:50.8pt;mso-position-horizontal-relative:char;mso-position-vertical-relative:line" coordorigin="0,0" coordsize="1054,1016">
                  <v:group style="position:absolute;left:0;top:0;width:1054;height:1016" coordorigin="0,0" coordsize="1054,1016">
                    <v:shape style="position:absolute;left:0;top:0;width:1054;height:1016" coordorigin="0,0" coordsize="1054,1016" path="m0,1015l1054,1015,1054,0,0,0,0,1015xe" filled="true" fillcolor="#ffffff" stroked="false">
                      <v:path arrowok="t"/>
                      <v:fill type="solid"/>
                    </v:shape>
                  </v:group>
                  <v:group style="position:absolute;left:24;top:0;width:1006;height:351" coordorigin="24,0" coordsize="1006,351">
                    <v:shape style="position:absolute;left:24;top:0;width:1006;height:351" coordorigin="24,0" coordsize="1006,351" path="m24,350l1030,350,1030,0,24,0,24,350xe" filled="true" fillcolor="#ffffff" stroked="false">
                      <v:path arrowok="t"/>
                      <v:fill type="solid"/>
                    </v:shape>
                  </v:group>
                  <v:group style="position:absolute;left:24;top:350;width:1006;height:312" coordorigin="24,350" coordsize="1006,312">
                    <v:shape style="position:absolute;left:24;top:350;width:1006;height:312" coordorigin="24,350" coordsize="1006,312" path="m24,662l1030,662,1030,350,24,350,24,662xe" filled="true" fillcolor="#ffffff" stroked="false">
                      <v:path arrowok="t"/>
                      <v:fill type="solid"/>
                    </v:shape>
                  </v:group>
                  <v:group style="position:absolute;left:24;top:662;width:1006;height:353" coordorigin="24,662" coordsize="1006,353">
                    <v:shape style="position:absolute;left:24;top:662;width:1006;height:353" coordorigin="24,662" coordsize="1006,353" path="m24,1015l1030,1015,1030,662,24,662,24,1015xe" filled="true" fillcolor="#ffffff" stroked="false">
                      <v:path arrowok="t"/>
                      <v:fill type="solid"/>
                    </v:shape>
                  </v:group>
                </v:group>
              </w:pict>
            </w:r>
            <w:r>
              <w:rPr>
                <w:rFonts w:ascii="宋体" w:hAnsi="宋体" w:cs="宋体" w:eastAsia="宋体" w:hint="default"/>
                <w:position w:val="-19"/>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安徽省注册会计师协会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常务理事、自</w:t>
            </w:r>
            <w:r>
              <w:rPr>
                <w:rFonts w:ascii="宋体" w:hAnsi="宋体" w:cs="宋体" w:eastAsia="宋体" w:hint="default"/>
                <w:sz w:val="18"/>
                <w:szCs w:val="18"/>
              </w:rPr>
              <w:t> 律委员会委 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安徽安德利百货股份有限公司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奇瑞徽银汽车金融股份有限公司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惠而浦（中国）股份有限公司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洽洽食品股份公司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安徽慧通互联科技有限公司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安徽慧通互联科技有限公司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56" w:lineRule="auto" w:before="96"/>
        <w:ind w:left="573" w:right="0"/>
        <w:jc w:val="left"/>
      </w:pPr>
      <w:r>
        <w:rPr>
          <w:rFonts w:ascii="Times New Roman" w:hAnsi="Times New Roman" w:cs="Times New Roman" w:eastAsia="Times New Roman" w:hint="default"/>
        </w:rPr>
        <w:t>1</w:t>
      </w:r>
      <w:r>
        <w:rPr/>
        <w:t>、董事、监事、高级管理人员报酬的决策程序</w:t>
      </w:r>
      <w:r>
        <w:rPr>
          <w:w w:val="100"/>
        </w:rPr>
        <w:t> </w:t>
      </w:r>
      <w:r>
        <w:rPr>
          <w:spacing w:val="-2"/>
        </w:rPr>
        <w:t>由公司董事会薪酬与考核委员会研究制订公司董事、监事和高级管理人员的薪酬政策、方案，股东大</w:t>
      </w:r>
    </w:p>
    <w:p>
      <w:pPr>
        <w:pStyle w:val="BodyText"/>
        <w:spacing w:line="273" w:lineRule="auto" w:before="22"/>
        <w:ind w:right="0"/>
        <w:jc w:val="left"/>
      </w:pPr>
      <w:r>
        <w:rPr>
          <w:spacing w:val="-2"/>
        </w:rPr>
        <w:t>会审议董事、监事薪酬，董事会审议高级管理人员薪酬，公司人力资源部、财务部配合董事会薪酬与考核</w:t>
      </w:r>
      <w:r>
        <w:rPr>
          <w:spacing w:val="-44"/>
        </w:rPr>
        <w:t> </w:t>
      </w:r>
      <w:r>
        <w:rPr>
          <w:spacing w:val="-44"/>
        </w:rPr>
      </w:r>
      <w:r>
        <w:rPr/>
        <w:t>委员会进行公司董事、监事、高级管理人员薪酬方案的具体实施。</w:t>
      </w:r>
    </w:p>
    <w:p>
      <w:pPr>
        <w:pStyle w:val="BodyText"/>
        <w:spacing w:line="290" w:lineRule="auto" w:before="7"/>
        <w:ind w:left="573" w:right="0"/>
        <w:jc w:val="left"/>
      </w:pPr>
      <w:r>
        <w:rPr>
          <w:rFonts w:ascii="Times New Roman" w:hAnsi="Times New Roman" w:cs="Times New Roman" w:eastAsia="Times New Roman" w:hint="default"/>
        </w:rPr>
        <w:t>2</w:t>
      </w:r>
      <w:r>
        <w:rPr/>
        <w:t>、董事、监事、高级管理人员报酬的确立依据</w:t>
      </w:r>
      <w:r>
        <w:rPr>
          <w:w w:val="100"/>
        </w:rPr>
        <w:t> </w:t>
      </w:r>
      <w:r>
        <w:rPr>
          <w:spacing w:val="-2"/>
        </w:rPr>
        <w:t>根据公司内部董事、内部监事与高级管理人员所承担的责任、风险、压力等，确定不同的薪酬标准，</w:t>
      </w:r>
    </w:p>
    <w:p>
      <w:pPr>
        <w:pStyle w:val="BodyText"/>
        <w:spacing w:line="266" w:lineRule="exact"/>
        <w:ind w:right="0"/>
        <w:jc w:val="left"/>
      </w:pPr>
      <w:r>
        <w:rPr/>
        <w:t>基础薪酬按照其在公司内部担任的职务，根据岗位责任等级、能力等级确定，每月发放；绩效年薪以公司</w:t>
      </w:r>
    </w:p>
    <w:p>
      <w:pPr>
        <w:spacing w:after="0" w:line="266" w:lineRule="exact"/>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年度经营目标和个人年度绩效考核目标指标完成情况为考核基础。外部董事、独立董事、外部监事津贴数</w:t>
      </w:r>
      <w:r>
        <w:rPr>
          <w:spacing w:val="-44"/>
        </w:rPr>
        <w:t> </w:t>
      </w:r>
      <w:r>
        <w:rPr>
          <w:spacing w:val="-44"/>
        </w:rPr>
      </w:r>
      <w:r>
        <w:rPr/>
        <w:t>额由公司股东大会审议决定。</w:t>
      </w:r>
    </w:p>
    <w:p>
      <w:pPr>
        <w:spacing w:before="6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副总经理、财务 总监、董事会秘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324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2,330</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207" w:firstLine="360"/>
        <w:jc w:val="both"/>
      </w:pPr>
      <w:r>
        <w:rPr>
          <w:spacing w:val="-1"/>
        </w:rPr>
        <w:t>公司根据员工从事工作的岗位、责任、能力、贡献、职称确定薪资标准，按月向员工发放薪酬。薪资</w:t>
      </w:r>
      <w:r>
        <w:rPr>
          <w:w w:val="100"/>
        </w:rPr>
        <w:t> </w:t>
      </w:r>
      <w:r>
        <w:rPr>
          <w:spacing w:val="-2"/>
        </w:rPr>
        <w:t>构成包括：基本工资、绩效工资、职务工资、岗位工资、年终奖、住房公积金和其他。公司每年根据员工</w:t>
      </w:r>
      <w:r>
        <w:rPr>
          <w:spacing w:val="-48"/>
        </w:rPr>
        <w:t> </w:t>
      </w:r>
      <w:r>
        <w:rPr>
          <w:spacing w:val="-48"/>
        </w:rPr>
      </w:r>
      <w:r>
        <w:rPr/>
        <w:t>工作技能和绩效、公司上一年经营状况，核发年终奖励和专项奖励，保持公司的薪酬竞争力。</w:t>
      </w:r>
    </w:p>
    <w:p>
      <w:pPr>
        <w:pStyle w:val="BodyText"/>
        <w:spacing w:line="273" w:lineRule="auto" w:before="46"/>
        <w:ind w:right="0" w:firstLine="360"/>
        <w:jc w:val="left"/>
      </w:pPr>
      <w:r>
        <w:rPr>
          <w:spacing w:val="-1"/>
        </w:rPr>
        <w:t>公司对经营活动中为公司创造成绩显著者、促进公司经营管理，提高经济效益方面成绩突出者或其他</w:t>
      </w:r>
      <w:r>
        <w:rPr>
          <w:w w:val="100"/>
        </w:rPr>
        <w:t> </w:t>
      </w:r>
      <w:r>
        <w:rPr/>
        <w:t>认为应奖励者，进行奖励性晋级。</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firstLine="420"/>
        <w:jc w:val="left"/>
      </w:pPr>
      <w:r>
        <w:rPr/>
        <w:t>根据公司人力资源发展战略，确保员工的素质和技能水平能够满足公司业务发展需要。通过全面的培</w:t>
      </w:r>
      <w:r>
        <w:rPr>
          <w:w w:val="100"/>
        </w:rPr>
        <w:t> </w:t>
      </w:r>
      <w:r>
        <w:rPr>
          <w:spacing w:val="-2"/>
        </w:rPr>
        <w:t>训需求调查，公司培训按照分层分类开展。从层级上分为：公司级培训、部门级培训、项目级培训；从类</w:t>
      </w:r>
      <w:r>
        <w:rPr>
          <w:spacing w:val="-42"/>
        </w:rPr>
        <w:t> </w:t>
      </w:r>
      <w:r>
        <w:rPr>
          <w:spacing w:val="-42"/>
        </w:rPr>
      </w:r>
      <w:r>
        <w:rPr>
          <w:spacing w:val="-5"/>
        </w:rPr>
        <w:t>别上分为：管理类培训、技术类培训、新员工培训、职业资格培训。各类培训中涵盖管理能力、领导能力、</w:t>
      </w:r>
      <w:r>
        <w:rPr>
          <w:spacing w:val="-6"/>
        </w:rPr>
        <w:t> </w:t>
      </w:r>
      <w:r>
        <w:rPr>
          <w:spacing w:val="-6"/>
        </w:rPr>
      </w:r>
      <w:r>
        <w:rPr/>
        <w:t>知识、技能、通用能力等。进一步加大骨干员工培养、储备干部培养及经理人领导力的培养等。一方面，</w:t>
      </w:r>
      <w:r>
        <w:rPr>
          <w:w w:val="100"/>
        </w:rPr>
        <w:t> </w:t>
      </w:r>
      <w:r>
        <w:rPr>
          <w:spacing w:val="-2"/>
        </w:rPr>
        <w:t>有效的提高了公司员工的整体素质；另一方面，为企业的经营管理水平，为公司人力资源发展储备了有效</w:t>
      </w:r>
      <w:r>
        <w:rPr>
          <w:spacing w:val="-44"/>
        </w:rPr>
        <w:t> </w:t>
      </w:r>
      <w:r>
        <w:rPr>
          <w:spacing w:val="-44"/>
        </w:rPr>
      </w:r>
      <w:r>
        <w:rPr/>
        <w:t>的人力资源。</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84"/>
        <w:jc w:val="center"/>
        <w:rPr>
          <w:b w:val="0"/>
          <w:bCs w:val="0"/>
        </w:rPr>
      </w:pPr>
      <w:bookmarkStart w:name="_TOC_250003" w:id="9"/>
      <w:r>
        <w:rPr/>
        <w:t>第九节 </w:t>
      </w:r>
      <w:r>
        <w:rPr>
          <w:spacing w:val="9"/>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20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板股票上市规则》、《深圳证券交易所创业板上市公司规范运作指引》和其他有关法律、法规、规范性文</w:t>
      </w:r>
      <w:r>
        <w:rPr>
          <w:spacing w:val="-42"/>
        </w:rPr>
        <w:t> </w:t>
      </w:r>
      <w:r>
        <w:rPr>
          <w:spacing w:val="-42"/>
        </w:rPr>
      </w:r>
      <w:r>
        <w:rPr>
          <w:spacing w:val="-2"/>
        </w:rPr>
        <w:t>件的要求，不断地完善公司治理结构，建立健全公司内部控制制度，以进一步提高公司治理水平。公司治</w:t>
      </w:r>
      <w:r>
        <w:rPr>
          <w:spacing w:val="-50"/>
        </w:rPr>
        <w:t> </w:t>
      </w:r>
      <w:r>
        <w:rPr>
          <w:spacing w:val="-50"/>
        </w:rPr>
      </w:r>
      <w:r>
        <w:rPr/>
        <w:t>理的实际状况符合中国证监会、深圳证券交易所等发布的有关法规、规范性文件的要求。</w:t>
      </w:r>
    </w:p>
    <w:p>
      <w:pPr>
        <w:pStyle w:val="BodyText"/>
        <w:spacing w:line="273" w:lineRule="auto" w:before="7"/>
        <w:ind w:left="573" w:right="0"/>
        <w:jc w:val="left"/>
      </w:pPr>
      <w:r>
        <w:rPr/>
        <w:t>（一）关于股东与股东大会</w:t>
      </w:r>
      <w:r>
        <w:rPr>
          <w:w w:val="100"/>
        </w:rPr>
        <w:t> </w:t>
      </w:r>
      <w:r>
        <w:rPr>
          <w:spacing w:val="-2"/>
        </w:rPr>
        <w:t>公司严格按照《公司法》、《上市公司股东大会规则》、《公司章程》、《股东大会议事规则》和深</w:t>
      </w:r>
    </w:p>
    <w:p>
      <w:pPr>
        <w:pStyle w:val="BodyText"/>
        <w:spacing w:line="273" w:lineRule="auto" w:before="7"/>
        <w:ind w:right="184"/>
        <w:jc w:val="both"/>
      </w:pPr>
      <w:r>
        <w:rPr>
          <w:spacing w:val="-2"/>
        </w:rPr>
        <w:t>圳证券交易所创业板的相关规定和要求，规范股东大会的召集、召开和表决程序。报告期内，公司召开了</w:t>
      </w:r>
      <w:r>
        <w:rPr>
          <w:spacing w:val="-47"/>
        </w:rPr>
        <w:t> </w:t>
      </w:r>
      <w:r>
        <w:rPr>
          <w:spacing w:val="-47"/>
        </w:rPr>
      </w:r>
      <w:r>
        <w:rPr>
          <w:spacing w:val="-2"/>
        </w:rPr>
        <w:t>一次年度股东大会和四次临时股东大会，均由公司董事会召集召开，董事长主持，部分董监高列席会议，</w:t>
      </w:r>
      <w:r>
        <w:rPr>
          <w:spacing w:val="-21"/>
        </w:rPr>
        <w:t> </w:t>
      </w:r>
      <w:r>
        <w:rPr>
          <w:spacing w:val="-21"/>
        </w:rPr>
      </w:r>
      <w:r>
        <w:rPr>
          <w:spacing w:val="-2"/>
        </w:rPr>
        <w:t>邀请见证律师进行现场见证并出具了法律意见书。在股东大会上能够保证各位股东有充分的发言权，确保</w:t>
      </w:r>
      <w:r>
        <w:rPr>
          <w:spacing w:val="-42"/>
        </w:rPr>
        <w:t> </w:t>
      </w:r>
      <w:r>
        <w:rPr>
          <w:spacing w:val="-42"/>
        </w:rPr>
      </w:r>
      <w:r>
        <w:rPr/>
        <w:t>全体股东特别是中小股东享有平等地位，充分行使自己的权力。</w:t>
      </w:r>
    </w:p>
    <w:p>
      <w:pPr>
        <w:pStyle w:val="BodyText"/>
        <w:spacing w:line="266" w:lineRule="auto" w:before="7"/>
        <w:ind w:right="208" w:firstLine="420"/>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5"/>
        </w:rPr>
        <w:t> </w:t>
      </w:r>
      <w:r>
        <w:rPr>
          <w:spacing w:val="-5"/>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pStyle w:val="BodyText"/>
        <w:spacing w:line="273" w:lineRule="auto" w:before="14"/>
        <w:ind w:left="573" w:right="0"/>
        <w:jc w:val="left"/>
      </w:pPr>
      <w:r>
        <w:rPr/>
        <w:t>（二）关于公司与控股股东及实际控制人</w:t>
      </w:r>
      <w:r>
        <w:rPr>
          <w:w w:val="100"/>
        </w:rPr>
        <w:t> </w:t>
      </w:r>
      <w:r>
        <w:rPr>
          <w:spacing w:val="-9"/>
          <w:w w:val="100"/>
        </w:rPr>
        <w:t>公司控股股东、实际控制人严格按照《上市公司治理准则》、《深圳证券交易所创业板股票上市规则》、</w:t>
      </w:r>
    </w:p>
    <w:p>
      <w:pPr>
        <w:pStyle w:val="BodyText"/>
        <w:spacing w:line="273" w:lineRule="auto" w:before="8"/>
        <w:ind w:right="206"/>
        <w:jc w:val="both"/>
      </w:pPr>
      <w:r>
        <w:rPr>
          <w:spacing w:val="-2"/>
        </w:rPr>
        <w:t>《深圳证券交易所创业板上市公司规范运作指引》、《公司章程》等规定和要求，规范自己的行为，不存</w:t>
      </w:r>
      <w:r>
        <w:rPr>
          <w:spacing w:val="-42"/>
        </w:rPr>
        <w:t> </w:t>
      </w:r>
      <w:r>
        <w:rPr>
          <w:spacing w:val="-42"/>
        </w:rPr>
      </w:r>
      <w:r>
        <w:rPr>
          <w:spacing w:val="2"/>
        </w:rPr>
        <w:t>在超越股东大会直接或间接干预公司的决策和经营活动的行为，不存在损害公司及其他股东的利益的情</w:t>
      </w:r>
      <w:r>
        <w:rPr>
          <w:spacing w:val="-30"/>
        </w:rPr>
        <w:t> </w:t>
      </w:r>
      <w:r>
        <w:rPr>
          <w:spacing w:val="-30"/>
        </w:rPr>
      </w:r>
      <w:r>
        <w:rPr>
          <w:spacing w:val="-2"/>
        </w:rPr>
        <w:t>形，不存在控股股东和实际控制人占用公司资金的现象，公司亦无为控股股东和实际控制人提供担保的情</w:t>
      </w:r>
      <w:r>
        <w:rPr>
          <w:spacing w:val="-43"/>
        </w:rPr>
        <w:t> </w:t>
      </w:r>
      <w:r>
        <w:rPr>
          <w:spacing w:val="-43"/>
        </w:rPr>
      </w:r>
      <w:r>
        <w:rPr>
          <w:spacing w:val="-2"/>
        </w:rPr>
        <w:t>形。公司拥有独立完整的业务和自主经营能力，在业务、人员、资产、机构、财务上独立于控股股东，公</w:t>
      </w:r>
      <w:r>
        <w:rPr>
          <w:spacing w:val="-48"/>
        </w:rPr>
        <w:t> </w:t>
      </w:r>
      <w:r>
        <w:rPr>
          <w:spacing w:val="-48"/>
        </w:rPr>
      </w:r>
      <w:r>
        <w:rPr/>
        <w:t>司董事会、监事会和内部机构独立运作。</w:t>
      </w:r>
    </w:p>
    <w:p>
      <w:pPr>
        <w:pStyle w:val="BodyText"/>
        <w:spacing w:line="273" w:lineRule="auto" w:before="7"/>
        <w:ind w:left="573" w:right="0"/>
        <w:jc w:val="left"/>
      </w:pPr>
      <w:r>
        <w:rPr/>
        <w:t>（三）关于董事和董事会</w:t>
      </w:r>
      <w:r>
        <w:rPr>
          <w:w w:val="100"/>
        </w:rPr>
        <w:t> </w:t>
      </w:r>
      <w:r>
        <w:rPr>
          <w:spacing w:val="-7"/>
        </w:rPr>
        <w:t>公司第二届董事会设董事</w:t>
      </w:r>
      <w:r>
        <w:rPr>
          <w:rFonts w:ascii="Times New Roman" w:hAnsi="Times New Roman" w:cs="Times New Roman" w:eastAsia="Times New Roman" w:hint="default"/>
          <w:spacing w:val="-7"/>
        </w:rPr>
        <w:t>9</w:t>
      </w:r>
      <w:r>
        <w:rPr>
          <w:spacing w:val="-7"/>
        </w:rPr>
        <w:t>名，其中独立董事</w:t>
      </w:r>
      <w:r>
        <w:rPr>
          <w:rFonts w:ascii="Times New Roman" w:hAnsi="Times New Roman" w:cs="Times New Roman" w:eastAsia="Times New Roman" w:hint="default"/>
          <w:spacing w:val="-7"/>
        </w:rPr>
        <w:t>3</w:t>
      </w:r>
      <w:r>
        <w:rPr>
          <w:spacing w:val="-7"/>
        </w:rPr>
        <w:t>名，董事会的人数及人员构成符合有关法律、法规和《公</w:t>
      </w:r>
    </w:p>
    <w:p>
      <w:pPr>
        <w:pStyle w:val="BodyText"/>
        <w:spacing w:line="273" w:lineRule="auto"/>
        <w:ind w:right="184"/>
        <w:jc w:val="both"/>
      </w:pPr>
      <w:r>
        <w:rPr>
          <w:spacing w:val="-2"/>
        </w:rPr>
        <w:t>司章程》的要求，各位董事具有履行职务所必需的知识、技能和素质，能够严格按照公司《董事会议事规</w:t>
      </w:r>
      <w:r>
        <w:rPr>
          <w:spacing w:val="-43"/>
        </w:rPr>
        <w:t> </w:t>
      </w:r>
      <w:r>
        <w:rPr>
          <w:spacing w:val="-43"/>
        </w:rPr>
      </w:r>
      <w:r>
        <w:rPr>
          <w:spacing w:val="-2"/>
        </w:rPr>
        <w:t>则》、《独立董事任职及议事规则》等有关规定开展工作，出席董事会、董事会专门委员会和股东大会，</w:t>
      </w:r>
      <w:r>
        <w:rPr>
          <w:spacing w:val="-21"/>
        </w:rPr>
        <w:t> </w:t>
      </w:r>
      <w:r>
        <w:rPr>
          <w:spacing w:val="-21"/>
        </w:rPr>
      </w:r>
      <w:r>
        <w:rPr/>
        <w:t>勤勉尽责地履行职责和义务，同时积极参加相关培训，熟悉相关法律法规。</w:t>
      </w:r>
    </w:p>
    <w:p>
      <w:pPr>
        <w:pStyle w:val="BodyText"/>
        <w:spacing w:line="273" w:lineRule="auto" w:before="7"/>
        <w:ind w:right="0" w:firstLine="420"/>
        <w:jc w:val="left"/>
      </w:pPr>
      <w:r>
        <w:rPr>
          <w:spacing w:val="-5"/>
        </w:rPr>
        <w:t>公司董事会下设有战略与投资委员会、薪酬与考核委员会、审计委员会和提名委员会四个专门委员会。</w:t>
      </w:r>
      <w:r>
        <w:rPr>
          <w:w w:val="100"/>
        </w:rPr>
        <w:t> </w:t>
      </w:r>
      <w:r>
        <w:rPr>
          <w:spacing w:val="-2"/>
        </w:rPr>
        <w:t>专门委员会成员全部由董事组成，除战略与投资委员会由董事长担任主任委员以外，其他专门委员会均由</w:t>
      </w:r>
      <w:r>
        <w:rPr>
          <w:spacing w:val="-44"/>
        </w:rPr>
        <w:t> </w:t>
      </w:r>
      <w:r>
        <w:rPr>
          <w:spacing w:val="-44"/>
        </w:rPr>
      </w:r>
      <w:r>
        <w:rPr>
          <w:spacing w:val="-2"/>
        </w:rPr>
        <w:t>独立董事担任主任委员；各委员会为董事会的决策提供了科学和专业的意见和参考。各委员会依据《公司</w:t>
      </w:r>
      <w:r>
        <w:rPr>
          <w:spacing w:val="-42"/>
        </w:rPr>
        <w:t> </w:t>
      </w:r>
      <w:r>
        <w:rPr>
          <w:spacing w:val="-42"/>
        </w:rPr>
      </w:r>
      <w:r>
        <w:rPr/>
        <w:t>章程》和各委员会工作细则的规定履行职权，不受公司任何其他部门和个人的干预。</w:t>
      </w:r>
    </w:p>
    <w:p>
      <w:pPr>
        <w:pStyle w:val="BodyText"/>
        <w:spacing w:line="273" w:lineRule="auto" w:before="7"/>
        <w:ind w:left="573" w:right="0"/>
        <w:jc w:val="left"/>
      </w:pPr>
      <w:r>
        <w:rPr/>
        <w:t>（四）关于监事和监事会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名，监事会的人数和构成符合法律、法规的要求。各位监</w:t>
      </w:r>
    </w:p>
    <w:p>
      <w:pPr>
        <w:pStyle w:val="BodyText"/>
        <w:spacing w:line="273" w:lineRule="auto"/>
        <w:ind w:right="184"/>
        <w:jc w:val="both"/>
      </w:pPr>
      <w:r>
        <w:rPr>
          <w:spacing w:val="-2"/>
        </w:rPr>
        <w:t>事能够严格按照《公司章程》、《监事会议事规则》等要求，认真履行自己的职责，对公司重大事项、财</w:t>
      </w:r>
      <w:r>
        <w:rPr>
          <w:spacing w:val="-50"/>
        </w:rPr>
        <w:t> </w:t>
      </w:r>
      <w:r>
        <w:rPr>
          <w:spacing w:val="-50"/>
        </w:rPr>
      </w:r>
      <w:r>
        <w:rPr>
          <w:spacing w:val="-2"/>
        </w:rPr>
        <w:t>务状况以及公司董事、高级管理人员履行职责的合法合规性进行有效监督，维护公司及股东的合法权益。</w:t>
      </w:r>
      <w:r>
        <w:rPr>
          <w:spacing w:val="-21"/>
        </w:rPr>
        <w:t> </w:t>
      </w:r>
      <w:r>
        <w:rPr>
          <w:spacing w:val="-21"/>
        </w:rPr>
      </w:r>
      <w:r>
        <w:rPr>
          <w:spacing w:val="-2"/>
        </w:rPr>
        <w:t>公司也采取了有效措施保障监事的知情权，保证各位监事能够独立有效地行使对董事、高级管理人员监督</w:t>
      </w:r>
      <w:r>
        <w:rPr>
          <w:spacing w:val="-43"/>
        </w:rPr>
        <w:t> </w:t>
      </w:r>
      <w:r>
        <w:rPr>
          <w:spacing w:val="-43"/>
        </w:rPr>
      </w:r>
      <w:r>
        <w:rPr/>
        <w:t>权。</w:t>
      </w:r>
    </w:p>
    <w:p>
      <w:pPr>
        <w:pStyle w:val="BodyText"/>
        <w:spacing w:line="273" w:lineRule="auto" w:before="7"/>
        <w:ind w:left="573" w:right="0"/>
        <w:jc w:val="left"/>
      </w:pPr>
      <w:r>
        <w:rPr/>
        <w:t>（五）关于绩效评价与激励约束机制</w:t>
      </w:r>
      <w:r>
        <w:rPr>
          <w:w w:val="100"/>
        </w:rPr>
        <w:t> </w:t>
      </w:r>
      <w:r>
        <w:rPr>
          <w:spacing w:val="-2"/>
        </w:rPr>
        <w:t>公司不断完善公正、透明的高级管理人员的绩效考核标准和激励约束机制。公司高级管理人员的聘任</w:t>
      </w:r>
    </w:p>
    <w:p>
      <w:pPr>
        <w:spacing w:after="0" w:line="273"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公开、透明，符合有关法律、法规的规定。</w:t>
      </w:r>
    </w:p>
    <w:p>
      <w:pPr>
        <w:pStyle w:val="BodyText"/>
        <w:spacing w:line="273" w:lineRule="auto" w:before="37"/>
        <w:ind w:left="573" w:right="0"/>
        <w:jc w:val="left"/>
      </w:pPr>
      <w:r>
        <w:rPr/>
        <w:t>（六）关于信息披露与透明度</w:t>
      </w:r>
      <w:r>
        <w:rPr>
          <w:w w:val="100"/>
        </w:rPr>
        <w:t> </w:t>
      </w:r>
      <w:r>
        <w:rPr>
          <w:spacing w:val="-2"/>
        </w:rPr>
        <w:t>公司高度重视信息披露与投资者关系管理工作，严格按照《上市公司信息披露管理办法》、深圳证券</w:t>
      </w:r>
    </w:p>
    <w:p>
      <w:pPr>
        <w:pStyle w:val="BodyText"/>
        <w:spacing w:line="273" w:lineRule="auto" w:before="7"/>
        <w:ind w:right="0"/>
        <w:jc w:val="left"/>
      </w:pPr>
      <w:r>
        <w:rPr>
          <w:spacing w:val="-2"/>
        </w:rPr>
        <w:t>交易所创业板上市公司的信息披露格式指引等规定的要求，真实、准确、及时、完整地披露有关信息。公</w:t>
      </w:r>
      <w:r>
        <w:rPr>
          <w:spacing w:val="-43"/>
        </w:rPr>
        <w:t> </w:t>
      </w:r>
      <w:r>
        <w:rPr>
          <w:spacing w:val="-43"/>
        </w:rPr>
      </w:r>
      <w:r>
        <w:rPr>
          <w:spacing w:val="2"/>
        </w:rPr>
        <w:t>司指定《证券时报》、《上海证券报》、《中国证券报》、《证券日报》为信息披露报纸，巨潮资讯网</w:t>
      </w:r>
    </w:p>
    <w:p>
      <w:pPr>
        <w:pStyle w:val="BodyText"/>
        <w:spacing w:line="264" w:lineRule="auto" w:before="7"/>
        <w:ind w:right="0"/>
        <w:jc w:val="left"/>
      </w:pPr>
      <w:r>
        <w:rPr>
          <w:spacing w:val="-4"/>
        </w:rPr>
        <w:t>（</w:t>
      </w:r>
      <w:hyperlink r:id="rId11">
        <w:r>
          <w:rPr>
            <w:rFonts w:ascii="Times New Roman" w:hAnsi="Times New Roman" w:cs="Times New Roman" w:eastAsia="Times New Roman" w:hint="default"/>
            <w:spacing w:val="-4"/>
          </w:rPr>
          <w:t>www.cninfo.com.cn</w:t>
        </w:r>
      </w:hyperlink>
      <w:r>
        <w:rPr>
          <w:spacing w:val="-4"/>
        </w:rPr>
        <w:t>）为信息披露网站。公司上市以来，不断尝试更加有效、充分地投资者关系管理工作，</w:t>
      </w:r>
      <w:r>
        <w:rPr>
          <w:spacing w:val="-50"/>
        </w:rPr>
        <w:t> </w:t>
      </w:r>
      <w:r>
        <w:rPr>
          <w:spacing w:val="-50"/>
        </w:rPr>
      </w:r>
      <w:r>
        <w:rPr>
          <w:spacing w:val="-2"/>
        </w:rPr>
        <w:t>通过现场参观、投资者电话、电子邮箱、公司网站和投资者关系互动平台等多种方式与投资者进行沟通交</w:t>
      </w:r>
      <w:r>
        <w:rPr>
          <w:spacing w:val="-44"/>
        </w:rPr>
        <w:t> </w:t>
      </w:r>
      <w:r>
        <w:rPr>
          <w:spacing w:val="-44"/>
        </w:rPr>
      </w:r>
      <w:r>
        <w:rPr/>
        <w:t>流，提高公司的透明度和诚信度，保障全体股东的合法权益。</w:t>
      </w:r>
    </w:p>
    <w:p>
      <w:pPr>
        <w:pStyle w:val="BodyText"/>
        <w:spacing w:line="273" w:lineRule="auto" w:before="16"/>
        <w:ind w:left="573" w:right="0"/>
        <w:jc w:val="left"/>
      </w:pPr>
      <w:r>
        <w:rPr/>
        <w:t>（七）关于相关利益者</w:t>
      </w:r>
      <w:r>
        <w:rPr>
          <w:w w:val="100"/>
        </w:rPr>
        <w:t> </w:t>
      </w:r>
      <w:r>
        <w:rPr>
          <w:spacing w:val="-2"/>
        </w:rPr>
        <w:t>公司充分尊重和维护相关利益者的合法权益，重视公司的社会责任，积极与相关利益者合作，加强与</w:t>
      </w:r>
    </w:p>
    <w:p>
      <w:pPr>
        <w:pStyle w:val="BodyText"/>
        <w:spacing w:line="240" w:lineRule="auto" w:before="7"/>
        <w:ind w:right="0"/>
        <w:jc w:val="left"/>
      </w:pPr>
      <w:r>
        <w:rPr/>
        <w:t>各方的沟通和交流，实现股东、员工、社会等各方利益的协调平衡，共同推动公司持续、健康的发展。</w:t>
      </w:r>
    </w:p>
    <w:p>
      <w:pPr>
        <w:spacing w:before="96"/>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8"/>
        <w:ind w:left="153" w:right="2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0" w:firstLine="379"/>
        <w:jc w:val="left"/>
      </w:pPr>
      <w:r>
        <w:rPr>
          <w:spacing w:val="-4"/>
        </w:rPr>
        <w:t>公司成立以来，严格按照《公司法》、《证券法》等有关法律、法规和《公司章程》的要求规范运作，</w:t>
      </w:r>
      <w:r>
        <w:rPr>
          <w:w w:val="100"/>
        </w:rPr>
        <w:t> </w:t>
      </w:r>
      <w:r>
        <w:rPr>
          <w:spacing w:val="-2"/>
        </w:rPr>
        <w:t>在业务、人员、资产、机构和财务等方面与公司股东完全分开，具有独立完整的资产、业务体系及面向市</w:t>
      </w:r>
      <w:r>
        <w:rPr>
          <w:spacing w:val="-43"/>
        </w:rPr>
        <w:t> </w:t>
      </w:r>
      <w:r>
        <w:rPr>
          <w:spacing w:val="-43"/>
        </w:rPr>
      </w:r>
      <w:r>
        <w:rPr/>
        <w:t>场自主经营的能力。</w:t>
      </w:r>
    </w:p>
    <w:p>
      <w:pPr>
        <w:pStyle w:val="BodyText"/>
        <w:spacing w:line="273" w:lineRule="auto" w:before="7"/>
        <w:ind w:left="532" w:right="0" w:hanging="84"/>
        <w:jc w:val="left"/>
      </w:pPr>
      <w:r>
        <w:rPr/>
        <w:t>（一）业务独立</w:t>
      </w:r>
      <w:r>
        <w:rPr>
          <w:spacing w:val="-103"/>
        </w:rPr>
        <w:t> </w:t>
      </w:r>
      <w:r>
        <w:rPr>
          <w:spacing w:val="-103"/>
        </w:rPr>
      </w:r>
      <w:r>
        <w:rPr>
          <w:spacing w:val="-1"/>
        </w:rPr>
        <w:t>公司的业务独立于控股股东、实际控制人及其控制的其他企业，与控股股东、实际控制人及其控制的</w:t>
      </w:r>
    </w:p>
    <w:p>
      <w:pPr>
        <w:pStyle w:val="BodyText"/>
        <w:spacing w:line="240" w:lineRule="auto" w:before="8"/>
        <w:ind w:right="0"/>
        <w:jc w:val="left"/>
      </w:pPr>
      <w:r>
        <w:rPr/>
        <w:t>其他企业间不存在同业竞争或者显失公平的关联交易。</w:t>
      </w:r>
    </w:p>
    <w:p>
      <w:pPr>
        <w:pStyle w:val="BodyText"/>
        <w:spacing w:line="273" w:lineRule="auto" w:before="37"/>
        <w:ind w:left="532" w:right="0" w:hanging="84"/>
        <w:jc w:val="left"/>
      </w:pPr>
      <w:r>
        <w:rPr/>
        <w:t>（二）人员独立</w:t>
      </w:r>
      <w:r>
        <w:rPr>
          <w:spacing w:val="-103"/>
        </w:rPr>
        <w:t> </w:t>
      </w:r>
      <w:r>
        <w:rPr>
          <w:spacing w:val="-103"/>
        </w:rPr>
      </w:r>
      <w:r>
        <w:rPr>
          <w:spacing w:val="-1"/>
        </w:rPr>
        <w:t>公司根据《公司法》、《公司章程》的有关规定选举产生公司董事、监事，由董事会聘任高级管理人</w:t>
      </w:r>
    </w:p>
    <w:p>
      <w:pPr>
        <w:pStyle w:val="BodyText"/>
        <w:spacing w:line="273" w:lineRule="auto" w:before="7"/>
        <w:ind w:right="184"/>
        <w:jc w:val="both"/>
      </w:pPr>
      <w:r>
        <w:rPr>
          <w:spacing w:val="-2"/>
        </w:rPr>
        <w:t>员，公司劳动、人事及工资管理与股东单位完全独立；公司的总经理、副总经理、财务负责人和董事会秘</w:t>
      </w:r>
      <w:r>
        <w:rPr>
          <w:spacing w:val="-43"/>
        </w:rPr>
        <w:t> </w:t>
      </w:r>
      <w:r>
        <w:rPr>
          <w:spacing w:val="-43"/>
        </w:rPr>
      </w:r>
      <w:r>
        <w:rPr>
          <w:spacing w:val="-2"/>
        </w:rPr>
        <w:t>书等高级管理人员不在控股股东、实际控制人及其控制的其他企业中担任除董事、监事以外的其他职务，</w:t>
      </w:r>
      <w:r>
        <w:rPr>
          <w:spacing w:val="-21"/>
        </w:rPr>
        <w:t> </w:t>
      </w:r>
      <w:r>
        <w:rPr>
          <w:spacing w:val="-21"/>
        </w:rPr>
      </w:r>
      <w:r>
        <w:rPr>
          <w:spacing w:val="-2"/>
        </w:rPr>
        <w:t>不在控股股东、实际控制人及其控制的其他企业领薪；公司的财务人员不在控股股东、实际控制人及其控</w:t>
      </w:r>
      <w:r>
        <w:rPr>
          <w:spacing w:val="-44"/>
        </w:rPr>
        <w:t> </w:t>
      </w:r>
      <w:r>
        <w:rPr>
          <w:spacing w:val="-44"/>
        </w:rPr>
      </w:r>
      <w:r>
        <w:rPr/>
        <w:t>制的其他企业中兼职。</w:t>
      </w:r>
    </w:p>
    <w:p>
      <w:pPr>
        <w:pStyle w:val="BodyText"/>
        <w:spacing w:line="273" w:lineRule="auto" w:before="7"/>
        <w:ind w:left="532" w:right="0" w:hanging="84"/>
        <w:jc w:val="left"/>
      </w:pPr>
      <w:r>
        <w:rPr/>
        <w:t>（三）资产完整</w:t>
      </w:r>
      <w:r>
        <w:rPr>
          <w:spacing w:val="-103"/>
        </w:rPr>
        <w:t> </w:t>
      </w:r>
      <w:r>
        <w:rPr>
          <w:spacing w:val="-103"/>
        </w:rPr>
      </w:r>
      <w:r>
        <w:rPr>
          <w:spacing w:val="-4"/>
        </w:rPr>
        <w:t>公司已具备与经营有关的业务体系及主要相关资产，公司资产与股东资产严格分开，并完全独立运营，</w:t>
      </w:r>
    </w:p>
    <w:p>
      <w:pPr>
        <w:pStyle w:val="BodyText"/>
        <w:spacing w:line="273" w:lineRule="auto" w:before="7"/>
        <w:ind w:right="0"/>
        <w:jc w:val="left"/>
      </w:pPr>
      <w:r>
        <w:rPr>
          <w:spacing w:val="-2"/>
        </w:rPr>
        <w:t>公司目前业务和生产经营必需资产的权属完全由公司独立享有，不存在与股东单位共用的情况。公司对所</w:t>
      </w:r>
      <w:r>
        <w:rPr>
          <w:spacing w:val="-43"/>
        </w:rPr>
        <w:t> </w:t>
      </w:r>
      <w:r>
        <w:rPr>
          <w:spacing w:val="-43"/>
        </w:rPr>
      </w:r>
      <w:r>
        <w:rPr/>
        <w:t>有资产拥有完全的控制和支配权。</w:t>
      </w:r>
    </w:p>
    <w:p>
      <w:pPr>
        <w:pStyle w:val="BodyText"/>
        <w:spacing w:line="273" w:lineRule="auto" w:before="7"/>
        <w:ind w:left="532" w:right="0" w:hanging="84"/>
        <w:jc w:val="left"/>
      </w:pPr>
      <w:r>
        <w:rPr/>
        <w:t>（四）机构独立</w:t>
      </w:r>
      <w:r>
        <w:rPr>
          <w:spacing w:val="-103"/>
        </w:rPr>
        <w:t> </w:t>
      </w:r>
      <w:r>
        <w:rPr>
          <w:spacing w:val="-103"/>
        </w:rPr>
      </w:r>
      <w:r>
        <w:rPr>
          <w:spacing w:val="-1"/>
        </w:rPr>
        <w:t>公司已建立健全了内部经营管理机构，独立行使经营管理职权，与控股股东和实际控制人及其控制的</w:t>
      </w:r>
    </w:p>
    <w:p>
      <w:pPr>
        <w:pStyle w:val="BodyText"/>
        <w:spacing w:line="240" w:lineRule="auto" w:before="7"/>
        <w:ind w:right="0"/>
        <w:jc w:val="left"/>
      </w:pPr>
      <w:r>
        <w:rPr/>
        <w:t>其他企业间不存在机构混同的情形。</w:t>
      </w:r>
    </w:p>
    <w:p>
      <w:pPr>
        <w:pStyle w:val="BodyText"/>
        <w:spacing w:line="273" w:lineRule="auto" w:before="34"/>
        <w:ind w:left="532" w:right="0" w:hanging="84"/>
        <w:jc w:val="left"/>
      </w:pPr>
      <w:r>
        <w:rPr/>
        <w:t>（五）财务独立</w:t>
      </w:r>
      <w:r>
        <w:rPr>
          <w:spacing w:val="-103"/>
        </w:rPr>
        <w:t> </w:t>
      </w:r>
      <w:r>
        <w:rPr>
          <w:spacing w:val="-103"/>
        </w:rPr>
      </w:r>
      <w:r>
        <w:rPr>
          <w:spacing w:val="-1"/>
        </w:rPr>
        <w:t>公司已建立独立的财务核算体系，能够独立作出财务决策，具有规范的财务会计制度和对分公司、子</w:t>
      </w:r>
    </w:p>
    <w:p>
      <w:pPr>
        <w:pStyle w:val="BodyText"/>
        <w:spacing w:line="240" w:lineRule="auto" w:before="7"/>
        <w:ind w:right="0"/>
        <w:jc w:val="left"/>
      </w:pPr>
      <w:r>
        <w:rPr/>
        <w:t>公司的财务管理制度；公司未与控股股东、实际控制人及其控制的其他企业共用银行账户。</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2"/>
          <w:szCs w:val="22"/>
        </w:rPr>
      </w:pPr>
    </w:p>
    <w:p>
      <w:pPr>
        <w:spacing w:before="44"/>
        <w:ind w:left="0" w:right="168" w:firstLine="0"/>
        <w:jc w:val="right"/>
        <w:rPr>
          <w:rFonts w:ascii="宋体" w:hAnsi="宋体" w:cs="宋体" w:eastAsia="宋体" w:hint="default"/>
          <w:sz w:val="18"/>
          <w:szCs w:val="18"/>
        </w:rPr>
      </w:pPr>
      <w:r>
        <w:rPr/>
        <w:pict>
          <v:shape style="position:absolute;margin-left:56.424pt;margin-top:-21.008307pt;width:479.15pt;height:634.0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97" w:lineRule="auto"/>
                          <w:ind w:left="24" w:right="163"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2017-22</w:t>
                        </w:r>
                        <w:r>
                          <w:rPr>
                            <w:rFonts w:ascii="宋体" w:hAnsi="宋体" w:cs="宋体" w:eastAsia="宋体" w:hint="default"/>
                            <w:sz w:val="18"/>
                            <w:szCs w:val="18"/>
                          </w:rPr>
                          <w:t>）</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2017-29</w:t>
                        </w:r>
                        <w:r>
                          <w:rPr>
                            <w:rFonts w:ascii="宋体" w:hAnsi="宋体" w:cs="宋体" w:eastAsia="宋体" w:hint="default"/>
                            <w:sz w:val="18"/>
                            <w:szCs w:val="18"/>
                          </w:rPr>
                          <w:t>）</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97"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2017-45</w:t>
                        </w:r>
                        <w:r>
                          <w:rPr>
                            <w:rFonts w:ascii="宋体" w:hAnsi="宋体" w:cs="宋体" w:eastAsia="宋体" w:hint="default"/>
                            <w:sz w:val="18"/>
                            <w:szCs w:val="18"/>
                          </w:rPr>
                          <w:t>）</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临时股东大会决议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2017-62</w:t>
                        </w:r>
                        <w:r>
                          <w:rPr>
                            <w:rFonts w:ascii="宋体" w:hAnsi="宋体" w:cs="宋体" w:eastAsia="宋体" w:hint="default"/>
                            <w:sz w:val="18"/>
                            <w:szCs w:val="18"/>
                          </w:rPr>
                          <w:t>）</w:t>
                        </w:r>
                      </w:p>
                    </w:tc>
                  </w:tr>
                  <w:tr>
                    <w:trPr>
                      <w:trHeight w:val="22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临时股东大会决议 </w:t>
                        </w:r>
                        <w:r>
                          <w:rPr>
                            <w:rFonts w:ascii="宋体" w:hAnsi="宋体" w:cs="宋体" w:eastAsia="宋体" w:hint="default"/>
                            <w:spacing w:val="-12"/>
                            <w:sz w:val="18"/>
                            <w:szCs w:val="18"/>
                          </w:rPr>
                          <w:t>公告》（公告编号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2017-70</w:t>
            </w:r>
            <w:r>
              <w:rPr>
                <w:rFonts w:ascii="宋体" w:hAnsi="宋体" w:cs="宋体" w:eastAsia="宋体" w:hint="default"/>
                <w:sz w:val="18"/>
                <w:szCs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3" w:right="6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5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8"/>
        <w:ind w:right="0" w:firstLine="379"/>
        <w:jc w:val="left"/>
      </w:pPr>
      <w:r>
        <w:rPr>
          <w:spacing w:val="-1"/>
        </w:rPr>
        <w:t>公司独立董事严格按照《公司法》、《深圳证券交易所创业板股票上市规则》、《深圳证券交易所创</w:t>
      </w:r>
      <w:r>
        <w:rPr>
          <w:w w:val="100"/>
        </w:rPr>
        <w:t> </w:t>
      </w:r>
      <w:r>
        <w:rPr>
          <w:spacing w:val="-2"/>
        </w:rPr>
        <w:t>业板上市公司规范运作指引》、《关于加强社会公众股股东权益保护的若干规定》及其他有关法律法规和</w:t>
      </w:r>
    </w:p>
    <w:p>
      <w:pPr>
        <w:pStyle w:val="BodyText"/>
        <w:spacing w:line="268" w:lineRule="auto" w:before="8"/>
        <w:ind w:right="0"/>
        <w:jc w:val="left"/>
      </w:pPr>
      <w:r>
        <w:rPr>
          <w:spacing w:val="-4"/>
        </w:rPr>
        <w:t>《公司章程》、《独立董事任职及议事制度》等公司相关的规定和要求，在</w:t>
      </w:r>
      <w:r>
        <w:rPr>
          <w:rFonts w:ascii="Times New Roman" w:hAnsi="Times New Roman" w:cs="Times New Roman" w:eastAsia="Times New Roman" w:hint="default"/>
          <w:spacing w:val="-4"/>
        </w:rPr>
        <w:t>2017</w:t>
      </w:r>
      <w:r>
        <w:rPr>
          <w:spacing w:val="-4"/>
        </w:rPr>
        <w:t>年度工作中，诚实、勤勉、</w:t>
      </w:r>
      <w:r>
        <w:rPr>
          <w:spacing w:val="-47"/>
        </w:rPr>
        <w:t> </w:t>
      </w:r>
      <w:r>
        <w:rPr>
          <w:spacing w:val="-47"/>
        </w:rPr>
      </w:r>
      <w:r>
        <w:rPr>
          <w:spacing w:val="-2"/>
        </w:rPr>
        <w:t>独立地履行职责，积极出席相关会议，认真审议董事会各项议案，对公司重大事项发表了独立意见，充分</w:t>
      </w:r>
      <w:r>
        <w:rPr>
          <w:spacing w:val="-50"/>
        </w:rPr>
        <w:t> </w:t>
      </w:r>
      <w:r>
        <w:rPr>
          <w:spacing w:val="-50"/>
        </w:rPr>
      </w:r>
      <w:r>
        <w:rPr>
          <w:spacing w:val="-2"/>
        </w:rPr>
        <w:t>发挥了独立董事及各专门委员会的作用。一方面，严格审核公司提交董事会的相关事项，维护公司和公众</w:t>
      </w:r>
      <w:r>
        <w:rPr>
          <w:spacing w:val="-43"/>
        </w:rPr>
        <w:t> </w:t>
      </w:r>
      <w:r>
        <w:rPr>
          <w:spacing w:val="-43"/>
        </w:rPr>
      </w:r>
      <w:r>
        <w:rPr/>
        <w:t>股东的合法权益，促进公司规范运作；另一方面发挥自己的专业优势，积极关注和参与研究公司的发展，</w:t>
      </w:r>
      <w:r>
        <w:rPr>
          <w:w w:val="100"/>
        </w:rPr>
        <w:t> </w:t>
      </w:r>
      <w:r>
        <w:rPr/>
        <w:t>为公司的审计工作及内控、薪酬激励、提名任命、战略规划等工作提出了意见和建议。</w:t>
      </w:r>
    </w:p>
    <w:p>
      <w:pPr>
        <w:pStyle w:val="BodyText"/>
        <w:spacing w:line="240" w:lineRule="auto" w:before="12"/>
        <w:ind w:left="532" w:right="0"/>
        <w:jc w:val="left"/>
      </w:pPr>
      <w:r>
        <w:rPr/>
        <w:t>报告期内，公司各独立董事对董事会各项议案及公司其他事项没有提出异议。</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公司董事会下设审计委员会、提名委员会、薪酬与考核委员会、战略与投资委员会。各专门委员会在</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报告期内的履职情况如下：</w:t>
      </w:r>
    </w:p>
    <w:p>
      <w:pPr>
        <w:pStyle w:val="BodyText"/>
        <w:spacing w:line="256" w:lineRule="auto" w:before="37"/>
        <w:ind w:left="573" w:right="0"/>
        <w:jc w:val="left"/>
      </w:pPr>
      <w:r>
        <w:rPr>
          <w:rFonts w:ascii="Times New Roman" w:hAnsi="Times New Roman" w:cs="Times New Roman" w:eastAsia="Times New Roman" w:hint="default"/>
        </w:rPr>
        <w:t>1</w:t>
      </w:r>
      <w:r>
        <w:rPr/>
        <w:t>、审计委员会的履职情况</w:t>
      </w:r>
      <w:r>
        <w:rPr>
          <w:w w:val="100"/>
        </w:rPr>
        <w:t> </w:t>
      </w:r>
      <w:r>
        <w:rPr>
          <w:spacing w:val="-2"/>
        </w:rPr>
        <w:t>报告期内，公司审计委员会严格按照相关法律法规及《公司章程》、《审计委员会工作细则》的有关</w:t>
      </w:r>
    </w:p>
    <w:p>
      <w:pPr>
        <w:pStyle w:val="BodyText"/>
        <w:spacing w:line="273" w:lineRule="auto" w:before="22"/>
        <w:ind w:right="101"/>
        <w:jc w:val="both"/>
      </w:pPr>
      <w:r>
        <w:rPr>
          <w:spacing w:val="-2"/>
        </w:rPr>
        <w:t>规定积极开展相关工作，认真履行职责。审计委员会每季度召开会议审议内部审计部提交的工作计划、工</w:t>
      </w:r>
      <w:r>
        <w:rPr>
          <w:spacing w:val="-43"/>
        </w:rPr>
        <w:t> </w:t>
      </w:r>
      <w:r>
        <w:rPr>
          <w:spacing w:val="-43"/>
        </w:rPr>
      </w:r>
      <w:r>
        <w:rPr>
          <w:spacing w:val="-2"/>
        </w:rPr>
        <w:t>作报告，定期向董事会报告审计工作进展和执行的相关情况。报告期内，审计委员会对公司的定期财务报</w:t>
      </w:r>
      <w:r>
        <w:rPr>
          <w:spacing w:val="-43"/>
        </w:rPr>
        <w:t> </w:t>
      </w:r>
      <w:r>
        <w:rPr>
          <w:spacing w:val="-43"/>
        </w:rPr>
      </w:r>
      <w:r>
        <w:rPr>
          <w:spacing w:val="-5"/>
        </w:rPr>
        <w:t>告、内部控制建设、募集资金存放与使用等事项进行了审议，并审议了审计部提交的工作总结及工作计划。</w:t>
      </w:r>
    </w:p>
    <w:p>
      <w:pPr>
        <w:pStyle w:val="BodyText"/>
        <w:spacing w:line="256" w:lineRule="auto" w:before="7"/>
        <w:ind w:left="573" w:right="0"/>
        <w:jc w:val="left"/>
      </w:pPr>
      <w:r>
        <w:rPr>
          <w:rFonts w:ascii="Times New Roman" w:hAnsi="Times New Roman" w:cs="Times New Roman" w:eastAsia="Times New Roman" w:hint="default"/>
        </w:rPr>
        <w:t>2</w:t>
      </w:r>
      <w:r>
        <w:rPr/>
        <w:t>、提名委员会履职情况</w:t>
      </w:r>
      <w:r>
        <w:rPr>
          <w:w w:val="100"/>
        </w:rPr>
        <w:t> </w:t>
      </w:r>
      <w:r>
        <w:rPr>
          <w:spacing w:val="-5"/>
        </w:rPr>
        <w:t>报告期内，公司提名委员会审核了关于提名公司总经理、副总经理等事项，并根据公司经营活动情况、</w:t>
      </w:r>
    </w:p>
    <w:p>
      <w:pPr>
        <w:pStyle w:val="BodyText"/>
        <w:spacing w:line="273" w:lineRule="auto" w:before="22"/>
        <w:ind w:right="0"/>
        <w:jc w:val="left"/>
      </w:pPr>
      <w:r>
        <w:rPr>
          <w:spacing w:val="-2"/>
        </w:rPr>
        <w:t>资产规模和股权结构等，对公司董事和高级管理人员的人选、选择标准和程序进行研究并提出建议，积极</w:t>
      </w:r>
      <w:r>
        <w:rPr>
          <w:spacing w:val="-43"/>
        </w:rPr>
        <w:t> </w:t>
      </w:r>
      <w:r>
        <w:rPr>
          <w:spacing w:val="-43"/>
        </w:rPr>
      </w:r>
      <w:r>
        <w:rPr/>
        <w:t>推动了公司持续快速的发展和核心团队的建设。</w:t>
      </w:r>
    </w:p>
    <w:p>
      <w:pPr>
        <w:pStyle w:val="BodyText"/>
        <w:spacing w:line="256" w:lineRule="auto" w:before="7"/>
        <w:ind w:left="573" w:right="0"/>
        <w:jc w:val="left"/>
      </w:pPr>
      <w:r>
        <w:rPr>
          <w:rFonts w:ascii="Times New Roman" w:hAnsi="Times New Roman" w:cs="Times New Roman" w:eastAsia="Times New Roman" w:hint="default"/>
        </w:rPr>
        <w:t>3</w:t>
      </w:r>
      <w:r>
        <w:rPr/>
        <w:t>、薪酬与考核委员会履职情况</w:t>
      </w:r>
      <w:r>
        <w:rPr>
          <w:w w:val="100"/>
        </w:rPr>
        <w:t> </w:t>
      </w:r>
      <w:r>
        <w:rPr>
          <w:spacing w:val="-2"/>
        </w:rPr>
        <w:t>公司薪酬与考核委员会严格按照相关法律法规及《公司章程》、《薪酬与考核委员会工作细则》的有</w:t>
      </w:r>
    </w:p>
    <w:p>
      <w:pPr>
        <w:pStyle w:val="BodyText"/>
        <w:spacing w:line="273" w:lineRule="auto" w:before="23"/>
        <w:ind w:right="206"/>
        <w:jc w:val="both"/>
      </w:pPr>
      <w:r>
        <w:rPr>
          <w:spacing w:val="-2"/>
        </w:rPr>
        <w:t>关规定积极开展相关工作，认真履行职责。报告期内，为保障公司董事、监事与高级管理人员依法履行职</w:t>
      </w:r>
      <w:r>
        <w:rPr>
          <w:spacing w:val="-44"/>
        </w:rPr>
        <w:t> </w:t>
      </w:r>
      <w:r>
        <w:rPr>
          <w:spacing w:val="-44"/>
        </w:rPr>
      </w:r>
      <w:r>
        <w:rPr>
          <w:spacing w:val="-2"/>
        </w:rPr>
        <w:t>权，健全公司薪酬管理体系，建立了科学有效的激励与约束机制，制定了《公司董事、监事和高级管理人</w:t>
      </w:r>
      <w:r>
        <w:rPr>
          <w:spacing w:val="-43"/>
        </w:rPr>
        <w:t> </w:t>
      </w:r>
      <w:r>
        <w:rPr>
          <w:spacing w:val="-43"/>
        </w:rPr>
      </w:r>
      <w:r>
        <w:rPr>
          <w:spacing w:val="-2"/>
        </w:rPr>
        <w:t>员薪酬管理制度》。同时，对公司董事和高级管理人员的薪酬情况进行了审核，认为其薪酬标准和年度薪</w:t>
      </w:r>
      <w:r>
        <w:rPr>
          <w:spacing w:val="-47"/>
        </w:rPr>
        <w:t> </w:t>
      </w:r>
      <w:r>
        <w:rPr>
          <w:spacing w:val="-47"/>
        </w:rPr>
      </w:r>
      <w:r>
        <w:rPr/>
        <w:t>酬总额的确定符合公司相关制度的规定。</w:t>
      </w:r>
    </w:p>
    <w:p>
      <w:pPr>
        <w:pStyle w:val="BodyText"/>
        <w:spacing w:line="256" w:lineRule="auto" w:before="7"/>
        <w:ind w:left="573" w:right="0"/>
        <w:jc w:val="left"/>
      </w:pPr>
      <w:r>
        <w:rPr>
          <w:rFonts w:ascii="Times New Roman" w:hAnsi="Times New Roman" w:cs="Times New Roman" w:eastAsia="Times New Roman" w:hint="default"/>
        </w:rPr>
        <w:t>4</w:t>
      </w:r>
      <w:r>
        <w:rPr/>
        <w:t>、战略与投资委员会履职情况</w:t>
      </w:r>
      <w:r>
        <w:rPr>
          <w:w w:val="100"/>
        </w:rPr>
        <w:t> </w:t>
      </w:r>
      <w:r>
        <w:rPr>
          <w:spacing w:val="-2"/>
        </w:rPr>
        <w:t>公司战略与投资委员会严格按照相关法律法规及《公司章程》、《战略及投资委员会工作细则》的有</w:t>
      </w:r>
    </w:p>
    <w:p>
      <w:pPr>
        <w:pStyle w:val="BodyText"/>
        <w:spacing w:line="273" w:lineRule="auto" w:before="22"/>
        <w:ind w:right="206"/>
        <w:jc w:val="both"/>
      </w:pPr>
      <w:r>
        <w:rPr>
          <w:spacing w:val="-2"/>
        </w:rPr>
        <w:t>关规定积极开展相关工作，认真履行职责。报告期内，战略与投资委员会根据公司经营需要，制定了公司</w:t>
      </w:r>
      <w:r>
        <w:rPr>
          <w:spacing w:val="-47"/>
        </w:rPr>
        <w:t> </w:t>
      </w:r>
      <w:r>
        <w:rPr>
          <w:spacing w:val="-47"/>
        </w:rPr>
      </w:r>
      <w:r>
        <w:rPr>
          <w:spacing w:val="-2"/>
        </w:rPr>
        <w:t>的发展战略、审核了对外投资成立控股子公司等事项，并积极关注行业和市场发展动态，结合公司实际状</w:t>
      </w:r>
      <w:r>
        <w:rPr>
          <w:spacing w:val="-42"/>
        </w:rPr>
        <w:t> </w:t>
      </w:r>
      <w:r>
        <w:rPr>
          <w:spacing w:val="-42"/>
        </w:rPr>
      </w:r>
      <w:r>
        <w:rPr/>
        <w:t>况，为公司的健康、快速发展出谋划策，促进了公司决策的科学性、高效性。</w:t>
      </w:r>
    </w:p>
    <w:p>
      <w:pPr>
        <w:spacing w:line="240" w:lineRule="auto" w:before="10"/>
        <w:rPr>
          <w:rFonts w:ascii="宋体" w:hAnsi="宋体" w:cs="宋体" w:eastAsia="宋体" w:hint="default"/>
          <w:sz w:val="15"/>
          <w:szCs w:val="15"/>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3" w:right="6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184" w:firstLine="420"/>
        <w:jc w:val="both"/>
      </w:pPr>
      <w:r>
        <w:rPr>
          <w:spacing w:val="-2"/>
        </w:rPr>
        <w:t>公司高级管理人员均由董事会聘任，董事会薪酬与考核委员会负责对公司高级管理人员的工作能力、</w:t>
      </w:r>
      <w:r>
        <w:rPr>
          <w:w w:val="100"/>
        </w:rPr>
        <w:t> </w:t>
      </w:r>
      <w:r>
        <w:rPr>
          <w:spacing w:val="-2"/>
        </w:rPr>
        <w:t>履职情况、责任目标完成情况等进行考评。报告期内，公司董事会依据公司年度经营业绩状况、高级管理</w:t>
      </w:r>
      <w:r>
        <w:rPr>
          <w:spacing w:val="-50"/>
        </w:rPr>
        <w:t> </w:t>
      </w:r>
      <w:r>
        <w:rPr>
          <w:spacing w:val="-50"/>
        </w:rPr>
      </w:r>
      <w:r>
        <w:rPr>
          <w:spacing w:val="-2"/>
        </w:rPr>
        <w:t>人员的职责和年度工作目标完成情况对各高级管理人员的工作业绩进行考评，根据考评结果拟定高级管理</w:t>
      </w:r>
      <w:r>
        <w:rPr>
          <w:spacing w:val="-43"/>
        </w:rPr>
        <w:t> </w:t>
      </w:r>
      <w:r>
        <w:rPr>
          <w:spacing w:val="-43"/>
        </w:rPr>
      </w:r>
      <w:r>
        <w:rPr/>
        <w:t>人员的薪酬绩效初步方案并依规提请董事会审议。</w:t>
      </w:r>
    </w:p>
    <w:p>
      <w:pPr>
        <w:spacing w:line="240" w:lineRule="auto" w:before="10"/>
        <w:rPr>
          <w:rFonts w:ascii="宋体" w:hAnsi="宋体" w:cs="宋体" w:eastAsia="宋体" w:hint="default"/>
          <w:sz w:val="15"/>
          <w:szCs w:val="15"/>
        </w:rPr>
      </w:pPr>
    </w:p>
    <w:p>
      <w:pPr>
        <w:pStyle w:val="Heading2"/>
        <w:spacing w:line="240" w:lineRule="auto"/>
        <w:ind w:right="0"/>
        <w:jc w:val="both"/>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6"/>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189"/>
        <w:gridCol w:w="3328"/>
        <w:gridCol w:w="305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年度内部控制自我评价报告》详见巨潮资讯网（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16" w:lineRule="auto" w:before="53"/>
              <w:ind w:left="29" w:right="47"/>
              <w:jc w:val="both"/>
              <w:rPr>
                <w:rFonts w:ascii="宋体" w:hAnsi="宋体" w:cs="宋体" w:eastAsia="宋体" w:hint="default"/>
                <w:sz w:val="18"/>
                <w:szCs w:val="18"/>
              </w:rPr>
            </w:pPr>
            <w:r>
              <w:rPr>
                <w:rFonts w:ascii="宋体" w:hAnsi="宋体" w:cs="宋体" w:eastAsia="宋体" w:hint="default"/>
                <w:sz w:val="18"/>
                <w:szCs w:val="18"/>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效。②重要缺陷：单独缺陷或连同其他缺 陷组合，其严重程度低于重大缺陷，但仍 有可能导致公司偏离控制目标。③一般缺 陷：不构成重大缺陷或重要缺陷的其他内 部控制缺陷。</w:t>
            </w:r>
          </w:p>
        </w:tc>
        <w:tc>
          <w:tcPr>
            <w:tcW w:w="30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4"/>
                <w:sz w:val="18"/>
                <w:szCs w:val="18"/>
              </w:rPr>
              <w:t>①重大缺陷：严重违反国家法律、法规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或规范性文件的规定；决策程序不科学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导致重大决策失误；涉及公司生产经营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的重要业务制度缺失或系统性失效；内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部控制评价的结果特别是重大缺陷未 </w:t>
            </w:r>
            <w:r>
              <w:rPr>
                <w:rFonts w:ascii="宋体" w:hAnsi="宋体" w:cs="宋体" w:eastAsia="宋体" w:hint="default"/>
                <w:spacing w:val="-4"/>
                <w:sz w:val="18"/>
                <w:szCs w:val="18"/>
              </w:rPr>
              <w:t>得到整改。②重要缺陷：单独缺陷或连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同其他缺陷组合，其严重程度低于重大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缺陷，但仍有可能导致公司偏离控制目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标。③一般缺陷：不构成重大缺陷或重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要缺陷的其他内部控制缺陷。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156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04" w:lineRule="auto" w:before="51"/>
              <w:ind w:left="29" w:right="17"/>
              <w:jc w:val="left"/>
              <w:rPr>
                <w:rFonts w:ascii="宋体" w:hAnsi="宋体" w:cs="宋体" w:eastAsia="宋体" w:hint="default"/>
                <w:sz w:val="18"/>
                <w:szCs w:val="18"/>
              </w:rPr>
            </w:pPr>
            <w:r>
              <w:rPr>
                <w:rFonts w:ascii="宋体" w:hAnsi="宋体" w:cs="宋体" w:eastAsia="宋体" w:hint="default"/>
                <w:sz w:val="18"/>
                <w:szCs w:val="18"/>
              </w:rPr>
              <w:t>重大缺陷：缺陷影响大于或等于合并财务 报表营业收入的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；重要缺陷：缺陷影响</w:t>
            </w:r>
            <w:r>
              <w:rPr>
                <w:rFonts w:ascii="宋体" w:hAnsi="宋体" w:cs="宋体" w:eastAsia="宋体" w:hint="default"/>
                <w:sz w:val="18"/>
                <w:szCs w:val="18"/>
              </w:rPr>
              <w:t> 大于或等于合并财务报表营业收入的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并小于</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；一般缺陷：缺陷影响小于合并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9" w:lineRule="auto"/>
              <w:ind w:left="26" w:right="134"/>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TOC_250002" w:id="10"/>
      <w:r>
        <w:rPr/>
        <w:t>第十节 </w:t>
      </w:r>
      <w:r>
        <w:rPr>
          <w:spacing w:val="10"/>
        </w:rPr>
        <w:t> </w:t>
      </w:r>
      <w:r>
        <w:rPr/>
        <w:t>公司债券相关情况</w:t>
      </w:r>
      <w:bookmarkEnd w:id="10"/>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90" w:right="3790"/>
        <w:jc w:val="center"/>
        <w:rPr>
          <w:b w:val="0"/>
          <w:bCs w:val="0"/>
        </w:rPr>
      </w:pPr>
      <w:bookmarkStart w:name="_TOC_250001" w:id="11"/>
      <w:r>
        <w:rPr/>
        <w:t>第十一节 </w:t>
      </w:r>
      <w:r>
        <w:rPr>
          <w:spacing w:val="6"/>
        </w:rPr>
        <w:t> </w:t>
      </w:r>
      <w:r>
        <w:rPr/>
        <w:t>财务报告</w:t>
      </w:r>
      <w:bookmarkEnd w:id="11"/>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5218"/>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华普天健会计师事务所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[2018]0661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郑磊、齐利平、黄冰冰</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780"/>
        </w:sectPr>
      </w:pPr>
    </w:p>
    <w:p>
      <w:pPr>
        <w:spacing w:before="49"/>
        <w:ind w:left="0" w:right="0" w:firstLine="0"/>
        <w:jc w:val="right"/>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2"/>
        <w:rPr>
          <w:rFonts w:ascii="宋体" w:hAnsi="宋体" w:cs="宋体" w:eastAsia="宋体" w:hint="default"/>
          <w:sz w:val="29"/>
          <w:szCs w:val="29"/>
        </w:rPr>
      </w:pPr>
      <w:r>
        <w:rPr/>
        <w:br w:type="column"/>
      </w:r>
      <w:r>
        <w:rPr>
          <w:rFonts w:ascii="宋体"/>
          <w:sz w:val="29"/>
        </w:rPr>
      </w:r>
    </w:p>
    <w:p>
      <w:pPr>
        <w:pStyle w:val="BodyText"/>
        <w:spacing w:line="240" w:lineRule="auto"/>
        <w:ind w:left="2420" w:right="0"/>
        <w:jc w:val="left"/>
      </w:pPr>
      <w:r>
        <w:rPr/>
        <w:t>会审字</w:t>
      </w:r>
      <w:r>
        <w:rPr>
          <w:rFonts w:ascii="Times New Roman" w:hAnsi="Times New Roman" w:cs="Times New Roman" w:eastAsia="Times New Roman" w:hint="default"/>
        </w:rPr>
        <w:t>[2018]0661</w:t>
      </w:r>
      <w:r>
        <w:rPr/>
        <w:t>号</w:t>
      </w:r>
    </w:p>
    <w:p>
      <w:pPr>
        <w:spacing w:after="0" w:line="240" w:lineRule="auto"/>
        <w:jc w:val="left"/>
        <w:sectPr>
          <w:type w:val="continuous"/>
          <w:pgSz w:w="11910" w:h="16840"/>
          <w:pgMar w:top="1060" w:bottom="1160" w:left="980" w:right="780"/>
          <w:cols w:num="2" w:equalWidth="0">
            <w:col w:w="5514" w:space="40"/>
            <w:col w:w="4596"/>
          </w:cols>
        </w:sectPr>
      </w:pPr>
    </w:p>
    <w:p>
      <w:pPr>
        <w:spacing w:line="240" w:lineRule="auto" w:before="0"/>
        <w:rPr>
          <w:rFonts w:ascii="宋体" w:hAnsi="宋体" w:cs="宋体" w:eastAsia="宋体" w:hint="default"/>
          <w:sz w:val="20"/>
          <w:szCs w:val="20"/>
        </w:rPr>
      </w:pPr>
    </w:p>
    <w:p>
      <w:pPr>
        <w:spacing w:before="56"/>
        <w:ind w:left="3590" w:right="3788"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审  计  报</w:t>
      </w:r>
      <w:r>
        <w:rPr>
          <w:rFonts w:ascii="Microsoft JhengHei" w:hAnsi="Microsoft JhengHei" w:cs="Microsoft JhengHei" w:eastAsia="Microsoft JhengHei" w:hint="default"/>
          <w:b/>
          <w:bCs/>
          <w:spacing w:val="13"/>
          <w:sz w:val="30"/>
          <w:szCs w:val="30"/>
        </w:rPr>
        <w:t> </w:t>
      </w:r>
      <w:r>
        <w:rPr>
          <w:rFonts w:ascii="Microsoft JhengHei" w:hAnsi="Microsoft JhengHei" w:cs="Microsoft JhengHei" w:eastAsia="Microsoft JhengHei" w:hint="default"/>
          <w:b/>
          <w:bCs/>
          <w:sz w:val="30"/>
          <w:szCs w:val="30"/>
        </w:rPr>
        <w:t>告</w:t>
      </w:r>
      <w:r>
        <w:rPr>
          <w:rFonts w:ascii="Microsoft JhengHei" w:hAnsi="Microsoft JhengHei" w:cs="Microsoft JhengHei" w:eastAsia="Microsoft JhengHei" w:hint="default"/>
          <w:sz w:val="30"/>
          <w:szCs w:val="3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0"/>
          <w:szCs w:val="20"/>
        </w:rPr>
      </w:pPr>
    </w:p>
    <w:p>
      <w:pPr>
        <w:spacing w:line="319" w:lineRule="auto" w:before="36"/>
        <w:ind w:left="647" w:right="5218" w:hanging="495"/>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科大国创软件股份有限公司全体股东：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Microsoft JhengHei" w:hAnsi="Microsoft JhengHei" w:cs="Microsoft JhengHei" w:eastAsia="Microsoft JhengHei" w:hint="default"/>
          <w:b/>
          <w:bCs/>
          <w:sz w:val="21"/>
          <w:szCs w:val="21"/>
        </w:rPr>
        <w:t>一、审计意见</w:t>
      </w:r>
      <w:r>
        <w:rPr>
          <w:rFonts w:ascii="Microsoft JhengHei" w:hAnsi="Microsoft JhengHei" w:cs="Microsoft JhengHei" w:eastAsia="Microsoft JhengHei" w:hint="default"/>
          <w:sz w:val="21"/>
          <w:szCs w:val="21"/>
        </w:rPr>
      </w:r>
    </w:p>
    <w:p>
      <w:pPr>
        <w:pStyle w:val="BodyText"/>
        <w:spacing w:line="256" w:lineRule="auto" w:before="41"/>
        <w:ind w:right="345" w:firstLine="420"/>
        <w:jc w:val="both"/>
      </w:pPr>
      <w:r>
        <w:rPr>
          <w:spacing w:val="-2"/>
        </w:rPr>
        <w:t>我们审计了科大国创软件股份有限公司（以下简称</w:t>
      </w:r>
      <w:r>
        <w:rPr>
          <w:rFonts w:ascii="Times New Roman" w:hAnsi="Times New Roman" w:cs="Times New Roman" w:eastAsia="Times New Roman" w:hint="default"/>
          <w:spacing w:val="-2"/>
        </w:rPr>
        <w:t>“</w:t>
      </w:r>
      <w:r>
        <w:rPr>
          <w:spacing w:val="-2"/>
        </w:rPr>
        <w:t>科大国创</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w w:val="100"/>
        </w:rPr>
        <w:t> </w:t>
      </w:r>
      <w:r>
        <w:rPr>
          <w:spacing w:val="-2"/>
        </w:rPr>
        <w:t>并及母公司资产负债表，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w:t>
      </w:r>
      <w:r>
        <w:rPr>
          <w:spacing w:val="-43"/>
        </w:rPr>
        <w:t> </w:t>
      </w:r>
      <w:r>
        <w:rPr>
          <w:spacing w:val="-43"/>
        </w:rPr>
      </w:r>
      <w:r>
        <w:rPr/>
        <w:t>者权益变动表以及相关财务报表附注。</w:t>
      </w:r>
    </w:p>
    <w:p>
      <w:pPr>
        <w:pStyle w:val="BodyText"/>
        <w:spacing w:line="256" w:lineRule="auto" w:before="142"/>
        <w:ind w:right="346" w:firstLine="420"/>
        <w:jc w:val="both"/>
      </w:pPr>
      <w:r>
        <w:rPr>
          <w:spacing w:val="-2"/>
        </w:rPr>
        <w:t>我们认为，后附的财务报表在所有重大方面按照企业会计准则的规定编制，公允反映了科大国创</w:t>
      </w:r>
      <w:r>
        <w:rPr>
          <w:rFonts w:ascii="Times New Roman" w:hAnsi="Times New Roman" w:cs="Times New Roman" w:eastAsia="Times New Roman" w:hint="default"/>
          <w:spacing w:val="-2"/>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326" w:lineRule="auto" w:before="58"/>
        <w:ind w:left="647"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二、形成审计意见的基础</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1"/>
          <w:sz w:val="21"/>
          <w:szCs w:val="21"/>
        </w:rPr>
        <w:t>我们按照中国注册会计师审计准则的规定执行了审计工作。审计报告的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注册会计师对财务报表审计</w:t>
      </w:r>
    </w:p>
    <w:p>
      <w:pPr>
        <w:pStyle w:val="BodyText"/>
        <w:spacing w:line="228" w:lineRule="exact"/>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部分进一步阐述了我们在这些准则下的责任。按照中国注册会计师职业道德守则，我们独立于科</w:t>
      </w:r>
    </w:p>
    <w:p>
      <w:pPr>
        <w:pStyle w:val="BodyText"/>
        <w:spacing w:line="273" w:lineRule="auto" w:before="21"/>
        <w:ind w:right="0"/>
        <w:jc w:val="left"/>
      </w:pPr>
      <w:r>
        <w:rPr>
          <w:spacing w:val="-2"/>
        </w:rPr>
        <w:t>大国创，并履行了职业道德方面的其他责任。我们相信，我们获取的审计证据是充分、适当的，为发表审</w:t>
      </w:r>
      <w:r>
        <w:rPr>
          <w:spacing w:val="-43"/>
        </w:rPr>
        <w:t> </w:t>
      </w:r>
      <w:r>
        <w:rPr>
          <w:spacing w:val="-43"/>
        </w:rPr>
      </w:r>
      <w:r>
        <w:rPr/>
        <w:t>计意见提供了基础。</w:t>
      </w:r>
    </w:p>
    <w:p>
      <w:pPr>
        <w:pStyle w:val="BodyText"/>
        <w:spacing w:line="326" w:lineRule="auto" w:before="61"/>
        <w:ind w:left="573" w:right="0" w:hanging="8"/>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43"/>
        </w:rPr>
        <w:t> </w:t>
      </w:r>
      <w:r>
        <w:rPr>
          <w:spacing w:val="-2"/>
        </w:rPr>
        <w:t>关键审计事项是我们根据职业判断，认为对</w:t>
      </w:r>
      <w:r>
        <w:rPr>
          <w:rFonts w:ascii="Times New Roman" w:hAnsi="Times New Roman" w:cs="Times New Roman" w:eastAsia="Times New Roman" w:hint="default"/>
          <w:spacing w:val="-2"/>
        </w:rPr>
        <w:t>2017</w:t>
      </w:r>
      <w:r>
        <w:rPr>
          <w:spacing w:val="-2"/>
        </w:rPr>
        <w:t>年度财务报表审计最为重要的事项。这些事项的应对</w:t>
      </w:r>
    </w:p>
    <w:p>
      <w:pPr>
        <w:pStyle w:val="BodyText"/>
        <w:spacing w:line="212" w:lineRule="exact"/>
        <w:ind w:right="0"/>
        <w:jc w:val="left"/>
      </w:pPr>
      <w:r>
        <w:rPr/>
        <w:t>以对财务报表整体进行审计并形成审计意见为背景，我们不对这些事项单独发表意见。</w:t>
      </w:r>
    </w:p>
    <w:p>
      <w:pPr>
        <w:spacing w:line="240" w:lineRule="auto" w:before="8"/>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28"/>
        <w:gridCol w:w="4928"/>
      </w:tblGrid>
      <w:tr>
        <w:trPr>
          <w:trHeight w:val="430" w:hRule="exact"/>
        </w:trPr>
        <w:tc>
          <w:tcPr>
            <w:tcW w:w="492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2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审计应对</w:t>
            </w:r>
          </w:p>
        </w:tc>
      </w:tr>
      <w:tr>
        <w:trPr>
          <w:trHeight w:val="427" w:hRule="exact"/>
        </w:trPr>
        <w:tc>
          <w:tcPr>
            <w:tcW w:w="9856" w:type="dxa"/>
            <w:gridSpan w:val="2"/>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（一）行业软件收入确认</w:t>
            </w:r>
          </w:p>
        </w:tc>
      </w:tr>
      <w:tr>
        <w:trPr>
          <w:trHeight w:val="1051" w:hRule="exact"/>
        </w:trPr>
        <w:tc>
          <w:tcPr>
            <w:tcW w:w="4928" w:type="dxa"/>
            <w:tcBorders>
              <w:top w:val="single" w:sz="8" w:space="0" w:color="000000"/>
              <w:left w:val="single" w:sz="6" w:space="0" w:color="000000"/>
              <w:bottom w:val="single" w:sz="8" w:space="0" w:color="000000"/>
              <w:right w:val="single" w:sz="6" w:space="0" w:color="000000"/>
            </w:tcBorders>
          </w:tcPr>
          <w:p>
            <w:pPr>
              <w:pStyle w:val="TableParagraph"/>
              <w:spacing w:line="328" w:lineRule="auto" w:before="56"/>
              <w:ind w:left="4" w:right="-17" w:firstLine="360"/>
              <w:jc w:val="right"/>
              <w:rPr>
                <w:rFonts w:ascii="宋体" w:hAnsi="宋体" w:cs="宋体" w:eastAsia="宋体" w:hint="default"/>
                <w:sz w:val="18"/>
                <w:szCs w:val="18"/>
              </w:rPr>
            </w:pPr>
            <w:r>
              <w:rPr>
                <w:rFonts w:ascii="宋体" w:hAnsi="宋体" w:cs="宋体" w:eastAsia="宋体" w:hint="default"/>
                <w:sz w:val="18"/>
                <w:szCs w:val="18"/>
              </w:rPr>
              <w:t>科大国创是专业从事行业软件及大数据解决方案的服务提 </w:t>
            </w:r>
            <w:r>
              <w:rPr>
                <w:rFonts w:ascii="宋体" w:hAnsi="宋体" w:cs="宋体" w:eastAsia="宋体" w:hint="default"/>
                <w:spacing w:val="-4"/>
                <w:sz w:val="18"/>
                <w:szCs w:val="18"/>
              </w:rPr>
              <w:t>供商，主营业务为行业软件研发、</w:t>
            </w:r>
            <w:r>
              <w:rPr>
                <w:rFonts w:ascii="Times New Roman" w:hAnsi="Times New Roman" w:cs="Times New Roman" w:eastAsia="Times New Roman" w:hint="default"/>
                <w:spacing w:val="-4"/>
                <w:sz w:val="18"/>
                <w:szCs w:val="18"/>
              </w:rPr>
              <w:t>IT</w:t>
            </w:r>
            <w:r>
              <w:rPr>
                <w:rFonts w:ascii="宋体" w:hAnsi="宋体" w:cs="宋体" w:eastAsia="宋体" w:hint="default"/>
                <w:spacing w:val="-4"/>
                <w:sz w:val="18"/>
                <w:szCs w:val="18"/>
              </w:rPr>
              <w:t>解决方案及信息技术服务。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年度，科大国创确认的主营业务收入中，行业软件收</w:t>
            </w:r>
          </w:p>
        </w:tc>
        <w:tc>
          <w:tcPr>
            <w:tcW w:w="4928" w:type="dxa"/>
            <w:tcBorders>
              <w:top w:val="single" w:sz="8" w:space="0" w:color="000000"/>
              <w:left w:val="single" w:sz="6" w:space="0" w:color="000000"/>
              <w:bottom w:val="single" w:sz="8" w:space="0" w:color="000000"/>
              <w:right w:val="nil" w:sz="6" w:space="0" w:color="auto"/>
            </w:tcBorders>
          </w:tcPr>
          <w:p>
            <w:pPr>
              <w:pStyle w:val="TableParagraph"/>
              <w:spacing w:line="316" w:lineRule="auto" w:before="56"/>
              <w:ind w:left="2" w:right="9" w:firstLine="360"/>
              <w:jc w:val="left"/>
              <w:rPr>
                <w:rFonts w:ascii="宋体" w:hAnsi="宋体" w:cs="宋体" w:eastAsia="宋体" w:hint="default"/>
                <w:sz w:val="18"/>
                <w:szCs w:val="18"/>
              </w:rPr>
            </w:pPr>
            <w:r>
              <w:rPr>
                <w:rFonts w:ascii="宋体" w:hAnsi="宋体" w:cs="宋体" w:eastAsia="宋体" w:hint="default"/>
                <w:spacing w:val="8"/>
                <w:sz w:val="18"/>
                <w:szCs w:val="18"/>
              </w:rPr>
              <w:t>与评价行业软件收入确认相关的审计程序中包括以下程</w:t>
            </w:r>
            <w:r>
              <w:rPr>
                <w:rFonts w:ascii="宋体" w:hAnsi="宋体" w:cs="宋体" w:eastAsia="宋体" w:hint="default"/>
                <w:sz w:val="18"/>
                <w:szCs w:val="18"/>
              </w:rPr>
              <w:t> 序：</w:t>
            </w:r>
          </w:p>
          <w:p>
            <w:pPr>
              <w:pStyle w:val="TableParagraph"/>
              <w:spacing w:line="240" w:lineRule="auto" w:before="59"/>
              <w:ind w:left="36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．了解和评价管理层与行业软件收入确认相关的关键内部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78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928"/>
        <w:gridCol w:w="4928"/>
      </w:tblGrid>
      <w:tr>
        <w:trPr>
          <w:trHeight w:val="5310" w:hRule="exact"/>
        </w:trPr>
        <w:tc>
          <w:tcPr>
            <w:tcW w:w="4928" w:type="dxa"/>
            <w:tcBorders>
              <w:top w:val="single" w:sz="6" w:space="0" w:color="000000"/>
              <w:left w:val="single" w:sz="6" w:space="0" w:color="000000"/>
              <w:bottom w:val="single" w:sz="8" w:space="0" w:color="000000"/>
              <w:right w:val="single" w:sz="6" w:space="0" w:color="000000"/>
            </w:tcBorders>
          </w:tcPr>
          <w:p>
            <w:pPr>
              <w:pStyle w:val="TableParagraph"/>
              <w:spacing w:line="340" w:lineRule="auto" w:before="20"/>
              <w:ind w:left="364" w:right="3" w:hanging="360"/>
              <w:jc w:val="left"/>
              <w:rPr>
                <w:rFonts w:ascii="宋体" w:hAnsi="宋体" w:cs="宋体" w:eastAsia="宋体" w:hint="default"/>
                <w:sz w:val="18"/>
                <w:szCs w:val="18"/>
              </w:rPr>
            </w:pPr>
            <w:r>
              <w:rPr>
                <w:rFonts w:ascii="宋体" w:hAnsi="宋体" w:cs="宋体" w:eastAsia="宋体" w:hint="default"/>
                <w:sz w:val="18"/>
                <w:szCs w:val="18"/>
              </w:rPr>
              <w:t>入为人民币</w:t>
            </w:r>
            <w:r>
              <w:rPr>
                <w:rFonts w:ascii="Times New Roman" w:hAnsi="Times New Roman" w:cs="Times New Roman" w:eastAsia="Times New Roman" w:hint="default"/>
                <w:sz w:val="18"/>
                <w:szCs w:val="18"/>
              </w:rPr>
              <w:t>348,801,888.75</w:t>
            </w:r>
            <w:r>
              <w:rPr>
                <w:rFonts w:ascii="宋体" w:hAnsi="宋体" w:cs="宋体" w:eastAsia="宋体" w:hint="default"/>
                <w:sz w:val="18"/>
                <w:szCs w:val="18"/>
              </w:rPr>
              <w:t>元。 科大国创对于提供劳务交易的结果能够可靠估计的行业软</w:t>
            </w:r>
          </w:p>
          <w:p>
            <w:pPr>
              <w:pStyle w:val="TableParagraph"/>
              <w:spacing w:line="316" w:lineRule="auto" w:before="1"/>
              <w:ind w:left="4" w:right="-1"/>
              <w:jc w:val="both"/>
              <w:rPr>
                <w:rFonts w:ascii="宋体" w:hAnsi="宋体" w:cs="宋体" w:eastAsia="宋体" w:hint="default"/>
                <w:sz w:val="18"/>
                <w:szCs w:val="18"/>
              </w:rPr>
            </w:pPr>
            <w:r>
              <w:rPr>
                <w:rFonts w:ascii="宋体" w:hAnsi="宋体" w:cs="宋体" w:eastAsia="宋体" w:hint="default"/>
                <w:sz w:val="18"/>
                <w:szCs w:val="18"/>
              </w:rPr>
              <w:t>件收入采用完工百分比法确认提供劳务收入，具体收入确认方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法：根据公司行业软件开发业务定价方式的不同，公司行业软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件开发业务收入确认主要有以下两种方式：①按已经完成的工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作量占总工作量的比例确认完工进度：公司根据项目已经完成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的工作量占总工作量的比例并经客户确认后确定完工进度；②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按实际结算工作量确认收入：公司根据合同按季度或月的实际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工作量并经客户确认后确认收入。对于系统集成中包含自行开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发行业软件不能合理区分的，该部分行业软件按系统集成的收</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入确认原则确认为系统集成收入。</w:t>
            </w:r>
          </w:p>
          <w:p>
            <w:pPr>
              <w:pStyle w:val="TableParagraph"/>
              <w:spacing w:line="316" w:lineRule="auto" w:before="60"/>
              <w:ind w:left="4" w:right="3" w:firstLine="360"/>
              <w:jc w:val="both"/>
              <w:rPr>
                <w:rFonts w:ascii="宋体" w:hAnsi="宋体" w:cs="宋体" w:eastAsia="宋体" w:hint="default"/>
                <w:sz w:val="18"/>
                <w:szCs w:val="18"/>
              </w:rPr>
            </w:pPr>
            <w:r>
              <w:rPr>
                <w:rFonts w:ascii="宋体" w:hAnsi="宋体" w:cs="宋体" w:eastAsia="宋体" w:hint="default"/>
                <w:sz w:val="18"/>
                <w:szCs w:val="18"/>
              </w:rPr>
              <w:t>由于收入是科大国创的关键业绩指标之一，从而存在管理 层为了达到特定目标或期望而操纵收入确认时点的固有风险，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我们将科大国创行业软件收入确认识别为关键审计事项。</w:t>
            </w:r>
          </w:p>
        </w:tc>
        <w:tc>
          <w:tcPr>
            <w:tcW w:w="492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控制的设计和运行有效性；</w:t>
            </w:r>
          </w:p>
          <w:p>
            <w:pPr>
              <w:pStyle w:val="TableParagraph"/>
              <w:spacing w:line="309" w:lineRule="auto" w:before="117"/>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．选取样本检查销售合同，识别与收入确认相关的合同条</w:t>
            </w:r>
            <w:r>
              <w:rPr>
                <w:rFonts w:ascii="宋体" w:hAnsi="宋体" w:cs="宋体" w:eastAsia="宋体" w:hint="default"/>
                <w:sz w:val="18"/>
                <w:szCs w:val="18"/>
              </w:rPr>
              <w:t> 款与条件，评价科大国创的行业软件收入确认方法是否符合企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业会计准则的要求；</w:t>
            </w:r>
          </w:p>
          <w:p>
            <w:pPr>
              <w:pStyle w:val="TableParagraph"/>
              <w:spacing w:line="309" w:lineRule="auto" w:before="65"/>
              <w:ind w:left="2" w:right="-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．对本年记录的行业软件收入交易选取样本，核对发票、 销售合同、经客户确认的进度单以及内部进度资料，评价相关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行业软件收入确认的真实性和准确性；</w:t>
            </w:r>
          </w:p>
          <w:p>
            <w:pPr>
              <w:pStyle w:val="TableParagraph"/>
              <w:spacing w:line="300" w:lineRule="auto" w:before="62"/>
              <w:ind w:left="2" w:right="-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．结合应收账款函证，向客户函证项目进度及回款情况， 评价相关行业软件收入确认的真实性和准确性；</w:t>
            </w:r>
          </w:p>
          <w:p>
            <w:pPr>
              <w:pStyle w:val="TableParagraph"/>
              <w:spacing w:line="300" w:lineRule="auto" w:before="72"/>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．对本年记录的行业软件收入中选取重大项目，实施现场</w:t>
            </w:r>
            <w:r>
              <w:rPr>
                <w:rFonts w:ascii="宋体" w:hAnsi="宋体" w:cs="宋体" w:eastAsia="宋体" w:hint="default"/>
                <w:sz w:val="18"/>
                <w:szCs w:val="18"/>
              </w:rPr>
              <w:t> 走访程序，评价相关行业软件收入确认的真实性和准确性；</w:t>
            </w:r>
          </w:p>
          <w:p>
            <w:pPr>
              <w:pStyle w:val="TableParagraph"/>
              <w:spacing w:line="309" w:lineRule="auto" w:before="73"/>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．就资产负债表日前后记录的行业软件收入交易，选取样</w:t>
            </w:r>
            <w:r>
              <w:rPr>
                <w:rFonts w:ascii="宋体" w:hAnsi="宋体" w:cs="宋体" w:eastAsia="宋体" w:hint="default"/>
                <w:sz w:val="18"/>
                <w:szCs w:val="18"/>
              </w:rPr>
              <w:t> 本，核对经客户确认的进度单及其他支持性文件，以评价行业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软件收入是否被记录于恰当的会计期间。</w:t>
            </w:r>
          </w:p>
          <w:p>
            <w:pPr>
              <w:pStyle w:val="TableParagraph"/>
              <w:spacing w:line="316" w:lineRule="auto" w:before="62"/>
              <w:ind w:left="2" w:right="3" w:firstLine="360"/>
              <w:jc w:val="both"/>
              <w:rPr>
                <w:rFonts w:ascii="宋体" w:hAnsi="宋体" w:cs="宋体" w:eastAsia="宋体" w:hint="default"/>
                <w:sz w:val="18"/>
                <w:szCs w:val="18"/>
              </w:rPr>
            </w:pPr>
            <w:r>
              <w:rPr>
                <w:rFonts w:ascii="宋体" w:hAnsi="宋体" w:cs="宋体" w:eastAsia="宋体" w:hint="default"/>
                <w:sz w:val="18"/>
                <w:szCs w:val="18"/>
              </w:rPr>
              <w:t>基于以上执行的审计程序，管理层对行业软件收入确认是</w:t>
            </w:r>
            <w:r>
              <w:rPr>
                <w:rFonts w:ascii="宋体" w:hAnsi="宋体" w:cs="宋体" w:eastAsia="宋体" w:hint="default"/>
                <w:spacing w:val="2"/>
                <w:sz w:val="18"/>
                <w:szCs w:val="18"/>
              </w:rPr>
              <w:t> </w:t>
            </w:r>
            <w:r>
              <w:rPr>
                <w:rFonts w:ascii="宋体" w:hAnsi="宋体" w:cs="宋体" w:eastAsia="宋体" w:hint="default"/>
                <w:sz w:val="18"/>
                <w:szCs w:val="18"/>
              </w:rPr>
              <w:t>可接受的。</w:t>
            </w:r>
          </w:p>
        </w:tc>
      </w:tr>
      <w:tr>
        <w:trPr>
          <w:trHeight w:val="427" w:hRule="exact"/>
        </w:trPr>
        <w:tc>
          <w:tcPr>
            <w:tcW w:w="9856" w:type="dxa"/>
            <w:gridSpan w:val="2"/>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（二）应收账款坏账准备</w:t>
            </w:r>
          </w:p>
        </w:tc>
      </w:tr>
      <w:tr>
        <w:trPr>
          <w:trHeight w:val="5660" w:hRule="exact"/>
        </w:trPr>
        <w:tc>
          <w:tcPr>
            <w:tcW w:w="4928" w:type="dxa"/>
            <w:tcBorders>
              <w:top w:val="single" w:sz="8" w:space="0" w:color="000000"/>
              <w:left w:val="single" w:sz="6" w:space="0" w:color="000000"/>
              <w:bottom w:val="single" w:sz="8" w:space="0" w:color="000000"/>
              <w:right w:val="single" w:sz="6" w:space="0" w:color="000000"/>
            </w:tcBorders>
          </w:tcPr>
          <w:p>
            <w:pPr>
              <w:pStyle w:val="TableParagraph"/>
              <w:spacing w:line="312" w:lineRule="auto" w:before="58"/>
              <w:ind w:left="4" w:right="1"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日，科大国创合并财务报表中应收账款 </w:t>
            </w:r>
            <w:r>
              <w:rPr>
                <w:rFonts w:ascii="宋体" w:hAnsi="宋体" w:cs="宋体" w:eastAsia="宋体" w:hint="default"/>
                <w:spacing w:val="4"/>
                <w:sz w:val="18"/>
                <w:szCs w:val="18"/>
              </w:rPr>
              <w:t>账面余额为人民币</w:t>
            </w:r>
            <w:r>
              <w:rPr>
                <w:rFonts w:ascii="Times New Roman" w:hAnsi="Times New Roman" w:cs="Times New Roman" w:eastAsia="Times New Roman" w:hint="default"/>
                <w:spacing w:val="4"/>
                <w:sz w:val="18"/>
                <w:szCs w:val="18"/>
              </w:rPr>
              <w:t>401,078,585.52</w:t>
            </w:r>
            <w:r>
              <w:rPr>
                <w:rFonts w:ascii="宋体" w:hAnsi="宋体" w:cs="宋体" w:eastAsia="宋体" w:hint="default"/>
                <w:spacing w:val="4"/>
                <w:sz w:val="18"/>
                <w:szCs w:val="18"/>
              </w:rPr>
              <w:t>元，坏账准备余额为人民币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pacing w:val="-3"/>
                <w:sz w:val="18"/>
                <w:szCs w:val="18"/>
              </w:rPr>
              <w:t>29,697,792.38</w:t>
            </w:r>
            <w:r>
              <w:rPr>
                <w:rFonts w:ascii="宋体" w:hAnsi="宋体" w:cs="宋体" w:eastAsia="宋体" w:hint="default"/>
                <w:spacing w:val="-3"/>
                <w:sz w:val="18"/>
                <w:szCs w:val="18"/>
              </w:rPr>
              <w:t>元。管理层对单项金额重大的应收款项和单项金额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不重大但存在客观证据表明发生减值的应收账款单独进行减值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测试，根据其未来现金流量现值低于其账面价值的差额，计提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坏账准备；除已单独计提坏账准备的应收款项外，根据以前年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度按账龄划分的各段应收款项实际损失率作为基础，结合现时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情况确定本年各账龄段应收款项组合计提坏账准备的比例，据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此计算本年应计提的坏账准备。</w:t>
            </w:r>
          </w:p>
          <w:p>
            <w:pPr>
              <w:pStyle w:val="TableParagraph"/>
              <w:spacing w:line="316" w:lineRule="auto" w:before="63"/>
              <w:ind w:left="4" w:right="3" w:firstLine="360"/>
              <w:jc w:val="both"/>
              <w:rPr>
                <w:rFonts w:ascii="宋体" w:hAnsi="宋体" w:cs="宋体" w:eastAsia="宋体" w:hint="default"/>
                <w:sz w:val="18"/>
                <w:szCs w:val="18"/>
              </w:rPr>
            </w:pPr>
            <w:r>
              <w:rPr>
                <w:rFonts w:ascii="宋体" w:hAnsi="宋体" w:cs="宋体" w:eastAsia="宋体" w:hint="default"/>
                <w:spacing w:val="8"/>
                <w:sz w:val="18"/>
                <w:szCs w:val="18"/>
              </w:rPr>
              <w:t>由于应收账款可收回金额的计算需要管理层的判断和估</w:t>
            </w:r>
            <w:r>
              <w:rPr>
                <w:rFonts w:ascii="宋体" w:hAnsi="宋体" w:cs="宋体" w:eastAsia="宋体" w:hint="default"/>
                <w:sz w:val="18"/>
                <w:szCs w:val="18"/>
              </w:rPr>
              <w:t> 计，我们将科大国创应收账款坏账准备计提识别为关键审计事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w:t>
            </w:r>
          </w:p>
        </w:tc>
        <w:tc>
          <w:tcPr>
            <w:tcW w:w="4928" w:type="dxa"/>
            <w:tcBorders>
              <w:top w:val="single" w:sz="8" w:space="0" w:color="000000"/>
              <w:left w:val="single" w:sz="6" w:space="0" w:color="000000"/>
              <w:bottom w:val="single" w:sz="8" w:space="0" w:color="000000"/>
              <w:right w:val="nil" w:sz="6" w:space="0" w:color="auto"/>
            </w:tcBorders>
          </w:tcPr>
          <w:p>
            <w:pPr>
              <w:pStyle w:val="TableParagraph"/>
              <w:spacing w:line="314" w:lineRule="auto" w:before="58"/>
              <w:ind w:left="2" w:right="9" w:firstLine="360"/>
              <w:jc w:val="both"/>
              <w:rPr>
                <w:rFonts w:ascii="宋体" w:hAnsi="宋体" w:cs="宋体" w:eastAsia="宋体" w:hint="default"/>
                <w:sz w:val="18"/>
                <w:szCs w:val="18"/>
              </w:rPr>
            </w:pPr>
            <w:r>
              <w:rPr>
                <w:rFonts w:ascii="宋体" w:hAnsi="宋体" w:cs="宋体" w:eastAsia="宋体" w:hint="default"/>
                <w:spacing w:val="8"/>
                <w:sz w:val="18"/>
                <w:szCs w:val="18"/>
              </w:rPr>
              <w:t>与评价应收账款坏账准备相关的审计程序中包括以下程</w:t>
            </w:r>
            <w:r>
              <w:rPr>
                <w:rFonts w:ascii="宋体" w:hAnsi="宋体" w:cs="宋体" w:eastAsia="宋体" w:hint="default"/>
                <w:sz w:val="18"/>
                <w:szCs w:val="18"/>
              </w:rPr>
              <w:t> 序：</w:t>
            </w:r>
          </w:p>
          <w:p>
            <w:pPr>
              <w:pStyle w:val="TableParagraph"/>
              <w:spacing w:line="300" w:lineRule="auto" w:before="61"/>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．对科大国创信用政策及应收账款管理相关内部控制的设</w:t>
            </w:r>
            <w:r>
              <w:rPr>
                <w:rFonts w:ascii="宋体" w:hAnsi="宋体" w:cs="宋体" w:eastAsia="宋体" w:hint="default"/>
                <w:sz w:val="18"/>
                <w:szCs w:val="18"/>
              </w:rPr>
              <w:t> 计和运行有效性进行了评估和测试；</w:t>
            </w:r>
          </w:p>
          <w:p>
            <w:pPr>
              <w:pStyle w:val="TableParagraph"/>
              <w:spacing w:line="309" w:lineRule="auto" w:before="72"/>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．分析科大国创应收账款坏账准备会计估计的合理性，包</w:t>
            </w:r>
            <w:r>
              <w:rPr>
                <w:rFonts w:ascii="宋体" w:hAnsi="宋体" w:cs="宋体" w:eastAsia="宋体" w:hint="default"/>
                <w:sz w:val="18"/>
                <w:szCs w:val="18"/>
              </w:rPr>
              <w:t> 括确定应收账款组合的依据、金额重大的判断、单独计提坏账</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准备的判断等；</w:t>
            </w:r>
          </w:p>
          <w:p>
            <w:pPr>
              <w:pStyle w:val="TableParagraph"/>
              <w:spacing w:line="309" w:lineRule="auto" w:before="62"/>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．分析科大国创计算资产负债表日坏账准备金额与应收账</w:t>
            </w:r>
            <w:r>
              <w:rPr>
                <w:rFonts w:ascii="宋体" w:hAnsi="宋体" w:cs="宋体" w:eastAsia="宋体" w:hint="default"/>
                <w:sz w:val="18"/>
                <w:szCs w:val="18"/>
              </w:rPr>
              <w:t> 款余额之间的比率，比较前期坏账准备计提数和实际发生数，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分析应收账款坏账准备计提是否充分；</w:t>
            </w:r>
          </w:p>
          <w:p>
            <w:pPr>
              <w:pStyle w:val="TableParagraph"/>
              <w:spacing w:line="309" w:lineRule="auto" w:before="65"/>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．通过分析科大国创应收账款的账龄和客户信誉情况，并</w:t>
            </w:r>
            <w:r>
              <w:rPr>
                <w:rFonts w:ascii="宋体" w:hAnsi="宋体" w:cs="宋体" w:eastAsia="宋体" w:hint="default"/>
                <w:sz w:val="18"/>
                <w:szCs w:val="18"/>
              </w:rPr>
              <w:t> 执行应收账款函证程序及检查期后回款情况，评价应收账款坏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账准备计提的合理性；</w:t>
            </w:r>
          </w:p>
          <w:p>
            <w:pPr>
              <w:pStyle w:val="TableParagraph"/>
              <w:spacing w:line="300" w:lineRule="auto" w:before="65"/>
              <w:ind w:left="2" w:right="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．获取科大国创坏账准备计提表，检查计提方法是否按照</w:t>
            </w:r>
            <w:r>
              <w:rPr>
                <w:rFonts w:ascii="宋体" w:hAnsi="宋体" w:cs="宋体" w:eastAsia="宋体" w:hint="default"/>
                <w:sz w:val="18"/>
                <w:szCs w:val="18"/>
              </w:rPr>
              <w:t> 坏账政策执行；重新计算坏账计提金额是否准确。</w:t>
            </w:r>
          </w:p>
          <w:p>
            <w:pPr>
              <w:pStyle w:val="TableParagraph"/>
              <w:spacing w:line="316" w:lineRule="auto" w:before="70"/>
              <w:ind w:left="2" w:right="3" w:firstLine="360"/>
              <w:jc w:val="both"/>
              <w:rPr>
                <w:rFonts w:ascii="宋体" w:hAnsi="宋体" w:cs="宋体" w:eastAsia="宋体" w:hint="default"/>
                <w:sz w:val="18"/>
                <w:szCs w:val="18"/>
              </w:rPr>
            </w:pPr>
            <w:r>
              <w:rPr>
                <w:rFonts w:ascii="宋体" w:hAnsi="宋体" w:cs="宋体" w:eastAsia="宋体" w:hint="default"/>
                <w:sz w:val="18"/>
                <w:szCs w:val="18"/>
              </w:rPr>
              <w:t>基于以上执行的审计程序，管理层对应收账款坏账准备所</w:t>
            </w:r>
            <w:r>
              <w:rPr>
                <w:rFonts w:ascii="宋体" w:hAnsi="宋体" w:cs="宋体" w:eastAsia="宋体" w:hint="default"/>
                <w:spacing w:val="2"/>
                <w:sz w:val="18"/>
                <w:szCs w:val="18"/>
              </w:rPr>
              <w:t> </w:t>
            </w:r>
            <w:r>
              <w:rPr>
                <w:rFonts w:ascii="宋体" w:hAnsi="宋体" w:cs="宋体" w:eastAsia="宋体" w:hint="default"/>
                <w:sz w:val="18"/>
                <w:szCs w:val="18"/>
              </w:rPr>
              <w:t>做出的判断及估计是可接受的。</w:t>
            </w:r>
          </w:p>
        </w:tc>
      </w:tr>
    </w:tbl>
    <w:p>
      <w:pPr>
        <w:spacing w:line="240" w:lineRule="auto" w:before="8"/>
        <w:rPr>
          <w:rFonts w:ascii="宋体" w:hAnsi="宋体" w:cs="宋体" w:eastAsia="宋体" w:hint="default"/>
          <w:sz w:val="5"/>
          <w:szCs w:val="5"/>
        </w:rPr>
      </w:pPr>
    </w:p>
    <w:p>
      <w:pPr>
        <w:pStyle w:val="Heading3"/>
        <w:spacing w:line="335" w:lineRule="exact"/>
        <w:ind w:left="580" w:right="5218"/>
        <w:jc w:val="left"/>
        <w:rPr>
          <w:b w:val="0"/>
          <w:bCs w:val="0"/>
        </w:rPr>
      </w:pPr>
      <w:r>
        <w:rPr/>
        <w:t>四、其他信息</w:t>
      </w:r>
      <w:r>
        <w:rPr>
          <w:b w:val="0"/>
          <w:bCs w:val="0"/>
        </w:rPr>
      </w:r>
    </w:p>
    <w:p>
      <w:pPr>
        <w:pStyle w:val="BodyText"/>
        <w:spacing w:line="256" w:lineRule="auto" w:before="133"/>
        <w:ind w:right="0" w:firstLine="420"/>
        <w:jc w:val="left"/>
      </w:pPr>
      <w:r>
        <w:rPr>
          <w:spacing w:val="-2"/>
        </w:rPr>
        <w:t>科大国创管理层（以下简称管理层）对其他信息负责。其他信息包括科大国创</w:t>
      </w:r>
      <w:r>
        <w:rPr>
          <w:rFonts w:ascii="Times New Roman" w:hAnsi="Times New Roman" w:cs="Times New Roman" w:eastAsia="Times New Roman" w:hint="default"/>
          <w:spacing w:val="-2"/>
        </w:rPr>
        <w:t>2017</w:t>
      </w:r>
      <w:r>
        <w:rPr>
          <w:spacing w:val="-2"/>
        </w:rPr>
        <w:t>年度报告中涵盖的</w:t>
      </w:r>
      <w:r>
        <w:rPr>
          <w:w w:val="100"/>
        </w:rPr>
        <w:t> </w:t>
      </w:r>
      <w:r>
        <w:rPr/>
        <w:t>信息，但不包括财务报表和我们的审计报告。</w:t>
      </w:r>
    </w:p>
    <w:p>
      <w:pPr>
        <w:pStyle w:val="BodyText"/>
        <w:spacing w:line="273" w:lineRule="auto" w:before="22"/>
        <w:ind w:left="580" w:right="0"/>
        <w:jc w:val="left"/>
      </w:pPr>
      <w:r>
        <w:rPr/>
        <w:t>我们对财务报表发表的审计意见不涵盖其他信息，我们也不对其他信息发表任何形式的鉴证结论。</w:t>
      </w:r>
      <w:r>
        <w:rPr>
          <w:w w:val="100"/>
        </w:rPr>
        <w:t> </w:t>
      </w:r>
      <w:r>
        <w:rPr>
          <w:spacing w:val="-3"/>
        </w:rPr>
        <w:t>结合我们对财务报表的审计，我们的责任是阅读其他信息，在此过程中，考虑其他信息是否与财务报</w:t>
      </w:r>
    </w:p>
    <w:p>
      <w:pPr>
        <w:pStyle w:val="BodyText"/>
        <w:spacing w:line="273" w:lineRule="auto" w:before="7"/>
        <w:ind w:left="580" w:right="0" w:hanging="428"/>
        <w:jc w:val="left"/>
      </w:pPr>
      <w:r>
        <w:rPr/>
        <w:t>表或我们在审计过程中了解到的情况存在重大不一致或者似乎存在重大错报。</w:t>
      </w:r>
      <w:r>
        <w:rPr>
          <w:w w:val="100"/>
        </w:rPr>
        <w:t> </w:t>
      </w:r>
      <w:r>
        <w:rPr>
          <w:spacing w:val="-3"/>
        </w:rPr>
        <w:t>基于我们已执行的工作，如果我们确定其他信息存在重大错报，我们应当报告该事实。在这方面，我</w:t>
      </w:r>
    </w:p>
    <w:p>
      <w:pPr>
        <w:spacing w:after="0" w:line="273" w:lineRule="auto"/>
        <w:jc w:val="left"/>
        <w:sectPr>
          <w:pgSz w:w="11910" w:h="16840"/>
          <w:pgMar w:header="748" w:footer="979" w:top="1060" w:bottom="1160" w:left="980" w:right="780"/>
        </w:sectPr>
      </w:pPr>
    </w:p>
    <w:p>
      <w:pPr>
        <w:spacing w:line="240" w:lineRule="auto" w:before="10"/>
        <w:rPr>
          <w:rFonts w:ascii="宋体" w:hAnsi="宋体" w:cs="宋体" w:eastAsia="宋体" w:hint="default"/>
          <w:sz w:val="24"/>
          <w:szCs w:val="24"/>
        </w:rPr>
      </w:pPr>
    </w:p>
    <w:p>
      <w:pPr>
        <w:spacing w:line="319" w:lineRule="auto" w:before="36"/>
        <w:ind w:left="580" w:right="5553" w:hanging="428"/>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1"/>
          <w:sz w:val="21"/>
          <w:szCs w:val="21"/>
        </w:rPr>
        <w:t>五、管理层和治理层对财务报表的责任</w:t>
      </w:r>
      <w:r>
        <w:rPr>
          <w:rFonts w:ascii="Microsoft JhengHei" w:hAnsi="Microsoft JhengHei" w:cs="Microsoft JhengHei" w:eastAsia="Microsoft JhengHei" w:hint="default"/>
          <w:spacing w:val="-1"/>
          <w:sz w:val="21"/>
          <w:szCs w:val="21"/>
        </w:rPr>
      </w:r>
    </w:p>
    <w:p>
      <w:pPr>
        <w:pStyle w:val="BodyText"/>
        <w:spacing w:line="273" w:lineRule="auto" w:before="41"/>
        <w:ind w:right="0" w:firstLine="427"/>
        <w:jc w:val="left"/>
      </w:pPr>
      <w:r>
        <w:rPr>
          <w:spacing w:val="-3"/>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273" w:lineRule="auto" w:before="7"/>
        <w:ind w:right="0" w:firstLine="427"/>
        <w:jc w:val="left"/>
      </w:pPr>
      <w:r>
        <w:rPr>
          <w:spacing w:val="-3"/>
        </w:rPr>
        <w:t>在编制财务报表时，管理层负责评估科大国创的持续经营能力，披露与持续经营相关的事项，并运用</w:t>
      </w:r>
      <w:r>
        <w:rPr>
          <w:w w:val="100"/>
        </w:rPr>
        <w:t> </w:t>
      </w:r>
      <w:r>
        <w:rPr/>
        <w:t>持续经营假设，除非管理层计划清算科大国创、终止运营或别无其他现实的选择。</w:t>
      </w:r>
    </w:p>
    <w:p>
      <w:pPr>
        <w:spacing w:line="319" w:lineRule="auto" w:before="7"/>
        <w:ind w:left="580" w:right="4793"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治理层负责监督科大国创的财务报告过程。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sz w:val="21"/>
          <w:szCs w:val="21"/>
        </w:rPr>
      </w:r>
    </w:p>
    <w:p>
      <w:pPr>
        <w:pStyle w:val="BodyText"/>
        <w:spacing w:line="273" w:lineRule="auto" w:before="41"/>
        <w:ind w:right="206" w:firstLine="427"/>
        <w:jc w:val="both"/>
      </w:pPr>
      <w:r>
        <w:rPr>
          <w:spacing w:val="-3"/>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7"/>
        <w:ind w:right="0" w:firstLine="427"/>
        <w:jc w:val="left"/>
      </w:pPr>
      <w:r>
        <w:rPr>
          <w:spacing w:val="-3"/>
        </w:rPr>
        <w:t>在按照审计准则执行审计工作的过程中，我们运用职业判断，并保持职业怀疑。同时，我们也执行以</w:t>
      </w:r>
      <w:r>
        <w:rPr>
          <w:w w:val="100"/>
        </w:rPr>
        <w:t> </w:t>
      </w:r>
      <w:r>
        <w:rPr/>
        <w:t>下工作：</w:t>
      </w:r>
    </w:p>
    <w:p>
      <w:pPr>
        <w:pStyle w:val="BodyText"/>
        <w:spacing w:line="266" w:lineRule="auto" w:before="7"/>
        <w:ind w:right="0" w:firstLine="427"/>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14"/>
        <w:ind w:left="580"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BodyText"/>
        <w:spacing w:line="240" w:lineRule="auto" w:before="21"/>
        <w:ind w:right="0"/>
        <w:jc w:val="left"/>
      </w:pPr>
      <w:r>
        <w:rPr/>
        <w:t>见。</w:t>
      </w:r>
    </w:p>
    <w:p>
      <w:pPr>
        <w:pStyle w:val="BodyText"/>
        <w:spacing w:line="240" w:lineRule="auto" w:before="37"/>
        <w:ind w:left="580"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40" w:lineRule="auto" w:before="21"/>
        <w:ind w:left="580" w:right="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）对管理层使用持续经营假设的恰当性得出结论。同时，根据获取的审计证据，就可能导致对科</w:t>
      </w:r>
    </w:p>
    <w:p>
      <w:pPr>
        <w:pStyle w:val="BodyText"/>
        <w:spacing w:line="273" w:lineRule="auto" w:before="21"/>
        <w:ind w:right="206"/>
        <w:jc w:val="both"/>
      </w:pPr>
      <w:r>
        <w:rPr>
          <w:spacing w:val="-2"/>
        </w:rPr>
        <w:t>大国创持续经营能力产生重大疑虑的事项或情况是否存在重大不确定性得出结论。如果我们得出结论认为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项或情况可能导致科大国创不能持续经营。</w:t>
      </w:r>
    </w:p>
    <w:p>
      <w:pPr>
        <w:pStyle w:val="BodyText"/>
        <w:spacing w:line="256" w:lineRule="auto" w:before="7"/>
        <w:ind w:right="283" w:firstLine="427"/>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）评价财务报表的总体列报、结构和内容（包括披露），并评价财务报表是否公允反映相关交易</w:t>
      </w:r>
      <w:r>
        <w:rPr>
          <w:w w:val="100"/>
        </w:rPr>
        <w:t> </w:t>
      </w:r>
      <w:r>
        <w:rPr/>
        <w:t>和事项。</w:t>
      </w:r>
    </w:p>
    <w:p>
      <w:pPr>
        <w:pStyle w:val="BodyText"/>
        <w:spacing w:line="256" w:lineRule="auto" w:before="22"/>
        <w:ind w:right="283" w:firstLine="427"/>
        <w:jc w:val="both"/>
      </w:pPr>
      <w:r>
        <w:rPr>
          <w:spacing w:val="-2"/>
        </w:rPr>
        <w:t>（</w:t>
      </w:r>
      <w:r>
        <w:rPr>
          <w:rFonts w:ascii="Times New Roman" w:hAnsi="Times New Roman" w:cs="Times New Roman" w:eastAsia="Times New Roman" w:hint="default"/>
          <w:spacing w:val="-2"/>
        </w:rPr>
        <w:t>6</w:t>
      </w:r>
      <w:r>
        <w:rPr>
          <w:spacing w:val="-2"/>
        </w:rPr>
        <w:t>）就科大国创中实体或业务活动的财务信息获取充分、适当的审计证据，以对财务报表发表审计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22"/>
        <w:ind w:right="206" w:firstLine="427"/>
        <w:jc w:val="both"/>
      </w:pPr>
      <w:r>
        <w:rPr>
          <w:spacing w:val="-3"/>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8"/>
        <w:ind w:right="206" w:firstLine="427"/>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w:t>
      </w:r>
    </w:p>
    <w:p>
      <w:pPr>
        <w:pStyle w:val="BodyText"/>
        <w:spacing w:line="273" w:lineRule="auto" w:before="7"/>
        <w:ind w:right="206" w:firstLine="427"/>
        <w:jc w:val="both"/>
      </w:pPr>
      <w:r>
        <w:rPr>
          <w:spacing w:val="-3"/>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after="0" w:line="273"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tabs>
          <w:tab w:pos="5402" w:val="left" w:leader="none"/>
        </w:tabs>
        <w:spacing w:line="240" w:lineRule="auto" w:before="36"/>
        <w:ind w:left="273" w:right="0"/>
        <w:jc w:val="left"/>
      </w:pPr>
      <w:r>
        <w:rPr>
          <w:spacing w:val="-2"/>
        </w:rPr>
        <w:t>华普天健会计师事务所</w:t>
        <w:tab/>
        <w:t>中国注册会计师（项目合伙人）：郑磊</w:t>
      </w:r>
    </w:p>
    <w:p>
      <w:pPr>
        <w:pStyle w:val="BodyText"/>
        <w:spacing w:line="240" w:lineRule="auto" w:before="97"/>
        <w:ind w:left="393" w:right="0"/>
        <w:jc w:val="left"/>
      </w:pPr>
      <w:r>
        <w:rPr/>
        <w:t>（特殊普通合伙）</w:t>
      </w:r>
    </w:p>
    <w:p>
      <w:pPr>
        <w:pStyle w:val="BodyText"/>
        <w:spacing w:line="240" w:lineRule="auto" w:before="97"/>
        <w:ind w:left="5371" w:right="0"/>
        <w:jc w:val="left"/>
      </w:pPr>
      <w:r>
        <w:rPr/>
        <w:t>中国注册会计师：齐利平</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5484" w:val="left" w:leader="none"/>
        </w:tabs>
        <w:spacing w:line="240" w:lineRule="auto"/>
        <w:ind w:left="784" w:right="0"/>
        <w:jc w:val="left"/>
      </w:pPr>
      <w:r>
        <w:rPr>
          <w:spacing w:val="-1"/>
        </w:rPr>
        <w:t>中国</w:t>
      </w:r>
      <w:r>
        <w:rPr>
          <w:rFonts w:ascii="Times New Roman" w:hAnsi="Times New Roman" w:cs="Times New Roman" w:eastAsia="Times New Roman" w:hint="default"/>
          <w:spacing w:val="-1"/>
        </w:rPr>
        <w:t>·</w:t>
      </w:r>
      <w:r>
        <w:rPr>
          <w:spacing w:val="-1"/>
        </w:rPr>
        <w:t>北京</w:t>
        <w:tab/>
      </w:r>
      <w:r>
        <w:rPr>
          <w:spacing w:val="-2"/>
        </w:rPr>
        <w:t>中国注册会计师：黄冰冰</w:t>
      </w:r>
    </w:p>
    <w:p>
      <w:pPr>
        <w:spacing w:line="240" w:lineRule="auto" w:before="1"/>
        <w:rPr>
          <w:rFonts w:ascii="宋体" w:hAnsi="宋体" w:cs="宋体" w:eastAsia="宋体" w:hint="default"/>
          <w:sz w:val="30"/>
          <w:szCs w:val="30"/>
        </w:rPr>
      </w:pPr>
    </w:p>
    <w:p>
      <w:pPr>
        <w:pStyle w:val="BodyText"/>
        <w:spacing w:line="240" w:lineRule="auto"/>
        <w:ind w:left="6295"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编制单位：科大国创软件股份有限公司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4" w:space="862"/>
            <w:col w:w="1642" w:space="3202"/>
            <w:col w:w="103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507,759,919.19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530,402,589.74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4,318,236.16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371,380,793.14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279,447,762.62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12,115,996.24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4,422,456.91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40,866,791.36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36,100,057.56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152,625,218.81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39,904,234.05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21,605,412.30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32,947,360.06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1,110,672,367.20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925,024,460.94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4,385,130.38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4,198,732.23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37,848,375.96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38,908,044.34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90,776,055.52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47,711,713.22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9,461,957.96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8,386,887.34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107,911.19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9,857,019.24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9,383,962.20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139,744.00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152,661,099.71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108,836,994.52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1,263,333,466.91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1,033,861,455.46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48,763,642.53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17,898,416.23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155,986,552.83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102,729,113.33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50,540,224.73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10,797,797.66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21,473,338.18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19,610,704.13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6,790,097.12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21,408,814.50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204,208.34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230,458,019.38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319,781,368.47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683,216,083.11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492,309,547.59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9,908,243.34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261,262.90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305,348.08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13,530,412.91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14,713,591.42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696,746,496.02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507,023,139.01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96,075,000.00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164,531,207.36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422,008,870.39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148,748.58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314,217.28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15,599,110.38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13,341,579.35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180,564,989.45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175,977,127.17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563,244,055.77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527,398,044.19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3,342,915.12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-559,727.74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566,586,970.89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526,838,316.45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1,263,333,466.91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1,033,861,455.46</w:t>
            </w:r>
          </w:p>
        </w:tc>
      </w:tr>
    </w:tbl>
    <w:p>
      <w:pPr>
        <w:spacing w:line="240" w:lineRule="auto" w:before="2"/>
        <w:rPr>
          <w:rFonts w:ascii="Times New Roman" w:hAnsi="Times New Roman" w:cs="Times New Roman" w:eastAsia="Times New Roman" w:hint="default"/>
          <w:sz w:val="23"/>
          <w:szCs w:val="23"/>
        </w:rPr>
      </w:pPr>
    </w:p>
    <w:p>
      <w:pPr>
        <w:tabs>
          <w:tab w:pos="3667" w:val="left" w:leader="none"/>
          <w:tab w:pos="7899"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法定代表人：董永东</w:t>
        <w:tab/>
      </w:r>
      <w:r>
        <w:rPr>
          <w:rFonts w:ascii="宋体" w:hAnsi="宋体" w:cs="宋体" w:eastAsia="宋体" w:hint="default"/>
          <w:spacing w:val="-1"/>
          <w:sz w:val="18"/>
          <w:szCs w:val="18"/>
        </w:rPr>
        <w:t>主管会计工作负责人：储士升</w:t>
        <w:tab/>
      </w:r>
      <w:r>
        <w:rPr>
          <w:rFonts w:ascii="宋体" w:hAnsi="宋体" w:cs="宋体" w:eastAsia="宋体" w:hint="default"/>
          <w:sz w:val="18"/>
          <w:szCs w:val="18"/>
        </w:rPr>
        <w:t>会计机构负责人：刘芳</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258,316,523.40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313,374,393.78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3,459,057.20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355,234,869.68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268,542,516.86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8,560,474.12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4,288,056.58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33,377,550.51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45,034,904.79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152,461,221.56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39,790,558.83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20,138,992.65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32,593,289.50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831,548,689.12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705,423,720.34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140,651,863.99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117,972,454.30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31,531,494.27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32,395,187.51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90,776,055.52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47,711,713.22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8,358,386.23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8,386,887.34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7,424,541.68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6,402,844.71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139,744.00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278,742,341.69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213,008,831.08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1,110,291,030.81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918,432,551.42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48,763,642.53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17,898,416.23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327,432,105.27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226,629,403.05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50,540,224.73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10,797,797.66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13,799,356.89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9,456,356.83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2,214,427.45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12,263,144.61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204,208.34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5,478,204.74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187,518,542.83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617,432,169.95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464,646,994.48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9,908,243.34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13,269,150.01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14,408,243.34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630,701,319.96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479,055,237.82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96,075,000.00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164,156,296.02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421,633,959.05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15,599,110.38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13,341,579.35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97,434,304.45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88,645,525.20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479,589,710.85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439,377,313.60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1,110,291,030.81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918,432,551.42</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607,857,521.79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9" w:right="0"/>
              <w:jc w:val="left"/>
              <w:rPr>
                <w:rFonts w:ascii="Times New Roman" w:hAnsi="Times New Roman" w:cs="Times New Roman" w:eastAsia="Times New Roman" w:hint="default"/>
                <w:sz w:val="18"/>
                <w:szCs w:val="18"/>
              </w:rPr>
            </w:pPr>
            <w:r>
              <w:rPr>
                <w:rFonts w:ascii="Times New Roman"/>
                <w:sz w:val="18"/>
              </w:rPr>
              <w:t>594,231,453.27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677.73999pt;width:193.1pt;height:19.6pt;mso-position-horizontal-relative:page;mso-position-vertical-relative:page;z-index:-8551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541.51001pt;width:160pt;height:19.6pt;mso-position-horizontal-relative:page;mso-position-vertical-relative:page;z-index:-855088" coordorigin="4220,10830" coordsize="3200,392">
            <v:group style="position:absolute;left:7398;top:10830;width:22;height:392" coordorigin="7398,10830" coordsize="22,392">
              <v:shape style="position:absolute;left:7398;top:10830;width:22;height:392" coordorigin="7398,10830" coordsize="22,392" path="m7398,11221l7420,11221,7420,10830,7398,10830,7398,11221xe" filled="true" fillcolor="#ffffff" stroked="false">
                <v:path arrowok="t"/>
                <v:fill type="solid"/>
              </v:shape>
            </v:group>
            <v:group style="position:absolute;left:4220;top:10830;width:22;height:392" coordorigin="4220,10830" coordsize="22,392">
              <v:shape style="position:absolute;left:4220;top:10830;width:22;height:392" coordorigin="4220,10830" coordsize="22,392" path="m4220,11221l4242,11221,4242,10830,4220,10830,4220,11221xe" filled="true" fillcolor="#ffffff" stroked="false">
                <v:path arrowok="t"/>
                <v:fill type="solid"/>
              </v:shape>
            </v:group>
            <v:group style="position:absolute;left:4242;top:10830;width:3157;height:392" coordorigin="4242,10830" coordsize="3157,392">
              <v:shape style="position:absolute;left:4242;top:10830;width:3157;height:392" coordorigin="4242,10830" coordsize="3157,392" path="m4242,11221l7398,11221,7398,10830,4242,10830,4242,1122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7"/>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607,857,521.79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594,231,453.27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611,939,905.17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542,093,798.60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357,933,725.48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375,076,624.54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3,539,553.88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2,168,682.15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56,880,442.24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34,512,221.25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184,041,878.51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121,247,533.91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-993,096.61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-542,936.48</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10,537,401.67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9,631,673.23</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2,502,527.79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1,053,573.23</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186,398.15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-1,267.77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14,806.82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12,242,268.34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10,677,219.57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53,191,227.90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9,551,850.57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22,037.62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7"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1" w:right="0"/>
              <w:jc w:val="left"/>
              <w:rPr>
                <w:rFonts w:ascii="Times New Roman" w:hAnsi="Times New Roman" w:cs="Times New Roman" w:eastAsia="Times New Roman" w:hint="default"/>
                <w:sz w:val="18"/>
                <w:szCs w:val="18"/>
              </w:rPr>
            </w:pPr>
            <w:r>
              <w:rPr>
                <w:rFonts w:ascii="Times New Roman"/>
                <w:sz w:val="18"/>
              </w:rPr>
              <w:t>10,655,181.95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62,643,078.47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-8,468,064.22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8,433,417.94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19,123,246.17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54,209,660.53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19,123,246.17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54,209,660.53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18,374,393.31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56,927,437.17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748,852.86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-2,717,776.64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-165,468.70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207,377.61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-165,468.70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207,377.61</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-165,468.70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207,377.61</w:t>
            </w: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-165,468.70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207,377.61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18,957,777.47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54,417,038.14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18,208,924.61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57,134,814.78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748,852.86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-2,717,776.64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13"/>
          <w:pgSz w:w="11910" w:h="16840"/>
          <w:pgMar w:footer="979" w:header="748" w:top="1060" w:bottom="1160" w:left="980" w:right="980"/>
          <w:pgNumType w:start="83"/>
        </w:sectPr>
      </w:pPr>
    </w:p>
    <w:p>
      <w:pPr>
        <w:spacing w:line="240" w:lineRule="auto" w:before="10"/>
        <w:rPr>
          <w:rFonts w:ascii="宋体" w:hAnsi="宋体" w:cs="宋体" w:eastAsia="宋体" w:hint="default"/>
          <w:sz w:val="25"/>
          <w:szCs w:val="25"/>
        </w:rPr>
      </w:pPr>
    </w:p>
    <w:p>
      <w:pPr>
        <w:tabs>
          <w:tab w:pos="3667" w:val="left" w:leader="none"/>
          <w:tab w:pos="7899"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法定代表人：董永东</w:t>
        <w:tab/>
      </w:r>
      <w:r>
        <w:rPr>
          <w:rFonts w:ascii="宋体" w:hAnsi="宋体" w:cs="宋体" w:eastAsia="宋体" w:hint="default"/>
          <w:spacing w:val="-1"/>
          <w:sz w:val="18"/>
          <w:szCs w:val="18"/>
        </w:rPr>
        <w:t>主管会计工作负责人：储士升</w:t>
        <w:tab/>
      </w:r>
      <w:r>
        <w:rPr>
          <w:rFonts w:ascii="宋体" w:hAnsi="宋体" w:cs="宋体" w:eastAsia="宋体" w:hint="default"/>
          <w:sz w:val="18"/>
          <w:szCs w:val="18"/>
        </w:rPr>
        <w:t>会计机构负责人：刘芳</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534,682,074.45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520,389,489.20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421,257,571.80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422,494,182.23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1,972,270.73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1,092,577.13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26,943,984.01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14,897,103.14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94,275,992.80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46,518,309.00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2,127,195.33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1,615,716.18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9,970,423.35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9,365,170.52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31,242,826.30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1,053,573.23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186,398.15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-1,267.77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9,246,002.44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18,638,271.99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25,460,004.23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9,010,740.57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18,638,271.99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34,470,744.80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-3,937,038.29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3,180,200.83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22,575,310.28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31,290,543.97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22,575,310.28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31,290,543.97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3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22,575,310.28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31,290,543.97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550,751,170.21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526,351,679.54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1,007,557.25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104,332,384.06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147,790,358.98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655,083,554.27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675,149,595.77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300,111,993.54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282,575,689.31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270,616,423.17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191,717,143.03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30,081,546.44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21,718,786.78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57,508,769.89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64,430,888.85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658,318,733.04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560,442,507.97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-3,235,178.77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114,707,087.80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7,942,677.42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2,335,487.36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7,969,491.42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2,335,487.36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43,149,333.23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14,884,979.57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43,149,333.23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19,084,979.57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-35,179,841.81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-16,749,492.21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377,637,729.44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172,153,790.00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470,637,729.44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14,049,660.41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2,317,621.04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28,198,500.00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194,368,410.41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154,216,121.04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-22,214,620.41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316,421,608.40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148,990.80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2,475,983.08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-60,480,650.19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416,855,187.07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552,919,332.39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136,064,145.32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492,438,682.20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552,919,332.39</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529,137,069.06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436,598,206.55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1,007,557.25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24,383,857.76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51,905,462.83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553,520,926.82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489,511,226.63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448,930,255.52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372,273,566.99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107,233,085.01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71,108,052.14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14,987,915.01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8,819,450.23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33,940,182.99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43,667,021.91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605,091,438.53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495,868,091.27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-51,570,511.71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-6,356,864.64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2,993,050.77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1,975,403.51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33,019,864.77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1,975,403.51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39,770,491.93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11,630,264.11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9,872,610.00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80,339,220.56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49,643,101.93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91,969,484.67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-16,623,237.16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-89,994,081.16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375,918,750.00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468,918,750.00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14,049,660.41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2,317,621.04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28,198,500.00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194,368,410.41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154,216,121.04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-25,368,410.41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314,702,628.96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848,309.26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234,464.58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-92,713,850.02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218,586,147.74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335,974,136.43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117,387,988.69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243,260,286.41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335,974,136.43</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9"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422,008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,870.39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314,217</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175,977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,127.17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-559,72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526,838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,316.45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422,008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314,217</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175,977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,127.17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-559,72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526,838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,316.45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106,32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7,663.0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4,587,8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62.28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3,902,6</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42.86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39,748,</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654.44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18,374,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393.31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748,852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19,123,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246.17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-8,965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-142,18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7,663.0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32,319,</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876.97</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086.97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-13,786,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8.70</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148,748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110.38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180,564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,989.45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,970.89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402"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6"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9"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69,000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63,570,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106,839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10,212,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122,178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606,529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265,675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6" w:right="0"/>
              <w:jc w:val="left"/>
              <w:rPr>
                <w:rFonts w:ascii="Times New Roman" w:hAnsi="Times New Roman" w:cs="Times New Roman" w:eastAsia="Times New Roman" w:hint="default"/>
                <w:sz w:val="18"/>
                <w:szCs w:val="18"/>
              </w:rPr>
            </w:pPr>
            <w:r>
              <w:rPr>
                <w:rFonts w:ascii="Times New Roman"/>
                <w:sz w:val="18"/>
              </w:rPr>
              <w:t>747.35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0" w:right="0"/>
              <w:jc w:val="lef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6" w:right="0"/>
              <w:jc w:val="left"/>
              <w:rPr>
                <w:rFonts w:ascii="Times New Roman" w:hAnsi="Times New Roman" w:cs="Times New Roman" w:eastAsia="Times New Roman" w:hint="default"/>
                <w:sz w:val="18"/>
                <w:szCs w:val="18"/>
              </w:rPr>
            </w:pPr>
            <w:r>
              <w:rPr>
                <w:rFonts w:ascii="Times New Roman"/>
                <w:sz w:val="18"/>
              </w:rPr>
              <w:t>524.95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,744.40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3" w:right="0"/>
              <w:jc w:val="left"/>
              <w:rPr>
                <w:rFonts w:ascii="Times New Roman" w:hAnsi="Times New Roman" w:cs="Times New Roman" w:eastAsia="Times New Roman" w:hint="default"/>
                <w:sz w:val="18"/>
                <w:szCs w:val="18"/>
              </w:rPr>
            </w:pPr>
            <w:r>
              <w:rPr>
                <w:rFonts w:ascii="Times New Roman"/>
                <w:sz w:val="18"/>
              </w:rPr>
              <w:t>.47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sz w:val="18"/>
              </w:rPr>
              <w:t>,385.84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63,570,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106,839</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122,178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,744.40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606,529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265,675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,385.84</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358,438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,123.04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207,377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53,798,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382.77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257.21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261,162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,930.61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56,927,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437.17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-2,717,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776.64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54,209,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660.53</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358,270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,663.03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1,551,5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19.43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206,578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,432.46</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27,075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348,843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197,600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9,426,9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13.03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9,426,9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13.03</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-448,48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-448,48</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0.57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54.40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54.40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167,460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207,377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374,837</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.62</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422,008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,870.39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314,217</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175,977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,127.17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-559,72</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7.74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526,838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,316.45</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800"/>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96,075,0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421,633,9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13,341,57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88,645,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525.20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439,377,3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13.60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96,075,0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421,633,9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13,341,57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88,645,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525.20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439,377,3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13.60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106,325,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-257,477,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8,788,7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40,212,39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7.25</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sz w:val="18"/>
              </w:rPr>
              <w:t>22,575,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22,575,31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310.28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4" w:right="0"/>
              <w:jc w:val="left"/>
              <w:rPr>
                <w:rFonts w:ascii="Times New Roman" w:hAnsi="Times New Roman" w:cs="Times New Roman" w:eastAsia="Times New Roman" w:hint="default"/>
                <w:sz w:val="18"/>
                <w:szCs w:val="18"/>
              </w:rPr>
            </w:pPr>
            <w:r>
              <w:rPr>
                <w:rFonts w:ascii="Times New Roman"/>
                <w:sz w:val="18"/>
              </w:rPr>
              <w:t>0.28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-8,965,0</w:t>
            </w:r>
          </w:p>
          <w:p>
            <w:pPr>
              <w:pStyle w:val="TableParagraph"/>
              <w:spacing w:line="240" w:lineRule="auto" w:before="105"/>
              <w:ind w:left="23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-142,187,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-8,965,0</w:t>
            </w:r>
          </w:p>
          <w:p>
            <w:pPr>
              <w:pStyle w:val="TableParagraph"/>
              <w:spacing w:line="240" w:lineRule="auto" w:before="105"/>
              <w:ind w:left="23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-171,353,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-13,786,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531.03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31.03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202,400,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164,156,2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15,599,11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97,434,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479,589,7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10.85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1997"/>
        <w:gridCol w:w="797"/>
        <w:gridCol w:w="797"/>
        <w:gridCol w:w="797"/>
        <w:gridCol w:w="800"/>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800"/>
        <w:gridCol w:w="797"/>
        <w:gridCol w:w="677"/>
        <w:gridCol w:w="780"/>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63,363,29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10,212,52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60,484,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035.63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203,059,8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56.60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63,363,29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10,212,52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60,484,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035.63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203,059,8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56.60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4"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27,075,0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358,270,6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3,129,054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28,161,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236,317,4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543.97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31,290,54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3.97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27,075,0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358,270,6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205,026,9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13.03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27,075,0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348,843,7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195,600,0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9,426,913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9,426,913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3,129,054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54.40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3,129,054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-3,129,0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54.40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96,075,0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421,633,9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13,341,57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88,645,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439,377,3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13.60</w:t>
            </w:r>
          </w:p>
        </w:tc>
      </w:tr>
    </w:tbl>
    <w:p>
      <w:pPr>
        <w:spacing w:line="240" w:lineRule="auto" w:before="9"/>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56" w:lineRule="auto"/>
        <w:ind w:right="188" w:firstLine="427"/>
        <w:jc w:val="both"/>
      </w:pPr>
      <w:r>
        <w:rPr>
          <w:spacing w:val="-1"/>
        </w:rPr>
        <w:t>科大国创软件股份有限公司（以下简称</w:t>
      </w:r>
      <w:r>
        <w:rPr>
          <w:rFonts w:ascii="Times New Roman" w:hAnsi="Times New Roman" w:cs="Times New Roman" w:eastAsia="Times New Roman" w:hint="default"/>
          <w:spacing w:val="-1"/>
        </w:rPr>
        <w:t>“</w:t>
      </w:r>
      <w:r>
        <w:rPr>
          <w:spacing w:val="-1"/>
        </w:rPr>
        <w:t>科大国创</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），系由科大恒星电子商务技</w:t>
      </w:r>
      <w:r>
        <w:rPr>
          <w:w w:val="100"/>
        </w:rPr>
        <w:t> </w:t>
      </w:r>
      <w:r>
        <w:rPr>
          <w:spacing w:val="-4"/>
        </w:rPr>
        <w:t>术有限公司（原名为</w:t>
      </w:r>
      <w:r>
        <w:rPr>
          <w:rFonts w:ascii="Times New Roman" w:hAnsi="Times New Roman" w:cs="Times New Roman" w:eastAsia="Times New Roman" w:hint="default"/>
          <w:spacing w:val="-4"/>
        </w:rPr>
        <w:t>“</w:t>
      </w:r>
      <w:r>
        <w:rPr>
          <w:spacing w:val="-4"/>
        </w:rPr>
        <w:t>安徽科大恒星电子商务技术有限公司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8</w:t>
      </w:r>
      <w:r>
        <w:rPr>
          <w:spacing w:val="-4"/>
        </w:rPr>
        <w:t>月更名）整体变更设立的股份有限公</w:t>
      </w:r>
      <w:r>
        <w:rPr>
          <w:spacing w:val="-20"/>
        </w:rPr>
        <w:t> </w:t>
      </w:r>
      <w:r>
        <w:rPr>
          <w:spacing w:val="-20"/>
        </w:rPr>
      </w:r>
      <w:r>
        <w:rPr>
          <w:spacing w:val="-2"/>
        </w:rPr>
        <w:t>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02</w:t>
      </w:r>
      <w:r>
        <w:rPr>
          <w:spacing w:val="-2"/>
        </w:rPr>
        <w:t>日取得合肥市工商行政管理局核发的</w:t>
      </w:r>
      <w:r>
        <w:rPr>
          <w:rFonts w:ascii="Times New Roman" w:hAnsi="Times New Roman" w:cs="Times New Roman" w:eastAsia="Times New Roman" w:hint="default"/>
          <w:spacing w:val="-2"/>
        </w:rPr>
        <w:t>91340100723329328P</w:t>
      </w:r>
      <w:r>
        <w:rPr>
          <w:spacing w:val="-2"/>
        </w:rPr>
        <w:t>号营业执照。本公司经中国</w:t>
      </w:r>
      <w:r>
        <w:rPr>
          <w:spacing w:val="-32"/>
        </w:rPr>
        <w:t> </w:t>
      </w:r>
      <w:r>
        <w:rPr>
          <w:spacing w:val="-32"/>
        </w:rPr>
      </w:r>
      <w:r>
        <w:rPr/>
        <w:t>证券监督管理委员会证监许可［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1302</w:t>
      </w:r>
      <w:r>
        <w:rPr/>
        <w:t>号文批准，首次向社会公开发行人民币普通股</w:t>
      </w:r>
      <w:r>
        <w:rPr>
          <w:rFonts w:ascii="Times New Roman" w:hAnsi="Times New Roman" w:cs="Times New Roman" w:eastAsia="Times New Roman" w:hint="default"/>
        </w:rPr>
        <w:t>2,300.00</w:t>
      </w:r>
      <w:r>
        <w:rPr/>
        <w:t>万股，</w:t>
      </w:r>
      <w:r>
        <w:rPr>
          <w:spacing w:val="-2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月在深圳证券交易所上市，注册资本人民币</w:t>
      </w:r>
      <w:r>
        <w:rPr>
          <w:rFonts w:ascii="Times New Roman" w:hAnsi="Times New Roman" w:cs="Times New Roman" w:eastAsia="Times New Roman" w:hint="default"/>
        </w:rPr>
        <w:t>9,200.00</w:t>
      </w:r>
      <w:r>
        <w:rPr/>
        <w:t>万元。</w:t>
      </w:r>
    </w:p>
    <w:p>
      <w:pPr>
        <w:pStyle w:val="BodyText"/>
        <w:spacing w:line="256" w:lineRule="auto" w:before="125"/>
        <w:ind w:right="0" w:firstLine="427"/>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日，经科大国创股东大会审议通过，向</w:t>
      </w:r>
      <w:r>
        <w:rPr>
          <w:rFonts w:ascii="Times New Roman" w:hAnsi="Times New Roman" w:cs="Times New Roman" w:eastAsia="Times New Roman" w:hint="default"/>
          <w:spacing w:val="-2"/>
        </w:rPr>
        <w:t>314</w:t>
      </w:r>
      <w:r>
        <w:rPr>
          <w:spacing w:val="-2"/>
        </w:rPr>
        <w:t>名员工激励对象授予限制性股票</w:t>
      </w:r>
      <w:r>
        <w:rPr>
          <w:rFonts w:ascii="Times New Roman" w:hAnsi="Times New Roman" w:cs="Times New Roman" w:eastAsia="Times New Roman" w:hint="default"/>
          <w:spacing w:val="-2"/>
        </w:rPr>
        <w:t>407.50</w:t>
      </w:r>
      <w:r>
        <w:rPr>
          <w:spacing w:val="-2"/>
        </w:rPr>
        <w:t>万股，</w:t>
      </w:r>
      <w:r>
        <w:rPr>
          <w:spacing w:val="-3"/>
          <w:w w:val="100"/>
        </w:rPr>
        <w:t> </w:t>
      </w:r>
      <w:r>
        <w:rPr/>
        <w:t>每股面值人民币</w:t>
      </w:r>
      <w:r>
        <w:rPr>
          <w:rFonts w:ascii="Times New Roman" w:hAnsi="Times New Roman" w:cs="Times New Roman" w:eastAsia="Times New Roman" w:hint="default"/>
        </w:rPr>
        <w:t>1</w:t>
      </w:r>
      <w:r>
        <w:rPr/>
        <w:t>元，申请增加注册资本人民币</w:t>
      </w:r>
      <w:r>
        <w:rPr>
          <w:rFonts w:ascii="Times New Roman" w:hAnsi="Times New Roman" w:cs="Times New Roman" w:eastAsia="Times New Roman" w:hint="default"/>
        </w:rPr>
        <w:t>4,075,000.00</w:t>
      </w:r>
      <w:r>
        <w:rPr/>
        <w:t>元，变更后的注册资本为人民币</w:t>
      </w:r>
      <w:r>
        <w:rPr>
          <w:rFonts w:ascii="Times New Roman" w:hAnsi="Times New Roman" w:cs="Times New Roman" w:eastAsia="Times New Roman" w:hint="default"/>
        </w:rPr>
        <w:t>96,075,000.00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2"/>
        <w:rPr>
          <w:rFonts w:ascii="宋体" w:hAnsi="宋体" w:cs="宋体" w:eastAsia="宋体" w:hint="default"/>
          <w:sz w:val="8"/>
          <w:szCs w:val="8"/>
        </w:rPr>
      </w:pPr>
    </w:p>
    <w:p>
      <w:pPr>
        <w:pStyle w:val="BodyText"/>
        <w:spacing w:line="256" w:lineRule="auto" w:before="36"/>
        <w:ind w:right="190" w:firstLine="427"/>
        <w:jc w:val="both"/>
      </w:pPr>
      <w:r>
        <w:rPr/>
        <w:t>根据公司</w:t>
      </w:r>
      <w:r>
        <w:rPr>
          <w:rFonts w:ascii="Times New Roman" w:hAnsi="Times New Roman" w:cs="Times New Roman" w:eastAsia="Times New Roman" w:hint="default"/>
        </w:rPr>
        <w:t>2016</w:t>
      </w:r>
      <w:r>
        <w:rPr/>
        <w:t>年度股东大会决议的规定，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日公司由资本公积转增股本，增加注册资本人</w:t>
      </w:r>
      <w:r>
        <w:rPr>
          <w:w w:val="100"/>
        </w:rPr>
        <w:t> </w:t>
      </w:r>
      <w:r>
        <w:rPr/>
        <w:t>民币</w:t>
      </w:r>
      <w:r>
        <w:rPr>
          <w:rFonts w:ascii="Times New Roman" w:hAnsi="Times New Roman" w:cs="Times New Roman" w:eastAsia="Times New Roman" w:hint="default"/>
        </w:rPr>
        <w:t>115,290,000.00</w:t>
      </w:r>
      <w:r>
        <w:rPr/>
        <w:t>元，变更后的注册资本为人民</w:t>
      </w:r>
      <w:r>
        <w:rPr>
          <w:rFonts w:ascii="Times New Roman" w:hAnsi="Times New Roman" w:cs="Times New Roman" w:eastAsia="Times New Roman" w:hint="default"/>
        </w:rPr>
        <w:t>211,365,000.00</w:t>
      </w:r>
      <w:r>
        <w:rPr/>
        <w:t>元。</w:t>
      </w:r>
    </w:p>
    <w:p>
      <w:pPr>
        <w:pStyle w:val="BodyText"/>
        <w:spacing w:line="264" w:lineRule="auto" w:before="125"/>
        <w:ind w:right="186" w:firstLine="427"/>
        <w:jc w:val="both"/>
      </w:pPr>
      <w:r>
        <w:rPr>
          <w:spacing w:val="-2"/>
        </w:rPr>
        <w:t>根据公司</w:t>
      </w:r>
      <w:r>
        <w:rPr>
          <w:rFonts w:ascii="Times New Roman" w:hAnsi="Times New Roman" w:cs="Times New Roman" w:eastAsia="Times New Roman" w:hint="default"/>
          <w:spacing w:val="-2"/>
        </w:rPr>
        <w:t>2017</w:t>
      </w:r>
      <w:r>
        <w:rPr>
          <w:spacing w:val="-2"/>
        </w:rPr>
        <w:t>年第二次临时股东大会决议、第二届董事会第十六次会议决议、第二届董事会第十七次</w:t>
      </w:r>
      <w:r>
        <w:rPr>
          <w:w w:val="100"/>
        </w:rPr>
        <w:t> </w:t>
      </w:r>
      <w:r>
        <w:rPr>
          <w:spacing w:val="-2"/>
        </w:rPr>
        <w:t>会议决议、第二届监事会第十二次会议决议、第二届监事会第十三次会议决议以及修改后的章程规定，公</w:t>
      </w:r>
      <w:r>
        <w:rPr>
          <w:spacing w:val="-43"/>
        </w:rPr>
        <w:t> </w:t>
      </w:r>
      <w:r>
        <w:rPr>
          <w:spacing w:val="-43"/>
        </w:rPr>
      </w:r>
      <w:r>
        <w:rPr/>
        <w:t>司申请减少注册资本人民币</w:t>
      </w:r>
      <w:r>
        <w:rPr>
          <w:rFonts w:ascii="Times New Roman" w:hAnsi="Times New Roman" w:cs="Times New Roman" w:eastAsia="Times New Roman" w:hint="default"/>
        </w:rPr>
        <w:t>8,965,000.00</w:t>
      </w:r>
      <w:r>
        <w:rPr/>
        <w:t>元，变更后的注册资本为人民币</w:t>
      </w:r>
      <w:r>
        <w:rPr>
          <w:rFonts w:ascii="Times New Roman" w:hAnsi="Times New Roman" w:cs="Times New Roman" w:eastAsia="Times New Roman" w:hint="default"/>
        </w:rPr>
        <w:t>202,400,000.00</w:t>
      </w:r>
      <w:r>
        <w:rPr/>
        <w:t>元。</w:t>
      </w:r>
    </w:p>
    <w:p>
      <w:pPr>
        <w:pStyle w:val="BodyText"/>
        <w:spacing w:line="357" w:lineRule="auto" w:before="118"/>
        <w:ind w:left="580" w:right="0"/>
        <w:jc w:val="left"/>
      </w:pPr>
      <w:r>
        <w:rPr/>
        <w:t>公司的住所：合肥市高新区文曲路</w:t>
      </w:r>
      <w:r>
        <w:rPr>
          <w:rFonts w:ascii="Times New Roman" w:hAnsi="Times New Roman" w:cs="Times New Roman" w:eastAsia="Times New Roman" w:hint="default"/>
        </w:rPr>
        <w:t>355</w:t>
      </w:r>
      <w:r>
        <w:rPr/>
        <w:t>号。法定代表人：董永东。</w:t>
      </w:r>
      <w:r>
        <w:rPr>
          <w:w w:val="100"/>
        </w:rPr>
        <w:t> </w:t>
      </w:r>
      <w:r>
        <w:rPr>
          <w:spacing w:val="-3"/>
        </w:rPr>
        <w:t>公司经营范围：软件开发、系统集成、云计算大数据研发与服务；电子和信息及其他新技术研发、转</w:t>
      </w:r>
    </w:p>
    <w:p>
      <w:pPr>
        <w:pStyle w:val="BodyText"/>
        <w:spacing w:line="209" w:lineRule="exact"/>
        <w:ind w:right="0"/>
        <w:jc w:val="left"/>
      </w:pPr>
      <w:r>
        <w:rPr/>
        <w:t>让及产品生产、销售；自动控制、安全防范、智能楼宇、智能交通、公路交通机电工程和建筑智能化工程</w:t>
      </w:r>
    </w:p>
    <w:p>
      <w:pPr>
        <w:pStyle w:val="BodyText"/>
        <w:spacing w:line="273" w:lineRule="auto" w:before="37"/>
        <w:ind w:right="0"/>
        <w:jc w:val="left"/>
      </w:pPr>
      <w:r>
        <w:rPr>
          <w:spacing w:val="-2"/>
        </w:rPr>
        <w:t>的设计与施工；互联网技术服务；信息工程咨询、监理、培训及服务。上述产品的批发。（依法须经批准</w:t>
      </w:r>
      <w:r>
        <w:rPr>
          <w:spacing w:val="-47"/>
        </w:rPr>
        <w:t> </w:t>
      </w:r>
      <w:r>
        <w:rPr>
          <w:spacing w:val="-47"/>
        </w:rPr>
      </w:r>
      <w:r>
        <w:rPr/>
        <w:t>的项目，经相关部门批准后方可开展经营活动）</w:t>
      </w:r>
    </w:p>
    <w:p>
      <w:pPr>
        <w:pStyle w:val="BodyText"/>
        <w:spacing w:line="240" w:lineRule="auto" w:before="128"/>
        <w:ind w:left="633" w:right="0"/>
        <w:jc w:val="left"/>
      </w:pPr>
      <w:r>
        <w:rPr/>
        <w:t>财务报告批准报出日：本财务报表业经本公司董事会于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日决议批准报出。</w:t>
      </w:r>
    </w:p>
    <w:p>
      <w:pPr>
        <w:pStyle w:val="BodyText"/>
        <w:spacing w:line="240" w:lineRule="auto" w:before="141"/>
        <w:ind w:left="580" w:right="0"/>
        <w:jc w:val="left"/>
      </w:pPr>
      <w:r>
        <w:rPr/>
        <w:t>（</w:t>
      </w:r>
      <w:r>
        <w:rPr>
          <w:rFonts w:ascii="Times New Roman" w:hAnsi="Times New Roman" w:cs="Times New Roman" w:eastAsia="Times New Roman" w:hint="default"/>
        </w:rPr>
        <w:t>1</w:t>
      </w:r>
      <w:r>
        <w:rPr/>
        <w:t>）本报告期末纳入合并范围的子公司</w:t>
      </w:r>
    </w:p>
    <w:p>
      <w:pPr>
        <w:spacing w:line="240" w:lineRule="auto" w:before="7"/>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054"/>
        <w:gridCol w:w="3762"/>
        <w:gridCol w:w="1959"/>
        <w:gridCol w:w="1202"/>
        <w:gridCol w:w="1313"/>
      </w:tblGrid>
      <w:tr>
        <w:trPr>
          <w:trHeight w:val="350" w:hRule="exact"/>
        </w:trPr>
        <w:tc>
          <w:tcPr>
            <w:tcW w:w="1054" w:type="dxa"/>
            <w:vMerge w:val="restart"/>
            <w:tcBorders>
              <w:top w:val="single" w:sz="6" w:space="0" w:color="000000"/>
              <w:left w:val="single" w:sz="6" w:space="0" w:color="000000"/>
              <w:right w:val="single" w:sz="6"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762" w:type="dxa"/>
            <w:vMerge w:val="restart"/>
            <w:tcBorders>
              <w:top w:val="single" w:sz="6" w:space="0" w:color="000000"/>
              <w:left w:val="single" w:sz="6"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959" w:type="dxa"/>
            <w:vMerge w:val="restart"/>
            <w:tcBorders>
              <w:top w:val="single" w:sz="6" w:space="0" w:color="000000"/>
              <w:left w:val="single" w:sz="6" w:space="0" w:color="000000"/>
              <w:right w:val="single" w:sz="6" w:space="0" w:color="000000"/>
            </w:tcBorders>
          </w:tcPr>
          <w:p>
            <w:pPr>
              <w:pStyle w:val="TableParagraph"/>
              <w:spacing w:line="240" w:lineRule="auto" w:before="2"/>
              <w:ind w:left="446"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516"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2"/>
              <w:ind w:left="53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6" w:hRule="exact"/>
        </w:trPr>
        <w:tc>
          <w:tcPr>
            <w:tcW w:w="1054" w:type="dxa"/>
            <w:vMerge/>
            <w:tcBorders>
              <w:left w:val="single" w:sz="6" w:space="0" w:color="000000"/>
              <w:bottom w:val="single" w:sz="8" w:space="0" w:color="000000"/>
              <w:right w:val="single" w:sz="6" w:space="0" w:color="000000"/>
            </w:tcBorders>
          </w:tcPr>
          <w:p>
            <w:pPr/>
          </w:p>
        </w:tc>
        <w:tc>
          <w:tcPr>
            <w:tcW w:w="3762" w:type="dxa"/>
            <w:vMerge/>
            <w:tcBorders>
              <w:left w:val="single" w:sz="6" w:space="0" w:color="000000"/>
              <w:bottom w:val="single" w:sz="8" w:space="0" w:color="000000"/>
              <w:right w:val="single" w:sz="6" w:space="0" w:color="000000"/>
            </w:tcBorders>
          </w:tcPr>
          <w:p>
            <w:pPr/>
          </w:p>
        </w:tc>
        <w:tc>
          <w:tcPr>
            <w:tcW w:w="1959" w:type="dxa"/>
            <w:vMerge/>
            <w:tcBorders>
              <w:left w:val="single" w:sz="6" w:space="0" w:color="000000"/>
              <w:bottom w:val="single" w:sz="8" w:space="0" w:color="000000"/>
              <w:right w:val="single" w:sz="6" w:space="0" w:color="000000"/>
            </w:tcBorders>
          </w:tcPr>
          <w:p>
            <w:pP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38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348"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安徽科大国创云网科技有限公司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云网科技</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苏州科大国创信息技术有限公司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苏州国创</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国创恒星（合肥）软件技术有限公司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国创恒星</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安徽慧通互联科技有限公司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慧通互联</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979" w:top="1060" w:bottom="1160" w:left="980" w:right="94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54"/>
        <w:gridCol w:w="3762"/>
        <w:gridCol w:w="1959"/>
        <w:gridCol w:w="1202"/>
        <w:gridCol w:w="1313"/>
      </w:tblGrid>
      <w:tr>
        <w:trPr>
          <w:trHeight w:val="351" w:hRule="exact"/>
        </w:trPr>
        <w:tc>
          <w:tcPr>
            <w:tcW w:w="10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376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安徽慧通互联物流科技有限公司</w:t>
            </w:r>
          </w:p>
        </w:tc>
        <w:tc>
          <w:tcPr>
            <w:tcW w:w="19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慧通物流</w:t>
            </w:r>
          </w:p>
        </w:tc>
        <w:tc>
          <w:tcPr>
            <w:tcW w:w="12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60.00</w:t>
            </w:r>
          </w:p>
        </w:tc>
      </w:tr>
      <w:tr>
        <w:trPr>
          <w:trHeight w:val="346"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安徽中科国创高可信软件有限公司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中科国创</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68.50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株式会社科大国创</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日本国创</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376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安徽科大国创智能科技有限公司</w:t>
            </w:r>
          </w:p>
        </w:tc>
        <w:tc>
          <w:tcPr>
            <w:tcW w:w="195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智能科技</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line="240" w:lineRule="auto" w:before="8"/>
        <w:rPr>
          <w:rFonts w:ascii="宋体" w:hAnsi="宋体" w:cs="宋体" w:eastAsia="宋体" w:hint="default"/>
          <w:sz w:val="5"/>
          <w:szCs w:val="5"/>
        </w:rPr>
      </w:pPr>
    </w:p>
    <w:p>
      <w:pPr>
        <w:pStyle w:val="BodyText"/>
        <w:spacing w:line="240" w:lineRule="auto" w:before="36"/>
        <w:ind w:left="580" w:right="0"/>
        <w:jc w:val="left"/>
      </w:pPr>
      <w:r>
        <w:rPr/>
        <w:t>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57" w:lineRule="auto" w:before="141"/>
        <w:ind w:left="633" w:right="5273" w:hanging="53"/>
        <w:jc w:val="left"/>
      </w:pPr>
      <w:r>
        <w:rPr>
          <w:spacing w:val="-2"/>
        </w:rPr>
        <w:t>（</w:t>
      </w:r>
      <w:r>
        <w:rPr>
          <w:rFonts w:ascii="Times New Roman" w:hAnsi="Times New Roman" w:cs="Times New Roman" w:eastAsia="Times New Roman" w:hint="default"/>
          <w:spacing w:val="-2"/>
        </w:rPr>
        <w:t>2</w:t>
      </w:r>
      <w:r>
        <w:rPr>
          <w:spacing w:val="-2"/>
        </w:rPr>
        <w:t>）本报告期内合并财务报表范围变化</w:t>
      </w:r>
      <w:r>
        <w:rPr>
          <w:spacing w:val="-72"/>
        </w:rPr>
        <w:t> </w:t>
      </w:r>
      <w:r>
        <w:rPr>
          <w:spacing w:val="-72"/>
        </w:rPr>
      </w:r>
      <w:r>
        <w:rPr/>
        <w:t>本期新增子公司：</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900"/>
        <w:gridCol w:w="3896"/>
        <w:gridCol w:w="1947"/>
        <w:gridCol w:w="2547"/>
      </w:tblGrid>
      <w:tr>
        <w:trPr>
          <w:trHeight w:val="348" w:hRule="exact"/>
        </w:trPr>
        <w:tc>
          <w:tcPr>
            <w:tcW w:w="900"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9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94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2547"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348" w:hRule="exact"/>
        </w:trPr>
        <w:tc>
          <w:tcPr>
            <w:tcW w:w="9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896"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安徽慧通互联物流科技有限公司</w:t>
            </w:r>
          </w:p>
        </w:tc>
        <w:tc>
          <w:tcPr>
            <w:tcW w:w="1947"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慧通物流</w:t>
            </w:r>
          </w:p>
        </w:tc>
        <w:tc>
          <w:tcPr>
            <w:tcW w:w="2547" w:type="dxa"/>
            <w:tcBorders>
              <w:top w:val="single" w:sz="8" w:space="0" w:color="000000"/>
              <w:left w:val="single" w:sz="6" w:space="0" w:color="000000"/>
              <w:bottom w:val="single" w:sz="8"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46" w:hRule="exact"/>
        </w:trPr>
        <w:tc>
          <w:tcPr>
            <w:tcW w:w="9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389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安徽中科国创高可信软件有限公司</w:t>
            </w:r>
          </w:p>
        </w:tc>
        <w:tc>
          <w:tcPr>
            <w:tcW w:w="194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中科国创</w:t>
            </w:r>
          </w:p>
        </w:tc>
        <w:tc>
          <w:tcPr>
            <w:tcW w:w="254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48" w:hRule="exact"/>
        </w:trPr>
        <w:tc>
          <w:tcPr>
            <w:tcW w:w="9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3896"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安徽科大国创智能科技有限公司</w:t>
            </w:r>
          </w:p>
        </w:tc>
        <w:tc>
          <w:tcPr>
            <w:tcW w:w="1947"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智能科技</w:t>
            </w:r>
          </w:p>
        </w:tc>
        <w:tc>
          <w:tcPr>
            <w:tcW w:w="2547" w:type="dxa"/>
            <w:tcBorders>
              <w:top w:val="single" w:sz="8" w:space="0" w:color="000000"/>
              <w:left w:val="single" w:sz="6" w:space="0" w:color="000000"/>
              <w:bottom w:val="single" w:sz="8"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40" w:lineRule="auto" w:before="28"/>
        <w:ind w:left="405" w:right="0"/>
        <w:jc w:val="left"/>
      </w:pPr>
      <w:r>
        <w:rPr/>
        <w:t>本期新增子公司的具体情况详见本附注八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本公司以持续经营为基础，根据实际发生的交易和事项，按照企业会计准则及其应用指南和准则解释的规</w:t>
      </w:r>
      <w:r>
        <w:rPr>
          <w:spacing w:val="-43"/>
        </w:rPr>
        <w:t> </w:t>
      </w:r>
      <w:r>
        <w:rPr>
          <w:spacing w:val="-43"/>
        </w:rPr>
      </w:r>
      <w:r>
        <w:rPr/>
        <w:t>定进行确认和计量，在此基础上编制财务报表。</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0"/>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w:t>
      </w:r>
      <w:r>
        <w:rPr>
          <w:spacing w:val="-41"/>
        </w:rPr>
        <w:t> </w:t>
      </w:r>
      <w:r>
        <w:rPr>
          <w:spacing w:val="-41"/>
        </w:rPr>
      </w:r>
      <w:r>
        <w:rPr/>
        <w:t>司以持续经营为基础编制财务报表是合理的。</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6"/>
        <w:ind w:right="0"/>
        <w:jc w:val="left"/>
      </w:pPr>
      <w:r>
        <w:rPr>
          <w:spacing w:val="-2"/>
        </w:rPr>
        <w:t>本公司下列重要会计政策、会计估计根据企业会计准则制定。未提及的业务按企业会计准则中相关会计政</w:t>
      </w:r>
      <w:r>
        <w:rPr>
          <w:spacing w:val="-43"/>
        </w:rPr>
        <w:t> </w:t>
      </w:r>
      <w:r>
        <w:rPr>
          <w:spacing w:val="-43"/>
        </w:rPr>
      </w:r>
      <w:r>
        <w:rPr/>
        <w:t>策执行。</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本公司所编制的财务报表符合企业会计准则的要求，真实、完整地反映了公司的财务状况、经营成果、所</w:t>
      </w:r>
      <w:r>
        <w:rPr>
          <w:spacing w:val="-44"/>
        </w:rPr>
        <w:t> </w:t>
      </w:r>
      <w:r>
        <w:rPr>
          <w:spacing w:val="-44"/>
        </w:rPr>
      </w:r>
      <w:r>
        <w:rPr/>
        <w:t>有者权益变动和现金流量等有关信息。</w:t>
      </w:r>
    </w:p>
    <w:p>
      <w:pPr>
        <w:spacing w:line="240" w:lineRule="auto" w:before="5"/>
        <w:rPr>
          <w:rFonts w:ascii="宋体" w:hAnsi="宋体" w:cs="宋体" w:eastAsia="宋体" w:hint="default"/>
          <w:sz w:val="18"/>
          <w:szCs w:val="18"/>
        </w:rPr>
      </w:pPr>
    </w:p>
    <w:p>
      <w:pPr>
        <w:spacing w:line="446" w:lineRule="auto" w:before="0"/>
        <w:ind w:left="153" w:right="5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p>
    <w:p>
      <w:pPr>
        <w:spacing w:after="0" w:line="446" w:lineRule="auto"/>
        <w:jc w:val="left"/>
        <w:rPr>
          <w:rFonts w:ascii="宋体" w:hAnsi="宋体" w:cs="宋体" w:eastAsia="宋体" w:hint="default"/>
          <w:sz w:val="21"/>
          <w:szCs w:val="21"/>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left"/>
      </w:pPr>
      <w:r>
        <w:rPr/>
        <w:t>本公司正常营业周期为一年。</w:t>
      </w:r>
    </w:p>
    <w:p>
      <w:pPr>
        <w:spacing w:line="240" w:lineRule="auto" w:before="9"/>
        <w:rPr>
          <w:rFonts w:ascii="宋体" w:hAnsi="宋体" w:cs="宋体" w:eastAsia="宋体" w:hint="default"/>
          <w:sz w:val="20"/>
          <w:szCs w:val="20"/>
        </w:rPr>
      </w:pPr>
    </w:p>
    <w:p>
      <w:pPr>
        <w:spacing w:line="432" w:lineRule="auto" w:before="0"/>
        <w:ind w:left="153" w:right="78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本公司的记账本位币为人民币，境外子公司以所在国家或地区的货币为记账本位币</w:t>
      </w:r>
      <w:r>
        <w:rPr>
          <w:rFonts w:ascii="宋体" w:hAnsi="宋体" w:cs="宋体" w:eastAsia="宋体" w:hint="default"/>
          <w:spacing w:val="-2"/>
          <w:sz w:val="24"/>
          <w:szCs w:val="24"/>
        </w:rPr>
        <w:t>。</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328" w:lineRule="auto" w:before="25"/>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3"/>
          <w:sz w:val="21"/>
          <w:szCs w:val="21"/>
        </w:rPr>
        <w:t>本公司在企业合并中取得的资产和负债，在合并日按取得被合并方在最终控制方合并财务报表中的账</w:t>
      </w:r>
    </w:p>
    <w:p>
      <w:pPr>
        <w:pStyle w:val="BodyText"/>
        <w:spacing w:line="234" w:lineRule="exact"/>
        <w:ind w:right="0"/>
        <w:jc w:val="left"/>
      </w:pPr>
      <w:r>
        <w:rPr/>
        <w:t>面价值计量。其中，对于被合并方与本公司在企业合并前采用的会计政策不同的，基于重要性原则统一会</w:t>
      </w:r>
    </w:p>
    <w:p>
      <w:pPr>
        <w:pStyle w:val="BodyText"/>
        <w:spacing w:line="273" w:lineRule="auto" w:before="37"/>
        <w:ind w:right="0"/>
        <w:jc w:val="left"/>
      </w:pPr>
      <w:r>
        <w:rPr>
          <w:spacing w:val="-2"/>
        </w:rPr>
        <w:t>计政策，即按照本公司的会计政策对被合并方资产、负债的账面价值进行调整。本公司在企业合并中取得</w:t>
      </w:r>
      <w:r>
        <w:rPr>
          <w:spacing w:val="-43"/>
        </w:rPr>
        <w:t> </w:t>
      </w:r>
      <w:r>
        <w:rPr>
          <w:spacing w:val="-43"/>
        </w:rPr>
      </w:r>
      <w:r>
        <w:rPr>
          <w:spacing w:val="-5"/>
        </w:rPr>
        <w:t>的净资产账面价值与所支付对价的账面价值之间存在差额的，首先调整资本公积（资本溢价或股本溢价），</w:t>
      </w:r>
      <w:r>
        <w:rPr>
          <w:spacing w:val="-6"/>
        </w:rPr>
        <w:t> </w:t>
      </w:r>
      <w:r>
        <w:rPr>
          <w:spacing w:val="-6"/>
        </w:rPr>
      </w:r>
      <w:r>
        <w:rPr/>
        <w:t>资本公积（资本溢价或股本溢价）的余额不足冲减的，依次冲减盈余公积和未分配利润。</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本公司在企业合并中取得的被购买方各项可辨认资产和负债，在购买日按其公允价值计量。其中，对</w:t>
      </w:r>
    </w:p>
    <w:p>
      <w:pPr>
        <w:pStyle w:val="BodyText"/>
        <w:spacing w:line="236" w:lineRule="exact"/>
        <w:ind w:right="0"/>
        <w:jc w:val="left"/>
      </w:pPr>
      <w:r>
        <w:rPr/>
        <w:t>于被购买方与本公司在企业合并前采用的会计政策不同的，基于重要性原则统一会计政策，即按照本公司</w:t>
      </w:r>
    </w:p>
    <w:p>
      <w:pPr>
        <w:pStyle w:val="BodyText"/>
        <w:spacing w:line="273" w:lineRule="auto" w:before="37"/>
        <w:ind w:right="206"/>
        <w:jc w:val="both"/>
      </w:pPr>
      <w:r>
        <w:rPr>
          <w:spacing w:val="-2"/>
        </w:rPr>
        <w:t>的会计政策对被购买方资产、负债的账面价值进行调整。本公司在购买日的合并成本大于企业合并中取得</w:t>
      </w:r>
      <w:r>
        <w:rPr>
          <w:spacing w:val="-43"/>
        </w:rPr>
        <w:t> </w:t>
      </w:r>
      <w:r>
        <w:rPr>
          <w:spacing w:val="-43"/>
        </w:rPr>
      </w:r>
      <w:r>
        <w:rPr>
          <w:spacing w:val="-2"/>
        </w:rPr>
        <w:t>的被购买方可辨认资产、负债公允价值的差额，确认为商誉；如果合并成本小于企业合并中取得的被购买</w:t>
      </w:r>
      <w:r>
        <w:rPr>
          <w:spacing w:val="-44"/>
        </w:rPr>
        <w:t> </w:t>
      </w:r>
      <w:r>
        <w:rPr>
          <w:spacing w:val="-44"/>
        </w:rPr>
      </w:r>
      <w:r>
        <w:rPr>
          <w:spacing w:val="-2"/>
        </w:rPr>
        <w:t>方可辨认资产、负债公允价值的差额，首先对合并成本以及在企业合并中取得的被购买方可辨认资产、负</w:t>
      </w:r>
      <w:r>
        <w:rPr>
          <w:spacing w:val="-43"/>
        </w:rPr>
        <w:t> </w:t>
      </w:r>
      <w:r>
        <w:rPr>
          <w:spacing w:val="-43"/>
        </w:rPr>
      </w:r>
      <w:r>
        <w:rPr>
          <w:spacing w:val="-2"/>
        </w:rPr>
        <w:t>债的公允价值进行复核，经复核后合并成本仍小于取得的被购买方可辨认资产、负债公允价值的，其差额</w:t>
      </w:r>
      <w:r>
        <w:rPr>
          <w:spacing w:val="-42"/>
        </w:rPr>
        <w:t> </w:t>
      </w:r>
      <w:r>
        <w:rPr>
          <w:spacing w:val="-42"/>
        </w:rPr>
      </w:r>
      <w:r>
        <w:rPr/>
        <w:t>确认为合并当期损益。</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580" w:right="0"/>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256" w:lineRule="auto" w:before="133"/>
        <w:ind w:right="211" w:firstLine="420"/>
        <w:jc w:val="both"/>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不仅包括根据表决权（或类似表决权）本身或者结</w:t>
      </w:r>
      <w:r>
        <w:rPr>
          <w:w w:val="100"/>
        </w:rPr>
        <w:t> </w:t>
      </w:r>
      <w:r>
        <w:rPr/>
        <w:t>合其他安排确定的子公司，也包括基于一项或多项合同安排决定的结构化主体。</w:t>
      </w:r>
    </w:p>
    <w:p>
      <w:pPr>
        <w:pStyle w:val="BodyText"/>
        <w:spacing w:line="273" w:lineRule="auto" w:before="142"/>
        <w:ind w:right="206" w:firstLine="427"/>
        <w:jc w:val="both"/>
      </w:pPr>
      <w:r>
        <w:rPr>
          <w:spacing w:val="-3"/>
        </w:rPr>
        <w:t>控制是指本公司拥有对被投资方的权力，通过参与被投资方的相关活动而享有可变回报，并且有能力</w:t>
      </w:r>
      <w:r>
        <w:rPr>
          <w:w w:val="100"/>
        </w:rPr>
        <w:t> </w:t>
      </w:r>
      <w:r>
        <w:rPr>
          <w:spacing w:val="-2"/>
        </w:rPr>
        <w:t>运用对被投资方的权力影响其回报金额。子公司是指被本公司控制的主体（含企业、被投资单位中可分割</w:t>
      </w:r>
      <w:r>
        <w:rPr>
          <w:spacing w:val="-44"/>
        </w:rPr>
        <w:t> </w:t>
      </w:r>
      <w:r>
        <w:rPr>
          <w:spacing w:val="-44"/>
        </w:rPr>
      </w:r>
      <w:r>
        <w:rPr>
          <w:spacing w:val="-2"/>
        </w:rPr>
        <w:t>的部分，以及企业所控制的结构化主体等），结构化主体是指在确定其控制方时没有将表决权或类似权利</w:t>
      </w:r>
      <w:r>
        <w:rPr>
          <w:spacing w:val="-43"/>
        </w:rPr>
        <w:t> </w:t>
      </w:r>
      <w:r>
        <w:rPr>
          <w:spacing w:val="-43"/>
        </w:rPr>
      </w:r>
      <w:r>
        <w:rPr/>
        <w:t>作为决定性因素而设计的主体（注：有时也称为特殊目的主体）。</w:t>
      </w:r>
    </w:p>
    <w:p>
      <w:pPr>
        <w:pStyle w:val="BodyText"/>
        <w:spacing w:line="432" w:lineRule="exact" w:before="27"/>
        <w:ind w:left="580"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）合并财务报表的编制方法</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t>本公司以自身和子公司的财务报表为基础，根据其他有关资料，编制合并财务报表。</w:t>
      </w:r>
      <w:r>
        <w:rPr>
          <w:w w:val="100"/>
        </w:rPr>
        <w:t> </w:t>
      </w:r>
      <w:r>
        <w:rPr>
          <w:spacing w:val="-3"/>
        </w:rPr>
        <w:t>本公司编制合并财务报表，将整个企业集团视为一个会计主体，依据相关企业会计准则的确认、计量</w:t>
      </w:r>
    </w:p>
    <w:p>
      <w:pPr>
        <w:pStyle w:val="BodyText"/>
        <w:spacing w:line="255" w:lineRule="exact"/>
        <w:ind w:right="0"/>
        <w:jc w:val="left"/>
      </w:pPr>
      <w:r>
        <w:rPr/>
        <w:t>和列报要求，按照统一的会计政策，反映企业集团整体财务状况、经营成果和现金流量。</w:t>
      </w:r>
    </w:p>
    <w:p>
      <w:pPr>
        <w:pStyle w:val="BodyText"/>
        <w:spacing w:line="240" w:lineRule="auto" w:before="157"/>
        <w:ind w:left="580" w:right="0"/>
        <w:jc w:val="left"/>
      </w:pPr>
      <w:r>
        <w:rPr/>
        <w:t>①合并母公司与子公司的资产、负债、所有者权益、收入、费用和现金流等项目。</w:t>
      </w:r>
    </w:p>
    <w:p>
      <w:pPr>
        <w:pStyle w:val="BodyText"/>
        <w:spacing w:line="240" w:lineRule="auto" w:before="157"/>
        <w:ind w:left="580" w:right="0"/>
        <w:jc w:val="left"/>
      </w:pPr>
      <w:r>
        <w:rPr/>
        <w:t>②抵销母公司对子公司的长期股权投资与母公司在子公司所有者权益中所享有的份额。</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firstLine="427"/>
        <w:jc w:val="left"/>
      </w:pPr>
      <w:r>
        <w:rPr>
          <w:spacing w:val="-2"/>
        </w:rPr>
        <w:t>③抵销母公司与子公司、子公司相互之间发生的内部交易的影响。内部交易表明相关资产发生减值损</w:t>
      </w:r>
      <w:r>
        <w:rPr>
          <w:w w:val="100"/>
        </w:rPr>
        <w:t> </w:t>
      </w:r>
      <w:r>
        <w:rPr/>
        <w:t>失的，应当全额确认该部分损失。</w:t>
      </w:r>
    </w:p>
    <w:p>
      <w:pPr>
        <w:pStyle w:val="BodyText"/>
        <w:spacing w:line="240" w:lineRule="auto" w:before="127"/>
        <w:ind w:left="580" w:right="0"/>
        <w:jc w:val="left"/>
      </w:pPr>
      <w:r>
        <w:rPr/>
        <w:t>④站在企业集团角度对特殊交易事项予以调整。</w:t>
      </w:r>
    </w:p>
    <w:p>
      <w:pPr>
        <w:pStyle w:val="Heading3"/>
        <w:spacing w:line="240" w:lineRule="auto" w:before="90"/>
        <w:ind w:left="580" w:right="0"/>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133"/>
        <w:ind w:left="580" w:right="0"/>
        <w:jc w:val="left"/>
      </w:pPr>
      <w:r>
        <w:rPr/>
        <w:t>①增加子公司或业务</w:t>
      </w:r>
    </w:p>
    <w:p>
      <w:pPr>
        <w:pStyle w:val="BodyText"/>
        <w:spacing w:line="240" w:lineRule="auto" w:before="157"/>
        <w:ind w:left="580" w:right="0"/>
        <w:jc w:val="left"/>
      </w:pPr>
      <w:r>
        <w:rPr>
          <w:rFonts w:ascii="Times New Roman" w:hAnsi="Times New Roman" w:cs="Times New Roman" w:eastAsia="Times New Roman" w:hint="default"/>
        </w:rPr>
        <w:t>A.</w:t>
      </w:r>
      <w:r>
        <w:rPr/>
        <w:t>同一控制下企业合并增加的子公司或业务</w:t>
      </w:r>
    </w:p>
    <w:p>
      <w:pPr>
        <w:pStyle w:val="BodyText"/>
        <w:spacing w:line="256" w:lineRule="auto" w:before="141"/>
        <w:ind w:right="0" w:firstLine="427"/>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）编制合并资产负债表时，调整合并资产负债表的期初数，同时对比较报表的相关项目进行调整，</w:t>
      </w:r>
      <w:r>
        <w:rPr>
          <w:w w:val="100"/>
        </w:rPr>
        <w:t> </w:t>
      </w:r>
      <w:r>
        <w:rPr/>
        <w:t>视同合并后的报告主体自最终控制方开始控制时点起一直存在。</w:t>
      </w:r>
    </w:p>
    <w:p>
      <w:pPr>
        <w:pStyle w:val="BodyText"/>
        <w:spacing w:line="266" w:lineRule="auto" w:before="142"/>
        <w:ind w:right="0" w:firstLine="427"/>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w:t>
      </w:r>
      <w:r>
        <w:rPr>
          <w:w w:val="100"/>
        </w:rPr>
        <w:t> </w:t>
      </w:r>
      <w:r>
        <w:rPr>
          <w:spacing w:val="-2"/>
        </w:rPr>
        <w:t>并利润表，同时对比较报表的相关项目进行调整，视同合并后的报告主体自最终控制方开始控制时点起一</w:t>
      </w:r>
      <w:r>
        <w:rPr>
          <w:spacing w:val="-42"/>
        </w:rPr>
        <w:t> </w:t>
      </w:r>
      <w:r>
        <w:rPr>
          <w:spacing w:val="-42"/>
        </w:rPr>
      </w:r>
      <w:r>
        <w:rPr/>
        <w:t>直存在。</w:t>
      </w:r>
    </w:p>
    <w:p>
      <w:pPr>
        <w:pStyle w:val="BodyText"/>
        <w:spacing w:line="264" w:lineRule="auto" w:before="134"/>
        <w:ind w:right="0" w:firstLine="427"/>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w:t>
      </w:r>
      <w:r>
        <w:rPr>
          <w:w w:val="100"/>
        </w:rPr>
        <w:t> </w:t>
      </w:r>
      <w:r>
        <w:rPr>
          <w:spacing w:val="-2"/>
        </w:rPr>
        <w:t>金流量表，同时对比较报表的相关项目进行调整，视同合并后的报告主体自最终控制方开始控制时点起一</w:t>
      </w:r>
      <w:r>
        <w:rPr>
          <w:spacing w:val="-42"/>
        </w:rPr>
        <w:t> </w:t>
      </w:r>
      <w:r>
        <w:rPr>
          <w:spacing w:val="-42"/>
        </w:rPr>
      </w:r>
      <w:r>
        <w:rPr/>
        <w:t>直存在。</w:t>
      </w:r>
    </w:p>
    <w:p>
      <w:pPr>
        <w:pStyle w:val="BodyText"/>
        <w:spacing w:line="240" w:lineRule="auto" w:before="136"/>
        <w:ind w:left="580" w:right="0"/>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141"/>
        <w:ind w:left="580"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141"/>
        <w:ind w:left="580"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w:t>
      </w:r>
    </w:p>
    <w:p>
      <w:pPr>
        <w:pStyle w:val="BodyText"/>
        <w:spacing w:line="240" w:lineRule="auto" w:before="21"/>
        <w:ind w:right="0"/>
        <w:jc w:val="left"/>
      </w:pPr>
      <w:r>
        <w:rPr/>
        <w:t>表。</w:t>
      </w:r>
    </w:p>
    <w:p>
      <w:pPr>
        <w:pStyle w:val="BodyText"/>
        <w:spacing w:line="240" w:lineRule="auto" w:before="157"/>
        <w:ind w:left="580"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141"/>
        <w:ind w:left="580" w:right="0"/>
        <w:jc w:val="left"/>
      </w:pPr>
      <w:r>
        <w:rPr/>
        <w:t>②处置子公司或业务</w:t>
      </w:r>
    </w:p>
    <w:p>
      <w:pPr>
        <w:pStyle w:val="BodyText"/>
        <w:spacing w:line="357" w:lineRule="auto" w:before="157"/>
        <w:ind w:left="580" w:right="0"/>
        <w:jc w:val="left"/>
      </w:pPr>
      <w:r>
        <w:rPr>
          <w:rFonts w:ascii="Times New Roman" w:hAnsi="Times New Roman" w:cs="Times New Roman" w:eastAsia="Times New Roman" w:hint="default"/>
        </w:rPr>
        <w:t>A.</w:t>
      </w:r>
      <w:r>
        <w:rPr/>
        <w:t>编制合并资产负债表时，不调整合并资产负债表的期初数。</w:t>
      </w:r>
      <w:r>
        <w:rPr>
          <w:w w:val="100"/>
        </w:rPr>
        <w:t> </w:t>
      </w:r>
      <w:r>
        <w:rPr>
          <w:rFonts w:ascii="Times New Roman" w:hAnsi="Times New Roman" w:cs="Times New Roman" w:eastAsia="Times New Roman" w:hint="default"/>
          <w:spacing w:val="-2"/>
        </w:rPr>
        <w:t>B.</w:t>
      </w:r>
      <w:r>
        <w:rPr>
          <w:spacing w:val="-2"/>
        </w:rPr>
        <w:t>编制合并利润表时，将该子公司以及业务期初至处置日的收入、费用、利润纳入合并利润表。</w:t>
      </w:r>
      <w:r>
        <w:rPr>
          <w:spacing w:val="-26"/>
        </w:rPr>
        <w:t> </w:t>
      </w:r>
      <w:r>
        <w:rPr>
          <w:spacing w:val="-26"/>
        </w:rPr>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3"/>
        <w:spacing w:line="326" w:lineRule="exact"/>
        <w:ind w:left="580" w:right="0"/>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240" w:lineRule="auto" w:before="133"/>
        <w:ind w:left="580" w:right="0"/>
        <w:jc w:val="left"/>
      </w:pPr>
      <w:r>
        <w:rPr>
          <w:spacing w:val="-3"/>
        </w:rPr>
        <w:t>①子公司持有本公司的长期股权投资，应当视为本公司的库存股，作为所有者权益的减项，在合并资</w:t>
      </w:r>
    </w:p>
    <w:p>
      <w:pPr>
        <w:pStyle w:val="BodyText"/>
        <w:spacing w:line="357" w:lineRule="auto" w:before="37"/>
        <w:ind w:left="580" w:right="0" w:hanging="428"/>
        <w:jc w:val="left"/>
      </w:pPr>
      <w:r>
        <w:rPr/>
        <w:t>产负债表中所有者权益项目下以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r>
        <w:rPr>
          <w:w w:val="100"/>
        </w:rPr>
        <w:t> </w:t>
      </w:r>
      <w:r>
        <w:rPr>
          <w:spacing w:val="-3"/>
        </w:rPr>
        <w:t>子公司相互之间持有的长期股权投资，比照本公司对子公司的股权投资的抵销方法，将长期股权投资</w:t>
      </w:r>
    </w:p>
    <w:p>
      <w:pPr>
        <w:pStyle w:val="BodyText"/>
        <w:spacing w:line="210" w:lineRule="exact"/>
        <w:ind w:right="0"/>
        <w:jc w:val="left"/>
      </w:pPr>
      <w:r>
        <w:rPr/>
        <w:t>与其对应的子公司所有者权益中所享有的份额相互抵销。</w:t>
      </w:r>
    </w:p>
    <w:p>
      <w:pPr>
        <w:pStyle w:val="BodyText"/>
        <w:spacing w:line="264" w:lineRule="auto" w:before="157"/>
        <w:ind w:right="206" w:firstLine="427"/>
        <w:jc w:val="both"/>
      </w:pPr>
      <w:r>
        <w:rPr>
          <w:spacing w:val="-2"/>
        </w:rPr>
        <w:t>②</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一般风险准备</w:t>
      </w:r>
      <w:r>
        <w:rPr>
          <w:rFonts w:ascii="Times New Roman" w:hAnsi="Times New Roman" w:cs="Times New Roman" w:eastAsia="Times New Roman" w:hint="default"/>
          <w:spacing w:val="-2"/>
        </w:rPr>
        <w:t>”</w:t>
      </w:r>
      <w:r>
        <w:rPr>
          <w:spacing w:val="-2"/>
        </w:rPr>
        <w:t>项目由于既不属于实收资本（或股本）、资本公积，也与留存收益、</w:t>
      </w:r>
      <w:r>
        <w:rPr>
          <w:w w:val="100"/>
        </w:rPr>
        <w:t> </w:t>
      </w:r>
      <w:r>
        <w:rPr>
          <w:spacing w:val="-2"/>
        </w:rPr>
        <w:t>未分配利润不同，在长期股权投资与子公司所有者权益相互抵销后，按归属于母公司所有者的份额予以恢</w:t>
      </w:r>
      <w:r>
        <w:rPr>
          <w:spacing w:val="-44"/>
        </w:rPr>
        <w:t> </w:t>
      </w:r>
      <w:r>
        <w:rPr>
          <w:spacing w:val="-44"/>
        </w:rPr>
      </w:r>
      <w:r>
        <w:rPr/>
        <w:t>复。</w:t>
      </w:r>
    </w:p>
    <w:p>
      <w:pPr>
        <w:pStyle w:val="BodyText"/>
        <w:spacing w:line="273" w:lineRule="auto" w:before="136"/>
        <w:ind w:right="206" w:firstLine="427"/>
        <w:jc w:val="both"/>
      </w:pPr>
      <w:r>
        <w:rPr>
          <w:spacing w:val="-3"/>
        </w:rPr>
        <w:t>③因抵销未实现内部销售损益导致合并资产负债表中资产、负债的账面价值与其在所属纳税主体的计</w:t>
      </w:r>
      <w:r>
        <w:rPr>
          <w:w w:val="100"/>
        </w:rPr>
        <w:t> </w:t>
      </w:r>
      <w:r>
        <w:rPr>
          <w:spacing w:val="-2"/>
        </w:rPr>
        <w:t>税基础之间产生暂时性差异的，在合并资产负债表中确认递延所得税资产或递延所得税负债，同时调整合</w:t>
      </w:r>
      <w:r>
        <w:rPr>
          <w:spacing w:val="-43"/>
        </w:rPr>
        <w:t> </w:t>
      </w:r>
      <w:r>
        <w:rPr>
          <w:spacing w:val="-43"/>
        </w:rPr>
      </w:r>
      <w:r>
        <w:rPr/>
        <w:t>并利润表中的所得税费用，但与直接计入所有者权益的交易或事项及企业合并相关的递延所得税除外。</w:t>
      </w:r>
    </w:p>
    <w:p>
      <w:pPr>
        <w:pStyle w:val="BodyText"/>
        <w:spacing w:line="256" w:lineRule="auto" w:before="127"/>
        <w:ind w:right="294" w:firstLine="427"/>
        <w:jc w:val="both"/>
      </w:pPr>
      <w:r>
        <w:rPr>
          <w:spacing w:val="-2"/>
        </w:rPr>
        <w:t>④本公司向子公司出售资产所发生的未实现内部交易损益，应当全额抵销</w:t>
      </w:r>
      <w:r>
        <w:rPr>
          <w:rFonts w:ascii="Times New Roman" w:hAnsi="Times New Roman" w:cs="Times New Roman" w:eastAsia="Times New Roman" w:hint="default"/>
          <w:spacing w:val="-2"/>
        </w:rPr>
        <w:t>“</w:t>
      </w:r>
      <w:r>
        <w:rPr>
          <w:spacing w:val="-2"/>
        </w:rPr>
        <w:t>归属于母公司所有者的净</w:t>
      </w:r>
      <w:r>
        <w:rPr>
          <w:w w:val="100"/>
        </w:rPr>
        <w:t> </w:t>
      </w:r>
      <w:r>
        <w:rPr>
          <w:spacing w:val="-2"/>
        </w:rPr>
        <w:t>利润</w:t>
      </w:r>
      <w:r>
        <w:rPr>
          <w:rFonts w:ascii="Times New Roman" w:hAnsi="Times New Roman" w:cs="Times New Roman" w:eastAsia="Times New Roman" w:hint="default"/>
          <w:spacing w:val="-2"/>
        </w:rPr>
        <w:t>”</w:t>
      </w:r>
      <w:r>
        <w:rPr>
          <w:spacing w:val="-2"/>
        </w:rPr>
        <w:t>。子公司向本公司出售资产所发生的未实现内部交易损益，应当按照本公司对该子公司的分配比例</w:t>
      </w:r>
    </w:p>
    <w:p>
      <w:pPr>
        <w:spacing w:after="0" w:line="256"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208"/>
        <w:jc w:val="both"/>
      </w:pPr>
      <w:r>
        <w:rPr>
          <w:spacing w:val="-2"/>
        </w:rPr>
        <w:t>在</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w:t>
      </w:r>
      <w:r>
        <w:rPr>
          <w:spacing w:val="-19"/>
        </w:rPr>
        <w:t> </w:t>
      </w:r>
      <w:r>
        <w:rPr>
          <w:spacing w:val="-19"/>
        </w:rPr>
      </w:r>
      <w:r>
        <w:rPr>
          <w:spacing w:val="-4"/>
          <w:w w:val="100"/>
        </w:rPr>
        <w:t>内部交易损益，应当按照本公司对出售方子公司的分配比例在</w:t>
      </w:r>
      <w:r>
        <w:rPr>
          <w:rFonts w:ascii="Times New Roman" w:hAnsi="Times New Roman" w:cs="Times New Roman" w:eastAsia="Times New Roman" w:hint="default"/>
          <w:spacing w:val="-4"/>
          <w:w w:val="100"/>
        </w:rPr>
        <w:t>“</w:t>
      </w:r>
      <w:r>
        <w:rPr>
          <w:spacing w:val="-4"/>
          <w:w w:val="100"/>
        </w:rPr>
        <w:t>归属于母公司所有者的净利润</w:t>
      </w:r>
      <w:r>
        <w:rPr>
          <w:rFonts w:ascii="Times New Roman" w:hAnsi="Times New Roman" w:cs="Times New Roman" w:eastAsia="Times New Roman" w:hint="default"/>
          <w:spacing w:val="-4"/>
          <w:w w:val="100"/>
        </w:rPr>
        <w:t>”</w:t>
      </w:r>
      <w:r>
        <w:rPr>
          <w:spacing w:val="-4"/>
          <w:w w:val="100"/>
        </w:rPr>
        <w:t>和</w:t>
      </w:r>
      <w:r>
        <w:rPr>
          <w:rFonts w:ascii="Times New Roman" w:hAnsi="Times New Roman" w:cs="Times New Roman" w:eastAsia="Times New Roman" w:hint="default"/>
          <w:spacing w:val="-4"/>
          <w:w w:val="100"/>
        </w:rPr>
        <w:t>“</w:t>
      </w:r>
      <w:r>
        <w:rPr>
          <w:spacing w:val="-4"/>
          <w:w w:val="100"/>
        </w:rPr>
        <w:t>少数股东</w:t>
      </w:r>
      <w:r>
        <w:rPr>
          <w:spacing w:val="-72"/>
          <w:w w:val="100"/>
        </w:rPr>
        <w:t> </w:t>
      </w:r>
      <w:r>
        <w:rPr>
          <w:spacing w:val="-72"/>
          <w:w w:val="100"/>
        </w:rPr>
      </w:r>
      <w:r>
        <w:rPr/>
        <w:t>损益</w:t>
      </w:r>
      <w:r>
        <w:rPr>
          <w:rFonts w:ascii="Times New Roman" w:hAnsi="Times New Roman" w:cs="Times New Roman" w:eastAsia="Times New Roman" w:hint="default"/>
        </w:rPr>
        <w:t>”</w:t>
      </w:r>
      <w:r>
        <w:rPr/>
        <w:t>之间分配抵销。</w:t>
      </w:r>
    </w:p>
    <w:p>
      <w:pPr>
        <w:pStyle w:val="BodyText"/>
        <w:spacing w:line="273" w:lineRule="auto" w:before="125"/>
        <w:ind w:right="0" w:firstLine="427"/>
        <w:jc w:val="left"/>
      </w:pPr>
      <w:r>
        <w:rPr>
          <w:spacing w:val="-3"/>
        </w:rPr>
        <w:t>⑤子公司少数股东分担的当期亏损超过了少数股东在该子公司期初所有者权益中所享有的份额的，其</w:t>
      </w:r>
      <w:r>
        <w:rPr>
          <w:w w:val="100"/>
        </w:rPr>
        <w:t> </w:t>
      </w:r>
      <w:r>
        <w:rPr/>
        <w:t>余额仍应当冲减少数股东权益。</w:t>
      </w:r>
    </w:p>
    <w:p>
      <w:pPr>
        <w:pStyle w:val="Heading3"/>
        <w:spacing w:line="240" w:lineRule="auto" w:before="61"/>
        <w:ind w:left="580" w:right="0"/>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432" w:lineRule="exact" w:before="33"/>
        <w:ind w:left="580" w:right="0"/>
        <w:jc w:val="left"/>
      </w:pPr>
      <w:r>
        <w:rPr/>
        <w:t>①购买少数股东股权</w:t>
      </w:r>
      <w:r>
        <w:rPr>
          <w:w w:val="100"/>
        </w:rPr>
        <w:t> </w:t>
      </w:r>
      <w:r>
        <w:rPr>
          <w:spacing w:val="-3"/>
        </w:rPr>
        <w:t>本公司购买子公司少数股东拥有的子公司股权，在个别财务报表中，购买少数股权新取得的长期股权</w:t>
      </w:r>
    </w:p>
    <w:p>
      <w:pPr>
        <w:pStyle w:val="BodyText"/>
        <w:spacing w:line="255" w:lineRule="exact"/>
        <w:ind w:right="0"/>
        <w:jc w:val="both"/>
      </w:pPr>
      <w:r>
        <w:rPr/>
        <w:t>投资的投资成本按照所支付对价的公允价值计量。在合并财务报表中，因购买少数股权新取得的长期股权</w:t>
      </w:r>
    </w:p>
    <w:p>
      <w:pPr>
        <w:pStyle w:val="BodyText"/>
        <w:spacing w:line="273" w:lineRule="auto" w:before="37"/>
        <w:ind w:right="206"/>
        <w:jc w:val="both"/>
      </w:pPr>
      <w:r>
        <w:rPr>
          <w:spacing w:val="-2"/>
        </w:rPr>
        <w:t>投资与按照新增持股比例计算应享有子公司自购买日或合并日开始持续计算的净资产份额之间的差额，应</w:t>
      </w:r>
      <w:r>
        <w:rPr>
          <w:spacing w:val="-43"/>
        </w:rPr>
        <w:t> </w:t>
      </w:r>
      <w:r>
        <w:rPr>
          <w:spacing w:val="-43"/>
        </w:rPr>
      </w:r>
      <w:r>
        <w:rPr/>
        <w:t>当调整资本公积（资本溢价或股本溢价），资本公积不足冲减的，依次冲减盈余公积和未分配利润。</w:t>
      </w:r>
    </w:p>
    <w:p>
      <w:pPr>
        <w:pStyle w:val="BodyText"/>
        <w:spacing w:line="240" w:lineRule="auto" w:before="127"/>
        <w:ind w:left="580" w:right="0"/>
        <w:jc w:val="left"/>
      </w:pPr>
      <w:r>
        <w:rPr/>
        <w:t>②通过多次交易分步取得子公司控制权的</w:t>
      </w:r>
    </w:p>
    <w:p>
      <w:pPr>
        <w:pStyle w:val="BodyText"/>
        <w:spacing w:line="430" w:lineRule="atLeast" w:before="18"/>
        <w:ind w:left="580" w:right="0"/>
        <w:jc w:val="left"/>
      </w:pPr>
      <w:r>
        <w:rPr>
          <w:rFonts w:ascii="Times New Roman" w:hAnsi="Times New Roman" w:cs="Times New Roman" w:eastAsia="Times New Roman" w:hint="default"/>
        </w:rPr>
        <w:t>A.</w:t>
      </w:r>
      <w:r>
        <w:rPr/>
        <w:t>通过多次交易分步实现同一控制下企业合并</w:t>
      </w:r>
      <w:r>
        <w:rPr>
          <w:w w:val="100"/>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w:t>
      </w:r>
    </w:p>
    <w:p>
      <w:pPr>
        <w:pStyle w:val="BodyText"/>
        <w:spacing w:line="273" w:lineRule="auto" w:before="21"/>
        <w:ind w:right="0"/>
        <w:jc w:val="left"/>
      </w:pPr>
      <w:r>
        <w:rPr>
          <w:spacing w:val="-2"/>
        </w:rPr>
        <w:t>表中，在合并日之前的每次交易中，股权投资均确认为长期股权投资且其初始投资成本按照所对应的持股</w:t>
      </w:r>
      <w:r>
        <w:rPr>
          <w:spacing w:val="-42"/>
        </w:rPr>
        <w:t> </w:t>
      </w:r>
      <w:r>
        <w:rPr>
          <w:spacing w:val="-42"/>
        </w:rPr>
      </w:r>
      <w:r>
        <w:rPr>
          <w:spacing w:val="-2"/>
        </w:rPr>
        <w:t>比例计算的对被合并方净资产在最终控制方合并财务报表中的账面价值份额确定，长期股权投资的初始成</w:t>
      </w:r>
      <w:r>
        <w:rPr>
          <w:spacing w:val="-43"/>
        </w:rPr>
        <w:t> </w:t>
      </w:r>
      <w:r>
        <w:rPr>
          <w:spacing w:val="-43"/>
        </w:rPr>
      </w:r>
      <w:r>
        <w:rPr>
          <w:spacing w:val="-5"/>
        </w:rPr>
        <w:t>本与支付对价的账面价值的差额调整资本公积（资本溢价或股本溢价），资本公积（资本溢价或股本溢价）</w:t>
      </w:r>
      <w:r>
        <w:rPr>
          <w:spacing w:val="-8"/>
        </w:rPr>
        <w:t> </w:t>
      </w:r>
      <w:r>
        <w:rPr>
          <w:spacing w:val="-8"/>
        </w:rPr>
      </w:r>
      <w:r>
        <w:rPr>
          <w:spacing w:val="-2"/>
        </w:rPr>
        <w:t>不足冲减的，依次冲减盈余公积和未分配利润。在后续计量时，长期股权投资按照成本法核算，但不涉及</w:t>
      </w:r>
      <w:r>
        <w:rPr>
          <w:spacing w:val="-50"/>
        </w:rPr>
        <w:t> </w:t>
      </w:r>
      <w:r>
        <w:rPr>
          <w:spacing w:val="-50"/>
        </w:rPr>
      </w:r>
      <w:r>
        <w:rPr>
          <w:spacing w:val="-2"/>
        </w:rPr>
        <w:t>合并财务报表编制问题。在合并日，本公司对子公司的长期股权投资初始成本按照对子公司累计持股比例</w:t>
      </w:r>
      <w:r>
        <w:rPr>
          <w:spacing w:val="-42"/>
        </w:rPr>
        <w:t> </w:t>
      </w:r>
      <w:r>
        <w:rPr>
          <w:spacing w:val="-42"/>
        </w:rPr>
      </w:r>
      <w:r>
        <w:rPr>
          <w:spacing w:val="-2"/>
        </w:rPr>
        <w:t>计算的对被合并方净资产在最终控制方合并财务报表中的账面价值份额确定，初始投资成本与达到合并前</w:t>
      </w:r>
      <w:r>
        <w:rPr>
          <w:spacing w:val="-43"/>
        </w:rPr>
        <w:t> </w:t>
      </w:r>
      <w:r>
        <w:rPr>
          <w:spacing w:val="-43"/>
        </w:rPr>
      </w:r>
      <w:r>
        <w:rPr/>
        <w:t>的长期股权投资账面价值加上合并日取得进一步股份新支付对价的账面价值之和的差额，调整资本公积</w:t>
      </w:r>
    </w:p>
    <w:p>
      <w:pPr>
        <w:pStyle w:val="BodyText"/>
        <w:spacing w:line="273" w:lineRule="auto" w:before="7"/>
        <w:ind w:right="206"/>
        <w:jc w:val="both"/>
      </w:pPr>
      <w:r>
        <w:rPr>
          <w:spacing w:val="-2"/>
        </w:rPr>
        <w:t>（资本溢价或股本溢价），资本公积（资本溢价或股本溢价）不足冲减的，依次冲减盈余公积和未分配利</w:t>
      </w:r>
      <w:r>
        <w:rPr>
          <w:spacing w:val="-43"/>
        </w:rPr>
        <w:t> </w:t>
      </w:r>
      <w:r>
        <w:rPr>
          <w:spacing w:val="-43"/>
        </w:rPr>
      </w:r>
      <w:r>
        <w:rPr>
          <w:spacing w:val="-2"/>
        </w:rPr>
        <w:t>润。同时编制合并日的合并财务报表，并且本公司在合并财务报表中，视同参与合并的各方在最终控制方</w:t>
      </w:r>
      <w:r>
        <w:rPr>
          <w:spacing w:val="-42"/>
        </w:rPr>
        <w:t> </w:t>
      </w:r>
      <w:r>
        <w:rPr>
          <w:spacing w:val="-42"/>
        </w:rPr>
      </w:r>
      <w:r>
        <w:rPr/>
        <w:t>开始控制时即以目前的状态存在进行调整。</w:t>
      </w:r>
    </w:p>
    <w:p>
      <w:pPr>
        <w:pStyle w:val="BodyText"/>
        <w:spacing w:line="256" w:lineRule="auto" w:before="127"/>
        <w:ind w:right="0" w:firstLine="427"/>
        <w:jc w:val="left"/>
      </w:pPr>
      <w:r>
        <w:rPr>
          <w:spacing w:val="-2"/>
        </w:rPr>
        <w:t>各项交易的条款、条件以及经济影响符合下列一种或多种情况的，通常将多次交易作为</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进行会计处理：</w:t>
      </w:r>
    </w:p>
    <w:p>
      <w:pPr>
        <w:pStyle w:val="BodyText"/>
        <w:spacing w:line="240" w:lineRule="auto" w:before="142"/>
        <w:ind w:left="580"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141"/>
        <w:ind w:left="580"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141"/>
        <w:ind w:left="580" w:right="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430" w:lineRule="atLeast" w:before="2"/>
        <w:ind w:left="580" w:right="0"/>
        <w:jc w:val="left"/>
      </w:pPr>
      <w:r>
        <w:rPr/>
        <w:t>（</w:t>
      </w:r>
      <w:r>
        <w:rPr>
          <w:rFonts w:ascii="Times New Roman" w:hAnsi="Times New Roman" w:cs="Times New Roman" w:eastAsia="Times New Roman" w:hint="default"/>
        </w:rPr>
        <w:t>d</w:t>
      </w:r>
      <w:r>
        <w:rPr/>
        <w:t>）一项交易单独考虑时是不经济的，但是和其他交易一并考虑时是经济的。</w:t>
      </w:r>
      <w:r>
        <w:rPr>
          <w:w w:val="100"/>
        </w:rPr>
        <w:t>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w:t>
      </w:r>
    </w:p>
    <w:p>
      <w:pPr>
        <w:pStyle w:val="BodyText"/>
        <w:spacing w:line="273" w:lineRule="auto" w:before="21"/>
        <w:ind w:right="206"/>
        <w:jc w:val="both"/>
      </w:pPr>
      <w:r>
        <w:rPr>
          <w:spacing w:val="-2"/>
        </w:rPr>
        <w:t>允价值确认为金融资产（以公允价值计量且其变动计入当期损益的金融资产或可供出售金融资产）或按照</w:t>
      </w:r>
      <w:r>
        <w:rPr>
          <w:spacing w:val="-44"/>
        </w:rPr>
        <w:t> </w:t>
      </w:r>
      <w:r>
        <w:rPr>
          <w:spacing w:val="-44"/>
        </w:rPr>
      </w:r>
      <w:r>
        <w:rPr>
          <w:spacing w:val="-2"/>
        </w:rPr>
        <w:t>权益法核算的长期股权投资。在合并日，本公司在个别财务报表中，根据合并后应享有的子公司净资产在</w:t>
      </w:r>
      <w:r>
        <w:rPr>
          <w:spacing w:val="-44"/>
        </w:rPr>
        <w:t> </w:t>
      </w:r>
      <w:r>
        <w:rPr>
          <w:spacing w:val="-44"/>
        </w:rPr>
      </w:r>
      <w:r>
        <w:rPr>
          <w:spacing w:val="-2"/>
        </w:rPr>
        <w:t>最终控制方合并财务报表中的账面价值的份额，确定长期股权投资的初始投资成本。合并日长期股权投资</w:t>
      </w:r>
      <w:r>
        <w:rPr>
          <w:spacing w:val="-44"/>
        </w:rPr>
        <w:t> </w:t>
      </w:r>
      <w:r>
        <w:rPr>
          <w:spacing w:val="-44"/>
        </w:rPr>
      </w:r>
      <w:r>
        <w:rPr>
          <w:spacing w:val="-2"/>
        </w:rPr>
        <w:t>的初始投资成本，与达到合并前的长期股权投资账面价值加上合并日进一步取得股份新支付对价的账面价</w:t>
      </w:r>
      <w:r>
        <w:rPr>
          <w:spacing w:val="-43"/>
        </w:rPr>
        <w:t> </w:t>
      </w:r>
      <w:r>
        <w:rPr>
          <w:spacing w:val="-43"/>
        </w:rPr>
      </w:r>
      <w:r>
        <w:rPr>
          <w:spacing w:val="-2"/>
        </w:rPr>
        <w:t>值之和的差额，调整资本公积（资本溢价或股本溢价），资本公积不足冲减的，依次冲减盈余公积和未分</w:t>
      </w:r>
      <w:r>
        <w:rPr>
          <w:spacing w:val="-43"/>
        </w:rPr>
        <w:t> </w:t>
      </w:r>
      <w:r>
        <w:rPr>
          <w:spacing w:val="-43"/>
        </w:rPr>
      </w:r>
      <w:r>
        <w:rPr/>
        <w:t>配利润。</w:t>
      </w:r>
    </w:p>
    <w:p>
      <w:pPr>
        <w:pStyle w:val="BodyText"/>
        <w:spacing w:line="273" w:lineRule="auto" w:before="127"/>
        <w:ind w:right="0" w:firstLine="427"/>
        <w:jc w:val="left"/>
      </w:pPr>
      <w:r>
        <w:rPr>
          <w:spacing w:val="-3"/>
        </w:rPr>
        <w:t>本公司在合并财务报表中，视同参与合并的各方在最终控制方开始控制时即以目前的状态存在进行调</w:t>
      </w:r>
      <w:r>
        <w:rPr>
          <w:w w:val="100"/>
        </w:rPr>
        <w:t> </w:t>
      </w:r>
      <w:r>
        <w:rPr>
          <w:spacing w:val="-2"/>
        </w:rPr>
        <w:t>整，在编制合并财务报表时，以不早于合并方和被合并方处于最终控制方的控制之下的时点为限，将被合</w:t>
      </w:r>
    </w:p>
    <w:p>
      <w:pPr>
        <w:spacing w:after="0" w:line="273"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并方的有关资产、负债并入合并方合并财务报表的比较报表中，并将合并增加的净资产在比较报表中调整</w:t>
      </w:r>
      <w:r>
        <w:rPr>
          <w:spacing w:val="-44"/>
        </w:rPr>
        <w:t> </w:t>
      </w:r>
      <w:r>
        <w:rPr>
          <w:spacing w:val="-44"/>
        </w:rPr>
      </w:r>
      <w:r>
        <w:rPr>
          <w:spacing w:val="-2"/>
        </w:rPr>
        <w:t>所有者权益项下的相关项目。因合并方的资本公积（资本溢价或股本溢价）余额不足，被合并方在合并前</w:t>
      </w:r>
      <w:r>
        <w:rPr>
          <w:spacing w:val="-47"/>
        </w:rPr>
        <w:t> </w:t>
      </w:r>
      <w:r>
        <w:rPr>
          <w:spacing w:val="-47"/>
        </w:rPr>
      </w:r>
      <w:r>
        <w:rPr>
          <w:spacing w:val="-2"/>
        </w:rPr>
        <w:t>实现的留存收益中归属于合并方的部分在合并财务报表中未予以全额恢复的，本公司在报表附注中对这一</w:t>
      </w:r>
      <w:r>
        <w:rPr>
          <w:spacing w:val="-43"/>
        </w:rPr>
        <w:t> </w:t>
      </w:r>
      <w:r>
        <w:rPr>
          <w:spacing w:val="-43"/>
        </w:rPr>
      </w:r>
      <w:r>
        <w:rPr>
          <w:spacing w:val="-2"/>
        </w:rPr>
        <w:t>情况进行说明，包括被合并方在合并前实现的留存收益金额、归属于本公司的金额及因资本公积余额不足</w:t>
      </w:r>
      <w:r>
        <w:rPr>
          <w:spacing w:val="-43"/>
        </w:rPr>
        <w:t> </w:t>
      </w:r>
      <w:r>
        <w:rPr>
          <w:spacing w:val="-43"/>
        </w:rPr>
      </w:r>
      <w:r>
        <w:rPr/>
        <w:t>在合并资产负债表中未转入留存收益的金额等。</w:t>
      </w:r>
    </w:p>
    <w:p>
      <w:pPr>
        <w:pStyle w:val="BodyText"/>
        <w:spacing w:line="273" w:lineRule="auto" w:before="127"/>
        <w:ind w:right="146" w:firstLine="427"/>
        <w:jc w:val="both"/>
      </w:pPr>
      <w:r>
        <w:rPr>
          <w:spacing w:val="-3"/>
        </w:rPr>
        <w:t>合并方在取得被合并方控制权之前持有的股权投资且按权益法核算的，在取得原股权之日与合并方和</w:t>
      </w:r>
      <w:r>
        <w:rPr>
          <w:w w:val="100"/>
        </w:rPr>
        <w:t> </w:t>
      </w:r>
      <w:r>
        <w:rPr>
          <w:spacing w:val="-2"/>
        </w:rPr>
        <w:t>被合并方同处于同一方最终控制之日孰晚日起至合并日之间已确认有关损益、其他综合收益以及其他所有</w:t>
      </w:r>
      <w:r>
        <w:rPr>
          <w:spacing w:val="-43"/>
        </w:rPr>
        <w:t> </w:t>
      </w:r>
      <w:r>
        <w:rPr>
          <w:spacing w:val="-43"/>
        </w:rPr>
      </w:r>
      <w:r>
        <w:rPr/>
        <w:t>者权益变动，应分别冲减比较报表期间的期初留存收益。</w:t>
      </w:r>
    </w:p>
    <w:p>
      <w:pPr>
        <w:pStyle w:val="BodyText"/>
        <w:spacing w:line="432" w:lineRule="exact" w:before="27"/>
        <w:ind w:left="580" w:right="0"/>
        <w:jc w:val="left"/>
      </w:pPr>
      <w:r>
        <w:rPr>
          <w:rFonts w:ascii="Times New Roman" w:hAnsi="Times New Roman" w:cs="Times New Roman" w:eastAsia="Times New Roman" w:hint="default"/>
        </w:rPr>
        <w:t>B.</w:t>
      </w:r>
      <w:r>
        <w:rPr/>
        <w:t>通过多次交易分步实现非同一控制下企业合并</w:t>
      </w:r>
      <w:r>
        <w:rPr>
          <w:w w:val="100"/>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w:t>
      </w:r>
    </w:p>
    <w:p>
      <w:pPr>
        <w:pStyle w:val="BodyText"/>
        <w:spacing w:line="256" w:lineRule="exact"/>
        <w:ind w:right="0"/>
        <w:jc w:val="both"/>
      </w:pPr>
      <w:r>
        <w:rPr/>
        <w:t>表中，在合并日之前的每次交易中，股权投资均确认为长期股权投资且其初始投资成本按照所支付对价的</w:t>
      </w:r>
    </w:p>
    <w:p>
      <w:pPr>
        <w:pStyle w:val="BodyText"/>
        <w:spacing w:line="273" w:lineRule="auto" w:before="37"/>
        <w:ind w:right="146"/>
        <w:jc w:val="both"/>
      </w:pPr>
      <w:r>
        <w:rPr>
          <w:spacing w:val="-2"/>
        </w:rPr>
        <w:t>公允价值确定。在后续计量时，长期股权投资按照成本法核算，但不涉及合并财务报表编制问题。在合并</w:t>
      </w:r>
      <w:r>
        <w:rPr>
          <w:spacing w:val="-50"/>
        </w:rPr>
        <w:t> </w:t>
      </w:r>
      <w:r>
        <w:rPr>
          <w:spacing w:val="-50"/>
        </w:rPr>
      </w:r>
      <w:r>
        <w:rPr>
          <w:spacing w:val="-2"/>
        </w:rPr>
        <w:t>日，在个别财务报表中，按照原持有的长期股权投资的账面价值加上新增投资成本（进一步取得股份所支</w:t>
      </w:r>
      <w:r>
        <w:rPr>
          <w:spacing w:val="-42"/>
        </w:rPr>
        <w:t> </w:t>
      </w:r>
      <w:r>
        <w:rPr>
          <w:spacing w:val="-42"/>
        </w:rPr>
      </w:r>
      <w:r>
        <w:rPr>
          <w:spacing w:val="-2"/>
        </w:rPr>
        <w:t>付对价的公允价值）之和，作为合并日长期股权投资的初始投资成本。在合并财务报表中，初始投资成本</w:t>
      </w:r>
      <w:r>
        <w:rPr>
          <w:spacing w:val="-50"/>
        </w:rPr>
        <w:t> </w:t>
      </w:r>
      <w:r>
        <w:rPr>
          <w:spacing w:val="-50"/>
        </w:rPr>
      </w:r>
      <w:r>
        <w:rPr/>
        <w:t>与对子公司可辨认净资产公允价值所享有的份额进行抵销，差额确认为商誉或计入合并当期损益。</w:t>
      </w:r>
    </w:p>
    <w:p>
      <w:pPr>
        <w:pStyle w:val="BodyText"/>
        <w:spacing w:line="271" w:lineRule="auto" w:before="127"/>
        <w:ind w:right="146" w:firstLine="427"/>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w:t>
      </w:r>
      <w:r>
        <w:rPr>
          <w:w w:val="100"/>
        </w:rPr>
        <w:t> </w:t>
      </w:r>
      <w:r>
        <w:rPr>
          <w:spacing w:val="-2"/>
        </w:rPr>
        <w:t>允价值确认为金融资产（以公允价值计量且其变动计入当期损益的金融资产或可供出售金融资产）或按照</w:t>
      </w:r>
      <w:r>
        <w:rPr>
          <w:spacing w:val="-44"/>
        </w:rPr>
        <w:t> </w:t>
      </w:r>
      <w:r>
        <w:rPr>
          <w:spacing w:val="-44"/>
        </w:rPr>
      </w:r>
      <w:r>
        <w:rPr>
          <w:spacing w:val="-2"/>
        </w:rPr>
        <w:t>权益法核算的长期股权投资。在合并日，在个别财务报表中，按照原持有的股权投资（金融资产或按照权</w:t>
      </w:r>
      <w:r>
        <w:rPr>
          <w:spacing w:val="-47"/>
        </w:rPr>
        <w:t> </w:t>
      </w:r>
      <w:r>
        <w:rPr>
          <w:spacing w:val="-47"/>
        </w:rPr>
      </w:r>
      <w:r>
        <w:rPr>
          <w:spacing w:val="-2"/>
        </w:rPr>
        <w:t>益法核算的长期股权投资）的账面价值加上新增投资成本之和，作为改按成本法核算长期股权投资的初始</w:t>
      </w:r>
      <w:r>
        <w:rPr>
          <w:spacing w:val="-44"/>
        </w:rPr>
        <w:t> </w:t>
      </w:r>
      <w:r>
        <w:rPr>
          <w:spacing w:val="-44"/>
        </w:rPr>
      </w:r>
      <w:r>
        <w:rPr>
          <w:spacing w:val="-2"/>
        </w:rPr>
        <w:t>成本。在合并财务报表中，对于购买日之前持有的被购买方的股权，按照该股权在购买日的公允价值进行</w:t>
      </w:r>
      <w:r>
        <w:rPr>
          <w:spacing w:val="-45"/>
        </w:rPr>
        <w:t> </w:t>
      </w:r>
      <w:r>
        <w:rPr>
          <w:spacing w:val="-45"/>
        </w:rPr>
      </w:r>
      <w:r>
        <w:rPr>
          <w:spacing w:val="-2"/>
        </w:rPr>
        <w:t>重新计量，公允价值与其账面价值的差额计入当期投资收益；购买日之前持有的被购买方的股权涉及权益</w:t>
      </w:r>
      <w:r>
        <w:rPr>
          <w:spacing w:val="-42"/>
        </w:rPr>
        <w:t> </w:t>
      </w:r>
      <w:r>
        <w:rPr>
          <w:spacing w:val="-42"/>
        </w:rPr>
      </w:r>
      <w:r>
        <w:rPr>
          <w:spacing w:val="-2"/>
        </w:rPr>
        <w:t>法核算下的其他综合收益等的，与其相关的其他综合收益等转为购买日所属当期收益，但由于被合并方重</w:t>
      </w:r>
      <w:r>
        <w:rPr>
          <w:spacing w:val="-42"/>
        </w:rPr>
        <w:t> </w:t>
      </w:r>
      <w:r>
        <w:rPr>
          <w:spacing w:val="-42"/>
        </w:rPr>
      </w:r>
      <w:r>
        <w:rPr>
          <w:spacing w:val="-2"/>
        </w:rPr>
        <w:t>新计量设定受益计划净资产或净负债变动而产生的其他综合收益除外。本公司在附注中披露其在购买日之</w:t>
      </w:r>
      <w:r>
        <w:rPr>
          <w:spacing w:val="-43"/>
        </w:rPr>
        <w:t> </w:t>
      </w:r>
      <w:r>
        <w:rPr>
          <w:spacing w:val="-43"/>
        </w:rPr>
      </w:r>
      <w:r>
        <w:rPr/>
        <w:t>前持有的被购买方的股权在购买日的公允价值、按照公允价值重新计量产生的相关利得或损失的金额。</w:t>
      </w:r>
    </w:p>
    <w:p>
      <w:pPr>
        <w:pStyle w:val="BodyText"/>
        <w:spacing w:line="432" w:lineRule="exact" w:before="29"/>
        <w:ind w:left="580" w:right="0"/>
        <w:jc w:val="left"/>
      </w:pPr>
      <w:r>
        <w:rPr/>
        <w:t>③本公司处置对子公司长期股权投资但未丧失控制权</w:t>
      </w:r>
      <w:r>
        <w:rPr>
          <w:w w:val="100"/>
        </w:rPr>
        <w:t> </w:t>
      </w:r>
      <w:r>
        <w:rPr>
          <w:spacing w:val="-3"/>
        </w:rPr>
        <w:t>母公司在不丧失控制权的情况下部分处置对子公司的长期股权投资，在合并财务报表中，处置价款与</w:t>
      </w:r>
    </w:p>
    <w:p>
      <w:pPr>
        <w:pStyle w:val="BodyText"/>
        <w:spacing w:line="255" w:lineRule="exact"/>
        <w:ind w:right="0"/>
        <w:jc w:val="both"/>
      </w:pPr>
      <w:r>
        <w:rPr/>
        <w:t>处置长期股权投资相对应享有子公司自购买日或合并日开始持续计算的净资产份额之间的差额，调整资本</w:t>
      </w:r>
    </w:p>
    <w:p>
      <w:pPr>
        <w:pStyle w:val="BodyText"/>
        <w:spacing w:line="240" w:lineRule="auto" w:before="37"/>
        <w:ind w:right="0"/>
        <w:jc w:val="both"/>
      </w:pPr>
      <w:r>
        <w:rPr/>
        <w:t>公积（资本溢价或股本溢价），资本公积不足冲减的，调整留存收益。</w:t>
      </w:r>
    </w:p>
    <w:p>
      <w:pPr>
        <w:pStyle w:val="BodyText"/>
        <w:spacing w:line="240" w:lineRule="auto" w:before="157"/>
        <w:ind w:left="580" w:right="0"/>
        <w:jc w:val="left"/>
      </w:pPr>
      <w:r>
        <w:rPr/>
        <w:t>④本公司处置对子公司长期股权投资且丧失控制权</w:t>
      </w:r>
    </w:p>
    <w:p>
      <w:pPr>
        <w:pStyle w:val="BodyText"/>
        <w:spacing w:line="357" w:lineRule="auto" w:before="157"/>
        <w:ind w:left="580" w:right="0"/>
        <w:jc w:val="left"/>
      </w:pPr>
      <w:r>
        <w:rPr>
          <w:rFonts w:ascii="Times New Roman" w:hAnsi="Times New Roman" w:cs="Times New Roman" w:eastAsia="Times New Roman" w:hint="default"/>
        </w:rPr>
        <w:t>A.</w:t>
      </w:r>
      <w:r>
        <w:rPr/>
        <w:t>一次交易处置</w:t>
      </w:r>
      <w:r>
        <w:rPr>
          <w:w w:val="100"/>
        </w:rPr>
        <w:t> </w:t>
      </w:r>
      <w:r>
        <w:rPr>
          <w:spacing w:val="-2"/>
        </w:rPr>
        <w:t>本公司因处置部分股权投资等原因丧失了对被投资方的控制权的，在编制合并财务报表时，对于剩余</w:t>
      </w:r>
    </w:p>
    <w:p>
      <w:pPr>
        <w:pStyle w:val="BodyText"/>
        <w:spacing w:line="210" w:lineRule="exact"/>
        <w:ind w:right="0"/>
        <w:jc w:val="both"/>
      </w:pPr>
      <w:r>
        <w:rPr/>
        <w:t>股权，按照其在丧失控制权日的公允价值进行重新计量。处置股权取得的对价与剩余股权公允价值之和，</w:t>
      </w:r>
    </w:p>
    <w:p>
      <w:pPr>
        <w:pStyle w:val="BodyText"/>
        <w:spacing w:line="273" w:lineRule="auto" w:before="37"/>
        <w:ind w:right="124"/>
        <w:jc w:val="both"/>
      </w:pPr>
      <w:r>
        <w:rPr>
          <w:spacing w:val="-2"/>
        </w:rPr>
        <w:t>减去按原持股比例计算应享有原有子公司自购买日或合并日开始持续计算的净资产的份额之间的差额，计</w:t>
      </w:r>
      <w:r>
        <w:rPr>
          <w:spacing w:val="-43"/>
        </w:rPr>
        <w:t> </w:t>
      </w:r>
      <w:r>
        <w:rPr>
          <w:spacing w:val="-43"/>
        </w:rPr>
      </w:r>
      <w:r>
        <w:rPr>
          <w:spacing w:val="-2"/>
        </w:rPr>
        <w:t>入丧失控制权当期的投资收益，同时冲减商誉（注：如果原企业合并为非同一控制下的且存在商誉的）。</w:t>
      </w:r>
      <w:r>
        <w:rPr>
          <w:spacing w:val="-21"/>
        </w:rPr>
        <w:t> </w:t>
      </w:r>
      <w:r>
        <w:rPr>
          <w:spacing w:val="-21"/>
        </w:rPr>
      </w:r>
      <w:r>
        <w:rPr/>
        <w:t>与原有子公司股权投资相关的其他综合收益等，在丧失控制权时转为当期投资收益。</w:t>
      </w:r>
    </w:p>
    <w:p>
      <w:pPr>
        <w:pStyle w:val="BodyText"/>
        <w:spacing w:line="273" w:lineRule="auto" w:before="127"/>
        <w:ind w:right="146" w:firstLine="427"/>
        <w:jc w:val="both"/>
      </w:pPr>
      <w:r>
        <w:rPr>
          <w:spacing w:val="-3"/>
        </w:rPr>
        <w:t>此外，与原子公司的股权投资相关的其他综合收益、其他所有者权益变动，在丧失控制权时转入当期</w:t>
      </w:r>
      <w:r>
        <w:rPr>
          <w:w w:val="100"/>
        </w:rPr>
        <w:t> </w:t>
      </w:r>
      <w:r>
        <w:rPr/>
        <w:t>损益，由于被投资方重新计量设定受益计划净负债或净资产变动而产生的其他综合收益除外。</w:t>
      </w:r>
    </w:p>
    <w:p>
      <w:pPr>
        <w:pStyle w:val="BodyText"/>
        <w:spacing w:line="357" w:lineRule="auto" w:before="127"/>
        <w:ind w:left="580" w:right="1673"/>
        <w:jc w:val="left"/>
      </w:pPr>
      <w:r>
        <w:rPr>
          <w:rFonts w:ascii="Times New Roman" w:hAnsi="Times New Roman" w:cs="Times New Roman" w:eastAsia="Times New Roman" w:hint="default"/>
        </w:rPr>
        <w:t>B.</w:t>
      </w:r>
      <w:r>
        <w:rPr/>
        <w:t>多次交易分步处置</w:t>
      </w:r>
      <w:r>
        <w:rPr>
          <w:w w:val="100"/>
        </w:rPr>
        <w:t> </w:t>
      </w:r>
      <w:r>
        <w:rPr>
          <w:spacing w:val="-2"/>
        </w:rPr>
        <w:t>在合并财务报表中，应首先判断分步交易是否属于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p>
    <w:p>
      <w:pPr>
        <w:spacing w:after="0" w:line="357" w:lineRule="auto"/>
        <w:jc w:val="left"/>
        <w:sectPr>
          <w:footerReference w:type="default" r:id="rId14"/>
          <w:pgSz w:w="11910" w:h="16840"/>
          <w:pgMar w:footer="979" w:header="748"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146" w:firstLine="427"/>
        <w:jc w:val="both"/>
      </w:pPr>
      <w:r>
        <w:rPr>
          <w:spacing w:val="-4"/>
        </w:rPr>
        <w:t>如果分步交易不属于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的，则在丧失对子公司控制权之前的各项交易，应按照</w:t>
      </w:r>
      <w:r>
        <w:rPr>
          <w:rFonts w:ascii="Times New Roman" w:hAnsi="Times New Roman" w:cs="Times New Roman" w:eastAsia="Times New Roman" w:hint="default"/>
          <w:spacing w:val="-4"/>
        </w:rPr>
        <w:t>“</w:t>
      </w:r>
      <w:r>
        <w:rPr>
          <w:spacing w:val="-4"/>
        </w:rPr>
        <w:t>母公司处置</w:t>
      </w:r>
      <w:r>
        <w:rPr>
          <w:w w:val="100"/>
        </w:rPr>
        <w:t> </w:t>
      </w:r>
      <w:r>
        <w:rPr/>
        <w:t>对子公司长期股权投资但未丧失控制权</w:t>
      </w:r>
      <w:r>
        <w:rPr>
          <w:rFonts w:ascii="Times New Roman" w:hAnsi="Times New Roman" w:cs="Times New Roman" w:eastAsia="Times New Roman" w:hint="default"/>
        </w:rPr>
        <w:t>”</w:t>
      </w:r>
      <w:r>
        <w:rPr/>
        <w:t>的有关规定处理。</w:t>
      </w:r>
    </w:p>
    <w:p>
      <w:pPr>
        <w:pStyle w:val="BodyText"/>
        <w:spacing w:line="264" w:lineRule="auto" w:before="125"/>
        <w:ind w:right="146" w:firstLine="427"/>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w:t>
      </w:r>
      <w:r>
        <w:rPr>
          <w:w w:val="100"/>
        </w:rPr>
        <w:t> </w:t>
      </w:r>
      <w:r>
        <w:rPr>
          <w:spacing w:val="-2"/>
        </w:rPr>
        <w:t>计处理；其中，对于丧失控制权之前每一次交易，处置价款与处置投资对应的享有该子公司净资产份额的</w:t>
      </w:r>
      <w:r>
        <w:rPr>
          <w:spacing w:val="-43"/>
        </w:rPr>
        <w:t> </w:t>
      </w:r>
      <w:r>
        <w:rPr>
          <w:spacing w:val="-43"/>
        </w:rPr>
      </w:r>
      <w:r>
        <w:rPr/>
        <w:t>差额，在合并财务报表中应当确认为其他综合收益，在丧失控制权时一并转入丧失控制权当期的损益。</w:t>
      </w:r>
    </w:p>
    <w:p>
      <w:pPr>
        <w:pStyle w:val="BodyText"/>
        <w:spacing w:line="432" w:lineRule="exact" w:before="36"/>
        <w:ind w:left="580" w:right="0"/>
        <w:jc w:val="left"/>
      </w:pPr>
      <w:r>
        <w:rPr/>
        <w:t>⑤因子公司的少数股东增资而稀释母公司拥有的股权比例</w:t>
      </w:r>
      <w:r>
        <w:rPr>
          <w:w w:val="100"/>
        </w:rPr>
        <w:t> </w:t>
      </w:r>
      <w:r>
        <w:rPr>
          <w:spacing w:val="-3"/>
        </w:rPr>
        <w:t>子公司的其他股东（少数股东）对子公司进行增资，由此稀释了母公司对子公司的股权比例。在合并</w:t>
      </w:r>
    </w:p>
    <w:p>
      <w:pPr>
        <w:pStyle w:val="BodyText"/>
        <w:spacing w:line="255" w:lineRule="exact"/>
        <w:ind w:right="0"/>
        <w:jc w:val="left"/>
      </w:pPr>
      <w:r>
        <w:rPr/>
        <w:t>财务报表中，按照增资前的母公司股权比例计算其在增资前子公司账面净资产中的份额，该份额与增资后</w:t>
      </w:r>
    </w:p>
    <w:p>
      <w:pPr>
        <w:pStyle w:val="BodyText"/>
        <w:spacing w:line="273" w:lineRule="auto" w:before="37"/>
        <w:ind w:right="0"/>
        <w:jc w:val="left"/>
      </w:pPr>
      <w:r>
        <w:rPr>
          <w:spacing w:val="-2"/>
        </w:rPr>
        <w:t>按照母公司持股比例计算的在增资后子公司账面净资产份额之间的差额调整资本公积（资本溢价或股本溢</w:t>
      </w:r>
      <w:r>
        <w:rPr>
          <w:spacing w:val="-43"/>
        </w:rPr>
        <w:t> </w:t>
      </w:r>
      <w:r>
        <w:rPr>
          <w:spacing w:val="-43"/>
        </w:rPr>
      </w:r>
      <w:r>
        <w:rPr/>
        <w:t>价），资本公积（资本溢价或股本溢价）不足冲减的，调整留存收益。</w:t>
      </w:r>
    </w:p>
    <w:p>
      <w:pPr>
        <w:spacing w:line="590" w:lineRule="atLeast" w:before="17"/>
        <w:ind w:left="580" w:right="0"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合营安排，是指一项由两个或两个以上的参与方共同控制的安排。本公司合营安排分为共同经营和合</w:t>
      </w:r>
    </w:p>
    <w:p>
      <w:pPr>
        <w:pStyle w:val="BodyText"/>
        <w:spacing w:line="240" w:lineRule="auto" w:before="37"/>
        <w:ind w:right="0"/>
        <w:jc w:val="left"/>
      </w:pPr>
      <w:r>
        <w:rPr/>
        <w:t>营企业。</w:t>
      </w:r>
    </w:p>
    <w:p>
      <w:pPr>
        <w:pStyle w:val="BodyText"/>
        <w:spacing w:line="326" w:lineRule="auto" w:before="90"/>
        <w:ind w:left="580" w:right="167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）共同经营</w:t>
      </w:r>
      <w:r>
        <w:rPr>
          <w:rFonts w:ascii="Microsoft JhengHei" w:hAnsi="Microsoft JhengHei" w:cs="Microsoft JhengHei" w:eastAsia="Microsoft JhengHei" w:hint="default"/>
          <w:b/>
          <w:bCs/>
          <w:spacing w:val="-46"/>
        </w:rPr>
        <w:t> </w:t>
      </w:r>
      <w:r>
        <w:rPr>
          <w:spacing w:val="-2"/>
        </w:rPr>
        <w:t>共同经营是指本公司享有该安排相关资产且承担该安排相关负债的合营安排。</w:t>
      </w:r>
    </w:p>
    <w:p>
      <w:pPr>
        <w:pStyle w:val="BodyText"/>
        <w:spacing w:line="240" w:lineRule="auto" w:before="81"/>
        <w:ind w:left="580" w:right="0"/>
        <w:jc w:val="left"/>
      </w:pPr>
      <w:r>
        <w:rPr>
          <w:spacing w:val="2"/>
        </w:rPr>
        <w:t>本公司确认其与共同经营中利益份额相关的下列项目，并按照相关企业会计准则的规定进行会计处</w:t>
      </w:r>
    </w:p>
    <w:p>
      <w:pPr>
        <w:pStyle w:val="BodyText"/>
        <w:spacing w:line="240" w:lineRule="auto" w:before="37"/>
        <w:ind w:right="0"/>
        <w:jc w:val="left"/>
      </w:pPr>
      <w:r>
        <w:rPr/>
        <w:t>理：</w:t>
      </w:r>
    </w:p>
    <w:p>
      <w:pPr>
        <w:spacing w:line="240" w:lineRule="auto" w:before="3"/>
        <w:rPr>
          <w:rFonts w:ascii="宋体" w:hAnsi="宋体" w:cs="宋体" w:eastAsia="宋体" w:hint="default"/>
          <w:sz w:val="9"/>
          <w:szCs w:val="9"/>
        </w:rPr>
      </w:pPr>
    </w:p>
    <w:p>
      <w:pPr>
        <w:pStyle w:val="BodyText"/>
        <w:spacing w:line="240" w:lineRule="auto" w:before="36"/>
        <w:ind w:left="580" w:right="0"/>
        <w:jc w:val="left"/>
      </w:pPr>
      <w:r>
        <w:rPr/>
        <w:t>①</w:t>
      </w:r>
      <w:r>
        <w:rPr>
          <w:spacing w:val="-24"/>
        </w:rPr>
        <w:t> </w:t>
      </w:r>
      <w:r>
        <w:rPr/>
        <w:t>确认单独所持有的资产，以及按其份额确认共同持有的资产；</w:t>
      </w:r>
    </w:p>
    <w:p>
      <w:pPr>
        <w:pStyle w:val="BodyText"/>
        <w:spacing w:line="240" w:lineRule="auto" w:before="157"/>
        <w:ind w:left="580" w:right="0"/>
        <w:jc w:val="left"/>
      </w:pPr>
      <w:r>
        <w:rPr/>
        <w:t>②</w:t>
      </w:r>
      <w:r>
        <w:rPr>
          <w:spacing w:val="-24"/>
        </w:rPr>
        <w:t> </w:t>
      </w:r>
      <w:r>
        <w:rPr/>
        <w:t>确认单独所承担的负债，以及按其份额确认共同承担的负债；</w:t>
      </w:r>
    </w:p>
    <w:p>
      <w:pPr>
        <w:pStyle w:val="BodyText"/>
        <w:spacing w:line="240" w:lineRule="auto" w:before="157"/>
        <w:ind w:left="580" w:right="0"/>
        <w:jc w:val="left"/>
      </w:pPr>
      <w:r>
        <w:rPr/>
        <w:t>③</w:t>
      </w:r>
      <w:r>
        <w:rPr>
          <w:spacing w:val="-23"/>
        </w:rPr>
        <w:t> </w:t>
      </w:r>
      <w:r>
        <w:rPr/>
        <w:t>确认出售其享有的共同经营产出份额所产生的收入；</w:t>
      </w:r>
    </w:p>
    <w:p>
      <w:pPr>
        <w:pStyle w:val="BodyText"/>
        <w:spacing w:line="240" w:lineRule="auto" w:before="157"/>
        <w:ind w:left="580" w:right="0"/>
        <w:jc w:val="left"/>
      </w:pPr>
      <w:r>
        <w:rPr/>
        <w:t>④</w:t>
      </w:r>
      <w:r>
        <w:rPr>
          <w:spacing w:val="-24"/>
        </w:rPr>
        <w:t> </w:t>
      </w:r>
      <w:r>
        <w:rPr/>
        <w:t>按其份额确认共同经营因出售产出所产生的收入；</w:t>
      </w:r>
    </w:p>
    <w:p>
      <w:pPr>
        <w:pStyle w:val="BodyText"/>
        <w:spacing w:line="240" w:lineRule="auto" w:before="157"/>
        <w:ind w:left="580" w:right="0"/>
        <w:jc w:val="left"/>
      </w:pPr>
      <w:r>
        <w:rPr/>
        <w:t>⑤</w:t>
      </w:r>
      <w:r>
        <w:rPr>
          <w:spacing w:val="-24"/>
        </w:rPr>
        <w:t> </w:t>
      </w:r>
      <w:r>
        <w:rPr/>
        <w:t>确认单独所发生的费用，以及按其份额确认共同经营发生的费用。</w:t>
      </w:r>
    </w:p>
    <w:p>
      <w:pPr>
        <w:spacing w:line="326" w:lineRule="auto" w:before="90"/>
        <w:ind w:left="580" w:right="329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）合营企业</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合营企业是指本公司仅对该安排的净资产享有权利的合营安排。</w:t>
      </w:r>
    </w:p>
    <w:p>
      <w:pPr>
        <w:pStyle w:val="BodyText"/>
        <w:spacing w:line="240" w:lineRule="auto" w:before="81"/>
        <w:ind w:left="580" w:right="0"/>
        <w:jc w:val="left"/>
      </w:pPr>
      <w:r>
        <w:rPr/>
        <w:t>本公司按照长期股权投资有关权益法核算的规定对合营企业的投资进行会计处理。</w:t>
      </w:r>
    </w:p>
    <w:p>
      <w:pPr>
        <w:spacing w:line="590" w:lineRule="atLeast" w:before="46"/>
        <w:ind w:left="489" w:right="0"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现金指企业库存现金及可以随时用于支付的存款。现金等价物指持有的期限短（一般是指从购买日起</w:t>
      </w:r>
    </w:p>
    <w:p>
      <w:pPr>
        <w:pStyle w:val="BodyText"/>
        <w:spacing w:line="240" w:lineRule="auto" w:before="37"/>
        <w:ind w:right="0"/>
        <w:jc w:val="left"/>
      </w:pPr>
      <w:r>
        <w:rPr/>
        <w:t>三个月内到期）、流动性强、易于转换为已知金额现金、价值变动风险很小的投资。</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26" w:lineRule="auto" w:before="0"/>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）外币交易时折算汇率的确定方法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本公司外币交易初始确认时采用交易发生日的即期汇率或即期汇率的近似汇率折算为记账本位币。</w:t>
      </w:r>
    </w:p>
    <w:p>
      <w:pPr>
        <w:pStyle w:val="Heading3"/>
        <w:spacing w:line="240" w:lineRule="auto" w:before="14"/>
        <w:ind w:left="580" w:right="0"/>
        <w:jc w:val="left"/>
        <w:rPr>
          <w:b w:val="0"/>
          <w:bCs w:val="0"/>
        </w:rPr>
      </w:pPr>
      <w:r>
        <w:rPr/>
        <w:t>（</w:t>
      </w:r>
      <w:r>
        <w:rPr>
          <w:rFonts w:ascii="Times New Roman" w:hAnsi="Times New Roman" w:cs="Times New Roman" w:eastAsia="Times New Roman" w:hint="default"/>
        </w:rPr>
        <w:t>2</w:t>
      </w:r>
      <w:r>
        <w:rPr/>
        <w:t>）资产负债表日外币货币性项目的折算方法</w:t>
      </w:r>
      <w:r>
        <w:rPr>
          <w:b w:val="0"/>
          <w:bCs w:val="0"/>
        </w:rPr>
      </w:r>
    </w:p>
    <w:p>
      <w:pPr>
        <w:spacing w:after="0" w:line="240" w:lineRule="auto"/>
        <w:jc w:val="left"/>
        <w:sectPr>
          <w:footerReference w:type="default" r:id="rId15"/>
          <w:pgSz w:w="11910" w:h="16840"/>
          <w:pgMar w:footer="979" w:header="748" w:top="1060" w:bottom="1160" w:left="980" w:right="980"/>
          <w:pgNumType w:start="101"/>
        </w:sectPr>
      </w:pPr>
    </w:p>
    <w:p>
      <w:pPr>
        <w:spacing w:line="240" w:lineRule="auto" w:before="11"/>
        <w:rPr>
          <w:rFonts w:ascii="Microsoft JhengHei" w:hAnsi="Microsoft JhengHei" w:cs="Microsoft JhengHei" w:eastAsia="Microsoft JhengHei" w:hint="default"/>
          <w:b/>
          <w:bCs/>
          <w:sz w:val="18"/>
          <w:szCs w:val="18"/>
        </w:rPr>
      </w:pPr>
    </w:p>
    <w:p>
      <w:pPr>
        <w:pStyle w:val="BodyText"/>
        <w:spacing w:line="273" w:lineRule="auto" w:before="36"/>
        <w:ind w:right="0" w:firstLine="427"/>
        <w:jc w:val="left"/>
      </w:pPr>
      <w:r>
        <w:rPr>
          <w:spacing w:val="-3"/>
        </w:rPr>
        <w:t>在资产负债表日，对于外币货币性项目，采用资产负债表日的即期汇率折算。因资产负债表日即期汇</w:t>
      </w:r>
      <w:r>
        <w:rPr>
          <w:w w:val="100"/>
        </w:rPr>
        <w:t> </w:t>
      </w:r>
      <w:r>
        <w:rPr/>
        <w:t>率与初始确认时或前一资产负债表日即期汇率不同而产生的汇兑差额，计入当期损益。</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）外币报表折算方法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对企业境外经营财务报表进行折算前先调整境外经营的会计期间和会计政策，使之与企业会计期间和</w:t>
      </w:r>
    </w:p>
    <w:p>
      <w:pPr>
        <w:pStyle w:val="BodyText"/>
        <w:spacing w:line="236" w:lineRule="exact"/>
        <w:ind w:right="0"/>
        <w:jc w:val="both"/>
      </w:pPr>
      <w:r>
        <w:rPr>
          <w:spacing w:val="-5"/>
        </w:rPr>
        <w:t>会计政策相一致，再根据调整后会计政策及会计期间编制相应货币（记账本位币以外的货币）的财务报表，</w:t>
      </w:r>
    </w:p>
    <w:p>
      <w:pPr>
        <w:pStyle w:val="BodyText"/>
        <w:spacing w:line="240" w:lineRule="auto" w:before="37"/>
        <w:ind w:right="0"/>
        <w:jc w:val="both"/>
      </w:pPr>
      <w:r>
        <w:rPr/>
        <w:t>再按照以下方法对境外经营财务报表进行折算：</w:t>
      </w:r>
    </w:p>
    <w:p>
      <w:pPr>
        <w:pStyle w:val="BodyText"/>
        <w:spacing w:line="256" w:lineRule="auto" w:before="157"/>
        <w:ind w:right="0" w:firstLine="427"/>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25"/>
        <w:ind w:left="580" w:right="0"/>
        <w:jc w:val="left"/>
      </w:pPr>
      <w:r>
        <w:rPr/>
        <w:t>②利润表中的收入和费用项目，采用交易发生日的即期汇率或即期汇率的近似汇率折算。</w:t>
      </w:r>
    </w:p>
    <w:p>
      <w:pPr>
        <w:pStyle w:val="BodyText"/>
        <w:spacing w:line="273" w:lineRule="auto" w:before="157"/>
        <w:ind w:right="0" w:firstLine="427"/>
        <w:jc w:val="left"/>
      </w:pPr>
      <w:r>
        <w:rPr>
          <w:spacing w:val="-3"/>
        </w:rPr>
        <w:t>③产生的外币财务报表折算差额，在编制合并财务报表时，在合并资产负债表中所有者权益项目下单</w:t>
      </w:r>
      <w:r>
        <w:rPr>
          <w:w w:val="100"/>
        </w:rPr>
        <w:t> </w:t>
      </w:r>
      <w:r>
        <w:rPr/>
        <w:t>独列示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p>
    <w:p>
      <w:pPr>
        <w:pStyle w:val="BodyText"/>
        <w:spacing w:line="273" w:lineRule="auto" w:before="108"/>
        <w:ind w:right="0" w:firstLine="427"/>
        <w:jc w:val="left"/>
      </w:pPr>
      <w:r>
        <w:rPr>
          <w:spacing w:val="-3"/>
        </w:rPr>
        <w:t>④外币现金流量以及境外子公司的现金流量，采用现金流量发生日的即期汇率或即期汇率的近似汇率</w:t>
      </w:r>
      <w:r>
        <w:rPr>
          <w:w w:val="100"/>
        </w:rPr>
        <w:t> </w:t>
      </w:r>
      <w:r>
        <w:rPr/>
        <w:t>折算。汇率变动对现金的影响额应当作为调节项目，在现金流量表中单独列报。</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580" w:right="0"/>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432" w:lineRule="exact" w:before="33"/>
        <w:ind w:left="580" w:right="0"/>
        <w:jc w:val="left"/>
      </w:pPr>
      <w:r>
        <w:rPr/>
        <w:t>①以公允价值计量且其变动计入当期损益的金融资产</w:t>
      </w:r>
      <w:r>
        <w:rPr>
          <w:w w:val="100"/>
        </w:rPr>
        <w:t> </w:t>
      </w:r>
      <w:r>
        <w:rPr>
          <w:spacing w:val="-3"/>
        </w:rPr>
        <w:t>包括交易性金融资产和直接指定为以公允价值计量且其变动计入当期损益的金融资产，前者主要是指</w:t>
      </w:r>
    </w:p>
    <w:p>
      <w:pPr>
        <w:pStyle w:val="BodyText"/>
        <w:spacing w:line="255" w:lineRule="exact"/>
        <w:ind w:right="0"/>
        <w:jc w:val="both"/>
      </w:pPr>
      <w:r>
        <w:rPr/>
        <w:t>本公司为了近期内出售而持有的股票、债券、基金以及不作为有效套期工具的衍生工具投资。这类资产在</w:t>
      </w:r>
    </w:p>
    <w:p>
      <w:pPr>
        <w:pStyle w:val="BodyText"/>
        <w:spacing w:line="273" w:lineRule="auto" w:before="37"/>
        <w:ind w:right="206"/>
        <w:jc w:val="both"/>
      </w:pPr>
      <w:r>
        <w:rPr>
          <w:spacing w:val="-2"/>
        </w:rPr>
        <w:t>初始计量时按照取得时的公允价值作为初始确认金额，相关的交易费用在发生时计入当期损益。支付的价</w:t>
      </w:r>
      <w:r>
        <w:rPr>
          <w:spacing w:val="-43"/>
        </w:rPr>
        <w:t> </w:t>
      </w:r>
      <w:r>
        <w:rPr>
          <w:spacing w:val="-43"/>
        </w:rPr>
      </w:r>
      <w:r>
        <w:rPr>
          <w:spacing w:val="-2"/>
        </w:rPr>
        <w:t>款中包含已宣告但尚未发放的现金股利或已到付息但尚未领取的债券利息，单独确认为应收项目。在持有</w:t>
      </w:r>
      <w:r>
        <w:rPr>
          <w:spacing w:val="-43"/>
        </w:rPr>
        <w:t> </w:t>
      </w:r>
      <w:r>
        <w:rPr>
          <w:spacing w:val="-43"/>
        </w:rPr>
      </w:r>
      <w:r>
        <w:rPr>
          <w:spacing w:val="-2"/>
        </w:rPr>
        <w:t>期间取得利息或现金股利，确认为投资收益。资产负债表日，本公司将这类金融资产以公允价值计量且其</w:t>
      </w:r>
      <w:r>
        <w:rPr>
          <w:spacing w:val="-45"/>
        </w:rPr>
        <w:t> </w:t>
      </w:r>
      <w:r>
        <w:rPr>
          <w:spacing w:val="-45"/>
        </w:rPr>
      </w:r>
      <w:r>
        <w:rPr>
          <w:spacing w:val="-2"/>
        </w:rPr>
        <w:t>变动计入当期损益。这类金融资产在处置时，其公允价值与初始入账金额之间的差额确认为投资收益，同</w:t>
      </w:r>
      <w:r>
        <w:rPr>
          <w:spacing w:val="-42"/>
        </w:rPr>
        <w:t> </w:t>
      </w:r>
      <w:r>
        <w:rPr>
          <w:spacing w:val="-42"/>
        </w:rPr>
      </w:r>
      <w:r>
        <w:rPr/>
        <w:t>时调整公允价值变动损益。</w:t>
      </w:r>
    </w:p>
    <w:p>
      <w:pPr>
        <w:pStyle w:val="BodyText"/>
        <w:spacing w:line="432" w:lineRule="exact" w:before="27"/>
        <w:ind w:left="580" w:right="0"/>
        <w:jc w:val="left"/>
      </w:pPr>
      <w:r>
        <w:rPr/>
        <w:t>②持有至到期投资</w:t>
      </w:r>
      <w:r>
        <w:rPr>
          <w:w w:val="100"/>
        </w:rPr>
        <w:t> </w:t>
      </w:r>
      <w:r>
        <w:rPr>
          <w:spacing w:val="-3"/>
        </w:rPr>
        <w:t>主要是指到期日固定、回收金额固定或可确定，且本公司具有明确意图和能力持有至到期的国债、公</w:t>
      </w:r>
    </w:p>
    <w:p>
      <w:pPr>
        <w:pStyle w:val="BodyText"/>
        <w:spacing w:line="255" w:lineRule="exact"/>
        <w:ind w:right="0"/>
        <w:jc w:val="both"/>
      </w:pPr>
      <w:r>
        <w:rPr/>
        <w:t>司债券等。这类金融资产按照取得时的公允价值和相关交易费用之和作为初始确认金额。支付价款中包含</w:t>
      </w:r>
    </w:p>
    <w:p>
      <w:pPr>
        <w:pStyle w:val="BodyText"/>
        <w:spacing w:line="273" w:lineRule="auto" w:before="37"/>
        <w:ind w:right="206"/>
        <w:jc w:val="both"/>
      </w:pPr>
      <w:r>
        <w:rPr>
          <w:spacing w:val="-2"/>
        </w:rPr>
        <w:t>的已到付息期但尚未发放的债券利息，单独确认为应收项目。持有至到期投资在持有期间按照摊余成本和</w:t>
      </w:r>
      <w:r>
        <w:rPr>
          <w:spacing w:val="-43"/>
        </w:rPr>
        <w:t> </w:t>
      </w:r>
      <w:r>
        <w:rPr>
          <w:spacing w:val="-43"/>
        </w:rPr>
      </w:r>
      <w:r>
        <w:rPr>
          <w:spacing w:val="-2"/>
        </w:rPr>
        <w:t>实际利率计算确认利息收入，计入投资收益。处置持有至到期投资时，将所取得价款与该投资账面价值之</w:t>
      </w:r>
      <w:r>
        <w:rPr>
          <w:spacing w:val="-44"/>
        </w:rPr>
        <w:t> </w:t>
      </w:r>
      <w:r>
        <w:rPr>
          <w:spacing w:val="-44"/>
        </w:rPr>
      </w:r>
      <w:r>
        <w:rPr/>
        <w:t>间的差额计入投资收益。</w:t>
      </w:r>
    </w:p>
    <w:p>
      <w:pPr>
        <w:pStyle w:val="BodyText"/>
        <w:spacing w:line="432" w:lineRule="exact" w:before="27"/>
        <w:ind w:left="580" w:right="0"/>
        <w:jc w:val="left"/>
      </w:pPr>
      <w:r>
        <w:rPr/>
        <w:t>③应收款项</w:t>
      </w:r>
      <w:r>
        <w:rPr>
          <w:spacing w:val="-102"/>
        </w:rPr>
        <w:t> </w:t>
      </w:r>
      <w:r>
        <w:rPr>
          <w:spacing w:val="-102"/>
        </w:rPr>
      </w:r>
      <w:r>
        <w:rPr>
          <w:spacing w:val="-3"/>
        </w:rPr>
        <w:t>应收款项主要包括应收账款和其他应收款等。应收账款是指本公司销售商品或提供劳务形成的应收款</w:t>
      </w:r>
    </w:p>
    <w:p>
      <w:pPr>
        <w:pStyle w:val="BodyText"/>
        <w:spacing w:line="255" w:lineRule="exact"/>
        <w:ind w:right="0"/>
        <w:jc w:val="both"/>
      </w:pPr>
      <w:r>
        <w:rPr/>
        <w:t>项。应收账款按从购货方应收的合同或协议价款作为初始确认金额。</w:t>
      </w:r>
    </w:p>
    <w:p>
      <w:pPr>
        <w:pStyle w:val="BodyText"/>
        <w:spacing w:line="430" w:lineRule="atLeast" w:before="2"/>
        <w:ind w:left="580" w:right="0"/>
        <w:jc w:val="left"/>
      </w:pPr>
      <w:r>
        <w:rPr/>
        <w:t>④可供出售金融资产</w:t>
      </w:r>
      <w:r>
        <w:rPr>
          <w:w w:val="100"/>
        </w:rPr>
        <w:t> </w:t>
      </w:r>
      <w:r>
        <w:rPr>
          <w:spacing w:val="-3"/>
        </w:rPr>
        <w:t>主要是指本公司没有划分为以公允价值计量且其变动计入当期损益的金融资产、持有至到期投资、贷</w:t>
      </w:r>
    </w:p>
    <w:p>
      <w:pPr>
        <w:pStyle w:val="BodyText"/>
        <w:spacing w:line="273" w:lineRule="auto" w:before="34"/>
        <w:ind w:right="206"/>
        <w:jc w:val="both"/>
      </w:pPr>
      <w:r>
        <w:rPr>
          <w:spacing w:val="-2"/>
        </w:rPr>
        <w:t>款和应收款项的金融资产。可供出售金融资产按照取得该金融资产的公允价值和相关交易费用之和作为初</w:t>
      </w:r>
      <w:r>
        <w:rPr>
          <w:spacing w:val="-43"/>
        </w:rPr>
        <w:t> </w:t>
      </w:r>
      <w:r>
        <w:rPr>
          <w:spacing w:val="-43"/>
        </w:rPr>
      </w:r>
      <w:r>
        <w:rPr>
          <w:spacing w:val="-2"/>
        </w:rPr>
        <w:t>始确认金额。支付的价款中包含的已到付息期但尚未领取的债券利息或已宣告但尚未发放的现金股利，单</w:t>
      </w:r>
      <w:r>
        <w:rPr>
          <w:spacing w:val="-44"/>
        </w:rPr>
        <w:t> </w:t>
      </w:r>
      <w:r>
        <w:rPr>
          <w:spacing w:val="-44"/>
        </w:rPr>
      </w:r>
      <w:r>
        <w:rPr/>
        <w:t>独确认为应收项目。可供出售金融资产持有期间取得的利息或现金股利计入投资收益。</w:t>
      </w:r>
    </w:p>
    <w:p>
      <w:pPr>
        <w:spacing w:after="0" w:line="273"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24" w:firstLine="427"/>
        <w:jc w:val="both"/>
      </w:pPr>
      <w:r>
        <w:rPr>
          <w:spacing w:val="-3"/>
        </w:rPr>
        <w:t>可供出售金融资产是外币货币性金融资产的，其形成的汇兑损益应当计入当期损益。采用实际利率法</w:t>
      </w:r>
      <w:r>
        <w:rPr>
          <w:w w:val="100"/>
        </w:rPr>
        <w:t> </w:t>
      </w:r>
      <w:r>
        <w:rPr>
          <w:spacing w:val="-2"/>
        </w:rPr>
        <w:t>计算的可供出售债务工具投资的利息，计入当期损益；可供出售权益工具投资的现金股利，在被投资单位</w:t>
      </w:r>
      <w:r>
        <w:rPr>
          <w:spacing w:val="-43"/>
        </w:rPr>
        <w:t> </w:t>
      </w:r>
      <w:r>
        <w:rPr>
          <w:spacing w:val="-43"/>
        </w:rPr>
      </w:r>
      <w:r>
        <w:rPr>
          <w:spacing w:val="-2"/>
        </w:rPr>
        <w:t>宣告发放股利时计入当期损益。资产负债表日，可供出售金融资产以公允价值计量，且其变动计入其他综</w:t>
      </w:r>
      <w:r>
        <w:rPr>
          <w:spacing w:val="-43"/>
        </w:rPr>
        <w:t> </w:t>
      </w:r>
      <w:r>
        <w:rPr>
          <w:spacing w:val="-43"/>
        </w:rPr>
      </w:r>
      <w:r>
        <w:rPr>
          <w:spacing w:val="-2"/>
        </w:rPr>
        <w:t>合收益。处置可供出售金融资产时，将取得的价款与该金融资产账面价值之间差额计入投资收益；同时，</w:t>
      </w:r>
      <w:r>
        <w:rPr>
          <w:spacing w:val="-21"/>
        </w:rPr>
        <w:t> </w:t>
      </w:r>
      <w:r>
        <w:rPr>
          <w:spacing w:val="-21"/>
        </w:rPr>
      </w:r>
      <w:r>
        <w:rPr/>
        <w:t>将原计入所有者权益的公允价值变动累计额对应处置部分的金额转出，计入投资收益。</w:t>
      </w:r>
    </w:p>
    <w:p>
      <w:pPr>
        <w:pStyle w:val="Heading3"/>
        <w:spacing w:line="240" w:lineRule="auto" w:before="61"/>
        <w:ind w:left="580" w:right="0"/>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273" w:lineRule="auto" w:before="133"/>
        <w:ind w:right="146" w:firstLine="427"/>
        <w:jc w:val="both"/>
      </w:pPr>
      <w:r>
        <w:rPr>
          <w:spacing w:val="-3"/>
        </w:rPr>
        <w:t>①以公允价值计量且其变动计入当期损益的金融负债，包括交易性金融负债和指定为以公允价值计量</w:t>
      </w:r>
      <w:r>
        <w:rPr>
          <w:w w:val="100"/>
        </w:rPr>
        <w:t> </w:t>
      </w:r>
      <w:r>
        <w:rPr>
          <w:spacing w:val="-2"/>
        </w:rPr>
        <w:t>且其变动计入当期损益的金融负债；这类金融负债初始确认时以公允价值计量，相关交易费用直接计入当</w:t>
      </w:r>
      <w:r>
        <w:rPr>
          <w:spacing w:val="-43"/>
        </w:rPr>
        <w:t> </w:t>
      </w:r>
      <w:r>
        <w:rPr>
          <w:spacing w:val="-43"/>
        </w:rPr>
      </w:r>
      <w:r>
        <w:rPr/>
        <w:t>期损益，资产负债表日将公允价值变动计入当期损益。</w:t>
      </w:r>
    </w:p>
    <w:p>
      <w:pPr>
        <w:pStyle w:val="BodyText"/>
        <w:spacing w:line="240" w:lineRule="auto" w:before="127"/>
        <w:ind w:left="580" w:right="0"/>
        <w:jc w:val="left"/>
      </w:pPr>
      <w:r>
        <w:rPr/>
        <w:t>②其他金融负债，是指以公允价值计量且其变动计入当期损益的金融负债以外的金融负债。</w:t>
      </w:r>
    </w:p>
    <w:p>
      <w:pPr>
        <w:spacing w:line="326" w:lineRule="auto" w:before="9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）金融资产的重分类</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因持有意图或能力发生改变，使某项投资不再适合划分为持有至到期投资的，本公司将其重分类为可</w:t>
      </w:r>
    </w:p>
    <w:p>
      <w:pPr>
        <w:pStyle w:val="BodyText"/>
        <w:spacing w:line="236" w:lineRule="exact"/>
        <w:ind w:left="0" w:right="146"/>
        <w:jc w:val="right"/>
      </w:pPr>
      <w:r>
        <w:rPr>
          <w:spacing w:val="-2"/>
        </w:rPr>
        <w:t>供出售金融资产，并以公允价值进行后续计量。持有至到期投资部分出售或重分类的金额较大，且不属于</w:t>
      </w:r>
    </w:p>
    <w:p>
      <w:pPr>
        <w:pStyle w:val="BodyText"/>
        <w:spacing w:line="264" w:lineRule="auto" w:before="37"/>
        <w:ind w:left="0" w:right="124"/>
        <w:jc w:val="right"/>
      </w:pPr>
      <w:r>
        <w:rPr>
          <w:spacing w:val="-2"/>
        </w:rPr>
        <w:t>《企业会计准则第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金融工具确认和计量》第十六条所指的例外情况，使该投资的剩余部分不再适</w:t>
      </w:r>
      <w:r>
        <w:rPr>
          <w:spacing w:val="-86"/>
        </w:rPr>
        <w:t> </w:t>
      </w:r>
      <w:r>
        <w:rPr>
          <w:spacing w:val="-86"/>
        </w:rPr>
      </w:r>
      <w:r>
        <w:rPr>
          <w:spacing w:val="-2"/>
        </w:rPr>
        <w:t>合划分为持有至到期投资的，本公司应当将该投资的剩余部分重分类为可供出售金融资产，并以公允价值</w:t>
      </w:r>
      <w:r>
        <w:rPr>
          <w:spacing w:val="-86"/>
        </w:rPr>
        <w:t> </w:t>
      </w:r>
      <w:r>
        <w:rPr>
          <w:spacing w:val="-86"/>
        </w:rPr>
      </w:r>
      <w:r>
        <w:rPr>
          <w:spacing w:val="-2"/>
        </w:rPr>
        <w:t>进行后续计量，但在本会计年度及以后两个完整的会计年度内不再将该金融资产划分为持有至到期投资。</w:t>
      </w:r>
    </w:p>
    <w:p>
      <w:pPr>
        <w:pStyle w:val="BodyText"/>
        <w:spacing w:line="273" w:lineRule="auto" w:before="136"/>
        <w:ind w:right="146" w:firstLine="427"/>
        <w:jc w:val="both"/>
      </w:pPr>
      <w:r>
        <w:rPr>
          <w:spacing w:val="-3"/>
        </w:rPr>
        <w:t>重分类日，该投资的账面价值与公允价值之间的差额计入其他综合收益，在该可供出售金融资产发生</w:t>
      </w:r>
      <w:r>
        <w:rPr>
          <w:w w:val="100"/>
        </w:rPr>
        <w:t> </w:t>
      </w:r>
      <w:r>
        <w:rPr/>
        <w:t>减值或终止确认时转出，计入当期损益。</w:t>
      </w:r>
    </w:p>
    <w:p>
      <w:pPr>
        <w:spacing w:line="326" w:lineRule="auto" w:before="61"/>
        <w:ind w:left="580" w:right="77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）金融负债与权益工具的区分</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除特殊情况外，金融负债与权益工具按照下列原则进行区分：</w:t>
      </w:r>
    </w:p>
    <w:p>
      <w:pPr>
        <w:pStyle w:val="BodyText"/>
        <w:spacing w:line="273" w:lineRule="auto" w:before="82"/>
        <w:ind w:right="146" w:firstLine="427"/>
        <w:jc w:val="both"/>
      </w:pPr>
      <w:r>
        <w:rPr>
          <w:spacing w:val="-3"/>
        </w:rPr>
        <w:t>①如果本公司不能无条件地避免以交付现金或其他金融资产来履行一项合同义务，则该合同义务符合</w:t>
      </w:r>
      <w:r>
        <w:rPr>
          <w:w w:val="100"/>
        </w:rPr>
        <w:t> </w:t>
      </w:r>
      <w:r>
        <w:rPr>
          <w:spacing w:val="-2"/>
        </w:rPr>
        <w:t>金融负债的定义。有些金融工具虽然没有明确地包含交付现金或其他金融资产义务的条款和条件，但有可</w:t>
      </w:r>
      <w:r>
        <w:rPr>
          <w:spacing w:val="-44"/>
        </w:rPr>
        <w:t> </w:t>
      </w:r>
      <w:r>
        <w:rPr>
          <w:spacing w:val="-44"/>
        </w:rPr>
      </w:r>
      <w:r>
        <w:rPr/>
        <w:t>能通过其他条款和条件间接地形成合同义务。</w:t>
      </w:r>
    </w:p>
    <w:p>
      <w:pPr>
        <w:pStyle w:val="BodyText"/>
        <w:spacing w:line="273" w:lineRule="auto" w:before="127"/>
        <w:ind w:right="146" w:firstLine="427"/>
        <w:jc w:val="both"/>
      </w:pPr>
      <w:r>
        <w:rPr>
          <w:spacing w:val="-3"/>
        </w:rPr>
        <w:t>②如果一项金融工具须用或可用本公司自身权益工具进行结算，需要考虑用于结算该工具的本公司自</w:t>
      </w:r>
      <w:r>
        <w:rPr>
          <w:w w:val="100"/>
        </w:rPr>
        <w:t> </w:t>
      </w:r>
      <w:r>
        <w:rPr>
          <w:spacing w:val="-2"/>
        </w:rPr>
        <w:t>身权益工具，是作为现金或其他金融资产的替代品，还是为了使该工具持有方享有在发行方扣除所有负债</w:t>
      </w:r>
      <w:r>
        <w:rPr>
          <w:spacing w:val="-44"/>
        </w:rPr>
        <w:t> </w:t>
      </w:r>
      <w:r>
        <w:rPr>
          <w:spacing w:val="-44"/>
        </w:rPr>
      </w:r>
      <w:r>
        <w:rPr>
          <w:spacing w:val="-2"/>
        </w:rPr>
        <w:t>后的资产中的剩余权益。如果是前者，该工具是发行方的金融负债；如果是后者，该工具是发行方的权益</w:t>
      </w:r>
      <w:r>
        <w:rPr>
          <w:spacing w:val="-50"/>
        </w:rPr>
        <w:t> </w:t>
      </w:r>
      <w:r>
        <w:rPr>
          <w:spacing w:val="-50"/>
        </w:rPr>
      </w:r>
      <w:r>
        <w:rPr>
          <w:spacing w:val="-2"/>
        </w:rPr>
        <w:t>工具。在某些情况下，一项金融工具合同规定本公司须用或可用自身权益工具结算该金融工具，其中合同</w:t>
      </w:r>
      <w:r>
        <w:rPr>
          <w:spacing w:val="-43"/>
        </w:rPr>
        <w:t> </w:t>
      </w:r>
      <w:r>
        <w:rPr>
          <w:spacing w:val="-43"/>
        </w:rPr>
      </w:r>
      <w:r>
        <w:rPr>
          <w:spacing w:val="-2"/>
        </w:rPr>
        <w:t>权利或合同义务的金额等于可获取或需交付的自身权益工具的数量乘以其结算时的公允价值，则无论该合</w:t>
      </w:r>
      <w:r>
        <w:rPr>
          <w:spacing w:val="-43"/>
        </w:rPr>
        <w:t> </w:t>
      </w:r>
      <w:r>
        <w:rPr>
          <w:spacing w:val="-43"/>
        </w:rPr>
      </w:r>
      <w:r>
        <w:rPr>
          <w:spacing w:val="2"/>
        </w:rPr>
        <w:t>同权利或合同义务的金额是固定的，还是完全或部分地基于除本公司自身权益工具的市场价格以外变量</w:t>
      </w:r>
    </w:p>
    <w:p>
      <w:pPr>
        <w:pStyle w:val="BodyText"/>
        <w:spacing w:line="240" w:lineRule="auto" w:before="7"/>
        <w:ind w:right="0"/>
        <w:jc w:val="left"/>
      </w:pPr>
      <w:r>
        <w:rPr/>
        <w:t>（例如利率、某种商品的价格或某项金融工具的价格）的变动而变动，该合同分类为金融负债。</w:t>
      </w:r>
    </w:p>
    <w:p>
      <w:pPr>
        <w:spacing w:line="326" w:lineRule="auto" w:before="91"/>
        <w:ind w:left="580" w:right="527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）金融资产转移</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81"/>
        <w:ind w:left="580" w:right="0"/>
        <w:jc w:val="left"/>
      </w:pPr>
      <w:r>
        <w:rPr>
          <w:rFonts w:ascii="Times New Roman" w:hAnsi="Times New Roman" w:cs="Times New Roman" w:eastAsia="Times New Roman" w:hint="default"/>
        </w:rPr>
        <w:t>A.</w:t>
      </w:r>
      <w:r>
        <w:rPr/>
        <w:t>将收取金融资产现金流量的合同权利转移给另一方；</w:t>
      </w:r>
    </w:p>
    <w:p>
      <w:pPr>
        <w:pStyle w:val="BodyText"/>
        <w:spacing w:line="256" w:lineRule="auto" w:before="141"/>
        <w:ind w:right="148" w:firstLine="427"/>
        <w:jc w:val="both"/>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w:t>
      </w:r>
      <w:r>
        <w:rPr>
          <w:w w:val="100"/>
        </w:rPr>
        <w:t> </w:t>
      </w:r>
      <w:r>
        <w:rPr/>
        <w:t>现金流量支付给一个或多个收款方的合同义务。</w:t>
      </w:r>
    </w:p>
    <w:p>
      <w:pPr>
        <w:pStyle w:val="BodyText"/>
        <w:spacing w:line="432" w:lineRule="exact" w:before="42"/>
        <w:ind w:left="580" w:right="0"/>
        <w:jc w:val="left"/>
      </w:pPr>
      <w:r>
        <w:rPr/>
        <w:t>①终止确认所转移的金融资产</w:t>
      </w:r>
      <w:r>
        <w:rPr>
          <w:w w:val="100"/>
        </w:rPr>
        <w:t> </w:t>
      </w:r>
      <w:r>
        <w:rPr>
          <w:spacing w:val="-3"/>
        </w:rPr>
        <w:t>已将金融资产所有权上几乎所有的风险和报酬转移给转入方的，或既没有转移也没有保留金融资产所</w:t>
      </w:r>
    </w:p>
    <w:p>
      <w:pPr>
        <w:pStyle w:val="BodyText"/>
        <w:spacing w:line="255" w:lineRule="exact"/>
        <w:ind w:right="0"/>
        <w:jc w:val="left"/>
      </w:pPr>
      <w:r>
        <w:rPr/>
        <w:t>有权上几乎所有的风险和报酬的，但放弃了对该金融资产控制的，终止确认该金融资产。</w:t>
      </w:r>
    </w:p>
    <w:p>
      <w:pPr>
        <w:spacing w:after="0" w:line="255" w:lineRule="exact"/>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7"/>
        <w:jc w:val="both"/>
      </w:pPr>
      <w:r>
        <w:rPr>
          <w:spacing w:val="-3"/>
        </w:rPr>
        <w:t>在判断是否已放弃对所转移金融资产的控制时，注重转入方出售该金融资产的实际能力。转入方能够</w:t>
      </w:r>
      <w:r>
        <w:rPr>
          <w:w w:val="100"/>
        </w:rPr>
        <w:t> </w:t>
      </w:r>
      <w:r>
        <w:rPr>
          <w:spacing w:val="-2"/>
        </w:rPr>
        <w:t>单独将转入的金融资产整体出售给与其不存在关联方关系的第三方，且没有额外条件对此项出售加以限制</w:t>
      </w:r>
      <w:r>
        <w:rPr>
          <w:spacing w:val="-43"/>
        </w:rPr>
        <w:t> </w:t>
      </w:r>
      <w:r>
        <w:rPr>
          <w:spacing w:val="-43"/>
        </w:rPr>
      </w:r>
      <w:r>
        <w:rPr/>
        <w:t>的，表明企业已放弃对该金融资产的控制。</w:t>
      </w:r>
    </w:p>
    <w:p>
      <w:pPr>
        <w:pStyle w:val="BodyText"/>
        <w:spacing w:line="432" w:lineRule="exact" w:before="27"/>
        <w:ind w:left="580" w:right="0"/>
        <w:jc w:val="left"/>
      </w:pP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r>
        <w:rPr>
          <w:w w:val="100"/>
        </w:rPr>
        <w:t>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w:t>
      </w:r>
    </w:p>
    <w:p>
      <w:pPr>
        <w:pStyle w:val="BodyText"/>
        <w:spacing w:line="255" w:lineRule="exact"/>
        <w:ind w:right="0"/>
        <w:jc w:val="left"/>
      </w:pPr>
      <w:r>
        <w:rPr/>
        <w:t>供出售金融资产的情形）之和。</w:t>
      </w:r>
    </w:p>
    <w:p>
      <w:pPr>
        <w:pStyle w:val="BodyText"/>
        <w:spacing w:line="273" w:lineRule="auto" w:before="157"/>
        <w:ind w:right="146" w:firstLine="427"/>
        <w:jc w:val="both"/>
      </w:pPr>
      <w:r>
        <w:rPr>
          <w:spacing w:val="-3"/>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6"/>
        </w:rPr>
        <w:t> </w:t>
      </w:r>
      <w:r>
        <w:rPr>
          <w:spacing w:val="-46"/>
        </w:rPr>
      </w:r>
      <w:r>
        <w:rPr/>
        <w:t>对公允价值进行分摊，并将下列两项金额的差额计入当期损益：</w:t>
      </w:r>
    </w:p>
    <w:p>
      <w:pPr>
        <w:pStyle w:val="BodyText"/>
        <w:spacing w:line="432" w:lineRule="exact" w:before="27"/>
        <w:ind w:left="580" w:right="0"/>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w:t>
      </w:r>
    </w:p>
    <w:p>
      <w:pPr>
        <w:pStyle w:val="BodyText"/>
        <w:spacing w:line="255" w:lineRule="exact"/>
        <w:ind w:right="0"/>
        <w:jc w:val="left"/>
      </w:pPr>
      <w:r>
        <w:rPr/>
        <w:t>（涉及转移的金融资产为可供出售金融资产的情形）之和。</w:t>
      </w:r>
    </w:p>
    <w:p>
      <w:pPr>
        <w:pStyle w:val="BodyText"/>
        <w:spacing w:line="430" w:lineRule="atLeast" w:before="2"/>
        <w:ind w:left="580" w:right="0"/>
        <w:jc w:val="left"/>
      </w:pPr>
      <w:r>
        <w:rPr/>
        <w:t>②继续涉入所转移的金融资产</w:t>
      </w:r>
      <w:r>
        <w:rPr>
          <w:w w:val="100"/>
        </w:rPr>
        <w:t> </w:t>
      </w:r>
      <w:r>
        <w:rPr>
          <w:spacing w:val="-2"/>
        </w:rPr>
        <w:t>既没有转移也没有保留金融资产所有权上几乎所有的风险和报酬的，且未放弃对该金融资产控制的，</w:t>
      </w:r>
    </w:p>
    <w:p>
      <w:pPr>
        <w:pStyle w:val="BodyText"/>
        <w:spacing w:line="376" w:lineRule="auto" w:before="37"/>
        <w:ind w:left="580" w:right="0" w:hanging="428"/>
        <w:jc w:val="left"/>
      </w:pPr>
      <w:r>
        <w:rPr/>
        <w:t>应当按照其继续涉入所转移金融资产的程度确认有关金融资产，并相应确认有关负债。</w:t>
      </w:r>
      <w:r>
        <w:rPr>
          <w:w w:val="100"/>
        </w:rPr>
        <w:t> </w:t>
      </w:r>
      <w:r>
        <w:rPr>
          <w:spacing w:val="-2"/>
        </w:rPr>
        <w:t>继续涉入所转移金融资产的程度，是指该金融资产价值变动使企业面临的风险水平。</w:t>
      </w:r>
    </w:p>
    <w:p>
      <w:pPr>
        <w:pStyle w:val="BodyText"/>
        <w:spacing w:line="240" w:lineRule="auto" w:before="37"/>
        <w:ind w:left="580" w:right="0"/>
        <w:jc w:val="left"/>
      </w:pPr>
      <w:r>
        <w:rPr/>
        <w:t>③继续确认所转移的金融资产</w:t>
      </w:r>
    </w:p>
    <w:p>
      <w:pPr>
        <w:pStyle w:val="BodyText"/>
        <w:spacing w:line="273" w:lineRule="auto" w:before="157"/>
        <w:ind w:right="146" w:firstLine="427"/>
        <w:jc w:val="both"/>
      </w:pPr>
      <w:r>
        <w:rPr>
          <w:spacing w:val="-2"/>
        </w:rPr>
        <w:t>仍保留与所转移金融资产所有权上几乎所有的风险和报酬的，应当继续确认所转移金融资产整体，并</w:t>
      </w:r>
      <w:r>
        <w:rPr>
          <w:w w:val="100"/>
        </w:rPr>
        <w:t> </w:t>
      </w:r>
      <w:r>
        <w:rPr/>
        <w:t>将收到的对价确认为一项金融负债。</w:t>
      </w:r>
    </w:p>
    <w:p>
      <w:pPr>
        <w:pStyle w:val="BodyText"/>
        <w:spacing w:line="273" w:lineRule="auto" w:before="127"/>
        <w:ind w:right="146" w:firstLine="427"/>
        <w:jc w:val="both"/>
      </w:pPr>
      <w:r>
        <w:rPr>
          <w:spacing w:val="-2"/>
        </w:rPr>
        <w:t>该金融资产与确认的相关金融负债不得相互抵销。在随后的会计期间，企业应当继续确认该金融资产</w:t>
      </w:r>
      <w:r>
        <w:rPr>
          <w:w w:val="100"/>
        </w:rPr>
        <w:t> </w:t>
      </w:r>
      <w:r>
        <w:rPr>
          <w:spacing w:val="-2"/>
        </w:rPr>
        <w:t>产生的收入和该金融负债产生的费用。所转移的金融资产以摊余成本计量的，确认的相关负债不得指定为</w:t>
      </w:r>
      <w:r>
        <w:rPr>
          <w:spacing w:val="-44"/>
        </w:rPr>
        <w:t> </w:t>
      </w:r>
      <w:r>
        <w:rPr>
          <w:spacing w:val="-44"/>
        </w:rPr>
      </w:r>
      <w:r>
        <w:rPr/>
        <w:t>以公允价值计量且其变动计入当期损益的金融负债。</w:t>
      </w:r>
    </w:p>
    <w:p>
      <w:pPr>
        <w:pStyle w:val="BodyText"/>
        <w:spacing w:line="432" w:lineRule="exact" w:before="27"/>
        <w:ind w:left="580"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）金融负债终止确认</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t>金融负债的现时义务全部或部分已经解除的，终止确认该金融负债或其一部分。</w:t>
      </w:r>
      <w:r>
        <w:rPr>
          <w:w w:val="100"/>
        </w:rPr>
        <w:t> </w:t>
      </w:r>
      <w:r>
        <w:rPr>
          <w:spacing w:val="-3"/>
        </w:rPr>
        <w:t>将用于偿付金融负债的资产转入某个机构或设立信托，偿付债务的现时义务仍存在的，不终止确认该</w:t>
      </w:r>
    </w:p>
    <w:p>
      <w:pPr>
        <w:pStyle w:val="BodyText"/>
        <w:spacing w:line="255" w:lineRule="exact"/>
        <w:ind w:right="0"/>
        <w:jc w:val="left"/>
      </w:pPr>
      <w:r>
        <w:rPr/>
        <w:t>金融负债，也不终止确认转出的资产。</w:t>
      </w:r>
    </w:p>
    <w:p>
      <w:pPr>
        <w:pStyle w:val="BodyText"/>
        <w:spacing w:line="273" w:lineRule="auto" w:before="157"/>
        <w:ind w:right="146" w:firstLine="427"/>
        <w:jc w:val="both"/>
      </w:pPr>
      <w:r>
        <w:rPr>
          <w:spacing w:val="-3"/>
        </w:rPr>
        <w:t>与债权人之间签订协议，以承担新金融负债方式替换现存金融负债，且新金融负债与现存金融负债的</w:t>
      </w:r>
      <w:r>
        <w:rPr>
          <w:w w:val="100"/>
        </w:rPr>
        <w:t> </w:t>
      </w:r>
      <w:r>
        <w:rPr/>
        <w:t>合同条款实质上不同的，终止确认现存金融负债，并同时确认新金融负债。</w:t>
      </w:r>
    </w:p>
    <w:p>
      <w:pPr>
        <w:pStyle w:val="BodyText"/>
        <w:spacing w:line="273" w:lineRule="auto" w:before="127"/>
        <w:ind w:right="146" w:firstLine="427"/>
        <w:jc w:val="both"/>
      </w:pPr>
      <w:r>
        <w:rPr>
          <w:spacing w:val="-3"/>
        </w:rPr>
        <w:t>对现存金融负债全部或部分的合同条款作出实质性修改的，终止确认现存金融负债或其一部分，同时</w:t>
      </w:r>
      <w:r>
        <w:rPr>
          <w:w w:val="100"/>
        </w:rPr>
        <w:t> </w:t>
      </w:r>
      <w:r>
        <w:rPr/>
        <w:t>将修改条款后的金融负债确认为一项新金融负债。</w:t>
      </w:r>
    </w:p>
    <w:p>
      <w:pPr>
        <w:pStyle w:val="BodyText"/>
        <w:spacing w:line="273" w:lineRule="auto" w:before="127"/>
        <w:ind w:right="146" w:firstLine="427"/>
        <w:jc w:val="both"/>
      </w:pPr>
      <w:r>
        <w:rPr>
          <w:spacing w:val="-3"/>
        </w:rPr>
        <w:t>金融负债全部或部分终止确认的，将终止确认部分的账面价值与支付的对价（包括转出的非现金资产</w:t>
      </w:r>
      <w:r>
        <w:rPr>
          <w:w w:val="100"/>
        </w:rPr>
        <w:t> </w:t>
      </w:r>
      <w:r>
        <w:rPr/>
        <w:t>或承担的新金融负债）之间的差额，计入当期损益。</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）金融资产和金融负债的抵销</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金融资产和金融负债应当在资产负债表内分别列示，不得相互抵销。但同时满足下列条件的，以相互</w:t>
      </w:r>
    </w:p>
    <w:p>
      <w:pPr>
        <w:spacing w:after="0" w:line="326" w:lineRule="auto"/>
        <w:jc w:val="left"/>
        <w:rPr>
          <w:rFonts w:ascii="宋体" w:hAnsi="宋体" w:cs="宋体" w:eastAsia="宋体" w:hint="default"/>
          <w:sz w:val="21"/>
          <w:szCs w:val="21"/>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376" w:lineRule="auto" w:before="36"/>
        <w:ind w:left="580" w:right="0" w:hanging="428"/>
        <w:jc w:val="left"/>
      </w:pPr>
      <w:r>
        <w:rPr/>
        <w:t>抵销后的净额在资产负债表内列示：</w:t>
      </w:r>
      <w:r>
        <w:rPr>
          <w:w w:val="100"/>
        </w:rPr>
        <w:t> </w:t>
      </w: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pStyle w:val="Heading3"/>
        <w:spacing w:line="336" w:lineRule="exact"/>
        <w:ind w:left="580" w:right="0"/>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67" w:lineRule="auto" w:before="133"/>
        <w:ind w:left="580" w:right="3293"/>
        <w:jc w:val="left"/>
      </w:pPr>
      <w:r>
        <w:rPr/>
        <w:t>①金融资产发生减值的客观证据：</w:t>
      </w:r>
      <w:r>
        <w:rPr>
          <w:w w:val="100"/>
        </w:rPr>
        <w:t> </w:t>
      </w:r>
      <w:r>
        <w:rPr>
          <w:rFonts w:ascii="Times New Roman" w:hAnsi="Times New Roman" w:cs="Times New Roman" w:eastAsia="Times New Roman" w:hint="default"/>
        </w:rPr>
        <w:t>A.</w:t>
      </w:r>
      <w:r>
        <w:rPr/>
        <w:t>发行方或债务人发生严重财务困难；</w:t>
      </w:r>
      <w:r>
        <w:rPr>
          <w:w w:val="100"/>
        </w:rPr>
        <w:t> </w:t>
      </w:r>
      <w:r>
        <w:rPr>
          <w:rFonts w:ascii="Times New Roman" w:hAnsi="Times New Roman" w:cs="Times New Roman" w:eastAsia="Times New Roman" w:hint="default"/>
          <w:spacing w:val="-2"/>
        </w:rPr>
        <w:t>B.</w:t>
      </w:r>
      <w:r>
        <w:rPr>
          <w:spacing w:val="-2"/>
        </w:rPr>
        <w:t>债务人违反了合同条款，如偿付利息或本金发生违约或逾期等；</w:t>
      </w:r>
    </w:p>
    <w:p>
      <w:pPr>
        <w:pStyle w:val="BodyText"/>
        <w:spacing w:line="357" w:lineRule="auto" w:before="18"/>
        <w:ind w:left="580" w:right="0"/>
        <w:jc w:val="left"/>
      </w:pPr>
      <w:r>
        <w:rPr>
          <w:rFonts w:ascii="Times New Roman" w:hAnsi="Times New Roman" w:cs="Times New Roman" w:eastAsia="Times New Roman" w:hint="default"/>
        </w:rPr>
        <w:t>C.</w:t>
      </w:r>
      <w:r>
        <w:rPr/>
        <w:t>债权人出于经济或法律等方面的考虑，对发生财务困难的债务人作出让步；</w:t>
      </w:r>
      <w:r>
        <w:rPr>
          <w:w w:val="100"/>
        </w:rPr>
        <w:t> </w:t>
      </w:r>
      <w:r>
        <w:rPr>
          <w:rFonts w:ascii="Times New Roman" w:hAnsi="Times New Roman" w:cs="Times New Roman" w:eastAsia="Times New Roman" w:hint="default"/>
        </w:rPr>
        <w:t>D.</w:t>
      </w:r>
      <w:r>
        <w:rPr/>
        <w:t>债务人可能倒闭或进行其他财务重组；</w:t>
      </w:r>
      <w:r>
        <w:rPr>
          <w:w w:val="100"/>
        </w:rPr>
        <w:t>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256" w:lineRule="auto" w:before="27"/>
        <w:ind w:right="146" w:firstLine="427"/>
        <w:jc w:val="both"/>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w:t>
      </w:r>
      <w:r>
        <w:rPr>
          <w:w w:val="100"/>
        </w:rPr>
        <w:t> </w:t>
      </w:r>
      <w:r>
        <w:rPr/>
        <w:t>价后发现，该组金融资产自初始确认以来的预计未来现金流量确已减少且可计量；</w:t>
      </w:r>
    </w:p>
    <w:p>
      <w:pPr>
        <w:pStyle w:val="BodyText"/>
        <w:spacing w:line="256" w:lineRule="auto" w:before="142"/>
        <w:ind w:right="148" w:firstLine="427"/>
        <w:jc w:val="both"/>
      </w:pPr>
      <w:r>
        <w:rPr>
          <w:rFonts w:ascii="Times New Roman" w:hAnsi="Times New Roman" w:cs="Times New Roman" w:eastAsia="Times New Roman" w:hint="default"/>
          <w:spacing w:val="-2"/>
        </w:rPr>
        <w:t>G.</w:t>
      </w:r>
      <w:r>
        <w:rPr>
          <w:spacing w:val="-2"/>
        </w:rPr>
        <w:t>债务人经营所处的技术、市场、经济或法律环境等发生重大不利变化，使权益工具投资人可能无法</w:t>
      </w:r>
      <w:r>
        <w:rPr>
          <w:w w:val="100"/>
        </w:rPr>
        <w:t> </w:t>
      </w:r>
      <w:r>
        <w:rPr/>
        <w:t>收回投资成本；</w:t>
      </w:r>
    </w:p>
    <w:p>
      <w:pPr>
        <w:pStyle w:val="BodyText"/>
        <w:spacing w:line="357" w:lineRule="auto" w:before="142"/>
        <w:ind w:left="580" w:right="773"/>
        <w:jc w:val="left"/>
      </w:pPr>
      <w:r>
        <w:rPr>
          <w:rFonts w:ascii="Times New Roman" w:hAnsi="Times New Roman" w:cs="Times New Roman" w:eastAsia="Times New Roman" w:hint="default"/>
          <w:spacing w:val="-2"/>
        </w:rPr>
        <w:t>H.</w:t>
      </w:r>
      <w:r>
        <w:rPr>
          <w:spacing w:val="-2"/>
        </w:rPr>
        <w:t>权益工具投资的公允价值发生严重或非暂时性下跌；</w:t>
      </w:r>
      <w:r>
        <w:rPr>
          <w:spacing w:val="-60"/>
        </w:rPr>
        <w:t> </w:t>
      </w:r>
      <w:r>
        <w:rPr>
          <w:spacing w:val="-60"/>
        </w:rPr>
      </w:r>
      <w:r>
        <w:rPr>
          <w:rFonts w:ascii="Times New Roman" w:hAnsi="Times New Roman" w:cs="Times New Roman" w:eastAsia="Times New Roman" w:hint="default"/>
        </w:rPr>
        <w:t>I.</w:t>
      </w:r>
      <w:r>
        <w:rPr/>
        <w:t>其他表明金融资产发生减值的客观证据。</w:t>
      </w:r>
    </w:p>
    <w:p>
      <w:pPr>
        <w:pStyle w:val="BodyText"/>
        <w:spacing w:line="240" w:lineRule="auto" w:before="27"/>
        <w:ind w:left="580" w:right="0"/>
        <w:jc w:val="left"/>
      </w:pPr>
      <w:r>
        <w:rPr/>
        <w:t>②金融资产的减值测试（不包括应收款项）</w:t>
      </w:r>
    </w:p>
    <w:p>
      <w:pPr>
        <w:pStyle w:val="BodyText"/>
        <w:spacing w:line="357" w:lineRule="auto" w:before="157"/>
        <w:ind w:left="580" w:right="0"/>
        <w:jc w:val="left"/>
      </w:pPr>
      <w:r>
        <w:rPr>
          <w:rFonts w:ascii="Times New Roman" w:hAnsi="Times New Roman" w:cs="Times New Roman" w:eastAsia="Times New Roman" w:hint="default"/>
        </w:rPr>
        <w:t>A</w:t>
      </w:r>
      <w:r>
        <w:rPr/>
        <w:t>．持有至到期投资减值测试</w:t>
      </w:r>
      <w:r>
        <w:rPr>
          <w:w w:val="100"/>
        </w:rPr>
        <w:t> </w:t>
      </w:r>
      <w:r>
        <w:rPr>
          <w:spacing w:val="-3"/>
        </w:rPr>
        <w:t>持有至到期投资发生减值时，将该持有至到期投资的账面价值减记至预计未来现金流量（不包括尚未</w:t>
      </w:r>
    </w:p>
    <w:p>
      <w:pPr>
        <w:pStyle w:val="BodyText"/>
        <w:spacing w:line="209" w:lineRule="exact"/>
        <w:ind w:right="0"/>
        <w:jc w:val="left"/>
      </w:pPr>
      <w:r>
        <w:rPr/>
        <w:t>发生的未来信用损失）现值，减记的金额确认为资产减值损失，计入当期损益。</w:t>
      </w:r>
    </w:p>
    <w:p>
      <w:pPr>
        <w:pStyle w:val="BodyText"/>
        <w:spacing w:line="273" w:lineRule="auto" w:before="157"/>
        <w:ind w:right="146" w:firstLine="427"/>
        <w:jc w:val="both"/>
      </w:pPr>
      <w:r>
        <w:rPr>
          <w:spacing w:val="-7"/>
        </w:rPr>
        <w:t>预计未来现金流量现值，按照该持有至到期投资的原实际利率折现确定，并考虑相关担保物的价值（取</w:t>
      </w:r>
      <w:r>
        <w:rPr>
          <w:w w:val="100"/>
        </w:rPr>
        <w:t> </w:t>
      </w:r>
      <w:r>
        <w:rPr>
          <w:spacing w:val="-2"/>
        </w:rPr>
        <w:t>得和出售该担保物发生的费用予以扣除）。原实际利率是初始确认该持有至到期投资时计算确定的实际利</w:t>
      </w:r>
      <w:r>
        <w:rPr>
          <w:spacing w:val="-43"/>
        </w:rPr>
        <w:t> </w:t>
      </w:r>
      <w:r>
        <w:rPr>
          <w:spacing w:val="-43"/>
        </w:rPr>
      </w:r>
      <w:r>
        <w:rPr>
          <w:spacing w:val="-2"/>
        </w:rPr>
        <w:t>率。对于浮动利率的持有至到期投资，在计算未来现金流量现值时可采用合同规定的现行实际利率作为折</w:t>
      </w:r>
      <w:r>
        <w:rPr>
          <w:spacing w:val="-44"/>
        </w:rPr>
        <w:t> </w:t>
      </w:r>
      <w:r>
        <w:rPr>
          <w:spacing w:val="-44"/>
        </w:rPr>
      </w:r>
      <w:r>
        <w:rPr/>
        <w:t>现率。</w:t>
      </w:r>
    </w:p>
    <w:p>
      <w:pPr>
        <w:pStyle w:val="BodyText"/>
        <w:spacing w:line="273" w:lineRule="auto" w:before="127"/>
        <w:ind w:right="146" w:firstLine="427"/>
        <w:jc w:val="both"/>
      </w:pPr>
      <w:r>
        <w:rPr>
          <w:spacing w:val="-2"/>
        </w:rPr>
        <w:t>即使合同条款因债务方或金融资产发行方发生财务困难而重新商定或修改，在确认减值损失时，仍用</w:t>
      </w:r>
      <w:r>
        <w:rPr>
          <w:w w:val="100"/>
        </w:rPr>
        <w:t> </w:t>
      </w:r>
      <w:r>
        <w:rPr/>
        <w:t>条款修改前所计算的该金融资产的原实际利率计算。</w:t>
      </w:r>
    </w:p>
    <w:p>
      <w:pPr>
        <w:pStyle w:val="BodyText"/>
        <w:spacing w:line="273" w:lineRule="auto" w:before="128"/>
        <w:ind w:right="146" w:firstLine="427"/>
        <w:jc w:val="both"/>
      </w:pPr>
      <w:r>
        <w:rPr>
          <w:spacing w:val="-2"/>
        </w:rPr>
        <w:t>对持有至到期投资确认减值损失后，如有客观证据表明该持有至到期投资价值已恢复，且客观上与确</w:t>
      </w:r>
      <w:r>
        <w:rPr>
          <w:w w:val="100"/>
        </w:rPr>
        <w:t> </w:t>
      </w:r>
      <w:r>
        <w:rPr>
          <w:spacing w:val="-2"/>
        </w:rPr>
        <w:t>认该损失后发生的事项有关（如债务人的信用评级已提高等），原确认的减值损失予以转回，计入当期损</w:t>
      </w:r>
      <w:r>
        <w:rPr>
          <w:spacing w:val="-47"/>
        </w:rPr>
        <w:t> </w:t>
      </w:r>
      <w:r>
        <w:rPr>
          <w:spacing w:val="-47"/>
        </w:rPr>
      </w:r>
      <w:r>
        <w:rPr/>
        <w:t>益。</w:t>
      </w:r>
    </w:p>
    <w:p>
      <w:pPr>
        <w:pStyle w:val="BodyText"/>
        <w:spacing w:line="273" w:lineRule="auto" w:before="127"/>
        <w:ind w:right="146" w:firstLine="427"/>
        <w:jc w:val="both"/>
      </w:pPr>
      <w:r>
        <w:rPr>
          <w:spacing w:val="-3"/>
        </w:rPr>
        <w:t>持有至到期投资发生减值后，利息收入按照确定减值损失时对未来现金流量进行折现采用的折现率作</w:t>
      </w:r>
      <w:r>
        <w:rPr>
          <w:w w:val="100"/>
        </w:rPr>
        <w:t> </w:t>
      </w:r>
      <w:r>
        <w:rPr/>
        <w:t>为利率计算确认。</w:t>
      </w:r>
    </w:p>
    <w:p>
      <w:pPr>
        <w:pStyle w:val="BodyText"/>
        <w:spacing w:line="357" w:lineRule="auto" w:before="127"/>
        <w:ind w:left="580" w:right="0"/>
        <w:jc w:val="left"/>
      </w:pPr>
      <w:r>
        <w:rPr>
          <w:rFonts w:ascii="Times New Roman" w:hAnsi="Times New Roman" w:cs="Times New Roman" w:eastAsia="Times New Roman" w:hint="default"/>
        </w:rPr>
        <w:t>B.</w:t>
      </w:r>
      <w:r>
        <w:rPr/>
        <w:t>可供出售金融资产减值测试</w:t>
      </w:r>
      <w:r>
        <w:rPr>
          <w:w w:val="100"/>
        </w:rPr>
        <w:t> </w:t>
      </w:r>
      <w:r>
        <w:rPr>
          <w:spacing w:val="-3"/>
        </w:rPr>
        <w:t>在资产负债表日本公司对可供出售金融资产的减值情况进行分析，判断该项金融资产公允价值是否持</w:t>
      </w:r>
    </w:p>
    <w:p>
      <w:pPr>
        <w:pStyle w:val="BodyText"/>
        <w:spacing w:line="225" w:lineRule="exact"/>
        <w:ind w:right="0"/>
        <w:jc w:val="left"/>
      </w:pPr>
      <w:r>
        <w:rPr/>
        <w:t>续下降。通常情况下，如果可供出售金融资产的期末公允价值相对于成本的下跌幅度已达到或超过</w:t>
      </w:r>
      <w:r>
        <w:rPr>
          <w:rFonts w:ascii="Times New Roman" w:hAnsi="Times New Roman" w:cs="Times New Roman" w:eastAsia="Times New Roman" w:hint="default"/>
        </w:rPr>
        <w:t>50%</w:t>
      </w:r>
      <w:r>
        <w:rPr/>
        <w:t>，</w:t>
      </w:r>
    </w:p>
    <w:p>
      <w:pPr>
        <w:spacing w:after="0" w:line="225" w:lineRule="exact"/>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64" w:lineRule="auto" w:before="36"/>
        <w:ind w:right="151"/>
        <w:jc w:val="both"/>
      </w:pPr>
      <w:r>
        <w:rPr/>
        <w:t>或者持续下跌时间已达到或超过</w:t>
      </w:r>
      <w:r>
        <w:rPr>
          <w:rFonts w:ascii="Times New Roman" w:hAnsi="Times New Roman" w:cs="Times New Roman" w:eastAsia="Times New Roman" w:hint="default"/>
        </w:rPr>
        <w:t>12</w:t>
      </w:r>
      <w:r>
        <w:rPr/>
        <w:t>个月，在综合考虑各种相关因素后，</w:t>
      </w:r>
      <w:r>
        <w:rPr>
          <w:spacing w:val="69"/>
        </w:rPr>
        <w:t> </w:t>
      </w:r>
      <w:r>
        <w:rPr/>
        <w:t>预期这种下降趋势属于非暂时性</w:t>
      </w:r>
      <w:r>
        <w:rPr>
          <w:spacing w:val="-95"/>
        </w:rPr>
        <w:t> </w:t>
      </w:r>
      <w:r>
        <w:rPr>
          <w:spacing w:val="-95"/>
        </w:rPr>
      </w:r>
      <w:r>
        <w:rPr>
          <w:spacing w:val="-2"/>
        </w:rPr>
        <w:t>的，可以认定该可供出售金融资产已发生减值，确认减值损失。可供出售金融资产发生减值的，在确认减</w:t>
      </w:r>
      <w:r>
        <w:rPr>
          <w:spacing w:val="-50"/>
        </w:rPr>
        <w:t> </w:t>
      </w:r>
      <w:r>
        <w:rPr>
          <w:spacing w:val="-50"/>
        </w:rPr>
      </w:r>
      <w:r>
        <w:rPr/>
        <w:t>值损失时，将原直接计入所有者权益的公允价值下降形成的累计损失一并转出，计入资产减值损失。</w:t>
      </w:r>
    </w:p>
    <w:p>
      <w:pPr>
        <w:pStyle w:val="BodyText"/>
        <w:spacing w:line="432" w:lineRule="exact" w:before="36"/>
        <w:ind w:left="580" w:right="0"/>
        <w:jc w:val="left"/>
      </w:pPr>
      <w:r>
        <w:rPr/>
        <w:t>可供出售债务工具金融资产是否发生减值，可参照上述可供出售权益工具投资进行分析判断。</w:t>
      </w:r>
      <w:r>
        <w:rPr>
          <w:w w:val="100"/>
        </w:rPr>
        <w:t> </w:t>
      </w:r>
      <w:r>
        <w:rPr/>
        <w:t>可供出售权益工具投资发生的减值损失，不得通过损益转回。</w:t>
      </w:r>
      <w:r>
        <w:rPr>
          <w:w w:val="100"/>
        </w:rPr>
        <w:t> </w:t>
      </w:r>
      <w:r>
        <w:rPr>
          <w:spacing w:val="-3"/>
        </w:rPr>
        <w:t>可供出售债务工具金融资产发生减值后，利息收入按照确定减值损失时对未来现金流量进行折现采用</w:t>
      </w:r>
    </w:p>
    <w:p>
      <w:pPr>
        <w:pStyle w:val="BodyText"/>
        <w:spacing w:line="255" w:lineRule="exact"/>
        <w:ind w:right="0"/>
        <w:jc w:val="both"/>
      </w:pPr>
      <w:r>
        <w:rPr/>
        <w:t>的折现率作为利率计算确认。</w:t>
      </w:r>
    </w:p>
    <w:p>
      <w:pPr>
        <w:pStyle w:val="BodyText"/>
        <w:spacing w:line="273" w:lineRule="auto" w:before="157"/>
        <w:ind w:right="146" w:firstLine="427"/>
        <w:jc w:val="both"/>
      </w:pPr>
      <w:r>
        <w:rPr>
          <w:spacing w:val="-3"/>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line="328"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）金融资产和金融负债公允价值的确定方法</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3"/>
          <w:sz w:val="21"/>
          <w:szCs w:val="21"/>
        </w:rPr>
        <w:t>本公司以主要市场的价格计量相关资产或负债的公允价值，不存在主要市场的，本公司以最有利市场</w:t>
      </w:r>
    </w:p>
    <w:p>
      <w:pPr>
        <w:pStyle w:val="BodyText"/>
        <w:spacing w:line="234" w:lineRule="exact"/>
        <w:ind w:right="0"/>
        <w:jc w:val="both"/>
      </w:pPr>
      <w:r>
        <w:rPr/>
        <w:t>的价格计量相关资产或负债的公允价值。</w:t>
      </w:r>
    </w:p>
    <w:p>
      <w:pPr>
        <w:pStyle w:val="BodyText"/>
        <w:spacing w:line="273" w:lineRule="auto" w:before="157"/>
        <w:ind w:right="146" w:firstLine="427"/>
        <w:jc w:val="both"/>
      </w:pPr>
      <w:r>
        <w:rPr>
          <w:spacing w:val="-3"/>
        </w:rPr>
        <w:t>主要市场，是指相关资产或负债交易量最大和交易活跃程度最高的市场；最有利市场，是指在考虑交</w:t>
      </w:r>
      <w:r>
        <w:rPr>
          <w:w w:val="100"/>
        </w:rPr>
        <w:t> </w:t>
      </w: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7"/>
        <w:ind w:left="580" w:right="0"/>
        <w:jc w:val="left"/>
      </w:pPr>
      <w:r>
        <w:rPr/>
        <w:t>①估值技术</w:t>
      </w:r>
      <w:r>
        <w:rPr>
          <w:spacing w:val="-102"/>
        </w:rPr>
        <w:t> </w:t>
      </w:r>
      <w:r>
        <w:rPr>
          <w:spacing w:val="-102"/>
        </w:rPr>
      </w:r>
      <w:r>
        <w:rPr>
          <w:spacing w:val="-3"/>
        </w:rPr>
        <w:t>本公司采用在当期情况下适用并且有足够可利用数据和其他信息支持的估值技术，使用的估值技术主</w:t>
      </w:r>
    </w:p>
    <w:p>
      <w:pPr>
        <w:pStyle w:val="BodyText"/>
        <w:spacing w:line="255" w:lineRule="exact"/>
        <w:ind w:right="0"/>
        <w:jc w:val="both"/>
      </w:pPr>
      <w:r>
        <w:rPr/>
        <w:t>要包括市场法、收益法和成本法。本公司使用与其中一种或多种估值技术相一致的方法计量公允价值，使</w:t>
      </w:r>
    </w:p>
    <w:p>
      <w:pPr>
        <w:pStyle w:val="BodyText"/>
        <w:spacing w:line="273" w:lineRule="auto" w:before="37"/>
        <w:ind w:right="146"/>
        <w:jc w:val="both"/>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46" w:firstLine="427"/>
        <w:jc w:val="both"/>
      </w:pPr>
      <w:r>
        <w:rPr>
          <w:spacing w:val="-3"/>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pStyle w:val="BodyText"/>
        <w:spacing w:line="432" w:lineRule="exact" w:before="27"/>
        <w:ind w:left="580" w:right="0"/>
        <w:jc w:val="left"/>
      </w:pPr>
      <w:r>
        <w:rPr/>
        <w:t>②公允价值层次</w:t>
      </w:r>
      <w:r>
        <w:rPr>
          <w:spacing w:val="-103"/>
        </w:rPr>
        <w:t> </w:t>
      </w:r>
      <w:r>
        <w:rPr>
          <w:spacing w:val="-103"/>
        </w:rPr>
      </w:r>
      <w:r>
        <w:rPr>
          <w:spacing w:val="-2"/>
        </w:rPr>
        <w:t>本公司将公允价值计量所使用的输入值划分为三个层次，并首先使用第一层次输入值，其次使用第二</w:t>
      </w:r>
    </w:p>
    <w:p>
      <w:pPr>
        <w:pStyle w:val="BodyText"/>
        <w:spacing w:line="255" w:lineRule="exact"/>
        <w:ind w:right="0"/>
        <w:jc w:val="both"/>
      </w:pPr>
      <w:r>
        <w:rPr/>
        <w:t>层次输入值，最后使用第三层次输入值。第一层次输入值是在计量日能够取得的相同资产或负债在活跃市</w:t>
      </w:r>
    </w:p>
    <w:p>
      <w:pPr>
        <w:pStyle w:val="BodyText"/>
        <w:spacing w:line="273" w:lineRule="auto" w:before="37"/>
        <w:ind w:right="163"/>
        <w:jc w:val="both"/>
      </w:pPr>
      <w:r>
        <w:rPr>
          <w:spacing w:val="2"/>
        </w:rPr>
        <w:t>场上未经调整的报价。第二层次输入值是除第一层次输入值外相关资产或负债直接或间接可观察的输入</w:t>
      </w:r>
      <w:r>
        <w:rPr>
          <w:spacing w:val="-30"/>
        </w:rPr>
        <w:t> </w:t>
      </w:r>
      <w:r>
        <w:rPr>
          <w:spacing w:val="-30"/>
        </w:rPr>
      </w:r>
      <w:r>
        <w:rPr/>
        <w:t>值。第三层次输入值是相关资产或负债的不可观察输入值。</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 收款确定为单项金额重大。</w:t>
            </w:r>
          </w:p>
        </w:tc>
      </w:tr>
      <w:tr>
        <w:trPr>
          <w:trHeight w:val="67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w:t>
            </w:r>
          </w:p>
        </w:tc>
      </w:tr>
    </w:tbl>
    <w:p>
      <w:pPr>
        <w:spacing w:after="0" w:line="314"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Microsoft JhengHei" w:hAnsi="Microsoft JhengHei" w:cs="Microsoft JhengHei" w:eastAsia="Microsoft JhengHei" w:hint="default"/>
          <w:b/>
          <w:bCs/>
          <w:sz w:val="21"/>
          <w:szCs w:val="21"/>
        </w:rPr>
      </w:pPr>
    </w:p>
    <w:p>
      <w:pPr>
        <w:spacing w:line="694"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
          <w:sz w:val="20"/>
          <w:szCs w:val="20"/>
        </w:rPr>
        <w:pict>
          <v:group style="width:479.05pt;height:34.7pt;mso-position-horizontal-relative:char;mso-position-vertical-relative:line" coordorigin="0,0" coordsize="9581,694">
            <v:group style="position:absolute;left:12;top:14;width:4775;height:666" coordorigin="12,14" coordsize="4775,666">
              <v:shape style="position:absolute;left:12;top:14;width:4775;height:666" coordorigin="12,14" coordsize="4775,666" path="m12,680l4787,680,4787,14,12,14,12,680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4775;height:2" coordorigin="10,684" coordsize="4775,2">
              <v:shape style="position:absolute;left:10;top:684;width:4775;height:2" coordorigin="10,684" coordsize="4775,0" path="m10,684l4784,684e" filled="false" stroked="true" strokeweight=".48pt" strokecolor="#000000">
                <v:path arrowok="t"/>
              </v:shape>
            </v:group>
            <v:group style="position:absolute;left:4789;top:5;width:2;height:685" coordorigin="4789,5" coordsize="2,685">
              <v:shape style="position:absolute;left:4789;top:5;width:2;height:685" coordorigin="4789,5" coordsize="0,685" path="m4789,5l4789,689e" filled="false" stroked="true" strokeweight=".48001pt" strokecolor="#000000">
                <v:path arrowok="t"/>
              </v:shape>
            </v:group>
            <v:group style="position:absolute;left:4794;top:684;width:4777;height:2" coordorigin="4794,684" coordsize="4777,2">
              <v:shape style="position:absolute;left:4794;top:684;width:4777;height:2" coordorigin="4794,684" coordsize="4777,0" path="m4794,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7998pt" strokecolor="#000000">
                <v:path arrowok="t"/>
              </v:shape>
              <v:shape style="position:absolute;left:4789;top:10;width:4787;height:675" type="#_x0000_t202" filled="false" stroked="false">
                <v:textbox inset="0,0,0,0">
                  <w:txbxContent>
                    <w:p>
                      <w:pPr>
                        <w:spacing w:line="316" w:lineRule="auto" w:before="15"/>
                        <w:ind w:left="28" w:right="75" w:firstLine="0"/>
                        <w:jc w:val="left"/>
                        <w:rPr>
                          <w:rFonts w:ascii="宋体" w:hAnsi="宋体" w:cs="宋体" w:eastAsia="宋体" w:hint="default"/>
                          <w:sz w:val="18"/>
                          <w:szCs w:val="18"/>
                        </w:rPr>
                      </w:pPr>
                      <w:r>
                        <w:rPr>
                          <w:rFonts w:ascii="宋体" w:hAnsi="宋体" w:cs="宋体" w:eastAsia="宋体" w:hint="default"/>
                          <w:sz w:val="18"/>
                          <w:szCs w:val="18"/>
                        </w:rPr>
                        <w:t>账面价值的差额，确认减值损失，并据此计提相应的坏账准 备。</w:t>
                      </w:r>
                    </w:p>
                  </w:txbxContent>
                </v:textbox>
                <w10:wrap type="none"/>
              </v:shape>
            </v:group>
          </v:group>
        </w:pict>
      </w:r>
      <w:r>
        <w:rPr>
          <w:rFonts w:ascii="Microsoft JhengHei" w:hAnsi="Microsoft JhengHei" w:cs="Microsoft JhengHei" w:eastAsia="Microsoft JhengHei" w:hint="default"/>
          <w:position w:val="-13"/>
          <w:sz w:val="20"/>
          <w:szCs w:val="20"/>
        </w:rPr>
      </w:r>
    </w:p>
    <w:p>
      <w:pPr>
        <w:spacing w:line="240" w:lineRule="auto" w:before="5"/>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7"/>
        <w:ind w:left="153" w:right="6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单项金额不重大但已有客观证据表明其发生了减值</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7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26" w:lineRule="auto" w:before="20"/>
        <w:ind w:left="580"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spacing w:val="-45"/>
        </w:rPr>
        <w:t> </w:t>
      </w:r>
      <w:r>
        <w:rPr>
          <w:spacing w:val="-3"/>
        </w:rPr>
        <w:t>存货是指本公司在日常活动中外购的商品。在取得时，按成本进行初始计量，包括采购成本和其他成</w:t>
      </w:r>
    </w:p>
    <w:p>
      <w:pPr>
        <w:pStyle w:val="BodyText"/>
        <w:spacing w:line="236" w:lineRule="exact"/>
        <w:ind w:right="0"/>
        <w:jc w:val="left"/>
      </w:pPr>
      <w:r>
        <w:rPr/>
        <w:t>本。</w:t>
      </w:r>
    </w:p>
    <w:p>
      <w:pPr>
        <w:pStyle w:val="Heading3"/>
        <w:spacing w:line="240" w:lineRule="auto" w:before="90"/>
        <w:ind w:left="580"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after="0" w:line="240" w:lineRule="auto"/>
        <w:jc w:val="left"/>
        <w:sectPr>
          <w:pgSz w:w="11910" w:h="16840"/>
          <w:pgMar w:header="748" w:footer="979"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before="36"/>
        <w:ind w:left="580" w:right="0"/>
        <w:jc w:val="left"/>
      </w:pPr>
      <w:r>
        <w:rPr/>
        <w:t>本公司存货发出时采用个别计价法计价。</w:t>
      </w:r>
    </w:p>
    <w:p>
      <w:pPr>
        <w:spacing w:line="326" w:lineRule="auto" w:before="90"/>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本公司存货采用永续盘存制，每年至少盘点一次，盘盈及盘亏金额计入当年度损益。</w:t>
      </w:r>
    </w:p>
    <w:p>
      <w:pPr>
        <w:spacing w:line="326" w:lineRule="auto" w:before="14"/>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）存货跌价准备的计提方法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资产负债表日按成本与可变现净值孰低计量，存货成本高于其可变现净值的，计提存货跌价准备，计</w:t>
      </w:r>
    </w:p>
    <w:p>
      <w:pPr>
        <w:pStyle w:val="BodyText"/>
        <w:spacing w:line="236" w:lineRule="exact"/>
        <w:ind w:right="0"/>
        <w:jc w:val="both"/>
      </w:pPr>
      <w:r>
        <w:rPr/>
        <w:t>入当期损益。</w:t>
      </w:r>
    </w:p>
    <w:p>
      <w:pPr>
        <w:pStyle w:val="BodyText"/>
        <w:spacing w:line="273" w:lineRule="auto" w:before="157"/>
        <w:ind w:right="146" w:firstLine="427"/>
        <w:jc w:val="both"/>
      </w:pPr>
      <w:r>
        <w:rPr>
          <w:spacing w:val="-3"/>
        </w:rPr>
        <w:t>在确定存货的可变现净值时，以取得的可靠证据为基础，并且考虑持有存货的目的、资产负债表日后</w:t>
      </w:r>
      <w:r>
        <w:rPr>
          <w:w w:val="100"/>
        </w:rPr>
        <w:t> </w:t>
      </w:r>
      <w:r>
        <w:rPr/>
        <w:t>事项的影响等因素。</w:t>
      </w:r>
    </w:p>
    <w:p>
      <w:pPr>
        <w:pStyle w:val="BodyText"/>
        <w:spacing w:line="273" w:lineRule="auto" w:before="127"/>
        <w:ind w:right="146" w:firstLine="427"/>
        <w:jc w:val="both"/>
      </w:pPr>
      <w:r>
        <w:rPr>
          <w:spacing w:val="-3"/>
        </w:rPr>
        <w:t>①产成品、商品和用于出售的材料等直接用于出售的存货，在正常生产经营过程中，以该存货的估计</w:t>
      </w:r>
      <w:r>
        <w:rPr>
          <w:w w:val="100"/>
        </w:rPr>
        <w:t> </w:t>
      </w:r>
      <w:r>
        <w:rPr>
          <w:spacing w:val="-2"/>
        </w:rPr>
        <w:t>售价减去估计的销售费用和相关税费后的金额确定其可变现净值。为执行销售合同或者劳务合同而持有的</w:t>
      </w:r>
      <w:r>
        <w:rPr>
          <w:spacing w:val="-43"/>
        </w:rPr>
        <w:t> </w:t>
      </w:r>
      <w:r>
        <w:rPr>
          <w:spacing w:val="-43"/>
        </w:rPr>
      </w:r>
      <w:r>
        <w:rPr>
          <w:spacing w:val="-2"/>
        </w:rPr>
        <w:t>存货，以合同价格作为其可变现净值的计量基础；如果持有存货的数量多于销售合同订购数量，超出部分</w:t>
      </w:r>
      <w:r>
        <w:rPr>
          <w:spacing w:val="-43"/>
        </w:rPr>
        <w:t> </w:t>
      </w:r>
      <w:r>
        <w:rPr>
          <w:spacing w:val="-43"/>
        </w:rPr>
      </w:r>
      <w:r>
        <w:rPr>
          <w:spacing w:val="-2"/>
        </w:rPr>
        <w:t>的存货可变现净值以一般销售价格为计量基础。用于出售的材料等，以市场价格作为其可变现净值的计量</w:t>
      </w:r>
      <w:r>
        <w:rPr>
          <w:spacing w:val="-44"/>
        </w:rPr>
        <w:t> </w:t>
      </w:r>
      <w:r>
        <w:rPr>
          <w:spacing w:val="-44"/>
        </w:rPr>
      </w:r>
      <w:r>
        <w:rPr/>
        <w:t>基础。</w:t>
      </w:r>
    </w:p>
    <w:p>
      <w:pPr>
        <w:pStyle w:val="BodyText"/>
        <w:spacing w:line="273" w:lineRule="auto" w:before="127"/>
        <w:ind w:right="146" w:firstLine="427"/>
        <w:jc w:val="both"/>
      </w:pPr>
      <w:r>
        <w:rPr>
          <w:spacing w:val="-3"/>
        </w:rPr>
        <w:t>②需要经过加工的材料存货，在正常生产经营过程中，以所生产的产成品的估计售价减去至完工时估</w:t>
      </w:r>
      <w:r>
        <w:rPr>
          <w:w w:val="100"/>
        </w:rPr>
        <w:t> </w:t>
      </w:r>
      <w:r>
        <w:rPr>
          <w:spacing w:val="-2"/>
        </w:rPr>
        <w:t>计将要发生的成本、估计的销售费用和相关税费后的金额确定其可变现净值。如果用其生产的产成品的可</w:t>
      </w:r>
      <w:r>
        <w:rPr>
          <w:spacing w:val="-43"/>
        </w:rPr>
        <w:t> </w:t>
      </w:r>
      <w:r>
        <w:rPr>
          <w:spacing w:val="-43"/>
        </w:rPr>
      </w:r>
      <w:r>
        <w:rPr>
          <w:spacing w:val="-2"/>
        </w:rPr>
        <w:t>变现净值高于成本，则该材料按成本计量；如果材料价格的下降表明产成品的可变现净值低于成本，则该</w:t>
      </w:r>
      <w:r>
        <w:rPr>
          <w:spacing w:val="-43"/>
        </w:rPr>
        <w:t> </w:t>
      </w:r>
      <w:r>
        <w:rPr>
          <w:spacing w:val="-43"/>
        </w:rPr>
      </w:r>
      <w:r>
        <w:rPr/>
        <w:t>材料按可变现净值计量，按其差额计提存货跌价准备。</w:t>
      </w:r>
    </w:p>
    <w:p>
      <w:pPr>
        <w:pStyle w:val="BodyText"/>
        <w:spacing w:line="240" w:lineRule="auto" w:before="127"/>
        <w:ind w:left="580" w:right="0"/>
        <w:jc w:val="left"/>
      </w:pPr>
      <w:r>
        <w:rPr/>
        <w:t>③存货跌价准备一般按单个存货项目计提；对于数量繁多、单价较低的存货，按存货类别计提。</w:t>
      </w:r>
    </w:p>
    <w:p>
      <w:pPr>
        <w:pStyle w:val="BodyText"/>
        <w:spacing w:line="273" w:lineRule="auto" w:before="157"/>
        <w:ind w:right="146" w:firstLine="427"/>
        <w:jc w:val="both"/>
      </w:pPr>
      <w:r>
        <w:rPr>
          <w:spacing w:val="-2"/>
        </w:rPr>
        <w:t>④资产负债表日如果以前减记存货价值的影响因素已经消失，则减记的金额予以恢复，并在原已计提</w:t>
      </w:r>
      <w:r>
        <w:rPr>
          <w:w w:val="100"/>
        </w:rPr>
        <w:t> </w:t>
      </w:r>
      <w:r>
        <w:rPr/>
        <w:t>的存货跌价准备的金额内转回，转回的金额计入当期损益。</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pStyle w:val="BodyText"/>
        <w:spacing w:line="590" w:lineRule="atLeast" w:before="24"/>
        <w:ind w:left="580" w:right="0" w:hanging="428"/>
        <w:jc w:val="left"/>
      </w:pPr>
      <w:r>
        <w:rPr>
          <w:rFonts w:ascii="Times New Roman" w:hAnsi="Times New Roman" w:cs="Times New Roman" w:eastAsia="Times New Roman" w:hint="default"/>
          <w:b/>
          <w:bCs/>
        </w:rPr>
        <w:t>14</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b/>
          <w:bCs/>
          <w:spacing w:val="-46"/>
        </w:rPr>
        <w:t> </w:t>
      </w:r>
      <w:r>
        <w:rPr>
          <w:spacing w:val="-2"/>
        </w:rPr>
        <w:t>本公司长期股权投资包括对被投资单位实施控制、重大影响的权益性投资，以及对合营企业的权益性</w:t>
      </w:r>
    </w:p>
    <w:p>
      <w:pPr>
        <w:pStyle w:val="BodyText"/>
        <w:spacing w:line="240" w:lineRule="auto" w:before="37"/>
        <w:ind w:right="0"/>
        <w:jc w:val="both"/>
      </w:pPr>
      <w:r>
        <w:rPr/>
        <w:t>投资。本公司能够对被投资单位施加重大影响的，为本公司的联营企业。</w:t>
      </w:r>
    </w:p>
    <w:p>
      <w:pPr>
        <w:spacing w:line="326" w:lineRule="auto" w:before="90"/>
        <w:ind w:left="580" w:right="0" w:hanging="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236" w:lineRule="exact"/>
        <w:ind w:right="0"/>
        <w:jc w:val="both"/>
      </w:pPr>
      <w:r>
        <w:rPr/>
        <w:t>的参与方一致同意后才能决策。在判断是否存在共同控制时，首先判断所有参与方或参与方组合是否集体</w:t>
      </w:r>
    </w:p>
    <w:p>
      <w:pPr>
        <w:pStyle w:val="BodyText"/>
        <w:spacing w:line="273" w:lineRule="auto" w:before="37"/>
        <w:ind w:right="146"/>
        <w:jc w:val="both"/>
      </w:pPr>
      <w:r>
        <w:rPr>
          <w:spacing w:val="-2"/>
        </w:rPr>
        <w:t>控制该安排，如果所有参与方或一组参与方必须一致行动才能决定某项安排的相关活动，则认为所有参与</w:t>
      </w:r>
      <w:r>
        <w:rPr>
          <w:spacing w:val="-44"/>
        </w:rPr>
        <w:t> </w:t>
      </w:r>
      <w:r>
        <w:rPr>
          <w:spacing w:val="-44"/>
        </w:rPr>
      </w:r>
      <w:r>
        <w:rPr>
          <w:spacing w:val="-2"/>
        </w:rPr>
        <w:t>方或一组参与方集体控制该安排。其次再判断该安排相关活动的决策是否必须经过这些集体控制该安排的</w:t>
      </w:r>
      <w:r>
        <w:rPr>
          <w:spacing w:val="-43"/>
        </w:rPr>
        <w:t> </w:t>
      </w:r>
      <w:r>
        <w:rPr>
          <w:spacing w:val="-43"/>
        </w:rPr>
      </w:r>
      <w:r>
        <w:rPr>
          <w:spacing w:val="-2"/>
        </w:rPr>
        <w:t>参与方一致同意。如果存在两个或两个以上的参与方组合能够集体控制某项安排的，不构成共同控制。判</w:t>
      </w:r>
      <w:r>
        <w:rPr>
          <w:spacing w:val="-43"/>
        </w:rPr>
        <w:t> </w:t>
      </w:r>
      <w:r>
        <w:rPr>
          <w:spacing w:val="-43"/>
        </w:rPr>
      </w:r>
      <w:r>
        <w:rPr/>
        <w:t>断是否存在共同控制时，不考虑享有的保护性权利。</w:t>
      </w:r>
    </w:p>
    <w:p>
      <w:pPr>
        <w:pStyle w:val="BodyText"/>
        <w:spacing w:line="273" w:lineRule="auto" w:before="127"/>
        <w:ind w:right="146" w:firstLine="427"/>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他方一起共同控制这些政策的制定。在确定能否对被投资单位施加重大影响时，考虑投资方直接或间接持</w:t>
      </w:r>
      <w:r>
        <w:rPr>
          <w:spacing w:val="-43"/>
        </w:rPr>
        <w:t> </w:t>
      </w:r>
      <w:r>
        <w:rPr>
          <w:spacing w:val="-43"/>
        </w:rPr>
      </w:r>
      <w:r>
        <w:rPr>
          <w:spacing w:val="2"/>
        </w:rPr>
        <w:t>有被投资单位的表决权股份以及投资方及其他方持有的当期可执行潜在表决权在假定转换为对被投资方</w:t>
      </w:r>
      <w:r>
        <w:rPr>
          <w:spacing w:val="-30"/>
        </w:rPr>
        <w:t> </w:t>
      </w:r>
      <w:r>
        <w:rPr>
          <w:spacing w:val="-30"/>
        </w:rPr>
      </w:r>
      <w:r>
        <w:rPr>
          <w:spacing w:val="-2"/>
        </w:rPr>
        <w:t>单位的股权后产生的影响，包括被投资单位发行的当期可转换的认股权证、股份期权及可转换公司债券等</w:t>
      </w:r>
      <w:r>
        <w:rPr>
          <w:spacing w:val="-43"/>
        </w:rPr>
        <w:t> </w:t>
      </w:r>
      <w:r>
        <w:rPr>
          <w:spacing w:val="-43"/>
        </w:rPr>
      </w:r>
      <w:r>
        <w:rPr/>
        <w:t>的影响。</w:t>
      </w:r>
    </w:p>
    <w:p>
      <w:pPr>
        <w:spacing w:after="0" w:line="273" w:lineRule="auto"/>
        <w:jc w:val="both"/>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64" w:lineRule="auto" w:before="36"/>
        <w:ind w:right="149" w:firstLine="427"/>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w:t>
      </w:r>
      <w:r>
        <w:rPr>
          <w:w w:val="100"/>
        </w:rPr>
        <w:t> </w:t>
      </w:r>
      <w:r>
        <w:rPr>
          <w:spacing w:val="2"/>
        </w:rPr>
        <w:t>般认为对被投资单位具有重大影响，除非有明确证据表明该种情况下不能参与被投资单位的生产经营决</w:t>
      </w:r>
      <w:r>
        <w:rPr>
          <w:spacing w:val="-30"/>
        </w:rPr>
        <w:t> </w:t>
      </w:r>
      <w:r>
        <w:rPr>
          <w:spacing w:val="-30"/>
        </w:rPr>
      </w:r>
      <w:r>
        <w:rPr/>
        <w:t>策，不形成重大影响。</w:t>
      </w:r>
    </w:p>
    <w:p>
      <w:pPr>
        <w:pStyle w:val="Heading3"/>
        <w:spacing w:line="240" w:lineRule="auto" w:before="69"/>
        <w:ind w:left="578" w:right="0"/>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133"/>
        <w:ind w:left="578" w:right="0"/>
        <w:jc w:val="left"/>
      </w:pPr>
      <w:r>
        <w:rPr>
          <w:rFonts w:ascii="Times New Roman" w:hAnsi="Times New Roman" w:cs="Times New Roman" w:eastAsia="Times New Roman" w:hint="default"/>
        </w:rPr>
        <w:t>1.</w:t>
      </w:r>
      <w:r>
        <w:rPr/>
        <w:t>企业合并形成的长期股权投资，按照下列规定确定其投资成本：</w:t>
      </w:r>
    </w:p>
    <w:p>
      <w:pPr>
        <w:pStyle w:val="BodyText"/>
        <w:spacing w:line="266" w:lineRule="auto" w:before="141"/>
        <w:ind w:right="146" w:firstLine="424"/>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3"/>
        </w:rPr>
        <w:t> </w:t>
      </w:r>
      <w:r>
        <w:rPr>
          <w:spacing w:val="-4"/>
        </w:rPr>
        <w:t>同一控制下的企业合并，合并方以支付现金、转让非现金资产或承担债务方式作为合并对价的，在</w:t>
      </w:r>
      <w:r>
        <w:rPr>
          <w:w w:val="100"/>
        </w:rPr>
        <w:t> </w:t>
      </w:r>
      <w:r>
        <w:rPr>
          <w:spacing w:val="2"/>
        </w:rPr>
        <w:t>合并日按照被合并方所有者权益在最终控制方合并财务报表中的账面价值的份额作为长期股权投资的初</w:t>
      </w:r>
      <w:r>
        <w:rPr>
          <w:spacing w:val="-25"/>
        </w:rPr>
        <w:t> </w:t>
      </w:r>
      <w:r>
        <w:rPr>
          <w:spacing w:val="-25"/>
        </w:rPr>
      </w:r>
      <w:r>
        <w:rPr>
          <w:spacing w:val="-2"/>
        </w:rPr>
        <w:t>始投资成本。长期股权投资初始投资成本与支付的现金、转让的非现金资产以及所承担债务账面价值之间</w:t>
      </w:r>
      <w:r>
        <w:rPr>
          <w:spacing w:val="-43"/>
        </w:rPr>
        <w:t> </w:t>
      </w:r>
      <w:r>
        <w:rPr>
          <w:spacing w:val="-43"/>
        </w:rPr>
      </w:r>
      <w:r>
        <w:rPr/>
        <w:t>的差额，调整资本公积；资本公积不足冲减的，调整留存收益；</w:t>
      </w:r>
    </w:p>
    <w:p>
      <w:pPr>
        <w:pStyle w:val="BodyText"/>
        <w:spacing w:line="268" w:lineRule="auto" w:before="134"/>
        <w:ind w:right="146" w:firstLine="424"/>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2"/>
        </w:rPr>
        <w:t> </w:t>
      </w:r>
      <w:r>
        <w:rPr>
          <w:spacing w:val="-4"/>
        </w:rPr>
        <w:t>同一控制下的企业合并，合并方以发行权益性证券作为合并对价的，在合并日按照被合并方所有者</w:t>
      </w:r>
      <w:r>
        <w:rPr>
          <w:w w:val="100"/>
        </w:rPr>
        <w:t> </w:t>
      </w:r>
      <w:r>
        <w:rPr>
          <w:spacing w:val="-2"/>
        </w:rPr>
        <w:t>权益在最终控制方合并财务报表中的账面价值的份额作为长期股权投资的初始投资成本。按照发行股份的</w:t>
      </w:r>
      <w:r>
        <w:rPr>
          <w:spacing w:val="-43"/>
        </w:rPr>
        <w:t> </w:t>
      </w:r>
      <w:r>
        <w:rPr>
          <w:spacing w:val="-43"/>
        </w:rPr>
      </w:r>
      <w:r>
        <w:rPr>
          <w:spacing w:val="-2"/>
        </w:rPr>
        <w:t>面值总额作为股本，长期股权投资初始投资成本与所发行股份面值总额之间的差额，调整资本公积；资本</w:t>
      </w:r>
      <w:r>
        <w:rPr>
          <w:spacing w:val="-42"/>
        </w:rPr>
        <w:t> </w:t>
      </w:r>
      <w:r>
        <w:rPr>
          <w:spacing w:val="-42"/>
        </w:rPr>
      </w:r>
      <w:r>
        <w:rPr/>
        <w:t>公积不足冲减的，调整留存收益；</w:t>
      </w:r>
    </w:p>
    <w:p>
      <w:pPr>
        <w:pStyle w:val="BodyText"/>
        <w:spacing w:line="264" w:lineRule="auto" w:before="132"/>
        <w:ind w:right="146" w:firstLine="424"/>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2"/>
        </w:rPr>
        <w:t> </w:t>
      </w:r>
      <w:r>
        <w:rPr>
          <w:spacing w:val="-4"/>
        </w:rPr>
        <w:t>非同一控制下的企业合并，以购买日为取得对被购买方的控制权而付出的资产、发生或承担的负债</w:t>
      </w:r>
      <w:r>
        <w:rPr>
          <w:w w:val="100"/>
        </w:rPr>
        <w:t> </w:t>
      </w:r>
      <w:r>
        <w:rPr>
          <w:spacing w:val="-2"/>
        </w:rPr>
        <w:t>以及发行的权益性证券的公允价值确定为合并成本作为长期股权投资的初始投资成本。合并方为企业合并</w:t>
      </w:r>
      <w:r>
        <w:rPr>
          <w:spacing w:val="-43"/>
        </w:rPr>
        <w:t> </w:t>
      </w:r>
      <w:r>
        <w:rPr>
          <w:spacing w:val="-43"/>
        </w:rPr>
      </w:r>
      <w:r>
        <w:rPr/>
        <w:t>发生的审计、法律服务、评估咨询等中介费用以及其他相关管理费用，于发生时计入当期损益。</w:t>
      </w:r>
    </w:p>
    <w:p>
      <w:pPr>
        <w:pStyle w:val="BodyText"/>
        <w:spacing w:line="240" w:lineRule="auto" w:before="136"/>
        <w:ind w:left="578" w:right="0"/>
        <w:jc w:val="left"/>
      </w:pPr>
      <w:r>
        <w:rPr>
          <w:rFonts w:ascii="Times New Roman" w:hAnsi="Times New Roman" w:cs="Times New Roman" w:eastAsia="Times New Roman" w:hint="default"/>
        </w:rPr>
        <w:t>2.</w:t>
      </w:r>
      <w:r>
        <w:rPr/>
        <w:t>除企业合并形成的长期股权投资以外，其他方式取得的长期股权投资，按照下列规定确定其投资成</w:t>
      </w:r>
    </w:p>
    <w:p>
      <w:pPr>
        <w:pStyle w:val="BodyText"/>
        <w:spacing w:line="240" w:lineRule="auto" w:before="21"/>
        <w:ind w:right="0"/>
        <w:jc w:val="left"/>
      </w:pPr>
      <w:r>
        <w:rPr/>
        <w:t>本：</w:t>
      </w:r>
    </w:p>
    <w:p>
      <w:pPr>
        <w:pStyle w:val="BodyText"/>
        <w:spacing w:line="240" w:lineRule="auto" w:before="157"/>
        <w:ind w:left="578"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23"/>
        </w:rPr>
        <w:t> </w:t>
      </w:r>
      <w:r>
        <w:rPr/>
        <w:t>以支付现金取得的长期股权投资，按照实际支付的购买价款作为投资成本。初始投资成本包括与</w:t>
      </w:r>
    </w:p>
    <w:p>
      <w:pPr>
        <w:pStyle w:val="BodyText"/>
        <w:spacing w:line="240" w:lineRule="auto" w:before="21"/>
        <w:ind w:right="0"/>
        <w:jc w:val="left"/>
      </w:pPr>
      <w:r>
        <w:rPr/>
        <w:t>取得长期股权投资直接相关的费用、税金及其他必要支出；</w:t>
      </w:r>
    </w:p>
    <w:p>
      <w:pPr>
        <w:pStyle w:val="BodyText"/>
        <w:spacing w:line="240" w:lineRule="auto" w:before="157"/>
        <w:ind w:left="578"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
        </w:rPr>
        <w:t> </w:t>
      </w:r>
      <w:r>
        <w:rPr>
          <w:spacing w:val="-2"/>
        </w:rPr>
        <w:t>以发行权益性证券取得的长期股权投资，按照发行权益性证券的公允价值作为初始投资成本；</w:t>
      </w:r>
    </w:p>
    <w:p>
      <w:pPr>
        <w:pStyle w:val="BodyText"/>
        <w:spacing w:line="266" w:lineRule="auto" w:before="141"/>
        <w:ind w:right="146" w:firstLine="424"/>
        <w:jc w:val="both"/>
      </w:pPr>
      <w:r>
        <w:rPr>
          <w:rFonts w:ascii="Times New Roman" w:hAnsi="Times New Roman" w:cs="Times New Roman" w:eastAsia="Times New Roman" w:hint="default"/>
          <w:w w:val="100"/>
        </w:rPr>
        <w:t>C.</w:t>
      </w:r>
      <w:r>
        <w:rPr>
          <w:rFonts w:ascii="Times New Roman" w:hAnsi="Times New Roman" w:cs="Times New Roman" w:eastAsia="Times New Roman" w:hint="default"/>
          <w:spacing w:val="43"/>
          <w:w w:val="100"/>
        </w:rPr>
        <w:t> </w:t>
      </w:r>
      <w:r>
        <w:rPr>
          <w:spacing w:val="-4"/>
          <w:w w:val="100"/>
        </w:rPr>
        <w:t>通过非货币性资产交换取得的长期股权投资，如果该项交换具有商业实质且换入资产或换出资产的</w:t>
      </w:r>
      <w:r>
        <w:rPr>
          <w:w w:val="100"/>
        </w:rPr>
        <w:t> </w:t>
      </w:r>
      <w:r>
        <w:rPr>
          <w:spacing w:val="-2"/>
        </w:rPr>
        <w:t>公允价值能可靠计量，则以换出资产的公允价值和相关税费作为初始投资成本，换出资产的公允价值与账</w:t>
      </w:r>
      <w:r>
        <w:rPr>
          <w:spacing w:val="-44"/>
        </w:rPr>
        <w:t> </w:t>
      </w:r>
      <w:r>
        <w:rPr>
          <w:spacing w:val="-44"/>
        </w:rPr>
      </w:r>
      <w:r>
        <w:rPr>
          <w:spacing w:val="-2"/>
        </w:rPr>
        <w:t>面价值之间的差额计入当期损益；若非货币资产交换不同时具备上述两个条件，则按换出资产的账面价值</w:t>
      </w:r>
      <w:r>
        <w:rPr>
          <w:spacing w:val="-44"/>
        </w:rPr>
        <w:t> </w:t>
      </w:r>
      <w:r>
        <w:rPr>
          <w:spacing w:val="-44"/>
        </w:rPr>
      </w:r>
      <w:r>
        <w:rPr/>
        <w:t>和相关税费作为初始投资成本。</w:t>
      </w:r>
    </w:p>
    <w:p>
      <w:pPr>
        <w:pStyle w:val="BodyText"/>
        <w:spacing w:line="256" w:lineRule="auto" w:before="134"/>
        <w:ind w:right="156" w:firstLine="424"/>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2"/>
        </w:rPr>
        <w:t> </w:t>
      </w:r>
      <w:r>
        <w:rPr/>
        <w:t>通过债务重组取得的长期股权投资，按取得的股权的公允价值作为初始投资成本，初始投资成本</w:t>
      </w:r>
      <w:r>
        <w:rPr>
          <w:w w:val="100"/>
        </w:rPr>
        <w:t> </w:t>
      </w:r>
      <w:r>
        <w:rPr/>
        <w:t>与债权账面价值之间的差额计入当期损益。</w:t>
      </w:r>
    </w:p>
    <w:p>
      <w:pPr>
        <w:spacing w:line="326" w:lineRule="auto" w:before="75"/>
        <w:ind w:left="580" w:right="0" w:hanging="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）后续计量及损益确认方法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本公司能够对被投资单位实施控制的长期股权投资采用成本法核算；对联营企业和合营企业的长期股</w:t>
      </w:r>
    </w:p>
    <w:p>
      <w:pPr>
        <w:pStyle w:val="BodyText"/>
        <w:spacing w:line="237" w:lineRule="exact"/>
        <w:ind w:right="0"/>
        <w:jc w:val="left"/>
      </w:pPr>
      <w:r>
        <w:rPr/>
        <w:t>权投资采用权益法核算。</w:t>
      </w:r>
    </w:p>
    <w:p>
      <w:pPr>
        <w:pStyle w:val="BodyText"/>
        <w:spacing w:line="430" w:lineRule="atLeast" w:before="2"/>
        <w:ind w:left="580" w:right="0"/>
        <w:jc w:val="left"/>
      </w:pPr>
      <w:r>
        <w:rPr/>
        <w:t>①成本法</w:t>
      </w:r>
      <w:r>
        <w:rPr>
          <w:w w:val="100"/>
        </w:rPr>
        <w:t> </w:t>
      </w:r>
      <w:r>
        <w:rPr>
          <w:spacing w:val="-3"/>
        </w:rPr>
        <w:t>采用成本法核算的长期股权投资，追加或收回投资时调整长期股权投资的成本；被投资单位宣告分派</w:t>
      </w:r>
    </w:p>
    <w:p>
      <w:pPr>
        <w:pStyle w:val="BodyText"/>
        <w:spacing w:line="240" w:lineRule="auto" w:before="37"/>
        <w:ind w:right="0"/>
        <w:jc w:val="left"/>
      </w:pPr>
      <w:r>
        <w:rPr/>
        <w:t>的现金股利或利润，确认为当期投资收益。</w:t>
      </w:r>
    </w:p>
    <w:p>
      <w:pPr>
        <w:pStyle w:val="BodyText"/>
        <w:spacing w:line="376" w:lineRule="auto" w:before="157"/>
        <w:ind w:left="580" w:right="4013"/>
        <w:jc w:val="left"/>
      </w:pPr>
      <w:r>
        <w:rPr/>
        <w:t>②权益法</w:t>
      </w:r>
      <w:r>
        <w:rPr>
          <w:w w:val="100"/>
        </w:rPr>
        <w:t> </w:t>
      </w:r>
      <w:r>
        <w:rPr>
          <w:spacing w:val="-2"/>
        </w:rPr>
        <w:t>按照权益法核算的长期股权投资，一般会计处理为：</w:t>
      </w:r>
    </w:p>
    <w:p>
      <w:pPr>
        <w:pStyle w:val="BodyText"/>
        <w:spacing w:line="273" w:lineRule="auto" w:before="37"/>
        <w:ind w:right="146" w:firstLine="427"/>
        <w:jc w:val="both"/>
      </w:pPr>
      <w:r>
        <w:rPr>
          <w:spacing w:val="-3"/>
        </w:rPr>
        <w:t>本公司长期股权投资的投资成本大于投资时应享有被投资单位可辨认净资产公允价值份额的，不调整</w:t>
      </w:r>
      <w:r>
        <w:rPr>
          <w:w w:val="100"/>
        </w:rPr>
        <w:t> </w:t>
      </w:r>
      <w:r>
        <w:rPr>
          <w:spacing w:val="-2"/>
        </w:rPr>
        <w:t>长期股权投资的初始投资成本；长期股权投资的初始投资成本小于投资时应享有被投资单位可辨认净资产</w:t>
      </w:r>
      <w:r>
        <w:rPr>
          <w:spacing w:val="-43"/>
        </w:rPr>
        <w:t> </w:t>
      </w:r>
      <w:r>
        <w:rPr>
          <w:spacing w:val="-43"/>
        </w:rPr>
      </w:r>
      <w:r>
        <w:rPr/>
        <w:t>公允价值份额的，其差额计入当期损益，同时调整长期股权投资的成本。</w:t>
      </w:r>
    </w:p>
    <w:p>
      <w:pPr>
        <w:spacing w:after="0" w:line="273" w:lineRule="auto"/>
        <w:jc w:val="both"/>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7"/>
        <w:jc w:val="both"/>
      </w:pPr>
      <w:r>
        <w:rPr>
          <w:spacing w:val="-3"/>
        </w:rPr>
        <w:t>本公司按照应享有或应分担的被投资单位实现的净损益和其他综合收益的份额，分别确认投资收益和</w:t>
      </w:r>
      <w:r>
        <w:rPr>
          <w:w w:val="100"/>
        </w:rPr>
        <w:t> </w:t>
      </w:r>
      <w:r>
        <w:rPr>
          <w:spacing w:val="-2"/>
        </w:rPr>
        <w:t>其他综合收益，同时调整长期股权投资的账面价值；本公司按照被投资单位宣告分派的利润或现金股利计</w:t>
      </w:r>
      <w:r>
        <w:rPr>
          <w:spacing w:val="-43"/>
        </w:rPr>
        <w:t> </w:t>
      </w:r>
      <w:r>
        <w:rPr>
          <w:spacing w:val="-43"/>
        </w:rPr>
      </w:r>
      <w:r>
        <w:rPr>
          <w:spacing w:val="-2"/>
        </w:rPr>
        <w:t>算应享有的部分，相应减少长期股权投资的账面价值；被投资单位除净损益、其他综合收益和利润分配以</w:t>
      </w:r>
      <w:r>
        <w:rPr>
          <w:spacing w:val="-44"/>
        </w:rPr>
        <w:t> </w:t>
      </w:r>
      <w:r>
        <w:rPr>
          <w:spacing w:val="-44"/>
        </w:rPr>
      </w:r>
      <w:r>
        <w:rPr>
          <w:spacing w:val="-2"/>
        </w:rPr>
        <w:t>外所有者权益的其他变动，调整长期股权投资的账面价值并计入所有者权益。在确认应享有被投资单位净</w:t>
      </w:r>
      <w:r>
        <w:rPr>
          <w:spacing w:val="-44"/>
        </w:rPr>
        <w:t> </w:t>
      </w:r>
      <w:r>
        <w:rPr>
          <w:spacing w:val="-44"/>
        </w:rPr>
      </w:r>
      <w:r>
        <w:rPr>
          <w:spacing w:val="-2"/>
        </w:rPr>
        <w:t>损益的份额时，以取得投资时被投资单位可辨认净资产的公允价值为基础，对被投资单位的净利润进行调</w:t>
      </w:r>
      <w:r>
        <w:rPr>
          <w:spacing w:val="-42"/>
        </w:rPr>
        <w:t> </w:t>
      </w:r>
      <w:r>
        <w:rPr>
          <w:spacing w:val="-42"/>
        </w:rPr>
      </w:r>
      <w:r>
        <w:rPr>
          <w:spacing w:val="-2"/>
        </w:rPr>
        <w:t>整后确认。被投资单位采用的会计政策及会计期间与本公司不一致的，应按照本公司的会计政策及会计期</w:t>
      </w:r>
      <w:r>
        <w:rPr>
          <w:spacing w:val="-42"/>
        </w:rPr>
        <w:t> </w:t>
      </w:r>
      <w:r>
        <w:rPr>
          <w:spacing w:val="-42"/>
        </w:rPr>
      </w:r>
      <w:r>
        <w:rPr>
          <w:spacing w:val="-2"/>
        </w:rPr>
        <w:t>间对被投资单位的财务报表进行调整，并据以确认投资收益和其他综合收益等。本公司与联营企业及合营</w:t>
      </w:r>
      <w:r>
        <w:rPr>
          <w:spacing w:val="-44"/>
        </w:rPr>
        <w:t> </w:t>
      </w:r>
      <w:r>
        <w:rPr>
          <w:spacing w:val="-44"/>
        </w:rPr>
      </w:r>
      <w:r>
        <w:rPr>
          <w:spacing w:val="-2"/>
        </w:rPr>
        <w:t>企业之间发生的未实现内部交易损益按照享有的比例计算归属于本公司的部分予以抵销，在此基础上确认</w:t>
      </w:r>
      <w:r>
        <w:rPr>
          <w:spacing w:val="-43"/>
        </w:rPr>
        <w:t> </w:t>
      </w:r>
      <w:r>
        <w:rPr>
          <w:spacing w:val="-43"/>
        </w:rPr>
      </w:r>
      <w:r>
        <w:rPr/>
        <w:t>投资损益。本公司与被投资单位发生的未实现内部交易损失属于资产减值损失的，应全额确认。</w:t>
      </w:r>
    </w:p>
    <w:p>
      <w:pPr>
        <w:pStyle w:val="BodyText"/>
        <w:spacing w:line="273" w:lineRule="auto" w:before="127"/>
        <w:ind w:right="146" w:firstLine="427"/>
        <w:jc w:val="both"/>
      </w:pPr>
      <w:r>
        <w:rPr>
          <w:spacing w:val="-3"/>
        </w:rPr>
        <w:t>因追加投资等原因能够对被投资单位施加重大影响或实施共同控制但不构成控制的，按照原持有的股</w:t>
      </w:r>
      <w:r>
        <w:rPr>
          <w:w w:val="100"/>
        </w:rPr>
        <w:t> </w:t>
      </w:r>
      <w:r>
        <w:rPr>
          <w:spacing w:val="-2"/>
        </w:rPr>
        <w:t>权投资的公允价值加上新增投资成本之和，作为改按权益法核算的初始投资成本。原持有的股权投资分类</w:t>
      </w:r>
      <w:r>
        <w:rPr>
          <w:spacing w:val="-43"/>
        </w:rPr>
        <w:t> </w:t>
      </w:r>
      <w:r>
        <w:rPr>
          <w:spacing w:val="-43"/>
        </w:rPr>
      </w:r>
      <w:r>
        <w:rPr>
          <w:spacing w:val="-2"/>
        </w:rPr>
        <w:t>为可供出售金融资产的，其公允价值与账面价值之间的差额，以及原计入其他综合收益的累计公允价值变</w:t>
      </w:r>
      <w:r>
        <w:rPr>
          <w:spacing w:val="-42"/>
        </w:rPr>
        <w:t> </w:t>
      </w:r>
      <w:r>
        <w:rPr>
          <w:spacing w:val="-42"/>
        </w:rPr>
      </w:r>
      <w:r>
        <w:rPr/>
        <w:t>动应当转入改按权益法核算的当期损益。</w:t>
      </w:r>
    </w:p>
    <w:p>
      <w:pPr>
        <w:pStyle w:val="BodyText"/>
        <w:spacing w:line="273" w:lineRule="auto" w:before="127"/>
        <w:ind w:right="146" w:firstLine="427"/>
        <w:jc w:val="both"/>
      </w:pPr>
      <w:r>
        <w:rPr>
          <w:spacing w:val="-3"/>
        </w:rPr>
        <w:t>因处置部分股权投资等原因丧失了对被投资单位的共同控制或重大影响的，处置后的剩余股权改按公</w:t>
      </w:r>
      <w:r>
        <w:rPr>
          <w:w w:val="100"/>
        </w:rPr>
        <w:t> </w:t>
      </w:r>
      <w:r>
        <w:rPr>
          <w:spacing w:val="-2"/>
        </w:rPr>
        <w:t>允价值计量，其在丧失共同控制或重大影响之日的公允价值与账面价值之间的差额计入当期损益。原股权</w:t>
      </w:r>
      <w:r>
        <w:rPr>
          <w:spacing w:val="-44"/>
        </w:rPr>
        <w:t> </w:t>
      </w:r>
      <w:r>
        <w:rPr>
          <w:spacing w:val="-44"/>
        </w:rPr>
      </w:r>
      <w:r>
        <w:rPr>
          <w:spacing w:val="-2"/>
        </w:rPr>
        <w:t>投资因采用权益法核算而确认的其他综合收益，在终止采用权益法核算时采用与被投资单位直接处置相关</w:t>
      </w:r>
      <w:r>
        <w:rPr>
          <w:spacing w:val="-43"/>
        </w:rPr>
        <w:t> </w:t>
      </w:r>
      <w:r>
        <w:rPr>
          <w:spacing w:val="-43"/>
        </w:rPr>
      </w:r>
      <w:r>
        <w:rPr/>
        <w:t>资产或负债相同的基础进行会计处理。</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97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16" w:lineRule="auto" w:before="0"/>
        <w:ind w:left="153" w:right="148" w:firstLine="0"/>
        <w:jc w:val="both"/>
        <w:rPr>
          <w:rFonts w:ascii="宋体" w:hAnsi="宋体" w:cs="宋体" w:eastAsia="宋体" w:hint="default"/>
          <w:sz w:val="18"/>
          <w:szCs w:val="18"/>
        </w:rPr>
      </w:pPr>
      <w:r>
        <w:rPr>
          <w:rFonts w:ascii="宋体" w:hAnsi="宋体" w:cs="宋体" w:eastAsia="宋体" w:hint="default"/>
          <w:spacing w:val="-2"/>
          <w:sz w:val="18"/>
          <w:szCs w:val="18"/>
        </w:rPr>
        <w:t>固定资产在同时满足下列条件时，按取得时的实际成本予以确认：①与该固定资产有关的经济利益很可能流入企业。②该固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定资产的成本能够可靠地计量。固定资产发生的后续支出，符合固定资产确认条件的计入固定资产成本；不符合固定资产确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认条件的在发生时计入当期损益。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23.75%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11.88%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19.00%</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本公司在租入的固定资产实质上转移了与资产有关的全部风险和报酬时确认该项固定资产的租赁为融资租赁</w:t>
      </w:r>
      <w:r>
        <w:rPr>
          <w:rFonts w:ascii="宋体" w:hAnsi="宋体" w:cs="宋体" w:eastAsia="宋体" w:hint="default"/>
          <w:spacing w:val="-82"/>
          <w:sz w:val="18"/>
          <w:szCs w:val="18"/>
        </w:rPr>
        <w:t>。</w:t>
      </w:r>
      <w:r>
        <w:rPr>
          <w:rFonts w:ascii="宋体" w:hAnsi="宋体" w:cs="宋体" w:eastAsia="宋体" w:hint="default"/>
          <w:sz w:val="18"/>
          <w:szCs w:val="18"/>
        </w:rPr>
        <w:t>融资租赁取得</w:t>
      </w:r>
    </w:p>
    <w:p>
      <w:pPr>
        <w:spacing w:after="0"/>
        <w:jc w:val="left"/>
        <w:rPr>
          <w:rFonts w:ascii="宋体" w:hAnsi="宋体" w:cs="宋体" w:eastAsia="宋体" w:hint="default"/>
          <w:sz w:val="18"/>
          <w:szCs w:val="18"/>
        </w:rPr>
        <w:sectPr>
          <w:footerReference w:type="default" r:id="rId16"/>
          <w:pgSz w:w="11910" w:h="16840"/>
          <w:pgMar w:footer="979" w:header="748" w:top="1060" w:bottom="1160" w:left="980" w:right="980"/>
          <w:pgNumType w:start="110"/>
        </w:sectPr>
      </w:pPr>
    </w:p>
    <w:p>
      <w:pPr>
        <w:spacing w:line="240" w:lineRule="auto" w:before="10"/>
        <w:rPr>
          <w:rFonts w:ascii="宋体" w:hAnsi="宋体" w:cs="宋体" w:eastAsia="宋体" w:hint="default"/>
          <w:sz w:val="25"/>
          <w:szCs w:val="25"/>
        </w:rPr>
      </w:pPr>
    </w:p>
    <w:p>
      <w:pPr>
        <w:spacing w:line="316" w:lineRule="auto" w:before="44"/>
        <w:ind w:left="153" w:right="210" w:firstLine="0"/>
        <w:jc w:val="both"/>
        <w:rPr>
          <w:rFonts w:ascii="宋体" w:hAnsi="宋体" w:cs="宋体" w:eastAsia="宋体" w:hint="default"/>
          <w:sz w:val="18"/>
          <w:szCs w:val="18"/>
        </w:rPr>
      </w:pPr>
      <w:r>
        <w:rPr>
          <w:rFonts w:ascii="宋体" w:hAnsi="宋体" w:cs="宋体" w:eastAsia="宋体" w:hint="default"/>
          <w:spacing w:val="-2"/>
          <w:sz w:val="18"/>
          <w:szCs w:val="18"/>
        </w:rPr>
        <w:t>的固定资产的成本，按租赁开始日租赁资产公允价值与最低租赁付款额现值两者中较低者确定。融资租入的固定资产采用与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自有固定资产相一致的折旧政策计提租赁资产折旧。能够合理确定租赁期届满时将会取得租赁资产所有权的，在租赁资产使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用年限内计提折旧；无法合理确定租赁期届满时能够取得租赁资产所有权的，在租赁期与租赁资产使用寿命两者中较短的期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间内计提折旧。</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7"/>
        <w:ind w:left="580" w:right="0"/>
        <w:jc w:val="left"/>
      </w:pPr>
      <w:r>
        <w:rPr/>
        <w:t>（</w:t>
      </w:r>
      <w:r>
        <w:rPr>
          <w:rFonts w:ascii="Times New Roman" w:hAnsi="Times New Roman" w:cs="Times New Roman" w:eastAsia="Times New Roman" w:hint="default"/>
        </w:rPr>
        <w:t>1</w:t>
      </w:r>
      <w:r>
        <w:rPr/>
        <w:t>）在建工程以立项项目分类核算。</w:t>
      </w:r>
    </w:p>
    <w:p>
      <w:pPr>
        <w:pStyle w:val="BodyText"/>
        <w:spacing w:line="357" w:lineRule="auto" w:before="141"/>
        <w:ind w:left="580" w:right="0"/>
        <w:jc w:val="left"/>
      </w:pPr>
      <w:r>
        <w:rPr/>
        <w:t>（</w:t>
      </w: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209" w:lineRule="exact"/>
        <w:ind w:right="0"/>
        <w:jc w:val="left"/>
      </w:pPr>
      <w:r>
        <w:rPr/>
        <w:t>包括建筑费用、机器设备原价、其他为使在建工程达到预定可使用状态所发生的必要支出以及在资产达到</w:t>
      </w:r>
    </w:p>
    <w:p>
      <w:pPr>
        <w:pStyle w:val="BodyText"/>
        <w:spacing w:line="273" w:lineRule="auto" w:before="37"/>
        <w:ind w:right="0"/>
        <w:jc w:val="left"/>
      </w:pPr>
      <w:r>
        <w:rPr>
          <w:spacing w:val="-2"/>
        </w:rPr>
        <w:t>预定可使用状态之前为该项目专门借款所发生的借款费用及占用的一般借款发生的借款费用。本公司在工</w:t>
      </w:r>
      <w:r>
        <w:rPr>
          <w:spacing w:val="-43"/>
        </w:rPr>
        <w:t> </w:t>
      </w:r>
      <w:r>
        <w:rPr>
          <w:spacing w:val="-43"/>
        </w:rPr>
      </w:r>
      <w:r>
        <w:rPr>
          <w:spacing w:val="-2"/>
        </w:rPr>
        <w:t>程安装或建设完成达到预定可使用状态时将在建工程转入固定资产。所建造的已达到预定可使用状态、但</w:t>
      </w:r>
      <w:r>
        <w:rPr>
          <w:spacing w:val="-44"/>
        </w:rPr>
        <w:t> </w:t>
      </w:r>
      <w:r>
        <w:rPr>
          <w:spacing w:val="-44"/>
        </w:rPr>
      </w:r>
      <w:r>
        <w:rPr>
          <w:spacing w:val="-5"/>
        </w:rPr>
        <w:t>尚未办理竣工决算的固定资产，自达到预定可使用状态之日起，根据工程预算、造价或者工程实际成本等， </w:t>
      </w:r>
      <w:r>
        <w:rPr>
          <w:spacing w:val="-5"/>
        </w:rPr>
      </w:r>
      <w:r>
        <w:rPr>
          <w:spacing w:val="-2"/>
        </w:rPr>
        <w:t>按估计的价值转入固定资产，并按本公司固定资产折旧政策计提固定资产的折旧，待办理竣工决算后，再</w:t>
      </w:r>
      <w:r>
        <w:rPr>
          <w:spacing w:val="-43"/>
        </w:rPr>
        <w:t> </w:t>
      </w:r>
      <w:r>
        <w:rPr>
          <w:spacing w:val="-43"/>
        </w:rPr>
      </w:r>
      <w:r>
        <w:rPr/>
        <w:t>按实际成本调整原来的暂估价值，但不调整原已计提的折旧额。</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28" w:lineRule="auto" w:before="0"/>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）借款费用资本化的确认原则和资本化期间</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2"/>
          <w:sz w:val="21"/>
          <w:szCs w:val="21"/>
        </w:rPr>
        <w:t>本公司发生的可直接归属于符合资本化条件的资产的购建或生产的借款费用在同时满足下列条件时</w:t>
      </w:r>
    </w:p>
    <w:p>
      <w:pPr>
        <w:pStyle w:val="BodyText"/>
        <w:spacing w:line="234" w:lineRule="exact"/>
        <w:ind w:right="0"/>
        <w:jc w:val="left"/>
      </w:pPr>
      <w:r>
        <w:rPr/>
        <w:t>予以资本化计入相关资产成本：</w:t>
      </w:r>
    </w:p>
    <w:p>
      <w:pPr>
        <w:pStyle w:val="BodyText"/>
        <w:spacing w:line="240" w:lineRule="auto" w:before="157"/>
        <w:ind w:left="580" w:right="0"/>
        <w:jc w:val="left"/>
      </w:pPr>
      <w:r>
        <w:rPr/>
        <w:t>①资产支出已经发生；</w:t>
      </w:r>
    </w:p>
    <w:p>
      <w:pPr>
        <w:pStyle w:val="BodyText"/>
        <w:spacing w:line="240" w:lineRule="auto" w:before="157"/>
        <w:ind w:left="580" w:right="0"/>
        <w:jc w:val="left"/>
      </w:pPr>
      <w:r>
        <w:rPr/>
        <w:t>②借款费用已经发生；</w:t>
      </w:r>
    </w:p>
    <w:p>
      <w:pPr>
        <w:pStyle w:val="BodyText"/>
        <w:spacing w:line="432" w:lineRule="exact" w:before="57"/>
        <w:ind w:left="580" w:right="0"/>
        <w:jc w:val="left"/>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BodyText"/>
        <w:spacing w:line="255" w:lineRule="exact"/>
        <w:ind w:right="0"/>
        <w:jc w:val="left"/>
      </w:pPr>
      <w:r>
        <w:rPr/>
        <w:t>借款费用的资本化。</w:t>
      </w:r>
    </w:p>
    <w:p>
      <w:pPr>
        <w:pStyle w:val="BodyText"/>
        <w:spacing w:line="273" w:lineRule="auto" w:before="157"/>
        <w:ind w:right="223" w:firstLine="427"/>
        <w:jc w:val="both"/>
      </w:pPr>
      <w:r>
        <w:rPr>
          <w:spacing w:val="2"/>
        </w:rPr>
        <w:t>当购建或者生产符合资本化条件的资产达到预定可使用或者可销售状态时，停止其借款费用的资本</w:t>
      </w:r>
      <w:r>
        <w:rPr>
          <w:w w:val="100"/>
        </w:rPr>
        <w:t> </w:t>
      </w:r>
      <w:r>
        <w:rPr/>
        <w:t>化；以后发生的借款费用于发生当期确认为费用。</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）借款费用资本化率以及资本化金额的计算方法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3"/>
          <w:sz w:val="21"/>
          <w:szCs w:val="21"/>
        </w:rPr>
        <w:t>为购建或者生产符合资本化条件的资产而借入专门借款的，以专门借款当期实际发生的利息费用，减</w:t>
      </w:r>
    </w:p>
    <w:p>
      <w:pPr>
        <w:pStyle w:val="BodyText"/>
        <w:spacing w:line="236" w:lineRule="exact"/>
        <w:ind w:right="0"/>
        <w:jc w:val="left"/>
      </w:pPr>
      <w:r>
        <w:rPr/>
        <w:t>去将尚未动用的借款资金存入银行取得的利息收入或者进行暂时性投资取得的投资收益后的金额，确定为</w:t>
      </w:r>
    </w:p>
    <w:p>
      <w:pPr>
        <w:pStyle w:val="BodyText"/>
        <w:spacing w:line="240" w:lineRule="auto" w:before="37"/>
        <w:ind w:right="0"/>
        <w:jc w:val="left"/>
      </w:pPr>
      <w:r>
        <w:rPr/>
        <w:t>专门借款利息费用的资本化金额。</w:t>
      </w:r>
    </w:p>
    <w:p>
      <w:pPr>
        <w:pStyle w:val="BodyText"/>
        <w:spacing w:line="273" w:lineRule="auto" w:before="157"/>
        <w:ind w:right="206" w:firstLine="427"/>
        <w:jc w:val="both"/>
      </w:pPr>
      <w:r>
        <w:rPr>
          <w:spacing w:val="-3"/>
        </w:rPr>
        <w:t>购建或者生产符合资本化条件的资产占用了一般借款的，一般借款应予资本化的利息金额按累计资产</w:t>
      </w:r>
      <w:r>
        <w:rPr>
          <w:w w:val="100"/>
        </w:rPr>
        <w:t> </w:t>
      </w:r>
      <w:r>
        <w:rPr>
          <w:spacing w:val="-2"/>
        </w:rPr>
        <w:t>支出超过专门借款部分的资产支出加权平均数乘以所占用一般借款的资本化率，计算确定一般借款应予资</w:t>
      </w:r>
      <w:r>
        <w:rPr>
          <w:spacing w:val="-43"/>
        </w:rPr>
        <w:t> </w:t>
      </w:r>
      <w:r>
        <w:rPr>
          <w:spacing w:val="-43"/>
        </w:rPr>
      </w:r>
      <w:r>
        <w:rPr/>
        <w:t>本化的利息金额。资本化率根据一般借款加权平均利率计算确定。</w:t>
      </w:r>
    </w:p>
    <w:p>
      <w:pPr>
        <w:spacing w:after="0" w:line="273" w:lineRule="auto"/>
        <w:jc w:val="both"/>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24" w:lineRule="auto" w:before="16"/>
        <w:ind w:left="580" w:right="52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b/>
          <w:bCs/>
          <w:spacing w:val="-42"/>
          <w:sz w:val="21"/>
          <w:szCs w:val="21"/>
        </w:rPr>
        <w:t> </w:t>
      </w:r>
      <w:r>
        <w:rPr>
          <w:rFonts w:ascii="宋体" w:hAnsi="宋体" w:cs="宋体" w:eastAsia="宋体" w:hint="default"/>
          <w:spacing w:val="-2"/>
          <w:sz w:val="21"/>
          <w:szCs w:val="21"/>
        </w:rPr>
        <w:t>按取得时的实际成本入账。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Microsoft JhengHei" w:hAnsi="Microsoft JhengHei" w:cs="Microsoft JhengHei" w:eastAsia="Microsoft JhengHei" w:hint="default"/>
          <w:b/>
          <w:bCs/>
          <w:sz w:val="21"/>
          <w:szCs w:val="21"/>
        </w:rPr>
        <w:t>无形资产使用寿命及摊销</w:t>
      </w:r>
      <w:r>
        <w:rPr>
          <w:rFonts w:ascii="Microsoft JhengHei" w:hAnsi="Microsoft JhengHei" w:cs="Microsoft JhengHei" w:eastAsia="Microsoft JhengHei" w:hint="default"/>
          <w:sz w:val="21"/>
          <w:szCs w:val="21"/>
        </w:rPr>
      </w:r>
    </w:p>
    <w:p>
      <w:pPr>
        <w:pStyle w:val="BodyText"/>
        <w:spacing w:line="240" w:lineRule="auto" w:before="35"/>
        <w:ind w:left="580" w:right="0"/>
        <w:jc w:val="left"/>
      </w:pPr>
      <w:r>
        <w:rPr/>
        <w:t>①使用寿命有限的无形资产的使用寿命估计情况：</w:t>
      </w:r>
    </w:p>
    <w:p>
      <w:pPr>
        <w:spacing w:line="240" w:lineRule="auto" w:before="8"/>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533"/>
        <w:gridCol w:w="1908"/>
        <w:gridCol w:w="4849"/>
      </w:tblGrid>
      <w:tr>
        <w:trPr>
          <w:trHeight w:val="346" w:hRule="exact"/>
        </w:trPr>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8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2"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8" w:hRule="exact"/>
        </w:trPr>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31"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3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4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29" w:right="0"/>
              <w:jc w:val="center"/>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660" w:hRule="exact"/>
        </w:trPr>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3"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3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48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0"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命</w:t>
            </w:r>
          </w:p>
        </w:tc>
      </w:tr>
    </w:tbl>
    <w:p>
      <w:pPr>
        <w:spacing w:line="240" w:lineRule="auto" w:before="8"/>
        <w:rPr>
          <w:rFonts w:ascii="宋体" w:hAnsi="宋体" w:cs="宋体" w:eastAsia="宋体" w:hint="default"/>
          <w:sz w:val="5"/>
          <w:szCs w:val="5"/>
        </w:rPr>
      </w:pPr>
    </w:p>
    <w:p>
      <w:pPr>
        <w:pStyle w:val="BodyText"/>
        <w:spacing w:line="273" w:lineRule="auto" w:before="36"/>
        <w:ind w:right="146" w:firstLine="427"/>
        <w:jc w:val="both"/>
      </w:pPr>
      <w:r>
        <w:rPr>
          <w:spacing w:val="-3"/>
        </w:rPr>
        <w:t>每年年度终了，公司对使用寿命有限的无形资产的使用寿命及摊销方法进行复核。经复核，本期末无</w:t>
      </w:r>
      <w:r>
        <w:rPr>
          <w:w w:val="100"/>
        </w:rPr>
        <w:t> </w:t>
      </w:r>
      <w:r>
        <w:rPr/>
        <w:t>形资产的使用寿命及摊销方法与以前估计未有不同。</w:t>
      </w:r>
    </w:p>
    <w:p>
      <w:pPr>
        <w:pStyle w:val="BodyText"/>
        <w:spacing w:line="273" w:lineRule="auto" w:before="128"/>
        <w:ind w:right="146" w:firstLine="427"/>
        <w:jc w:val="both"/>
      </w:pPr>
      <w:r>
        <w:rPr>
          <w:spacing w:val="-3"/>
        </w:rPr>
        <w:t>②无法预见无形资产为企业带来经济利益期限的，视为使用寿命不确定的无形资产。对于使用寿命不</w:t>
      </w:r>
      <w:r>
        <w:rPr>
          <w:w w:val="100"/>
        </w:rPr>
        <w:t> </w:t>
      </w:r>
      <w:r>
        <w:rPr>
          <w:spacing w:val="-2"/>
        </w:rPr>
        <w:t>确定的无形资产，公司在每年年度终了对使用寿命不确定的无形资产的使用寿命进行复核，如果重新复核</w:t>
      </w:r>
      <w:r>
        <w:rPr>
          <w:spacing w:val="-43"/>
        </w:rPr>
        <w:t> </w:t>
      </w:r>
      <w:r>
        <w:rPr>
          <w:spacing w:val="-43"/>
        </w:rPr>
      </w:r>
      <w:r>
        <w:rPr/>
        <w:t>后仍为不确定的，于在资产负债表日进行减值测试。</w:t>
      </w:r>
    </w:p>
    <w:p>
      <w:pPr>
        <w:pStyle w:val="BodyText"/>
        <w:spacing w:line="432" w:lineRule="exact" w:before="27"/>
        <w:ind w:left="580" w:right="0"/>
        <w:jc w:val="left"/>
      </w:pPr>
      <w:r>
        <w:rPr/>
        <w:t>③无形资产的摊销</w:t>
      </w:r>
      <w:r>
        <w:rPr>
          <w:w w:val="100"/>
        </w:rPr>
        <w:t> </w:t>
      </w:r>
      <w:r>
        <w:rPr>
          <w:spacing w:val="-2"/>
        </w:rPr>
        <w:t>对于使用寿命有限的无形资产，本公司在取得时判定其使用寿命，在使用寿命内采用直线法系统合理</w:t>
      </w:r>
    </w:p>
    <w:p>
      <w:pPr>
        <w:pStyle w:val="BodyText"/>
        <w:spacing w:line="255" w:lineRule="exact"/>
        <w:ind w:right="0"/>
        <w:jc w:val="both"/>
      </w:pPr>
      <w:r>
        <w:rPr/>
        <w:t>摊销，摊销金额按受益项目计入当期损益</w:t>
      </w:r>
      <w:r>
        <w:rPr>
          <w:color w:val="FF0000"/>
        </w:rPr>
        <w:t>。</w:t>
      </w:r>
      <w:r>
        <w:rPr/>
        <w:t>具体应摊销金额为其成本扣除预计残值后的金额。已计提减值</w:t>
      </w:r>
    </w:p>
    <w:p>
      <w:pPr>
        <w:pStyle w:val="BodyText"/>
        <w:spacing w:line="273" w:lineRule="auto" w:before="37"/>
        <w:ind w:right="146"/>
        <w:jc w:val="both"/>
      </w:pPr>
      <w:r>
        <w:rPr>
          <w:spacing w:val="-2"/>
        </w:rPr>
        <w:t>准备的无形资产，还应扣除已计提的无形资产减值准备累计金额，残值为零。但下列情况除外：有第三方</w:t>
      </w:r>
      <w:r>
        <w:rPr>
          <w:spacing w:val="-47"/>
        </w:rPr>
        <w:t> </w:t>
      </w:r>
      <w:r>
        <w:rPr>
          <w:spacing w:val="-47"/>
        </w:rPr>
      </w:r>
      <w:r>
        <w:rPr>
          <w:spacing w:val="-2"/>
        </w:rPr>
        <w:t>承诺在无形资产使用寿命结束时购买该无形资产或可以根据活跃市场得到预计残值信息，并且该市场在无</w:t>
      </w:r>
      <w:r>
        <w:rPr>
          <w:spacing w:val="-43"/>
        </w:rPr>
        <w:t> </w:t>
      </w:r>
      <w:r>
        <w:rPr>
          <w:spacing w:val="-43"/>
        </w:rPr>
      </w:r>
      <w:r>
        <w:rPr/>
        <w:t>形资产使用寿命结束时很可能存在。</w:t>
      </w:r>
    </w:p>
    <w:p>
      <w:pPr>
        <w:pStyle w:val="BodyText"/>
        <w:spacing w:line="273" w:lineRule="auto" w:before="127"/>
        <w:ind w:right="146" w:firstLine="427"/>
        <w:jc w:val="both"/>
      </w:pPr>
      <w:r>
        <w:rPr>
          <w:spacing w:val="-3"/>
        </w:rPr>
        <w:t>对使用寿命不确定的无形资产，不予摊销。每年年度终了对使用寿命不确定的无形资产的使用寿命进</w:t>
      </w:r>
      <w:r>
        <w:rPr>
          <w:w w:val="100"/>
        </w:rPr>
        <w:t> </w:t>
      </w:r>
      <w:r>
        <w:rPr>
          <w:spacing w:val="-2"/>
        </w:rPr>
        <w:t>行复核，如果有证据表明无形资产的使用寿命是有限的，估计其使用寿命并在预计使用年限内系统合理摊</w:t>
      </w:r>
      <w:r>
        <w:rPr>
          <w:spacing w:val="-43"/>
        </w:rPr>
        <w:t> </w:t>
      </w:r>
      <w:r>
        <w:rPr>
          <w:spacing w:val="-43"/>
        </w:rPr>
      </w:r>
      <w:r>
        <w:rPr/>
        <w:t>销。</w:t>
      </w:r>
    </w:p>
    <w:p>
      <w:pPr>
        <w:pStyle w:val="Heading3"/>
        <w:spacing w:line="612" w:lineRule="exact" w:before="63"/>
        <w:ind w:left="580" w:right="3293" w:hanging="428"/>
        <w:jc w:val="left"/>
        <w:rPr>
          <w:b w:val="0"/>
          <w:bCs w:val="0"/>
        </w:rPr>
      </w:pPr>
      <w:r>
        <w:rPr/>
        <w:t>（</w:t>
      </w:r>
      <w:r>
        <w:rPr>
          <w:rFonts w:ascii="Times New Roman" w:hAnsi="Times New Roman" w:cs="Times New Roman" w:eastAsia="Times New Roman" w:hint="default"/>
        </w:rPr>
        <w:t>2</w:t>
      </w:r>
      <w:r>
        <w:rPr/>
        <w:t>）内部研究开发支出会计政策</w:t>
      </w:r>
      <w:r>
        <w:rPr>
          <w:spacing w:val="-43"/>
        </w:rPr>
        <w:t> </w:t>
      </w:r>
      <w:r>
        <w:rPr>
          <w:spacing w:val="-43"/>
        </w:rPr>
      </w:r>
      <w:r>
        <w:rPr>
          <w:spacing w:val="-1"/>
        </w:rPr>
        <w:t>划分内部研究开发项目的研究阶段和开发阶段具体标准</w:t>
      </w:r>
      <w:r>
        <w:rPr>
          <w:b w:val="0"/>
          <w:bCs w:val="0"/>
          <w:spacing w:val="-1"/>
        </w:rPr>
      </w:r>
    </w:p>
    <w:p>
      <w:pPr>
        <w:pStyle w:val="BodyText"/>
        <w:spacing w:line="273" w:lineRule="auto" w:before="64"/>
        <w:ind w:right="146" w:firstLine="427"/>
        <w:jc w:val="both"/>
      </w:pPr>
      <w:r>
        <w:rPr>
          <w:spacing w:val="-3"/>
        </w:rPr>
        <w:t>①本公司将为进一步开发活动进行的资料及相关方面的准备活动作为研究阶段，无形资产研究阶段的</w:t>
      </w:r>
      <w:r>
        <w:rPr>
          <w:w w:val="100"/>
        </w:rPr>
        <w:t> </w:t>
      </w:r>
      <w:r>
        <w:rPr/>
        <w:t>支出在发生时计入当期损益。</w:t>
      </w:r>
    </w:p>
    <w:p>
      <w:pPr>
        <w:pStyle w:val="BodyText"/>
        <w:spacing w:line="240" w:lineRule="auto" w:before="127"/>
        <w:ind w:left="580" w:right="0"/>
        <w:jc w:val="left"/>
      </w:pPr>
      <w:r>
        <w:rPr/>
        <w:t>②在本公司已完成研究阶段的工作后再进行的开发活动作为开发阶段。</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left="580" w:right="0"/>
        <w:jc w:val="left"/>
        <w:rPr>
          <w:b w:val="0"/>
          <w:bCs w:val="0"/>
        </w:rPr>
      </w:pPr>
      <w:r>
        <w:rPr/>
        <w:t>开发阶段支出资本化的具体条件</w:t>
      </w:r>
      <w:r>
        <w:rPr>
          <w:b w:val="0"/>
          <w:bCs w:val="0"/>
        </w:rPr>
      </w:r>
    </w:p>
    <w:p>
      <w:pPr>
        <w:pStyle w:val="BodyText"/>
        <w:spacing w:line="432" w:lineRule="exact" w:before="33"/>
        <w:ind w:left="580" w:right="0"/>
        <w:jc w:val="left"/>
      </w:pPr>
      <w:r>
        <w:rPr/>
        <w:t>开发阶段的支出同时满足下列条件时，才能确认为无形资产：</w:t>
      </w:r>
      <w:r>
        <w:rPr>
          <w:w w:val="100"/>
        </w:rPr>
        <w:t> </w:t>
      </w:r>
      <w:r>
        <w:rPr>
          <w:rFonts w:ascii="Times New Roman" w:hAnsi="Times New Roman" w:cs="Times New Roman" w:eastAsia="Times New Roman" w:hint="default"/>
        </w:rPr>
        <w:t>A.</w:t>
      </w:r>
      <w:r>
        <w:rPr/>
        <w:t>完成该无形资产以使其能够使用或出售在技术上具有可行性；</w:t>
      </w:r>
      <w:r>
        <w:rPr>
          <w:w w:val="100"/>
        </w:rPr>
        <w:t> </w:t>
      </w:r>
      <w:r>
        <w:rPr>
          <w:rFonts w:ascii="Times New Roman" w:hAnsi="Times New Roman" w:cs="Times New Roman" w:eastAsia="Times New Roman" w:hint="default"/>
        </w:rPr>
        <w:t>B.</w:t>
      </w:r>
      <w:r>
        <w:rPr/>
        <w:t>具有完成该无形资产并使用或出售的意图；</w:t>
      </w:r>
      <w:r>
        <w:rPr>
          <w:w w:val="100"/>
        </w:rPr>
        <w:t> </w:t>
      </w: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w:t>
      </w:r>
    </w:p>
    <w:p>
      <w:pPr>
        <w:pStyle w:val="BodyText"/>
        <w:spacing w:line="255" w:lineRule="exact"/>
        <w:ind w:right="0"/>
        <w:jc w:val="left"/>
      </w:pPr>
      <w:r>
        <w:rPr/>
        <w:t>存在市场，无形资产将在内部使用的，能够证明其有用性；</w:t>
      </w:r>
    </w:p>
    <w:p>
      <w:pPr>
        <w:pStyle w:val="BodyText"/>
        <w:spacing w:line="256" w:lineRule="auto" w:before="157"/>
        <w:ind w:right="0" w:firstLine="427"/>
        <w:jc w:val="left"/>
      </w:pPr>
      <w:r>
        <w:rPr>
          <w:rFonts w:ascii="Times New Roman" w:hAnsi="Times New Roman" w:cs="Times New Roman" w:eastAsia="Times New Roman" w:hint="default"/>
          <w:spacing w:val="-2"/>
        </w:rPr>
        <w:t>D.</w:t>
      </w:r>
      <w:r>
        <w:rPr>
          <w:spacing w:val="-2"/>
        </w:rPr>
        <w:t>有足够的技术、财务资源和其他资源支持，以完成该无形资产的开发，并有能力使用或出售该无形</w:t>
      </w:r>
      <w:r>
        <w:rPr>
          <w:w w:val="100"/>
        </w:rPr>
        <w:t> </w:t>
      </w:r>
      <w:r>
        <w:rPr/>
        <w:t>资产；</w:t>
      </w:r>
    </w:p>
    <w:p>
      <w:pPr>
        <w:pStyle w:val="BodyText"/>
        <w:spacing w:line="240" w:lineRule="auto" w:before="142"/>
        <w:ind w:left="580" w:right="0"/>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26" w:lineRule="auto" w:before="0"/>
        <w:ind w:left="580" w:right="0" w:hanging="5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）长期股权投资减值测试方法及会计处理方法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本公司在资产负债表日对长期股权投资进行逐项检查，根据被投资单位经营政策、法律环境、市场需</w:t>
      </w:r>
    </w:p>
    <w:p>
      <w:pPr>
        <w:pStyle w:val="BodyText"/>
        <w:spacing w:line="236" w:lineRule="exact"/>
        <w:ind w:right="0"/>
        <w:jc w:val="left"/>
      </w:pPr>
      <w:r>
        <w:rPr/>
        <w:t>求、行业及盈利能力等的各种变化判断长期股权投资是否存在减值迹象。当长期股权投资可收回金额低于</w:t>
      </w:r>
    </w:p>
    <w:p>
      <w:pPr>
        <w:pStyle w:val="BodyText"/>
        <w:spacing w:line="273" w:lineRule="auto" w:before="37"/>
        <w:ind w:right="0"/>
        <w:jc w:val="left"/>
      </w:pP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）固定资产的减值测试方法及会计处理方法</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3"/>
          <w:sz w:val="21"/>
          <w:szCs w:val="21"/>
        </w:rPr>
        <w:t>本公司在资产负债表日对各项固定资产进行判断，当存在减值迹象，估计可收回金额低于其账面价值</w:t>
      </w:r>
    </w:p>
    <w:p>
      <w:pPr>
        <w:pStyle w:val="BodyText"/>
        <w:spacing w:line="237" w:lineRule="exact"/>
        <w:ind w:right="0"/>
        <w:jc w:val="left"/>
      </w:pPr>
      <w:r>
        <w:rPr/>
        <w:t>时，账面价值减记至可收回金额，减记的金额确认为资产减值损失，计入当期损益，同时计提相应的资产</w:t>
      </w:r>
    </w:p>
    <w:p>
      <w:pPr>
        <w:pStyle w:val="BodyText"/>
        <w:spacing w:line="273" w:lineRule="auto" w:before="37"/>
        <w:ind w:right="0"/>
        <w:jc w:val="left"/>
      </w:pPr>
      <w:r>
        <w:rPr>
          <w:spacing w:val="-2"/>
        </w:rPr>
        <w:t>减值准备。资产减值损失一经确认，在以后会计期间不再转回。当存在下列迹象的，按固定资产单项项目</w:t>
      </w:r>
      <w:r>
        <w:rPr>
          <w:spacing w:val="-50"/>
        </w:rPr>
        <w:t> </w:t>
      </w:r>
      <w:r>
        <w:rPr>
          <w:spacing w:val="-50"/>
        </w:rPr>
      </w:r>
      <w:r>
        <w:rPr/>
        <w:t>全额计提减值准备：</w:t>
      </w:r>
    </w:p>
    <w:p>
      <w:pPr>
        <w:pStyle w:val="BodyText"/>
        <w:spacing w:line="240" w:lineRule="auto" w:before="127"/>
        <w:ind w:left="580" w:right="0"/>
        <w:jc w:val="left"/>
      </w:pPr>
      <w:r>
        <w:rPr/>
        <w:t>①长期闲置不用，在可预见的未来不会再使用，且已无转让价值的固定资产；</w:t>
      </w:r>
    </w:p>
    <w:p>
      <w:pPr>
        <w:pStyle w:val="BodyText"/>
        <w:spacing w:line="240" w:lineRule="auto" w:before="157"/>
        <w:ind w:left="580" w:right="0"/>
        <w:jc w:val="left"/>
      </w:pPr>
      <w:r>
        <w:rPr/>
        <w:t>②由于技术进步等原因，已不可使用的固定资产；</w:t>
      </w:r>
    </w:p>
    <w:p>
      <w:pPr>
        <w:pStyle w:val="BodyText"/>
        <w:spacing w:line="240" w:lineRule="auto" w:before="157"/>
        <w:ind w:left="580" w:right="0"/>
        <w:jc w:val="left"/>
      </w:pPr>
      <w:r>
        <w:rPr/>
        <w:t>③虽然固定资产尚可使用，但使用后产生大量不合格品的固定资产；</w:t>
      </w:r>
    </w:p>
    <w:p>
      <w:pPr>
        <w:pStyle w:val="BodyText"/>
        <w:spacing w:line="240" w:lineRule="auto" w:before="157"/>
        <w:ind w:left="580" w:right="0"/>
        <w:jc w:val="left"/>
      </w:pPr>
      <w:r>
        <w:rPr/>
        <w:t>④已遭毁损，以至于不再具有使用价值和转让价值的固定资产；</w:t>
      </w:r>
    </w:p>
    <w:p>
      <w:pPr>
        <w:pStyle w:val="BodyText"/>
        <w:spacing w:line="240" w:lineRule="auto" w:before="157"/>
        <w:ind w:left="580" w:right="0"/>
        <w:jc w:val="left"/>
      </w:pPr>
      <w:r>
        <w:rPr/>
        <w:t>⑤其他实质上已经不能再给公司带来经济利益的固定资产。</w:t>
      </w:r>
    </w:p>
    <w:p>
      <w:pPr>
        <w:spacing w:line="328" w:lineRule="auto" w:before="90"/>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）在建工程减值测试方法及会计处理方法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本公司于资产负债表日对在建工程进行全面检查，如果有证据表明在建工程已经发生了减值，估计可</w:t>
      </w:r>
    </w:p>
    <w:p>
      <w:pPr>
        <w:pStyle w:val="BodyText"/>
        <w:spacing w:line="234" w:lineRule="exact"/>
        <w:ind w:right="0"/>
        <w:jc w:val="left"/>
      </w:pPr>
      <w:r>
        <w:rPr/>
        <w:t>收回金额低于其账面价值时，账面价值减记至可收回金额，减记的金额确认为资产减值损失，计入当期损</w:t>
      </w:r>
    </w:p>
    <w:p>
      <w:pPr>
        <w:pStyle w:val="BodyText"/>
        <w:spacing w:line="273" w:lineRule="auto" w:before="37"/>
        <w:ind w:right="0"/>
        <w:jc w:val="left"/>
      </w:pPr>
      <w:r>
        <w:rPr>
          <w:spacing w:val="-2"/>
        </w:rPr>
        <w:t>益，同时计提相应的资产减值准备。资产减值损失一经确认，在以后会计期间不再转回。存在下列一项或</w:t>
      </w:r>
      <w:r>
        <w:rPr>
          <w:spacing w:val="-50"/>
        </w:rPr>
        <w:t> </w:t>
      </w:r>
      <w:r>
        <w:rPr>
          <w:spacing w:val="-50"/>
        </w:rPr>
      </w:r>
      <w:r>
        <w:rPr/>
        <w:t>若干项情况的，对在建工程进行减值测试：</w:t>
      </w:r>
    </w:p>
    <w:p>
      <w:pPr>
        <w:pStyle w:val="BodyText"/>
        <w:spacing w:line="240" w:lineRule="auto" w:before="127"/>
        <w:ind w:left="580" w:right="0"/>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141"/>
        <w:ind w:left="580" w:right="0"/>
        <w:jc w:val="left"/>
      </w:pPr>
      <w:r>
        <w:rPr>
          <w:spacing w:val="-5"/>
        </w:rPr>
        <w:t>②所建项目无论在性能上，还是在技术上已经落后，并且给企业带来的经济利益具有很大的不确定性；</w:t>
      </w:r>
    </w:p>
    <w:p>
      <w:pPr>
        <w:pStyle w:val="BodyText"/>
        <w:spacing w:line="240" w:lineRule="auto" w:before="157"/>
        <w:ind w:left="580" w:right="0"/>
        <w:jc w:val="left"/>
      </w:pPr>
      <w:r>
        <w:rPr/>
        <w:t>③其他足以证明在建工程已经发生减值的情形。</w:t>
      </w:r>
    </w:p>
    <w:p>
      <w:pPr>
        <w:pStyle w:val="Heading3"/>
        <w:spacing w:line="240" w:lineRule="auto" w:before="90"/>
        <w:ind w:left="580" w:right="0"/>
        <w:jc w:val="left"/>
        <w:rPr>
          <w:b w:val="0"/>
          <w:bCs w:val="0"/>
        </w:rPr>
      </w:pPr>
      <w:r>
        <w:rPr/>
        <w:t>（</w:t>
      </w:r>
      <w:r>
        <w:rPr>
          <w:rFonts w:ascii="Times New Roman" w:hAnsi="Times New Roman" w:cs="Times New Roman" w:eastAsia="Times New Roman" w:hint="default"/>
        </w:rPr>
        <w:t>4</w:t>
      </w:r>
      <w:r>
        <w:rPr/>
        <w:t>）无形资产减值测试方法及会计处理方法</w:t>
      </w:r>
      <w:r>
        <w:rPr>
          <w:b w:val="0"/>
          <w:bCs w:val="0"/>
        </w:rPr>
      </w:r>
    </w:p>
    <w:p>
      <w:pPr>
        <w:spacing w:after="0" w:line="240" w:lineRule="auto"/>
        <w:jc w:val="left"/>
        <w:sectPr>
          <w:pgSz w:w="11910" w:h="16840"/>
          <w:pgMar w:header="748" w:footer="979" w:top="1060" w:bottom="1160" w:left="980" w:right="920"/>
        </w:sectPr>
      </w:pPr>
    </w:p>
    <w:p>
      <w:pPr>
        <w:spacing w:line="240" w:lineRule="auto" w:before="11"/>
        <w:rPr>
          <w:rFonts w:ascii="Microsoft JhengHei" w:hAnsi="Microsoft JhengHei" w:cs="Microsoft JhengHei" w:eastAsia="Microsoft JhengHei" w:hint="default"/>
          <w:b/>
          <w:bCs/>
          <w:sz w:val="18"/>
          <w:szCs w:val="18"/>
        </w:rPr>
      </w:pPr>
    </w:p>
    <w:p>
      <w:pPr>
        <w:pStyle w:val="BodyText"/>
        <w:spacing w:line="273" w:lineRule="auto" w:before="36"/>
        <w:ind w:right="146" w:firstLine="427"/>
        <w:jc w:val="both"/>
      </w:pPr>
      <w:r>
        <w:rPr>
          <w:spacing w:val="-3"/>
        </w:rPr>
        <w:t>当无形资产的可收回金额低于其账面价值时，将资产的账面价值减记至可收回金额，减记的金额确认</w:t>
      </w:r>
      <w:r>
        <w:rPr>
          <w:w w:val="100"/>
        </w:rPr>
        <w:t> </w:t>
      </w:r>
      <w:r>
        <w:rPr>
          <w:spacing w:val="-2"/>
        </w:rPr>
        <w:t>为资产减值损失，计入当期损益，同时计提相应的无形资产减值准备。无形资产减值损失一经确认，在以</w:t>
      </w:r>
      <w:r>
        <w:rPr>
          <w:spacing w:val="-50"/>
        </w:rPr>
        <w:t> </w:t>
      </w:r>
      <w:r>
        <w:rPr>
          <w:spacing w:val="-50"/>
        </w:rPr>
      </w:r>
      <w:r>
        <w:rPr/>
        <w:t>后会计期间不再转回。存在下列一项或多项以下情况的，对无形资产进行减值测试：</w:t>
      </w:r>
    </w:p>
    <w:p>
      <w:pPr>
        <w:pStyle w:val="BodyText"/>
        <w:spacing w:line="240" w:lineRule="auto" w:before="127"/>
        <w:ind w:left="580" w:right="0"/>
        <w:jc w:val="left"/>
      </w:pPr>
      <w:r>
        <w:rPr/>
        <w:t>①该无形资产已被其他新技术等所替代，使其为企业创造经济利益的能力受到重大不利影响；</w:t>
      </w:r>
    </w:p>
    <w:p>
      <w:pPr>
        <w:pStyle w:val="BodyText"/>
        <w:spacing w:line="240" w:lineRule="auto" w:before="157"/>
        <w:ind w:left="580" w:right="0"/>
        <w:jc w:val="left"/>
      </w:pPr>
      <w:r>
        <w:rPr/>
        <w:t>②该无形资产的市价在当期大幅下跌，并在剩余年限内可能不会回升；</w:t>
      </w:r>
    </w:p>
    <w:p>
      <w:pPr>
        <w:pStyle w:val="BodyText"/>
        <w:spacing w:line="240" w:lineRule="auto" w:before="157"/>
        <w:ind w:left="580" w:right="0"/>
        <w:jc w:val="left"/>
      </w:pPr>
      <w:r>
        <w:rPr/>
        <w:t>③其他足以表明该无形资产的账面价值已超过可收回金额的情况。</w:t>
      </w:r>
    </w:p>
    <w:p>
      <w:pPr>
        <w:pStyle w:val="BodyText"/>
        <w:spacing w:line="326" w:lineRule="auto" w:before="90"/>
        <w:ind w:left="580"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）商誉减值测试</w:t>
      </w:r>
      <w:r>
        <w:rPr>
          <w:rFonts w:ascii="Microsoft JhengHei" w:hAnsi="Microsoft JhengHei" w:cs="Microsoft JhengHei" w:eastAsia="Microsoft JhengHei" w:hint="default"/>
          <w:b/>
          <w:bCs/>
          <w:spacing w:val="-44"/>
        </w:rPr>
        <w:t> </w:t>
      </w:r>
      <w:r>
        <w:rPr>
          <w:spacing w:val="-3"/>
        </w:rPr>
        <w:t>企业合并形成的商誉，至少在每年年度终了进行减值测试。本公司在对包含商誉的相关资产组或者资</w:t>
      </w:r>
    </w:p>
    <w:p>
      <w:pPr>
        <w:pStyle w:val="BodyText"/>
        <w:spacing w:line="236" w:lineRule="exact"/>
        <w:ind w:right="0"/>
        <w:jc w:val="left"/>
      </w:pPr>
      <w:r>
        <w:rPr/>
        <w:t>产组组合进行减值测试时，如与商誉相关的资产组或者资产组组合存在减值迹象的，按以下步骤处理：</w:t>
      </w:r>
    </w:p>
    <w:p>
      <w:pPr>
        <w:pStyle w:val="BodyText"/>
        <w:spacing w:line="273" w:lineRule="auto" w:before="157"/>
        <w:ind w:right="146" w:firstLine="427"/>
        <w:jc w:val="both"/>
      </w:pPr>
      <w:r>
        <w:rPr>
          <w:spacing w:val="-3"/>
        </w:rPr>
        <w:t>首先对不包含商誉的资产组或者资产组组合进行减值测试，计算可收回金额，并与相关资产账面价值</w:t>
      </w:r>
      <w:r>
        <w:rPr>
          <w:w w:val="100"/>
        </w:rPr>
        <w:t> </w:t>
      </w:r>
      <w:r>
        <w:rPr>
          <w:spacing w:val="-2"/>
        </w:rPr>
        <w:t>比较，确认相应的减值损失；然后再对包含商誉的资产组或者资产组这组合进行减值测试，比较这些相关</w:t>
      </w:r>
      <w:r>
        <w:rPr>
          <w:spacing w:val="-44"/>
        </w:rPr>
        <w:t> </w:t>
      </w:r>
      <w:r>
        <w:rPr>
          <w:spacing w:val="-44"/>
        </w:rPr>
      </w:r>
      <w:r>
        <w:rPr>
          <w:spacing w:val="-2"/>
        </w:rPr>
        <w:t>资产组或者资产组组合的账面价值（包括所分摊的商誉的账面价值部分）与其可收回金额，如相关资产组</w:t>
      </w:r>
      <w:r>
        <w:rPr>
          <w:spacing w:val="-44"/>
        </w:rPr>
        <w:t> </w:t>
      </w:r>
      <w:r>
        <w:rPr>
          <w:spacing w:val="-44"/>
        </w:rPr>
      </w:r>
      <w:r>
        <w:rPr>
          <w:spacing w:val="-2"/>
        </w:rPr>
        <w:t>或者资产组组合的可收回金额低于其账面价值的，就其差额确认减值损失。减值损失金额首先抵减分摊至</w:t>
      </w:r>
      <w:r>
        <w:rPr>
          <w:spacing w:val="-42"/>
        </w:rPr>
        <w:t> </w:t>
      </w:r>
      <w:r>
        <w:rPr>
          <w:spacing w:val="-42"/>
        </w:rPr>
      </w:r>
      <w:r>
        <w:rPr>
          <w:spacing w:val="-2"/>
        </w:rPr>
        <w:t>资产组或者资产组组合中商誉的账面价值；再根据资产组或者资产组组合中除商誉之外的其他各项资产的</w:t>
      </w:r>
      <w:r>
        <w:rPr>
          <w:spacing w:val="-43"/>
        </w:rPr>
        <w:t> </w:t>
      </w:r>
      <w:r>
        <w:rPr>
          <w:spacing w:val="-43"/>
        </w:rPr>
      </w:r>
      <w:r>
        <w:rPr/>
        <w:t>账面价值所占比重，按比例抵减其他各项资产的账面价值。</w:t>
      </w:r>
    </w:p>
    <w:p>
      <w:pPr>
        <w:spacing w:line="240" w:lineRule="auto" w:before="5"/>
        <w:rPr>
          <w:rFonts w:ascii="宋体" w:hAnsi="宋体" w:cs="宋体" w:eastAsia="宋体" w:hint="default"/>
          <w:sz w:val="18"/>
          <w:szCs w:val="18"/>
        </w:rPr>
      </w:pPr>
    </w:p>
    <w:p>
      <w:pPr>
        <w:spacing w:line="460" w:lineRule="auto"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长期待摊费用核算本公司已经发生但应由本期和以后各期负担的分摊期限在一年以上的各项费用。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pStyle w:val="Heading3"/>
        <w:spacing w:line="355" w:lineRule="exact"/>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60"/>
        <w:ind w:left="580" w:right="0"/>
        <w:jc w:val="left"/>
      </w:pPr>
      <w:r>
        <w:rPr/>
        <w:t>①职工基本薪酬（工资、奖金、津贴、补贴）</w:t>
      </w:r>
      <w:r>
        <w:rPr>
          <w:w w:val="100"/>
        </w:rPr>
        <w:t> </w:t>
      </w:r>
      <w:r>
        <w:rPr>
          <w:spacing w:val="-3"/>
        </w:rPr>
        <w:t>本公司在职工为其提供服务的会计期间，将实际发生的短期薪酬确认为负债，并计入当期损益，其他</w:t>
      </w:r>
    </w:p>
    <w:p>
      <w:pPr>
        <w:pStyle w:val="BodyText"/>
        <w:spacing w:line="240" w:lineRule="auto" w:before="37"/>
        <w:ind w:right="0"/>
        <w:jc w:val="left"/>
      </w:pPr>
      <w:r>
        <w:rPr/>
        <w:t>会计准则要求或允许计入资产成本的除外。</w:t>
      </w:r>
    </w:p>
    <w:p>
      <w:pPr>
        <w:pStyle w:val="BodyText"/>
        <w:spacing w:line="430" w:lineRule="atLeast" w:before="2"/>
        <w:ind w:left="580" w:right="0"/>
        <w:jc w:val="left"/>
      </w:pPr>
      <w:r>
        <w:rPr/>
        <w:t>②职工福利费</w:t>
      </w:r>
      <w:r>
        <w:rPr>
          <w:w w:val="100"/>
        </w:rPr>
        <w:t> </w:t>
      </w:r>
      <w:r>
        <w:rPr>
          <w:spacing w:val="-3"/>
        </w:rPr>
        <w:t>本公司发生的职工福利费，在实际发生时根据实际发生额计入当期损益或相关资产成本。职工福利费</w:t>
      </w:r>
    </w:p>
    <w:p>
      <w:pPr>
        <w:pStyle w:val="BodyText"/>
        <w:spacing w:line="240" w:lineRule="auto" w:before="37"/>
        <w:ind w:right="0"/>
        <w:jc w:val="left"/>
      </w:pPr>
      <w:r>
        <w:rPr/>
        <w:t>为非货币性福利的，按照公允价值计量。</w:t>
      </w:r>
    </w:p>
    <w:p>
      <w:pPr>
        <w:pStyle w:val="BodyText"/>
        <w:spacing w:line="240" w:lineRule="auto" w:before="157"/>
        <w:ind w:left="0" w:right="146"/>
        <w:jc w:val="right"/>
      </w:pPr>
      <w:r>
        <w:rPr>
          <w:spacing w:val="-3"/>
        </w:rPr>
        <w:t>③医疗保险费、工伤保险费、生育保险费等社会保险费和住房公积金，以及工会经费和职工教育经费</w:t>
      </w:r>
    </w:p>
    <w:p>
      <w:pPr>
        <w:pStyle w:val="BodyText"/>
        <w:spacing w:line="273" w:lineRule="auto" w:before="157"/>
        <w:ind w:right="146" w:firstLine="427"/>
        <w:jc w:val="both"/>
      </w:pPr>
      <w:r>
        <w:rPr>
          <w:spacing w:val="-3"/>
        </w:rPr>
        <w:t>本公司为职工缴纳的医疗保险费、工伤保险费、生育保险费等社会保险费和住房公积金，以及按规定</w:t>
      </w:r>
      <w:r>
        <w:rPr>
          <w:w w:val="100"/>
        </w:rPr>
        <w:t> </w:t>
      </w:r>
      <w:r>
        <w:rPr>
          <w:spacing w:val="-2"/>
        </w:rPr>
        <w:t>提取的工会经费和职工教育经费，在职工为其提供服务的会计期间，根据规定的计提基础和计提比例计算</w:t>
      </w:r>
      <w:r>
        <w:rPr>
          <w:spacing w:val="-44"/>
        </w:rPr>
        <w:t> </w:t>
      </w:r>
      <w:r>
        <w:rPr>
          <w:spacing w:val="-44"/>
        </w:rPr>
      </w:r>
      <w:r>
        <w:rPr/>
        <w:t>确定相应的职工薪酬金额，并确认相应负债，计入当期损益或相关资产成本。</w:t>
      </w:r>
    </w:p>
    <w:p>
      <w:pPr>
        <w:pStyle w:val="BodyText"/>
        <w:spacing w:line="432" w:lineRule="exact" w:before="27"/>
        <w:ind w:left="580" w:right="0"/>
        <w:jc w:val="left"/>
      </w:pPr>
      <w:r>
        <w:rPr/>
        <w:t>④短期带薪缺勤</w:t>
      </w:r>
      <w:r>
        <w:rPr>
          <w:spacing w:val="-103"/>
        </w:rPr>
        <w:t> </w:t>
      </w:r>
      <w:r>
        <w:rPr>
          <w:spacing w:val="-103"/>
        </w:rPr>
      </w:r>
      <w:r>
        <w:rPr>
          <w:spacing w:val="-2"/>
        </w:rPr>
        <w:t>本公司在职工提供服务从而增加了其未来享有的带薪缺勤权利时，确认与累积带薪缺勤相关的职工薪</w:t>
      </w:r>
    </w:p>
    <w:p>
      <w:pPr>
        <w:pStyle w:val="BodyText"/>
        <w:spacing w:line="255" w:lineRule="exact"/>
        <w:ind w:right="0"/>
        <w:jc w:val="left"/>
      </w:pPr>
      <w:r>
        <w:rPr/>
        <w:t>酬，并以累积未行使权利而增加的预期支付金额计量。本公司在职工实际发生缺勤的会计期间确认与非累</w:t>
      </w:r>
    </w:p>
    <w:p>
      <w:pPr>
        <w:pStyle w:val="BodyText"/>
        <w:spacing w:line="240" w:lineRule="auto" w:before="37"/>
        <w:ind w:right="0"/>
        <w:jc w:val="left"/>
      </w:pPr>
      <w:r>
        <w:rPr/>
        <w:t>积带薪缺勤相关的职工薪酬。</w:t>
      </w:r>
    </w:p>
    <w:p>
      <w:pPr>
        <w:pStyle w:val="BodyText"/>
        <w:spacing w:line="240" w:lineRule="auto" w:before="157"/>
        <w:ind w:left="580" w:right="0"/>
        <w:jc w:val="left"/>
      </w:pPr>
      <w:r>
        <w:rPr/>
        <w:t>⑤短期利润分享计划</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367" w:lineRule="auto" w:before="36"/>
        <w:ind w:left="580" w:right="2846"/>
        <w:jc w:val="both"/>
      </w:pPr>
      <w:r>
        <w:rPr>
          <w:spacing w:val="-2"/>
        </w:rPr>
        <w:t>利润分享计划同时满足下列条件的，本公司确认相关的应付职工薪酬：</w:t>
      </w:r>
      <w:r>
        <w:rPr>
          <w:spacing w:val="-45"/>
        </w:rPr>
        <w:t> </w:t>
      </w:r>
      <w:r>
        <w:rPr>
          <w:spacing w:val="-45"/>
        </w:rPr>
      </w:r>
      <w:r>
        <w:rPr>
          <w:rFonts w:ascii="Times New Roman" w:hAnsi="Times New Roman" w:cs="Times New Roman" w:eastAsia="Times New Roman" w:hint="default"/>
          <w:spacing w:val="-2"/>
        </w:rPr>
        <w:t>A.</w:t>
      </w:r>
      <w:r>
        <w:rPr>
          <w:spacing w:val="-2"/>
        </w:rPr>
        <w:t>企业因过去事项导致现在具有支付职工薪酬的法定义务或推定义务；</w:t>
      </w:r>
      <w:r>
        <w:rPr>
          <w:spacing w:val="-45"/>
        </w:rPr>
        <w:t> </w:t>
      </w:r>
      <w:r>
        <w:rPr>
          <w:spacing w:val="-45"/>
        </w:rPr>
      </w:r>
      <w:r>
        <w:rPr>
          <w:rFonts w:ascii="Times New Roman" w:hAnsi="Times New Roman" w:cs="Times New Roman" w:eastAsia="Times New Roman" w:hint="default"/>
        </w:rPr>
        <w:t>B.</w:t>
      </w:r>
      <w:r>
        <w:rPr/>
        <w:t>因利润分享计划所产生的应付职工薪酬义务金额能够可靠估计。</w:t>
      </w:r>
    </w:p>
    <w:p>
      <w:pPr>
        <w:pStyle w:val="Heading3"/>
        <w:spacing w:line="240" w:lineRule="auto" w:before="131"/>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60"/>
        <w:ind w:left="580" w:right="0"/>
        <w:jc w:val="left"/>
      </w:pPr>
      <w:r>
        <w:rPr/>
        <w:t>①设定提存计划</w:t>
      </w:r>
      <w:r>
        <w:rPr>
          <w:spacing w:val="-103"/>
        </w:rPr>
        <w:t> </w:t>
      </w:r>
      <w:r>
        <w:rPr>
          <w:spacing w:val="-103"/>
        </w:rPr>
      </w:r>
      <w:r>
        <w:rPr>
          <w:spacing w:val="-3"/>
        </w:rPr>
        <w:t>本公司在职工为其提供服务的会计期间，将根据设定提存计划计算的应缴存金额确认为负债，并计入</w:t>
      </w:r>
    </w:p>
    <w:p>
      <w:pPr>
        <w:pStyle w:val="BodyText"/>
        <w:spacing w:line="240" w:lineRule="auto" w:before="37"/>
        <w:ind w:right="0"/>
        <w:jc w:val="left"/>
      </w:pPr>
      <w:r>
        <w:rPr/>
        <w:t>当期损益或相关资产成本。</w:t>
      </w:r>
    </w:p>
    <w:p>
      <w:pPr>
        <w:pStyle w:val="BodyText"/>
        <w:spacing w:line="273" w:lineRule="auto" w:before="157"/>
        <w:ind w:right="146" w:firstLine="427"/>
        <w:jc w:val="both"/>
      </w:pPr>
      <w:r>
        <w:rPr>
          <w:spacing w:val="-3"/>
        </w:rPr>
        <w:t>根据设定提存计划，预期不会在职工提供相关服务的年度报告期结束后十二个月内支付全部应缴存金</w:t>
      </w:r>
      <w:r>
        <w:rPr>
          <w:w w:val="100"/>
        </w:rPr>
        <w:t> </w:t>
      </w:r>
      <w:r>
        <w:rPr>
          <w:spacing w:val="-2"/>
        </w:rPr>
        <w:t>额的，本公司参照相应的折现率（根据资产负债表日与设定受益计划义务期限和币种相匹配的国债或活跃</w:t>
      </w:r>
      <w:r>
        <w:rPr>
          <w:spacing w:val="-42"/>
        </w:rPr>
        <w:t> </w:t>
      </w:r>
      <w:r>
        <w:rPr>
          <w:spacing w:val="-42"/>
        </w:rPr>
      </w:r>
      <w:r>
        <w:rPr/>
        <w:t>市场上的高质量公司债券的市场收益率确定），将全部应缴存金额以折现后的金额计量应付职工薪酬。</w:t>
      </w:r>
    </w:p>
    <w:p>
      <w:pPr>
        <w:pStyle w:val="BodyText"/>
        <w:spacing w:line="240" w:lineRule="auto" w:before="127"/>
        <w:ind w:left="580" w:right="0"/>
        <w:jc w:val="left"/>
      </w:pPr>
      <w:r>
        <w:rPr/>
        <w:t>②设定受益计划</w:t>
      </w:r>
    </w:p>
    <w:p>
      <w:pPr>
        <w:pStyle w:val="BodyText"/>
        <w:spacing w:line="357" w:lineRule="auto" w:before="157"/>
        <w:ind w:left="580" w:right="0"/>
        <w:jc w:val="left"/>
      </w:pPr>
      <w:r>
        <w:rPr>
          <w:rFonts w:ascii="Times New Roman" w:hAnsi="Times New Roman" w:cs="Times New Roman" w:eastAsia="Times New Roman" w:hint="default"/>
        </w:rPr>
        <w:t>A</w:t>
      </w:r>
      <w:r>
        <w:rPr/>
        <w:t>．确定设定受益计划义务的现值和当期服务成本</w:t>
      </w:r>
      <w:r>
        <w:rPr>
          <w:w w:val="100"/>
        </w:rPr>
        <w:t> </w:t>
      </w:r>
      <w:r>
        <w:rPr>
          <w:spacing w:val="-3"/>
        </w:rPr>
        <w:t>根据预期累计福利单位法，采用无偏且相互一致的精算假设对有关人口统计变量和财务变量等做出估</w:t>
      </w:r>
    </w:p>
    <w:p>
      <w:pPr>
        <w:pStyle w:val="BodyText"/>
        <w:spacing w:line="209" w:lineRule="exact"/>
        <w:ind w:right="0"/>
        <w:jc w:val="left"/>
      </w:pPr>
      <w:r>
        <w:rPr/>
        <w:t>计，计量设定受益计划所产生的义务，并确定相关义务的归属期间。本公司按照相应的折现率（根据资产</w:t>
      </w:r>
    </w:p>
    <w:p>
      <w:pPr>
        <w:pStyle w:val="BodyText"/>
        <w:spacing w:line="273" w:lineRule="auto" w:before="37"/>
        <w:ind w:right="0"/>
        <w:jc w:val="left"/>
      </w:pPr>
      <w:r>
        <w:rPr>
          <w:spacing w:val="2"/>
        </w:rPr>
        <w:t>负债表日与设定受益计划义务期限和币种相匹配的国债或活跃市场上的高质量公司债券的市场收益率确</w:t>
      </w:r>
      <w:r>
        <w:rPr>
          <w:spacing w:val="-30"/>
        </w:rPr>
        <w:t> </w:t>
      </w:r>
      <w:r>
        <w:rPr>
          <w:spacing w:val="-30"/>
        </w:rPr>
      </w:r>
      <w:r>
        <w:rPr/>
        <w:t>定）将设定受益计划所产生的义务予以折现，以确定设定受益计划义务的现值和当期服务成本。</w:t>
      </w:r>
    </w:p>
    <w:p>
      <w:pPr>
        <w:pStyle w:val="BodyText"/>
        <w:spacing w:line="357" w:lineRule="auto" w:before="127"/>
        <w:ind w:left="580" w:right="0"/>
        <w:jc w:val="left"/>
      </w:pPr>
      <w:r>
        <w:rPr>
          <w:rFonts w:ascii="Times New Roman" w:hAnsi="Times New Roman" w:cs="Times New Roman" w:eastAsia="Times New Roman" w:hint="default"/>
        </w:rPr>
        <w:t>B.</w:t>
      </w:r>
      <w:r>
        <w:rPr/>
        <w:t>确认设定受益计划净负债或净资产</w:t>
      </w:r>
      <w:r>
        <w:rPr>
          <w:w w:val="100"/>
        </w:rPr>
        <w:t> </w:t>
      </w:r>
      <w:r>
        <w:rPr>
          <w:spacing w:val="-3"/>
        </w:rPr>
        <w:t>设定受益计划存在资产的，本公司将设定受益计划义务现值减去设定受益计划资产公允价值所形成的</w:t>
      </w:r>
    </w:p>
    <w:p>
      <w:pPr>
        <w:pStyle w:val="BodyText"/>
        <w:spacing w:line="209" w:lineRule="exact"/>
        <w:ind w:right="0"/>
        <w:jc w:val="left"/>
      </w:pPr>
      <w:r>
        <w:rPr/>
        <w:t>赤字或盈余确认为一项设定受益计划净负债或净资产。</w:t>
      </w:r>
    </w:p>
    <w:p>
      <w:pPr>
        <w:pStyle w:val="BodyText"/>
        <w:spacing w:line="273" w:lineRule="auto" w:before="157"/>
        <w:ind w:right="146" w:firstLine="427"/>
        <w:jc w:val="both"/>
      </w:pPr>
      <w:r>
        <w:rPr>
          <w:spacing w:val="-3"/>
        </w:rPr>
        <w:t>设定受益计划存在盈余的，本公司以设定受益计划的盈余和资产上限两项的孰低者计量设定受益计划</w:t>
      </w:r>
      <w:r>
        <w:rPr>
          <w:w w:val="100"/>
        </w:rPr>
        <w:t> </w:t>
      </w:r>
      <w:r>
        <w:rPr/>
        <w:t>净资产。</w:t>
      </w:r>
    </w:p>
    <w:p>
      <w:pPr>
        <w:pStyle w:val="BodyText"/>
        <w:spacing w:line="357" w:lineRule="auto" w:before="127"/>
        <w:ind w:left="580" w:right="0"/>
        <w:jc w:val="left"/>
      </w:pPr>
      <w:r>
        <w:rPr>
          <w:rFonts w:ascii="Times New Roman" w:hAnsi="Times New Roman" w:cs="Times New Roman" w:eastAsia="Times New Roman" w:hint="default"/>
        </w:rPr>
        <w:t>C.</w:t>
      </w:r>
      <w:r>
        <w:rPr/>
        <w:t>确定应计入资产成本或当期损益的金额</w:t>
      </w:r>
      <w:r>
        <w:rPr>
          <w:w w:val="100"/>
        </w:rPr>
        <w:t> </w:t>
      </w:r>
      <w:r>
        <w:rPr>
          <w:spacing w:val="-3"/>
        </w:rPr>
        <w:t>服务成本，包括当期服务成本、过去服务成本和结算利得或损失。其中，除了其他会计准则要求或允</w:t>
      </w:r>
    </w:p>
    <w:p>
      <w:pPr>
        <w:pStyle w:val="BodyText"/>
        <w:spacing w:line="209" w:lineRule="exact"/>
        <w:ind w:right="0"/>
        <w:jc w:val="left"/>
      </w:pPr>
      <w:r>
        <w:rPr/>
        <w:t>许计入资产成本的当期服务成本之外，其他服务成本均计入当期损益。</w:t>
      </w:r>
    </w:p>
    <w:p>
      <w:pPr>
        <w:pStyle w:val="BodyText"/>
        <w:spacing w:line="273" w:lineRule="auto" w:before="157"/>
        <w:ind w:right="146" w:firstLine="427"/>
        <w:jc w:val="both"/>
      </w:pPr>
      <w:r>
        <w:rPr>
          <w:spacing w:val="-3"/>
        </w:rPr>
        <w:t>设定受益计划净负债或净资产的利息净额，包括计划资产的利息收益、设定受益计划义务的利息费用</w:t>
      </w:r>
      <w:r>
        <w:rPr>
          <w:w w:val="100"/>
        </w:rPr>
        <w:t> </w:t>
      </w:r>
      <w:r>
        <w:rPr/>
        <w:t>以及资产上限影响的利息，均计入当期损益。</w:t>
      </w:r>
    </w:p>
    <w:p>
      <w:pPr>
        <w:pStyle w:val="BodyText"/>
        <w:spacing w:line="357" w:lineRule="auto" w:before="127"/>
        <w:ind w:left="580" w:right="773"/>
        <w:jc w:val="left"/>
      </w:pPr>
      <w:r>
        <w:rPr>
          <w:rFonts w:ascii="Times New Roman" w:hAnsi="Times New Roman" w:cs="Times New Roman" w:eastAsia="Times New Roman" w:hint="default"/>
        </w:rPr>
        <w:t>D.</w:t>
      </w:r>
      <w:r>
        <w:rPr/>
        <w:t>确定应计入其他综合收益的金额</w:t>
      </w:r>
      <w:r>
        <w:rPr>
          <w:w w:val="100"/>
        </w:rPr>
        <w:t> </w:t>
      </w:r>
      <w:r>
        <w:rPr>
          <w:spacing w:val="-2"/>
        </w:rPr>
        <w:t>重新计量设定受益计划净负债或净资产所产生的变动，包括：</w:t>
      </w:r>
    </w:p>
    <w:p>
      <w:pPr>
        <w:pStyle w:val="BodyText"/>
        <w:spacing w:line="256" w:lineRule="auto" w:before="54"/>
        <w:ind w:right="152" w:firstLine="427"/>
        <w:jc w:val="both"/>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w:t>
      </w:r>
      <w:r>
        <w:rPr>
          <w:w w:val="100"/>
        </w:rPr>
        <w:t> </w:t>
      </w:r>
      <w:r>
        <w:rPr/>
        <w:t>或减少；</w:t>
      </w:r>
    </w:p>
    <w:p>
      <w:pPr>
        <w:pStyle w:val="BodyText"/>
        <w:spacing w:line="240" w:lineRule="auto" w:before="142"/>
        <w:ind w:left="580"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430" w:lineRule="atLeast" w:before="2"/>
        <w:ind w:left="580" w:right="137"/>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w:t>
      </w:r>
      <w:r>
        <w:rPr>
          <w:w w:val="100"/>
        </w:rPr>
        <w:t> </w:t>
      </w:r>
      <w:r>
        <w:rPr/>
        <w:t>上述重新计量设定受益计划净负债或净资产所产生的变动直接计入其他综合收益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t>并且在后续会计期</w:t>
      </w:r>
    </w:p>
    <w:p>
      <w:pPr>
        <w:pStyle w:val="BodyText"/>
        <w:spacing w:line="240" w:lineRule="auto" w:before="21"/>
        <w:ind w:right="0"/>
        <w:jc w:val="left"/>
      </w:pPr>
      <w:r>
        <w:rPr/>
        <w:t>间不允许转回至损益，但本公司可以在权益范围内转移这些在其他综合收益中确认的金额。</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580" w:right="0"/>
        <w:jc w:val="left"/>
      </w:pPr>
      <w:r>
        <w:rPr/>
        <w:t>本公司向职工提供辞退福利的，在下列两者孰早日确认辞退福利产生的职工薪酬负债，并计入当期损</w:t>
      </w:r>
    </w:p>
    <w:p>
      <w:pPr>
        <w:pStyle w:val="BodyText"/>
        <w:spacing w:line="240" w:lineRule="auto" w:before="37"/>
        <w:ind w:right="0"/>
        <w:jc w:val="left"/>
      </w:pPr>
      <w:r>
        <w:rPr/>
        <w:t>益：</w:t>
      </w:r>
    </w:p>
    <w:p>
      <w:pPr>
        <w:spacing w:line="240" w:lineRule="auto" w:before="3"/>
        <w:rPr>
          <w:rFonts w:ascii="宋体" w:hAnsi="宋体" w:cs="宋体" w:eastAsia="宋体" w:hint="default"/>
          <w:sz w:val="9"/>
          <w:szCs w:val="9"/>
        </w:rPr>
      </w:pPr>
    </w:p>
    <w:p>
      <w:pPr>
        <w:pStyle w:val="BodyText"/>
        <w:spacing w:line="240" w:lineRule="auto" w:before="36"/>
        <w:ind w:left="580" w:right="0"/>
        <w:jc w:val="left"/>
      </w:pPr>
      <w:r>
        <w:rPr/>
        <w:t>①企业不能单方面撤回因解除劳动关系计划或裁减建议所提供的辞退福利时；</w:t>
      </w:r>
    </w:p>
    <w:p>
      <w:pPr>
        <w:pStyle w:val="BodyText"/>
        <w:spacing w:line="430" w:lineRule="atLeast" w:before="2"/>
        <w:ind w:left="580" w:right="0"/>
        <w:jc w:val="left"/>
      </w:pPr>
      <w:r>
        <w:rPr/>
        <w:t>②企业确认与涉及支付辞退福利的重组相关的成本或费用时。</w:t>
      </w:r>
      <w:r>
        <w:rPr>
          <w:w w:val="100"/>
        </w:rPr>
        <w:t> </w:t>
      </w:r>
      <w:r>
        <w:rPr>
          <w:spacing w:val="-3"/>
        </w:rPr>
        <w:t>辞退福利预期在年度报告期结束后十二个月内不能完全支付的，参照相应的折现率（根据资产负债表</w:t>
      </w:r>
    </w:p>
    <w:p>
      <w:pPr>
        <w:pStyle w:val="BodyText"/>
        <w:spacing w:line="273" w:lineRule="auto" w:before="37"/>
        <w:ind w:right="0"/>
        <w:jc w:val="left"/>
      </w:pPr>
      <w:r>
        <w:rPr>
          <w:spacing w:val="-2"/>
        </w:rPr>
        <w:t>日与设定受益计划义务期限和币种相匹配的国债或活跃市场上的高质量公司债券的市场收益率确定）将辞</w:t>
      </w:r>
      <w:r>
        <w:rPr>
          <w:spacing w:val="-43"/>
        </w:rPr>
        <w:t> </w:t>
      </w:r>
      <w:r>
        <w:rPr>
          <w:spacing w:val="-43"/>
        </w:rPr>
      </w:r>
      <w:r>
        <w:rPr/>
        <w:t>退福利金额予以折现，以折现后的金额计量应付职工薪酬。</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58"/>
        <w:ind w:left="580" w:right="0"/>
        <w:jc w:val="left"/>
      </w:pPr>
      <w:r>
        <w:rPr/>
        <w:t>①符合设定提存计划条件的</w:t>
      </w:r>
      <w:r>
        <w:rPr>
          <w:w w:val="100"/>
        </w:rPr>
        <w:t> </w:t>
      </w:r>
      <w:r>
        <w:rPr>
          <w:spacing w:val="-3"/>
        </w:rPr>
        <w:t>本公司向职工提供的其他长期职工福利，符合设定提存计划条件的，将全部应缴存金额以折现后的金</w:t>
      </w:r>
    </w:p>
    <w:p>
      <w:pPr>
        <w:pStyle w:val="BodyText"/>
        <w:spacing w:line="240" w:lineRule="auto" w:before="37"/>
        <w:ind w:right="0"/>
        <w:jc w:val="left"/>
      </w:pPr>
      <w:r>
        <w:rPr/>
        <w:t>额计量应付职工薪酬。</w:t>
      </w:r>
    </w:p>
    <w:p>
      <w:pPr>
        <w:pStyle w:val="BodyText"/>
        <w:spacing w:line="376" w:lineRule="auto" w:before="157"/>
        <w:ind w:left="580" w:right="773"/>
        <w:jc w:val="left"/>
      </w:pPr>
      <w:r>
        <w:rPr/>
        <w:t>②符合设定受益计划条件的</w:t>
      </w:r>
      <w:r>
        <w:rPr>
          <w:w w:val="100"/>
        </w:rPr>
        <w:t> </w:t>
      </w:r>
      <w:r>
        <w:rPr>
          <w:spacing w:val="-2"/>
        </w:rPr>
        <w:t>在报告期末，本公司将其他长期职工福利产生的职工薪酬成本确认为下列组成部分：</w:t>
      </w:r>
      <w:r>
        <w:rPr>
          <w:spacing w:val="-34"/>
        </w:rPr>
        <w:t> </w:t>
      </w:r>
      <w:r>
        <w:rPr>
          <w:spacing w:val="-34"/>
        </w:rPr>
      </w:r>
      <w:r>
        <w:rPr>
          <w:rFonts w:ascii="Times New Roman" w:hAnsi="Times New Roman" w:cs="Times New Roman" w:eastAsia="Times New Roman" w:hint="default"/>
        </w:rPr>
        <w:t>A.</w:t>
      </w:r>
      <w:r>
        <w:rPr/>
        <w:t>服务成本；</w:t>
      </w:r>
    </w:p>
    <w:p>
      <w:pPr>
        <w:pStyle w:val="BodyText"/>
        <w:spacing w:line="357" w:lineRule="auto" w:before="8"/>
        <w:ind w:left="580" w:right="0"/>
        <w:jc w:val="left"/>
      </w:pPr>
      <w:r>
        <w:rPr>
          <w:rFonts w:ascii="Times New Roman" w:hAnsi="Times New Roman" w:cs="Times New Roman" w:eastAsia="Times New Roman" w:hint="default"/>
        </w:rPr>
        <w:t>B.</w:t>
      </w:r>
      <w:r>
        <w:rPr/>
        <w:t>其他长期职工福利净负债或净资产的利息净额；</w:t>
      </w:r>
      <w:r>
        <w:rPr>
          <w:w w:val="100"/>
        </w:rPr>
        <w:t> </w:t>
      </w:r>
      <w:r>
        <w:rPr>
          <w:rFonts w:ascii="Times New Roman" w:hAnsi="Times New Roman" w:cs="Times New Roman" w:eastAsia="Times New Roman" w:hint="default"/>
        </w:rPr>
        <w:t>C.</w:t>
      </w:r>
      <w:r>
        <w:rPr/>
        <w:t>重新计量其他长期职工福利净负债或净资产所产生的变动。</w:t>
      </w:r>
      <w:r>
        <w:rPr>
          <w:w w:val="100"/>
        </w:rPr>
        <w:t> </w:t>
      </w:r>
      <w:r>
        <w:rPr>
          <w:spacing w:val="-2"/>
        </w:rPr>
        <w:t>为简化相关会计处理，上述项目的总净额计入当期损益或相关资产成本。</w:t>
      </w:r>
    </w:p>
    <w:p>
      <w:pPr>
        <w:pStyle w:val="Heading3"/>
        <w:spacing w:line="240" w:lineRule="auto" w:before="167"/>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26" w:lineRule="auto" w:before="0"/>
        <w:ind w:left="580" w:right="167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本公司股份支付包括以现金结算的股份支付和以权益结算的股份支付。</w:t>
      </w:r>
    </w:p>
    <w:p>
      <w:pPr>
        <w:pStyle w:val="Heading3"/>
        <w:spacing w:line="240" w:lineRule="auto" w:before="14"/>
        <w:ind w:left="580"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273" w:lineRule="auto" w:before="134"/>
        <w:ind w:right="0" w:firstLine="427"/>
        <w:jc w:val="left"/>
      </w:pPr>
      <w:r>
        <w:rPr>
          <w:spacing w:val="-2"/>
        </w:rPr>
        <w:t>①对于授予职工的股份，其公允价值按公司股份的市场价格计量，同时考虑授予股份所依据的条款和</w:t>
      </w:r>
      <w:r>
        <w:rPr>
          <w:w w:val="100"/>
        </w:rPr>
        <w:t> </w:t>
      </w:r>
      <w:r>
        <w:rPr/>
        <w:t>条件（不包括市场条件之外的可行权条件）进行调整。</w:t>
      </w:r>
    </w:p>
    <w:p>
      <w:pPr>
        <w:pStyle w:val="BodyText"/>
        <w:spacing w:line="273" w:lineRule="auto" w:before="127"/>
        <w:ind w:right="0" w:firstLine="427"/>
        <w:jc w:val="left"/>
      </w:pPr>
      <w:r>
        <w:rPr>
          <w:spacing w:val="-3"/>
        </w:rPr>
        <w:t>②对于授予职工的股票期权，在许多情况下难以获得其市场价格。如果不存在条款和条件相似的交易</w:t>
      </w:r>
      <w:r>
        <w:rPr>
          <w:w w:val="100"/>
        </w:rPr>
        <w:t> </w:t>
      </w:r>
      <w:r>
        <w:rPr/>
        <w:t>期权，公司选择适用的期权定价模型估计所授予的期权的公允价值。</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）确认可行权权益工具最佳估计的依据</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在等待期内每个资产负债表日，公司根据最新取得的可行权职工人数变动等后续信息作出最佳估计，</w:t>
      </w:r>
    </w:p>
    <w:p>
      <w:pPr>
        <w:pStyle w:val="BodyText"/>
        <w:spacing w:line="236" w:lineRule="exact"/>
        <w:ind w:right="0"/>
        <w:jc w:val="left"/>
      </w:pPr>
      <w:r>
        <w:rPr/>
        <w:t>修正预计可行权的权益工具数量，以作出可行权权益工具的最佳估计。</w:t>
      </w:r>
    </w:p>
    <w:p>
      <w:pPr>
        <w:pStyle w:val="Heading3"/>
        <w:spacing w:line="240" w:lineRule="auto" w:before="90"/>
        <w:ind w:left="580" w:right="0"/>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pStyle w:val="BodyText"/>
        <w:spacing w:line="240" w:lineRule="auto" w:before="133"/>
        <w:ind w:left="580" w:right="0"/>
        <w:jc w:val="left"/>
      </w:pPr>
      <w:r>
        <w:rPr>
          <w:spacing w:val="-3"/>
        </w:rPr>
        <w:t>①授予后立即可行权的以现金结算的股份支付，在授予日以本公司承担负债的公允价值计入相关成本</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或费用，相应增加负债。并在结算前的每个资产负债表日和结算日对负债的公允价值重新计量，将其变动</w:t>
      </w:r>
      <w:r>
        <w:rPr>
          <w:spacing w:val="-42"/>
        </w:rPr>
        <w:t> </w:t>
      </w:r>
      <w:r>
        <w:rPr>
          <w:spacing w:val="-42"/>
        </w:rPr>
      </w:r>
      <w:r>
        <w:rPr/>
        <w:t>计入损益。</w:t>
      </w:r>
    </w:p>
    <w:p>
      <w:pPr>
        <w:pStyle w:val="BodyText"/>
        <w:spacing w:line="273" w:lineRule="auto" w:before="127"/>
        <w:ind w:right="206" w:firstLine="427"/>
        <w:jc w:val="both"/>
      </w:pPr>
      <w:r>
        <w:rPr>
          <w:spacing w:val="-3"/>
        </w:rPr>
        <w:t>②完成等待期内的服务或达到规定业绩条件以后才可行权的以现金结算的股份支付，在等待期内的每</w:t>
      </w:r>
      <w:r>
        <w:rPr>
          <w:w w:val="100"/>
        </w:rPr>
        <w:t> </w:t>
      </w:r>
      <w:r>
        <w:rPr>
          <w:spacing w:val="-2"/>
        </w:rPr>
        <w:t>个资产负债表日以对可行权情况的最佳估计为基础，按本公司承担负债的公允价值金额，将当期取得的服</w:t>
      </w:r>
      <w:r>
        <w:rPr>
          <w:spacing w:val="-44"/>
        </w:rPr>
        <w:t> </w:t>
      </w:r>
      <w:r>
        <w:rPr>
          <w:spacing w:val="-44"/>
        </w:rPr>
      </w:r>
      <w:r>
        <w:rPr/>
        <w:t>务计入成本或费用和相应的负债。</w:t>
      </w:r>
    </w:p>
    <w:p>
      <w:pPr>
        <w:pStyle w:val="BodyText"/>
        <w:spacing w:line="273" w:lineRule="auto" w:before="127"/>
        <w:ind w:right="206" w:firstLine="427"/>
        <w:jc w:val="both"/>
      </w:pPr>
      <w:r>
        <w:rPr>
          <w:spacing w:val="-3"/>
        </w:rPr>
        <w:t>③授予后立即可行权的换取职工服务的以权益结算的股份支付，在授予日以权益工具的公允价值计入</w:t>
      </w:r>
      <w:r>
        <w:rPr>
          <w:w w:val="100"/>
        </w:rPr>
        <w:t> </w:t>
      </w:r>
      <w:r>
        <w:rPr/>
        <w:t>相关成本或费用，相应增加资本公积。</w:t>
      </w:r>
    </w:p>
    <w:p>
      <w:pPr>
        <w:pStyle w:val="BodyText"/>
        <w:spacing w:line="273" w:lineRule="auto" w:before="127"/>
        <w:ind w:right="206" w:firstLine="427"/>
        <w:jc w:val="both"/>
      </w:pPr>
      <w:r>
        <w:rPr>
          <w:spacing w:val="-3"/>
        </w:rPr>
        <w:t>④完成等待期内的服务或达到规定业绩条件以后才可行权换取职工服务的以权益结算的股份支付，在</w:t>
      </w:r>
      <w:r>
        <w:rPr>
          <w:w w:val="100"/>
        </w:rPr>
        <w:t> </w:t>
      </w:r>
      <w:r>
        <w:rPr>
          <w:spacing w:val="-2"/>
        </w:rPr>
        <w:t>等待期内的每个资产负债表日，以对可行权权益工具数量的最佳估计为基础，按权益工具授予日的公允价</w:t>
      </w:r>
      <w:r>
        <w:rPr>
          <w:spacing w:val="-43"/>
        </w:rPr>
        <w:t> </w:t>
      </w:r>
      <w:r>
        <w:rPr>
          <w:spacing w:val="-43"/>
        </w:rPr>
      </w:r>
      <w:r>
        <w:rPr/>
        <w:t>值，将当期取得的服务计入成本或费用和资本公积。</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）股份支付计划修改的会计处理</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3"/>
          <w:sz w:val="21"/>
          <w:szCs w:val="21"/>
        </w:rPr>
        <w:t>本公司对股份支付计划进行修改时，若修改增加了所授予权益工具的公允价值，按照权益工具公允价</w:t>
      </w:r>
    </w:p>
    <w:p>
      <w:pPr>
        <w:pStyle w:val="BodyText"/>
        <w:spacing w:line="236" w:lineRule="exact"/>
        <w:ind w:right="0"/>
        <w:jc w:val="both"/>
      </w:pPr>
      <w:r>
        <w:rPr/>
        <w:t>值的增加相应地确认取得服务的增加；若修改增加了所授予权益工具的数量，则将增加的权益工具的公允</w:t>
      </w:r>
    </w:p>
    <w:p>
      <w:pPr>
        <w:pStyle w:val="BodyText"/>
        <w:spacing w:line="273" w:lineRule="auto" w:before="37"/>
        <w:ind w:right="206"/>
        <w:jc w:val="both"/>
      </w:pPr>
      <w:r>
        <w:rPr>
          <w:spacing w:val="-2"/>
        </w:rPr>
        <w:t>价值相应地确认为取得服务的增加。权益工具公允价值的增加是指修改前后的权益工具在修改日的公允价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值之间的差额。若修改减少了股份支付公允价值总额或采用了其他不利于职工的方式修改股份支付计划的</w:t>
      </w:r>
      <w:r>
        <w:rPr>
          <w:spacing w:val="-43"/>
        </w:rPr>
        <w:t> </w:t>
      </w:r>
      <w:r>
        <w:rPr>
          <w:spacing w:val="-43"/>
        </w:rPr>
      </w:r>
      <w:r>
        <w:rPr>
          <w:spacing w:val="-2"/>
        </w:rPr>
        <w:t>条款和条件，则仍继续对取得的服务进行会计处理，视同该变更从未发生，除非本公司取消了部分或全部</w:t>
      </w:r>
      <w:r>
        <w:rPr>
          <w:spacing w:val="-43"/>
        </w:rPr>
        <w:t> </w:t>
      </w:r>
      <w:r>
        <w:rPr>
          <w:spacing w:val="-43"/>
        </w:rPr>
      </w:r>
      <w:r>
        <w:rPr/>
        <w:t>已授予的权益工具。</w:t>
      </w:r>
    </w:p>
    <w:p>
      <w:pPr>
        <w:spacing w:line="326" w:lineRule="auto" w:before="157"/>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）股份支付计划终止的会计处理</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3"/>
          <w:sz w:val="21"/>
          <w:szCs w:val="21"/>
        </w:rPr>
        <w:t>如果在等待期内取消了所授予的权益工具或结算了所授予的权益工具（因未满足可行权条件而被取消</w:t>
      </w:r>
    </w:p>
    <w:p>
      <w:pPr>
        <w:pStyle w:val="BodyText"/>
        <w:spacing w:line="236" w:lineRule="exact"/>
        <w:ind w:right="0"/>
        <w:jc w:val="both"/>
      </w:pPr>
      <w:r>
        <w:rPr/>
        <w:t>的除外），本公司：</w:t>
      </w:r>
    </w:p>
    <w:p>
      <w:pPr>
        <w:pStyle w:val="BodyText"/>
        <w:spacing w:line="240" w:lineRule="auto" w:before="157"/>
        <w:ind w:left="580" w:right="0"/>
        <w:jc w:val="left"/>
      </w:pPr>
      <w:r>
        <w:rPr/>
        <w:t>①将取消或结算作为加速可行权处理，立即确认原本应在剩余等待期内确认的金额；</w:t>
      </w:r>
    </w:p>
    <w:p>
      <w:pPr>
        <w:pStyle w:val="BodyText"/>
        <w:spacing w:line="273" w:lineRule="auto" w:before="157"/>
        <w:ind w:right="206" w:firstLine="427"/>
        <w:jc w:val="both"/>
      </w:pPr>
      <w:r>
        <w:rPr>
          <w:spacing w:val="-3"/>
        </w:rPr>
        <w:t>②在取消或结算时支付给职工的所有款项均作为权益的回购处理，回购支付的金额高于该权益工具在</w:t>
      </w:r>
      <w:r>
        <w:rPr>
          <w:w w:val="100"/>
        </w:rPr>
        <w:t> </w:t>
      </w:r>
      <w:r>
        <w:rPr/>
        <w:t>回购日公允价值的部分，计入当期费用。</w:t>
      </w:r>
    </w:p>
    <w:p>
      <w:pPr>
        <w:pStyle w:val="BodyText"/>
        <w:spacing w:line="273" w:lineRule="auto" w:before="127"/>
        <w:ind w:right="208" w:firstLine="427"/>
        <w:jc w:val="both"/>
      </w:pPr>
      <w:r>
        <w:rPr>
          <w:spacing w:val="-3"/>
        </w:rPr>
        <w:t>本公司如果回购其职工已可行权的权益工具，冲减企业的所有者权益；回购支付的款项高于该权益工</w:t>
      </w:r>
      <w:r>
        <w:rPr>
          <w:spacing w:val="-3"/>
          <w:w w:val="100"/>
        </w:rPr>
        <w:t> </w:t>
      </w:r>
      <w:r>
        <w:rPr/>
        <w:t>具在回购日公允价值的部分，计入当期损益。</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60"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28" w:lineRule="auto" w:before="16"/>
        <w:ind w:left="580"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）系统集成收入</w:t>
      </w:r>
      <w:r>
        <w:rPr>
          <w:rFonts w:ascii="Microsoft JhengHei" w:hAnsi="Microsoft JhengHei" w:cs="Microsoft JhengHei" w:eastAsia="Microsoft JhengHei" w:hint="default"/>
          <w:b/>
          <w:bCs/>
          <w:spacing w:val="-44"/>
        </w:rPr>
        <w:t> </w:t>
      </w:r>
      <w:r>
        <w:rPr>
          <w:spacing w:val="-3"/>
        </w:rPr>
        <w:t>公司已将商品所有权上的主要风险和报酬转移给购买方；公司既没有保留与所有权相联系的继续管理</w:t>
      </w:r>
    </w:p>
    <w:p>
      <w:pPr>
        <w:pStyle w:val="BodyText"/>
        <w:spacing w:line="234" w:lineRule="exact"/>
        <w:ind w:right="0"/>
        <w:jc w:val="both"/>
      </w:pPr>
      <w:r>
        <w:rPr>
          <w:spacing w:val="-5"/>
        </w:rPr>
        <w:t>权，也没有对已售出的商品实施有效控制；收入的金额能够可靠地计量；相关的经济利益很可能流入企业；</w:t>
      </w:r>
    </w:p>
    <w:p>
      <w:pPr>
        <w:pStyle w:val="BodyText"/>
        <w:spacing w:line="376" w:lineRule="auto" w:before="37"/>
        <w:ind w:left="580" w:right="0" w:hanging="428"/>
        <w:jc w:val="left"/>
      </w:pPr>
      <w:r>
        <w:rPr/>
        <w:t>相关的已发生或将发生的成本能够可靠地计量时，确认商品销售收入实现。</w:t>
      </w:r>
      <w:r>
        <w:rPr>
          <w:w w:val="100"/>
        </w:rPr>
        <w:t> </w:t>
      </w:r>
      <w:r>
        <w:rPr>
          <w:spacing w:val="-2"/>
        </w:rPr>
        <w:t>具体收入确认方法：系统集成业务在取得客户验收单据时一次性确认收入。</w:t>
      </w:r>
    </w:p>
    <w:p>
      <w:pPr>
        <w:pStyle w:val="Heading3"/>
        <w:spacing w:line="336" w:lineRule="exact"/>
        <w:ind w:left="578" w:right="0"/>
        <w:jc w:val="left"/>
        <w:rPr>
          <w:b w:val="0"/>
          <w:bCs w:val="0"/>
        </w:rPr>
      </w:pPr>
      <w:r>
        <w:rPr/>
        <w:t>（</w:t>
      </w:r>
      <w:r>
        <w:rPr>
          <w:rFonts w:ascii="Times New Roman" w:hAnsi="Times New Roman" w:cs="Times New Roman" w:eastAsia="Times New Roman" w:hint="default"/>
        </w:rPr>
        <w:t>2</w:t>
      </w:r>
      <w:r>
        <w:rPr/>
        <w:t>）行业软件收入</w:t>
      </w:r>
      <w:r>
        <w:rPr>
          <w:b w:val="0"/>
          <w:bCs w:val="0"/>
        </w:rPr>
      </w:r>
    </w:p>
    <w:p>
      <w:pPr>
        <w:spacing w:after="0" w:line="336" w:lineRule="exact"/>
        <w:jc w:val="left"/>
        <w:sectPr>
          <w:pgSz w:w="11910" w:h="16840"/>
          <w:pgMar w:header="748" w:footer="979" w:top="1060" w:bottom="1160" w:left="980" w:right="920"/>
        </w:sectPr>
      </w:pPr>
    </w:p>
    <w:p>
      <w:pPr>
        <w:spacing w:line="240" w:lineRule="auto" w:before="11"/>
        <w:rPr>
          <w:rFonts w:ascii="Microsoft JhengHei" w:hAnsi="Microsoft JhengHei" w:cs="Microsoft JhengHei" w:eastAsia="Microsoft JhengHei" w:hint="default"/>
          <w:b/>
          <w:bCs/>
          <w:sz w:val="18"/>
          <w:szCs w:val="18"/>
        </w:rPr>
      </w:pPr>
    </w:p>
    <w:p>
      <w:pPr>
        <w:pStyle w:val="BodyText"/>
        <w:spacing w:line="273" w:lineRule="auto" w:before="36"/>
        <w:ind w:right="206" w:firstLine="427"/>
        <w:jc w:val="both"/>
      </w:pPr>
      <w:r>
        <w:rPr>
          <w:spacing w:val="-3"/>
        </w:rPr>
        <w:t>在资产负债表日提供劳务交易的结果能够可靠估计的，采用完工百分比法确认提供劳务收入。提供劳</w:t>
      </w:r>
      <w:r>
        <w:rPr>
          <w:w w:val="100"/>
        </w:rPr>
        <w:t> </w:t>
      </w:r>
      <w:r>
        <w:rPr/>
        <w:t>务交易的完工进度，依据客户确认的项目完工进度确定。</w:t>
      </w:r>
    </w:p>
    <w:p>
      <w:pPr>
        <w:pStyle w:val="BodyText"/>
        <w:spacing w:line="256" w:lineRule="auto" w:before="127"/>
        <w:ind w:right="208" w:firstLine="427"/>
        <w:jc w:val="both"/>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w:t>
      </w:r>
      <w:r>
        <w:rPr>
          <w:w w:val="100"/>
        </w:rPr>
        <w:t> </w:t>
      </w:r>
      <w:r>
        <w:rPr>
          <w:spacing w:val="-4"/>
        </w:rPr>
        <w:t>利益很可能流入企业；</w:t>
      </w:r>
      <w:r>
        <w:rPr>
          <w:rFonts w:ascii="Times New Roman" w:hAnsi="Times New Roman" w:cs="Times New Roman" w:eastAsia="Times New Roman" w:hint="default"/>
          <w:spacing w:val="-4"/>
        </w:rPr>
        <w:t>C</w:t>
      </w:r>
      <w:r>
        <w:rPr>
          <w:spacing w:val="-4"/>
        </w:rPr>
        <w:t>、交易的完工程度能够可靠地确定；</w:t>
      </w:r>
      <w:r>
        <w:rPr>
          <w:rFonts w:ascii="Times New Roman" w:hAnsi="Times New Roman" w:cs="Times New Roman" w:eastAsia="Times New Roman" w:hint="default"/>
          <w:spacing w:val="-4"/>
        </w:rPr>
        <w:t>D</w:t>
      </w:r>
      <w:r>
        <w:rPr>
          <w:spacing w:val="-4"/>
        </w:rPr>
        <w:t>、交易中已发生和将发生的成本能够可靠地</w:t>
      </w:r>
      <w:r>
        <w:rPr>
          <w:spacing w:val="-32"/>
        </w:rPr>
        <w:t> </w:t>
      </w:r>
      <w:r>
        <w:rPr>
          <w:spacing w:val="-32"/>
        </w:rPr>
      </w:r>
      <w:r>
        <w:rPr/>
        <w:t>计量。</w:t>
      </w:r>
    </w:p>
    <w:p>
      <w:pPr>
        <w:pStyle w:val="BodyText"/>
        <w:spacing w:line="273" w:lineRule="auto" w:before="142"/>
        <w:ind w:right="206" w:firstLine="427"/>
        <w:jc w:val="both"/>
      </w:pPr>
      <w:r>
        <w:rPr>
          <w:spacing w:val="-3"/>
        </w:rPr>
        <w:t>本公司按照已收或应收的合同或协议价款确定提供劳务收入总额，但已收或应收的合同或协议价款不</w:t>
      </w:r>
      <w:r>
        <w:rPr>
          <w:w w:val="100"/>
        </w:rPr>
        <w:t> </w:t>
      </w:r>
      <w:r>
        <w:rPr>
          <w:spacing w:val="-2"/>
        </w:rPr>
        <w:t>公允的除外。资产负债表日按照提供劳务收入总额乘以完工进度扣除以前会计期间累计已确认提供劳务收</w:t>
      </w:r>
      <w:r>
        <w:rPr>
          <w:spacing w:val="-43"/>
        </w:rPr>
        <w:t> </w:t>
      </w:r>
      <w:r>
        <w:rPr>
          <w:spacing w:val="-43"/>
        </w:rPr>
      </w:r>
      <w:r>
        <w:rPr/>
        <w:t>入后的金额，确认当期提供劳务收入。</w:t>
      </w:r>
    </w:p>
    <w:p>
      <w:pPr>
        <w:pStyle w:val="BodyText"/>
        <w:spacing w:line="240" w:lineRule="auto" w:before="127"/>
        <w:ind w:left="580" w:right="0"/>
        <w:jc w:val="left"/>
      </w:pPr>
      <w:r>
        <w:rPr/>
        <w:t>在资产负债表日提供劳务交易结果不能够可靠估计的，分别下列情况处理：</w:t>
      </w:r>
    </w:p>
    <w:p>
      <w:pPr>
        <w:pStyle w:val="BodyText"/>
        <w:spacing w:line="259" w:lineRule="auto" w:before="157"/>
        <w:ind w:right="209" w:firstLine="427"/>
        <w:jc w:val="both"/>
      </w:pP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已经发生的劳务成本预计能够得到补偿的，按照已经发生的劳务成本金额确认提供劳务收入，并按</w:t>
      </w:r>
      <w:r>
        <w:rPr>
          <w:w w:val="100"/>
        </w:rPr>
        <w:t> </w:t>
      </w:r>
      <w:r>
        <w:rPr/>
        <w:t>相同金额结转劳务成本。</w:t>
      </w:r>
    </w:p>
    <w:p>
      <w:pPr>
        <w:pStyle w:val="BodyText"/>
        <w:spacing w:line="256" w:lineRule="auto" w:before="140"/>
        <w:ind w:right="209" w:firstLine="427"/>
        <w:jc w:val="both"/>
      </w:pPr>
      <w:r>
        <w:rPr>
          <w:rFonts w:ascii="Times New Roman" w:hAnsi="Times New Roman" w:cs="Times New Roman" w:eastAsia="Times New Roman" w:hint="default"/>
          <w:spacing w:val="-1"/>
        </w:rPr>
        <w:t>2.</w:t>
      </w:r>
      <w:r>
        <w:rPr>
          <w:spacing w:val="-1"/>
        </w:rPr>
        <w:t>已经发生的劳务成本预计不能够得到补偿的，将已经发生的劳务成本计入当期损益，不确认提供劳</w:t>
      </w:r>
      <w:r>
        <w:rPr>
          <w:w w:val="100"/>
        </w:rPr>
        <w:t> </w:t>
      </w:r>
      <w:r>
        <w:rPr/>
        <w:t>务收入。</w:t>
      </w:r>
    </w:p>
    <w:p>
      <w:pPr>
        <w:pStyle w:val="BodyText"/>
        <w:spacing w:line="268" w:lineRule="auto" w:before="142"/>
        <w:ind w:right="206" w:firstLine="427"/>
        <w:jc w:val="both"/>
      </w:pPr>
      <w:r>
        <w:rPr>
          <w:spacing w:val="-2"/>
        </w:rPr>
        <w:t>具体收入确认方法：根据公司行业软件开发业务定价方式的不同，公司行业软件开发业务收入确认主</w:t>
      </w:r>
      <w:r>
        <w:rPr>
          <w:w w:val="100"/>
        </w:rPr>
        <w:t> </w:t>
      </w:r>
      <w:r>
        <w:rPr>
          <w:spacing w:val="-2"/>
        </w:rPr>
        <w:t>要有以下两种方式：①按已经完成的工作量占总工作量的比例确认完工进度：公司根据项目已经完成的工</w:t>
      </w:r>
      <w:r>
        <w:rPr>
          <w:spacing w:val="-43"/>
        </w:rPr>
        <w:t> </w:t>
      </w:r>
      <w:r>
        <w:rPr>
          <w:spacing w:val="-43"/>
        </w:rPr>
      </w:r>
      <w:r>
        <w:rPr>
          <w:spacing w:val="-2"/>
        </w:rPr>
        <w:t>作量占总工作量的比例并经客户确认后确定完工进度；②按实际结算工作量确认收入：公司根据合同按季</w:t>
      </w:r>
      <w:r>
        <w:rPr>
          <w:spacing w:val="-43"/>
        </w:rPr>
        <w:t> </w:t>
      </w:r>
      <w:r>
        <w:rPr>
          <w:spacing w:val="-43"/>
        </w:rPr>
      </w:r>
      <w:r>
        <w:rPr/>
        <w:t>度或月的实际工作量（人</w:t>
      </w:r>
      <w:r>
        <w:rPr>
          <w:rFonts w:ascii="Times New Roman" w:hAnsi="Times New Roman" w:cs="Times New Roman" w:eastAsia="Times New Roman" w:hint="default"/>
        </w:rPr>
        <w:t>/</w:t>
      </w:r>
      <w:r>
        <w:rPr/>
        <w:t>日或人</w:t>
      </w:r>
      <w:r>
        <w:rPr>
          <w:rFonts w:ascii="Times New Roman" w:hAnsi="Times New Roman" w:cs="Times New Roman" w:eastAsia="Times New Roman" w:hint="default"/>
        </w:rPr>
        <w:t>/</w:t>
      </w:r>
      <w:r>
        <w:rPr/>
        <w:t>月数）并经客户确认后确认收入。对于系统集成中包含自行开发行业软</w:t>
      </w:r>
      <w:r>
        <w:rPr>
          <w:spacing w:val="-36"/>
        </w:rPr>
        <w:t> </w:t>
      </w:r>
      <w:r>
        <w:rPr>
          <w:spacing w:val="-36"/>
        </w:rPr>
      </w:r>
      <w:r>
        <w:rPr/>
        <w:t>件不能合理区分的，该部分行业软件按上述系统集成的收入确认原则确认为系统集成收入。</w:t>
      </w:r>
    </w:p>
    <w:p>
      <w:pPr>
        <w:pStyle w:val="BodyText"/>
        <w:spacing w:line="326" w:lineRule="auto" w:before="65"/>
        <w:ind w:left="580" w:right="0" w:hanging="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）技术服务收入</w:t>
      </w:r>
      <w:r>
        <w:rPr>
          <w:rFonts w:ascii="Microsoft JhengHei" w:hAnsi="Microsoft JhengHei" w:cs="Microsoft JhengHei" w:eastAsia="Microsoft JhengHei" w:hint="default"/>
          <w:b/>
          <w:bCs/>
          <w:spacing w:val="-44"/>
        </w:rPr>
        <w:t> </w:t>
      </w:r>
      <w:r>
        <w:rPr>
          <w:spacing w:val="-3"/>
        </w:rPr>
        <w:t>公司技术服务收入具体确认方法：技术服务业务根据合同额和已提供服务期间占合同约定服务期间的</w:t>
      </w:r>
    </w:p>
    <w:p>
      <w:pPr>
        <w:pStyle w:val="BodyText"/>
        <w:spacing w:line="237" w:lineRule="exact"/>
        <w:ind w:right="0"/>
        <w:jc w:val="left"/>
      </w:pPr>
      <w:r>
        <w:rPr/>
        <w:t>比例或已提供服务次数占合同约定服务总次数的比例确认收入。</w:t>
      </w:r>
    </w:p>
    <w:p>
      <w:pPr>
        <w:spacing w:line="326" w:lineRule="auto" w:before="90"/>
        <w:ind w:left="580" w:right="0" w:hanging="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）让渡资产使用权收入</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36" w:lineRule="exact"/>
        <w:ind w:right="0"/>
        <w:jc w:val="left"/>
      </w:pPr>
      <w:r>
        <w:rPr/>
        <w:t>使用权收入金额：</w:t>
      </w:r>
    </w:p>
    <w:p>
      <w:pPr>
        <w:pStyle w:val="BodyText"/>
        <w:spacing w:line="240" w:lineRule="auto" w:before="157"/>
        <w:ind w:left="580"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41"/>
        <w:ind w:left="580" w:right="0"/>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590" w:lineRule="atLeast" w:before="25"/>
        <w:ind w:left="537" w:right="0" w:hanging="38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BodyText"/>
        <w:spacing w:line="273" w:lineRule="auto" w:before="37"/>
        <w:ind w:right="0"/>
        <w:jc w:val="left"/>
      </w:pPr>
      <w:r>
        <w:rPr>
          <w:spacing w:val="-2"/>
        </w:rPr>
        <w:t>相关的政府补助确认为递延收益，在相关资产使用期限内按照合理、系统的方法分期计入损益。按照名义</w:t>
      </w:r>
      <w:r>
        <w:rPr>
          <w:spacing w:val="-43"/>
        </w:rPr>
        <w:t> </w:t>
      </w:r>
      <w:r>
        <w:rPr>
          <w:spacing w:val="-43"/>
        </w:rPr>
      </w:r>
      <w:r>
        <w:rPr>
          <w:spacing w:val="-5"/>
        </w:rPr>
        <w:t>金额计量的政府补助，直接计入当期损益。相关资产在使用寿命结束前被出售、转让、报废或发生毁损的，</w:t>
      </w:r>
      <w:r>
        <w:rPr>
          <w:spacing w:val="-8"/>
        </w:rPr>
        <w:t> </w:t>
      </w:r>
      <w:r>
        <w:rPr>
          <w:spacing w:val="-8"/>
        </w:rPr>
      </w:r>
      <w:r>
        <w:rPr/>
        <w:t>将尚未分配的相关递延收益余额转入资产处置当期的损益。</w:t>
      </w:r>
    </w:p>
    <w:p>
      <w:pPr>
        <w:spacing w:line="590" w:lineRule="atLeast" w:before="16"/>
        <w:ind w:left="580" w:right="0" w:hanging="428"/>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3"/>
          <w:sz w:val="21"/>
          <w:szCs w:val="21"/>
        </w:rPr>
        <w:t>除与资产相关的政府补助之外的政府补助划分为与收益相关的政府补助。与收益相关的政府补助，分</w:t>
      </w:r>
    </w:p>
    <w:p>
      <w:pPr>
        <w:pStyle w:val="BodyText"/>
        <w:spacing w:line="240" w:lineRule="auto" w:before="37"/>
        <w:ind w:right="0"/>
        <w:jc w:val="left"/>
      </w:pPr>
      <w:r>
        <w:rPr/>
        <w:t>情况按照以下规定进行会计处理：</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7"/>
        <w:jc w:val="both"/>
      </w:pPr>
      <w:r>
        <w:rPr>
          <w:spacing w:val="-3"/>
        </w:rPr>
        <w:t>用于补偿本公司以后期间的相关成本费用或损失的，确认为递延收益，并在确认相关成本费用或损失</w:t>
      </w:r>
      <w:r>
        <w:rPr>
          <w:w w:val="100"/>
        </w:rPr>
        <w:t> </w:t>
      </w:r>
      <w:r>
        <w:rPr/>
        <w:t>的期间，计入当期损益；</w:t>
      </w:r>
    </w:p>
    <w:p>
      <w:pPr>
        <w:pStyle w:val="BodyText"/>
        <w:spacing w:line="432" w:lineRule="exact" w:before="27"/>
        <w:ind w:left="580" w:right="0"/>
        <w:jc w:val="left"/>
      </w:pPr>
      <w:r>
        <w:rPr/>
        <w:t>用于补偿本公司已发生的相关成本费用或损失的，直接计入当期损益。</w:t>
      </w:r>
      <w:r>
        <w:rPr>
          <w:w w:val="100"/>
        </w:rPr>
        <w:t> </w:t>
      </w:r>
      <w:r>
        <w:rPr>
          <w:spacing w:val="-2"/>
        </w:rPr>
        <w:t>对于同时包含与资产相关部分和与收益相关部分的政府补助，区分不同部分分别进行会计处理；难以</w:t>
      </w:r>
    </w:p>
    <w:p>
      <w:pPr>
        <w:pStyle w:val="BodyText"/>
        <w:spacing w:line="255" w:lineRule="exact"/>
        <w:ind w:right="0"/>
        <w:jc w:val="left"/>
      </w:pPr>
      <w:r>
        <w:rPr/>
        <w:t>区分的，整体归类为与收益相关的政府补助。</w:t>
      </w:r>
    </w:p>
    <w:p>
      <w:pPr>
        <w:pStyle w:val="BodyText"/>
        <w:spacing w:line="273" w:lineRule="auto" w:before="157"/>
        <w:ind w:right="146" w:firstLine="427"/>
        <w:jc w:val="both"/>
      </w:pPr>
      <w:r>
        <w:rPr>
          <w:spacing w:val="-3"/>
        </w:rPr>
        <w:t>与本公司日常活动相关的政府补助，按照经济业务实质，计入其他收益。与本公司日常活动无关的政</w:t>
      </w:r>
      <w:r>
        <w:rPr>
          <w:w w:val="100"/>
        </w:rPr>
        <w:t> </w:t>
      </w:r>
      <w:r>
        <w:rPr/>
        <w:t>府补助，计入营业外收支。</w:t>
      </w:r>
    </w:p>
    <w:p>
      <w:pPr>
        <w:spacing w:line="590" w:lineRule="atLeast" w:before="16"/>
        <w:ind w:left="537" w:right="0" w:hanging="3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1"/>
          <w:sz w:val="21"/>
          <w:szCs w:val="21"/>
        </w:rPr>
        <w:t>本公司通常根据资产与负债在资产负债表日的账面价值与计税基础之间的暂时性差异，采用资产负债</w:t>
      </w:r>
    </w:p>
    <w:p>
      <w:pPr>
        <w:pStyle w:val="BodyText"/>
        <w:spacing w:line="273" w:lineRule="auto" w:before="37"/>
        <w:ind w:right="0"/>
        <w:jc w:val="left"/>
      </w:pPr>
      <w:r>
        <w:rPr>
          <w:spacing w:val="2"/>
        </w:rPr>
        <w:t>表债务法将应纳税暂时性差异或可抵扣暂时性差异对所得税的影响额确认和计量递延所得税负债或递延</w:t>
      </w:r>
      <w:r>
        <w:rPr>
          <w:spacing w:val="-30"/>
        </w:rPr>
        <w:t> </w:t>
      </w:r>
      <w:r>
        <w:rPr>
          <w:spacing w:val="-30"/>
        </w:rPr>
      </w:r>
      <w:r>
        <w:rPr/>
        <w:t>所得税资产。本公司不对递延所得税资产和递延所得税负债进行折现。</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）递延所得税资产的确认</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对于可抵扣暂时性差异，其对所得税的影响额按预计转回期间的所得税税率计算，并将该影响额确认</w:t>
      </w:r>
    </w:p>
    <w:p>
      <w:pPr>
        <w:pStyle w:val="BodyText"/>
        <w:spacing w:line="236" w:lineRule="exact"/>
        <w:ind w:right="0"/>
        <w:jc w:val="left"/>
      </w:pPr>
      <w:r>
        <w:rPr/>
        <w:t>为递延所得税资产，但是以本公司很可能取得用来抵扣可抵扣暂时性差异、可抵扣亏损和税款抵减的未来</w:t>
      </w:r>
    </w:p>
    <w:p>
      <w:pPr>
        <w:pStyle w:val="BodyText"/>
        <w:spacing w:line="240" w:lineRule="auto" w:before="37"/>
        <w:ind w:right="0"/>
        <w:jc w:val="left"/>
      </w:pPr>
      <w:r>
        <w:rPr/>
        <w:t>应纳税所得额为限。</w:t>
      </w:r>
    </w:p>
    <w:p>
      <w:pPr>
        <w:pStyle w:val="BodyText"/>
        <w:spacing w:line="273" w:lineRule="auto" w:before="157"/>
        <w:ind w:right="163" w:firstLine="427"/>
        <w:jc w:val="both"/>
      </w:pPr>
      <w:r>
        <w:rPr>
          <w:spacing w:val="2"/>
        </w:rPr>
        <w:t>同时具有下列特征的交易或事项中因资产或负债的初始确认所产生的可抵扣暂时性差异对所得税的</w:t>
      </w:r>
      <w:r>
        <w:rPr>
          <w:w w:val="100"/>
        </w:rPr>
        <w:t> </w:t>
      </w:r>
      <w:r>
        <w:rPr/>
        <w:t>影响额不确认为递延所得税资产：</w:t>
      </w:r>
    </w:p>
    <w:p>
      <w:pPr>
        <w:pStyle w:val="BodyText"/>
        <w:spacing w:line="240" w:lineRule="auto" w:before="127"/>
        <w:ind w:left="580"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该项交易不是企业合并；</w:t>
      </w:r>
    </w:p>
    <w:p>
      <w:pPr>
        <w:pStyle w:val="BodyText"/>
        <w:spacing w:line="357" w:lineRule="auto" w:before="141"/>
        <w:ind w:left="580"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交易发生时既不影响会计利润也不影响应纳税所得额（或可抵扣亏损）。</w:t>
      </w:r>
      <w:r>
        <w:rPr>
          <w:w w:val="100"/>
        </w:rPr>
        <w:t> </w:t>
      </w:r>
      <w:r>
        <w:rPr>
          <w:spacing w:val="-2"/>
        </w:rPr>
        <w:t>本公司对与子公司、联营公司及合营企业投资相关的可抵扣暂时性差异，同时满足下列两项条件的，</w:t>
      </w:r>
    </w:p>
    <w:p>
      <w:pPr>
        <w:pStyle w:val="BodyText"/>
        <w:spacing w:line="209" w:lineRule="exact"/>
        <w:ind w:left="580" w:right="0" w:hanging="428"/>
        <w:jc w:val="left"/>
      </w:pPr>
      <w:r>
        <w:rPr/>
        <w:t>其对所得税的影响额（才能）确认为递延所得税资产：</w:t>
      </w:r>
    </w:p>
    <w:p>
      <w:pPr>
        <w:pStyle w:val="BodyText"/>
        <w:spacing w:line="240" w:lineRule="auto" w:before="157"/>
        <w:ind w:left="580"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暂时性差异在可预见的未来很可能转回；</w:t>
      </w:r>
    </w:p>
    <w:p>
      <w:pPr>
        <w:pStyle w:val="BodyText"/>
        <w:spacing w:line="357" w:lineRule="auto" w:before="141"/>
        <w:ind w:left="580"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未来很可能获得用来抵扣可抵扣暂时性差异的应纳税所得额；</w:t>
      </w:r>
      <w:r>
        <w:rPr>
          <w:w w:val="100"/>
        </w:rPr>
        <w:t> </w:t>
      </w:r>
      <w:r>
        <w:rPr>
          <w:spacing w:val="-3"/>
        </w:rPr>
        <w:t>资产负债表日，有确凿证据表明未来期间很可能获得足够的应纳税所得额用来抵扣可抵扣暂时性差异</w:t>
      </w:r>
    </w:p>
    <w:p>
      <w:pPr>
        <w:pStyle w:val="BodyText"/>
        <w:spacing w:line="209" w:lineRule="exact"/>
        <w:ind w:right="0"/>
        <w:jc w:val="left"/>
      </w:pPr>
      <w:r>
        <w:rPr/>
        <w:t>的，确认以前期间未确认的递延所得税资产。</w:t>
      </w:r>
    </w:p>
    <w:p>
      <w:pPr>
        <w:pStyle w:val="BodyText"/>
        <w:spacing w:line="273" w:lineRule="auto" w:before="157"/>
        <w:ind w:right="146" w:firstLine="427"/>
        <w:jc w:val="both"/>
      </w:pPr>
      <w:r>
        <w:rPr>
          <w:spacing w:val="-3"/>
        </w:rPr>
        <w:t>在资产负债表日，本公司对递延所得税资产的账面价值进行复核。如果未来期间很可能无法获得足够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326" w:lineRule="auto" w:before="61"/>
        <w:ind w:left="58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）递延所得税负债的确认</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本公司所有应纳税暂时性差异均按预计转回期间的所得税税率计量对所得税的影响，并将该影响额确</w:t>
      </w:r>
    </w:p>
    <w:p>
      <w:pPr>
        <w:pStyle w:val="BodyText"/>
        <w:spacing w:line="236" w:lineRule="exact"/>
        <w:ind w:right="0"/>
        <w:jc w:val="left"/>
      </w:pPr>
      <w:r>
        <w:rPr/>
        <w:t>认为递延所得税负债，但下列情况的除外：</w:t>
      </w:r>
    </w:p>
    <w:p>
      <w:pPr>
        <w:pStyle w:val="BodyText"/>
        <w:spacing w:line="432" w:lineRule="exact" w:before="57"/>
        <w:ind w:left="580" w:right="0"/>
        <w:jc w:val="left"/>
      </w:pPr>
      <w:r>
        <w:rPr/>
        <w:t>①因下列交易或事项中产生的应纳税暂时性差异对所得税的影响不确认为递延所得税负债：</w:t>
      </w:r>
      <w:r>
        <w:rPr>
          <w:w w:val="100"/>
        </w:rPr>
        <w:t> </w:t>
      </w: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w:t>
      </w:r>
    </w:p>
    <w:p>
      <w:pPr>
        <w:pStyle w:val="BodyText"/>
        <w:spacing w:line="253" w:lineRule="exact"/>
        <w:ind w:right="0"/>
        <w:jc w:val="left"/>
      </w:pPr>
      <w:r>
        <w:rPr/>
        <w:t>影响会计利润也不影响应纳税所得额或可抵扣亏损。</w:t>
      </w:r>
    </w:p>
    <w:p>
      <w:pPr>
        <w:spacing w:after="0" w:line="253" w:lineRule="exact"/>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firstLine="427"/>
        <w:jc w:val="left"/>
      </w:pPr>
      <w:r>
        <w:rPr>
          <w:spacing w:val="-3"/>
        </w:rPr>
        <w:t>②本公司对与子公司、合营企业及联营企业投资相关的应纳税暂时性差异，其对所得税的影响额一般</w:t>
      </w:r>
      <w:r>
        <w:rPr>
          <w:w w:val="100"/>
        </w:rPr>
        <w:t> </w:t>
      </w:r>
      <w:r>
        <w:rPr/>
        <w:t>确认为递延所得税负债，但同时满足以下两项条件的除外：</w:t>
      </w:r>
    </w:p>
    <w:p>
      <w:pPr>
        <w:pStyle w:val="BodyText"/>
        <w:spacing w:line="357" w:lineRule="auto" w:before="127"/>
        <w:ind w:left="580" w:right="1673"/>
        <w:jc w:val="left"/>
      </w:pPr>
      <w:r>
        <w:rPr>
          <w:rFonts w:ascii="Times New Roman" w:hAnsi="Times New Roman" w:cs="Times New Roman" w:eastAsia="Times New Roman" w:hint="default"/>
        </w:rPr>
        <w:t>A.</w:t>
      </w:r>
      <w:r>
        <w:rPr/>
        <w:t>本公司能够控制暂时性差异转回的时间；</w:t>
      </w:r>
      <w:r>
        <w:rPr>
          <w:w w:val="100"/>
        </w:rPr>
        <w:t> </w:t>
      </w:r>
      <w:r>
        <w:rPr>
          <w:rFonts w:ascii="Times New Roman" w:hAnsi="Times New Roman" w:cs="Times New Roman" w:eastAsia="Times New Roman" w:hint="default"/>
          <w:spacing w:val="-2"/>
        </w:rPr>
        <w:t>B.</w:t>
      </w:r>
      <w:r>
        <w:rPr>
          <w:spacing w:val="-2"/>
        </w:rPr>
        <w:t>该暂时性差异在可预见的未来很可能不会转回。</w:t>
      </w:r>
    </w:p>
    <w:p>
      <w:pPr>
        <w:pStyle w:val="Heading3"/>
        <w:spacing w:line="326" w:lineRule="exact"/>
        <w:ind w:left="580" w:right="0"/>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432" w:lineRule="exact" w:before="33"/>
        <w:ind w:left="580" w:right="0"/>
        <w:jc w:val="left"/>
      </w:pPr>
      <w:r>
        <w:rPr/>
        <w:t>①与企业合并相关的递延所得税负债或资产</w:t>
      </w:r>
      <w:r>
        <w:rPr>
          <w:w w:val="100"/>
        </w:rPr>
        <w:t> </w:t>
      </w:r>
      <w:r>
        <w:rPr>
          <w:spacing w:val="-3"/>
        </w:rPr>
        <w:t>非同一控制下企业合并产生的应纳税暂时性差异或可抵扣暂时性差异，在确认递延所得税负债或递延</w:t>
      </w:r>
    </w:p>
    <w:p>
      <w:pPr>
        <w:pStyle w:val="BodyText"/>
        <w:spacing w:line="255" w:lineRule="exact"/>
        <w:ind w:right="0"/>
        <w:jc w:val="both"/>
      </w:pPr>
      <w:r>
        <w:rPr/>
        <w:t>所得税资产的同时，相关的递延所得税费用（或收益），通常调整企业合并中所确认的商誉。</w:t>
      </w:r>
    </w:p>
    <w:p>
      <w:pPr>
        <w:pStyle w:val="BodyText"/>
        <w:spacing w:line="432" w:lineRule="exact" w:before="57"/>
        <w:ind w:left="580" w:right="0"/>
        <w:jc w:val="left"/>
      </w:pPr>
      <w:r>
        <w:rPr/>
        <w:t>②直接计入所有者权益的项目</w:t>
      </w:r>
      <w:r>
        <w:rPr>
          <w:w w:val="100"/>
        </w:rPr>
        <w:t> </w:t>
      </w:r>
      <w:r>
        <w:rPr>
          <w:spacing w:val="-3"/>
        </w:rPr>
        <w:t>与直接计入所有者权益的交易或者事项相关的当期所得税和递延所得税，计入所有者权益。暂时性差</w:t>
      </w:r>
    </w:p>
    <w:p>
      <w:pPr>
        <w:pStyle w:val="BodyText"/>
        <w:spacing w:line="255" w:lineRule="exact"/>
        <w:ind w:right="0"/>
        <w:jc w:val="both"/>
      </w:pPr>
      <w:r>
        <w:rPr/>
        <w:t>异对所得税的影响计入所有者权益的交易或事项包括：可供出售金融资产公允价值变动等形成的其他综合</w:t>
      </w:r>
    </w:p>
    <w:p>
      <w:pPr>
        <w:pStyle w:val="BodyText"/>
        <w:spacing w:line="273" w:lineRule="auto" w:before="37"/>
        <w:ind w:right="124"/>
        <w:jc w:val="both"/>
      </w:pPr>
      <w:r>
        <w:rPr>
          <w:spacing w:val="-2"/>
        </w:rPr>
        <w:t>收益、会计政策变更采用追溯调整法或对前期（重要）会计差错更正差异追溯重述法调整期初留存收益、</w:t>
      </w:r>
      <w:r>
        <w:rPr>
          <w:spacing w:val="-22"/>
        </w:rPr>
        <w:t> </w:t>
      </w:r>
      <w:r>
        <w:rPr>
          <w:spacing w:val="-22"/>
        </w:rPr>
      </w:r>
      <w:r>
        <w:rPr/>
        <w:t>同时包含负债成份及权益成份的混合金融工具在初始确认时计入所有者权益等。</w:t>
      </w:r>
    </w:p>
    <w:p>
      <w:pPr>
        <w:pStyle w:val="BodyText"/>
        <w:spacing w:line="240" w:lineRule="auto" w:before="127"/>
        <w:ind w:left="580" w:right="0"/>
        <w:jc w:val="left"/>
      </w:pPr>
      <w:r>
        <w:rPr/>
        <w:t>③可弥补亏损和税款抵减</w:t>
      </w:r>
    </w:p>
    <w:p>
      <w:pPr>
        <w:pStyle w:val="BodyText"/>
        <w:spacing w:line="357" w:lineRule="auto" w:before="157"/>
        <w:ind w:left="580" w:right="132"/>
        <w:jc w:val="left"/>
      </w:pPr>
      <w:r>
        <w:rPr>
          <w:rFonts w:ascii="Times New Roman" w:hAnsi="Times New Roman" w:cs="Times New Roman" w:eastAsia="Times New Roman" w:hint="default"/>
        </w:rPr>
        <w:t>A.</w:t>
      </w:r>
      <w:r>
        <w:rPr/>
        <w:t>本公司自身经营产生的可弥补亏损以及税款抵减</w:t>
      </w:r>
      <w:r>
        <w:rPr>
          <w:w w:val="100"/>
        </w:rPr>
        <w:t> </w:t>
      </w:r>
      <w:r>
        <w:rPr/>
        <w:t>可抵扣亏损是指按照税法规定计算确定的准予用以后年度的应纳税所得额弥补的亏损。</w:t>
      </w:r>
      <w:r>
        <w:rPr>
          <w:spacing w:val="79"/>
        </w:rPr>
        <w:t> </w:t>
      </w:r>
      <w:r>
        <w:rPr/>
        <w:t>对于按照税</w:t>
      </w:r>
    </w:p>
    <w:p>
      <w:pPr>
        <w:pStyle w:val="BodyText"/>
        <w:spacing w:line="209" w:lineRule="exact"/>
        <w:ind w:right="0"/>
        <w:jc w:val="both"/>
      </w:pPr>
      <w:r>
        <w:rPr/>
        <w:t>法规定可以结转以后年度的未弥补亏损（可抵扣亏损）和税款抵减，视同可抵扣暂时性差异处理。在预计</w:t>
      </w:r>
    </w:p>
    <w:p>
      <w:pPr>
        <w:pStyle w:val="BodyText"/>
        <w:spacing w:line="273" w:lineRule="auto" w:before="37"/>
        <w:ind w:right="146"/>
        <w:jc w:val="both"/>
      </w:pPr>
      <w:r>
        <w:rPr>
          <w:spacing w:val="-2"/>
        </w:rPr>
        <w:t>可利用可弥补亏损或税款抵减的未来期间内很可能取得足够的应纳税所得额时，以很可能取得的应纳税所</w:t>
      </w:r>
      <w:r>
        <w:rPr>
          <w:spacing w:val="-43"/>
        </w:rPr>
        <w:t> </w:t>
      </w:r>
      <w:r>
        <w:rPr>
          <w:spacing w:val="-43"/>
        </w:rPr>
      </w:r>
      <w:r>
        <w:rPr/>
        <w:t>得额为限，确认相应的递延所得税资产，同时减少当期利润表中的所得税费用。</w:t>
      </w:r>
    </w:p>
    <w:p>
      <w:pPr>
        <w:pStyle w:val="BodyText"/>
        <w:spacing w:line="357" w:lineRule="auto" w:before="128"/>
        <w:ind w:left="580" w:right="0"/>
        <w:jc w:val="left"/>
      </w:pPr>
      <w:r>
        <w:rPr>
          <w:rFonts w:ascii="Times New Roman" w:hAnsi="Times New Roman" w:cs="Times New Roman" w:eastAsia="Times New Roman" w:hint="default"/>
        </w:rPr>
        <w:t>B.</w:t>
      </w:r>
      <w:r>
        <w:rPr/>
        <w:t>因企业合并而形成的可弥补的被合并企业的未弥补亏损</w:t>
      </w:r>
      <w:r>
        <w:rPr>
          <w:w w:val="100"/>
        </w:rPr>
        <w:t> </w:t>
      </w:r>
      <w:r>
        <w:rPr>
          <w:spacing w:val="-3"/>
        </w:rPr>
        <w:t>在企业合并中，本公司取得被购买方的可抵扣暂时性差异，在购买日不符合递延所得税资产确认条件</w:t>
      </w:r>
    </w:p>
    <w:p>
      <w:pPr>
        <w:pStyle w:val="BodyText"/>
        <w:spacing w:line="225" w:lineRule="exact"/>
        <w:ind w:right="0"/>
        <w:jc w:val="both"/>
      </w:pPr>
      <w:r>
        <w:rPr/>
        <w:t>的，不予以确认。购买日后</w:t>
      </w:r>
      <w:r>
        <w:rPr>
          <w:rFonts w:ascii="Times New Roman" w:hAnsi="Times New Roman" w:cs="Times New Roman" w:eastAsia="Times New Roman" w:hint="default"/>
        </w:rPr>
        <w:t>12</w:t>
      </w:r>
      <w:r>
        <w:rPr/>
        <w:t>个月内，如取得新的或进一步的信息表明购买日的相关情况已经存在，预期</w:t>
      </w:r>
    </w:p>
    <w:p>
      <w:pPr>
        <w:pStyle w:val="BodyText"/>
        <w:spacing w:line="273" w:lineRule="auto" w:before="21"/>
        <w:ind w:right="146"/>
        <w:jc w:val="both"/>
      </w:pP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32" w:lineRule="exact" w:before="27"/>
        <w:ind w:left="580" w:right="0"/>
        <w:jc w:val="left"/>
      </w:pPr>
      <w:r>
        <w:rPr/>
        <w:t>④合并抵销形成的暂时性差异</w:t>
      </w:r>
      <w:r>
        <w:rPr>
          <w:w w:val="100"/>
        </w:rPr>
        <w:t> </w:t>
      </w:r>
      <w:r>
        <w:rPr>
          <w:spacing w:val="-3"/>
        </w:rPr>
        <w:t>本公司在编制合并财务报表时，因抵销未实现内部销售损益导致合并资产负债表中资产、负债的账面</w:t>
      </w:r>
    </w:p>
    <w:p>
      <w:pPr>
        <w:pStyle w:val="BodyText"/>
        <w:spacing w:line="255" w:lineRule="exact"/>
        <w:ind w:right="0"/>
        <w:jc w:val="both"/>
      </w:pPr>
      <w:r>
        <w:rPr/>
        <w:t>价值与其在所属纳税主体的计税基础之间产生暂时性差异的，在合并资产负债表中确认递延所得税资产或</w:t>
      </w:r>
    </w:p>
    <w:p>
      <w:pPr>
        <w:pStyle w:val="BodyText"/>
        <w:spacing w:line="273" w:lineRule="auto" w:before="37"/>
        <w:ind w:right="146"/>
        <w:jc w:val="both"/>
      </w:pPr>
      <w:r>
        <w:rPr>
          <w:spacing w:val="-2"/>
        </w:rPr>
        <w:t>递延所得税负债，同时调整合并利润表中的所得税费用，但与直接计入所有者权益的交易或事项及企业合</w:t>
      </w:r>
      <w:r>
        <w:rPr>
          <w:spacing w:val="-43"/>
        </w:rPr>
        <w:t> </w:t>
      </w:r>
      <w:r>
        <w:rPr>
          <w:spacing w:val="-43"/>
        </w:rPr>
      </w:r>
      <w:r>
        <w:rPr/>
        <w:t>并相关的递延所得税除外。</w:t>
      </w:r>
    </w:p>
    <w:p>
      <w:pPr>
        <w:pStyle w:val="BodyText"/>
        <w:spacing w:line="432" w:lineRule="exact" w:before="27"/>
        <w:ind w:left="580" w:right="0"/>
        <w:jc w:val="left"/>
      </w:pPr>
      <w:r>
        <w:rPr/>
        <w:t>⑤以权益结算的股份支付</w:t>
      </w:r>
      <w:r>
        <w:rPr>
          <w:w w:val="100"/>
        </w:rPr>
        <w:t> </w:t>
      </w:r>
      <w:r>
        <w:rPr>
          <w:spacing w:val="-3"/>
        </w:rPr>
        <w:t>如果税法规定与股份支付相关的支出允许税前扣除，在按照会计准则规定确认成本费用的期间内，本</w:t>
      </w:r>
    </w:p>
    <w:p>
      <w:pPr>
        <w:pStyle w:val="BodyText"/>
        <w:spacing w:line="255" w:lineRule="exact"/>
        <w:ind w:right="0"/>
        <w:jc w:val="both"/>
      </w:pPr>
      <w:r>
        <w:rPr/>
        <w:t>公司根据会计期末取得信息估计可税前扣除的金额计算确定其计税基础及由此产生的暂时性差异，符合确</w:t>
      </w:r>
    </w:p>
    <w:p>
      <w:pPr>
        <w:pStyle w:val="BodyText"/>
        <w:spacing w:line="273" w:lineRule="auto" w:before="37"/>
        <w:ind w:right="146"/>
        <w:jc w:val="both"/>
      </w:pPr>
      <w:r>
        <w:rPr>
          <w:spacing w:val="-2"/>
        </w:rPr>
        <w:t>认条件的情况下确认相关的递延所得税。其中预计未来期间可税前扣除的金额超过按照会计准则规定确认</w:t>
      </w:r>
      <w:r>
        <w:rPr>
          <w:spacing w:val="-43"/>
        </w:rPr>
        <w:t> </w:t>
      </w:r>
      <w:r>
        <w:rPr>
          <w:spacing w:val="-43"/>
        </w:rPr>
      </w:r>
      <w:r>
        <w:rPr/>
        <w:t>的与股份支付相关的成本费用，超过部分的所得税影响应直接计入所得税权益。</w:t>
      </w:r>
    </w:p>
    <w:p>
      <w:pPr>
        <w:spacing w:after="0" w:line="273" w:lineRule="auto"/>
        <w:jc w:val="both"/>
        <w:sectPr>
          <w:footerReference w:type="default" r:id="rId17"/>
          <w:pgSz w:w="11910" w:h="16840"/>
          <w:pgMar w:footer="979" w:header="748" w:top="1060" w:bottom="1160" w:left="980" w:right="980"/>
          <w:pgNumType w:start="120"/>
        </w:sectPr>
      </w:pPr>
    </w:p>
    <w:p>
      <w:pPr>
        <w:spacing w:line="240" w:lineRule="auto" w:before="10"/>
        <w:rPr>
          <w:rFonts w:ascii="宋体" w:hAnsi="宋体" w:cs="宋体" w:eastAsia="宋体" w:hint="default"/>
          <w:sz w:val="24"/>
          <w:szCs w:val="24"/>
        </w:rPr>
      </w:pPr>
      <w:r>
        <w:rPr/>
        <w:pict>
          <v:shape style="position:absolute;margin-left:210.251007pt;margin-top:565.76001pt;width:165.3pt;height:113.2pt;mso-position-horizontal-relative:page;mso-position-vertical-relative:page;z-index:-855016" type="#_x0000_t202" filled="false" stroked="false">
            <v:textbox inset="0,0,0,0">
              <w:txbxContent>
                <w:p>
                  <w:pPr>
                    <w:spacing w:line="240" w:lineRule="auto" w:before="0"/>
                    <w:rPr>
                      <w:rFonts w:ascii="宋体" w:hAnsi="宋体" w:cs="宋体" w:eastAsia="宋体"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3"/>
        <w:spacing w:line="335" w:lineRule="exact"/>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Heading3"/>
        <w:spacing w:line="610" w:lineRule="atLeast" w:before="4"/>
        <w:ind w:left="580" w:right="5553" w:hanging="428"/>
        <w:jc w:val="left"/>
        <w:rPr>
          <w:b w:val="0"/>
          <w:bCs w:val="0"/>
        </w:rPr>
      </w:pPr>
      <w:r>
        <w:rPr>
          <w:rFonts w:ascii="Times New Roman" w:hAnsi="Times New Roman" w:cs="Times New Roman" w:eastAsia="Times New Roman" w:hint="default"/>
          <w:spacing w:val="-1"/>
        </w:rPr>
        <w:t>32</w:t>
      </w:r>
      <w:r>
        <w:rPr>
          <w:spacing w:val="-1"/>
        </w:rPr>
        <w:t>、其他重要的会计政策和会计估计</w:t>
      </w:r>
      <w:r>
        <w:rPr>
          <w:spacing w:val="-23"/>
        </w:rPr>
        <w:t> </w:t>
      </w:r>
      <w:r>
        <w:rPr>
          <w:spacing w:val="-23"/>
        </w:rPr>
      </w:r>
      <w:r>
        <w:rPr/>
        <w:t>回购公司股份</w:t>
      </w:r>
      <w:r>
        <w:rPr>
          <w:b w:val="0"/>
          <w:bCs w:val="0"/>
        </w:rPr>
      </w:r>
    </w:p>
    <w:p>
      <w:pPr>
        <w:pStyle w:val="BodyText"/>
        <w:spacing w:line="268" w:lineRule="auto" w:before="133"/>
        <w:ind w:right="208" w:firstLine="427"/>
        <w:jc w:val="both"/>
      </w:pPr>
      <w:r>
        <w:rPr/>
        <w:t>（</w:t>
      </w:r>
      <w:r>
        <w:rPr>
          <w:rFonts w:ascii="Times New Roman" w:hAnsi="Times New Roman" w:cs="Times New Roman" w:eastAsia="Times New Roman" w:hint="default"/>
        </w:rPr>
        <w:t>1</w:t>
      </w:r>
      <w:r>
        <w:rPr/>
        <w:t>）本公司按法定程序报经批准采用收购本公司股票方式减资的，按注销股票面值总额减少股本，</w:t>
      </w:r>
      <w:r>
        <w:rPr>
          <w:w w:val="100"/>
        </w:rPr>
        <w:t> </w:t>
      </w:r>
      <w:r>
        <w:rPr>
          <w:spacing w:val="-2"/>
        </w:rPr>
        <w:t>购回股票支付的价款（含交易费用）与股票面值的差额调整所有者权益，超过面值总额的部分，依次冲减</w:t>
      </w:r>
      <w:r>
        <w:rPr>
          <w:spacing w:val="-50"/>
        </w:rPr>
        <w:t> </w:t>
      </w:r>
      <w:r>
        <w:rPr>
          <w:spacing w:val="-50"/>
        </w:rPr>
      </w:r>
      <w:r>
        <w:rPr>
          <w:spacing w:val="-7"/>
        </w:rPr>
        <w:t>资本公积（股本溢价）、盈余公积和未分配利润；低于面值总额的，低于面值总额的部分增加资本公积（股</w:t>
      </w:r>
      <w:r>
        <w:rPr>
          <w:spacing w:val="-19"/>
        </w:rPr>
        <w:t> </w:t>
      </w:r>
      <w:r>
        <w:rPr>
          <w:spacing w:val="-19"/>
        </w:rPr>
      </w:r>
      <w:r>
        <w:rPr/>
        <w:t>本溢价）。</w:t>
      </w:r>
    </w:p>
    <w:p>
      <w:pPr>
        <w:pStyle w:val="BodyText"/>
        <w:spacing w:line="240" w:lineRule="auto" w:before="132"/>
        <w:ind w:left="580" w:right="0"/>
        <w:jc w:val="left"/>
      </w:pPr>
      <w:r>
        <w:rPr>
          <w:spacing w:val="-2"/>
        </w:rPr>
        <w:t>（</w:t>
      </w:r>
      <w:r>
        <w:rPr>
          <w:rFonts w:ascii="Times New Roman" w:hAnsi="Times New Roman" w:cs="Times New Roman" w:eastAsia="Times New Roman" w:hint="default"/>
          <w:spacing w:val="-2"/>
        </w:rPr>
        <w:t>2</w:t>
      </w:r>
      <w:r>
        <w:rPr>
          <w:spacing w:val="-2"/>
        </w:rPr>
        <w:t>）公司回购的股份在注销或者转让之前，作为库存股管理，回购股份的全部支出转作库存股成本。</w:t>
      </w:r>
    </w:p>
    <w:p>
      <w:pPr>
        <w:pStyle w:val="BodyText"/>
        <w:spacing w:line="256" w:lineRule="auto" w:before="141"/>
        <w:ind w:right="211" w:firstLine="427"/>
        <w:jc w:val="both"/>
      </w:pPr>
      <w:r>
        <w:rPr/>
        <w:t>（</w:t>
      </w:r>
      <w:r>
        <w:rPr>
          <w:rFonts w:ascii="Times New Roman" w:hAnsi="Times New Roman" w:cs="Times New Roman" w:eastAsia="Times New Roman" w:hint="default"/>
        </w:rPr>
        <w:t>3</w:t>
      </w:r>
      <w:r>
        <w:rPr/>
        <w:t>）库存股转让时，转让收入高于库存股成本的部分，增加资本公积（股本溢价）；低于库存股成</w:t>
      </w:r>
      <w:r>
        <w:rPr>
          <w:w w:val="100"/>
        </w:rPr>
        <w:t> </w:t>
      </w:r>
      <w:r>
        <w:rPr/>
        <w:t>本的部分，依次冲减资本公积（股本溢价）、盈余公积、未分配利润。</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日财政部印发了《企业会</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宋体" w:hAnsi="宋体" w:cs="宋体" w:eastAsia="宋体" w:hint="default"/>
                <w:spacing w:val="-32"/>
                <w:sz w:val="18"/>
                <w:szCs w:val="18"/>
              </w:rPr>
              <w:t>、</w:t>
            </w:r>
            <w:r>
              <w:rPr>
                <w:rFonts w:ascii="宋体" w:hAnsi="宋体" w:cs="宋体" w:eastAsia="宋体" w:hint="default"/>
                <w:sz w:val="18"/>
                <w:szCs w:val="18"/>
              </w:rPr>
              <w:t>处置组和终止经营</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该</w:t>
            </w:r>
            <w:r>
              <w:rPr>
                <w:rFonts w:ascii="宋体" w:hAnsi="宋体" w:cs="宋体" w:eastAsia="宋体" w:hint="default"/>
                <w:spacing w:val="2"/>
                <w:sz w:val="18"/>
                <w:szCs w:val="18"/>
              </w:rPr>
              <w:t>准</w:t>
            </w:r>
            <w:r>
              <w:rPr>
                <w:rFonts w:ascii="宋体" w:hAnsi="宋体" w:cs="宋体" w:eastAsia="宋体" w:hint="default"/>
                <w:sz w:val="18"/>
                <w:szCs w:val="18"/>
              </w:rPr>
              <w:t>则自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9"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日起施行。对于该准则施行日 存在的持有待售的非流动资产、处置组 和终止经营，采用未来适用法处理。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日，公司第二届董事会第</w:t>
            </w:r>
            <w:r>
              <w:rPr>
                <w:rFonts w:ascii="宋体" w:hAnsi="宋体" w:cs="宋体" w:eastAsia="宋体" w:hint="default"/>
                <w:sz w:val="18"/>
                <w:szCs w:val="18"/>
              </w:rPr>
              <w:t> 二十二次会议和第二届监事会第十七次 会议审议通过了《关于会计政策变更的 </w:t>
            </w:r>
            <w:r>
              <w:rPr>
                <w:rFonts w:ascii="宋体" w:hAnsi="宋体" w:cs="宋体" w:eastAsia="宋体" w:hint="default"/>
                <w:spacing w:val="-5"/>
                <w:sz w:val="18"/>
                <w:szCs w:val="18"/>
              </w:rPr>
              <w:t>议案》，同意公司相关会计政策的变更，</w:t>
            </w:r>
            <w:r>
              <w:rPr>
                <w:rFonts w:ascii="宋体" w:hAnsi="宋体" w:cs="宋体" w:eastAsia="宋体" w:hint="default"/>
                <w:sz w:val="18"/>
                <w:szCs w:val="18"/>
              </w:rPr>
              <w:t> 公司独立董事发表了独立意见。详见公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日披露的《关于会 </w:t>
            </w:r>
            <w:r>
              <w:rPr>
                <w:rFonts w:ascii="宋体" w:hAnsi="宋体" w:cs="宋体" w:eastAsia="宋体" w:hint="default"/>
                <w:spacing w:val="-10"/>
                <w:sz w:val="18"/>
                <w:szCs w:val="18"/>
              </w:rPr>
              <w:t>计政策变更的公告》。</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日，财政部发布了《企业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r>
              <w:rPr>
                <w:rFonts w:ascii="宋体" w:hAnsi="宋体" w:cs="宋体" w:eastAsia="宋体" w:hint="default"/>
                <w:spacing w:val="-5"/>
                <w:sz w:val="18"/>
                <w:szCs w:val="18"/>
              </w:rPr>
              <w:t>助</w:t>
            </w:r>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修</w:t>
            </w:r>
            <w:r>
              <w:rPr>
                <w:rFonts w:ascii="宋体" w:hAnsi="宋体" w:cs="宋体" w:eastAsia="宋体" w:hint="default"/>
                <w:spacing w:val="2"/>
                <w:sz w:val="18"/>
                <w:szCs w:val="18"/>
              </w:rPr>
              <w:t>订</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该准则自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日起施行。本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日存在的政府补助</w:t>
            </w:r>
          </w:p>
          <w:p>
            <w:pPr>
              <w:pStyle w:val="TableParagraph"/>
              <w:spacing w:line="309" w:lineRule="auto" w:before="63"/>
              <w:ind w:left="24" w:right="42"/>
              <w:jc w:val="both"/>
              <w:rPr>
                <w:rFonts w:ascii="宋体" w:hAnsi="宋体" w:cs="宋体" w:eastAsia="宋体" w:hint="default"/>
                <w:sz w:val="18"/>
                <w:szCs w:val="18"/>
              </w:rPr>
            </w:pPr>
            <w:r>
              <w:rPr>
                <w:rFonts w:ascii="宋体" w:hAnsi="宋体" w:cs="宋体" w:eastAsia="宋体" w:hint="default"/>
                <w:sz w:val="18"/>
                <w:szCs w:val="18"/>
              </w:rPr>
              <w:t>采用未来适用法处理，对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日至本准则施行日之间新增的政府补助 根据本准则进行调整。</w:t>
            </w:r>
          </w:p>
        </w:tc>
        <w:tc>
          <w:tcPr>
            <w:tcW w:w="3188" w:type="dxa"/>
            <w:tcBorders>
              <w:top w:val="single" w:sz="4" w:space="0" w:color="000000"/>
              <w:left w:val="single" w:sz="10" w:space="0" w:color="FFFFFF"/>
              <w:bottom w:val="single" w:sz="4" w:space="0" w:color="000000"/>
              <w:right w:val="single" w:sz="10" w:space="0" w:color="FFFFFF"/>
            </w:tcBorders>
          </w:tcPr>
          <w:p>
            <w:pPr>
              <w:pStyle w:val="TableParagraph"/>
              <w:spacing w:line="312" w:lineRule="auto" w:before="51"/>
              <w:ind w:left="16"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日，公司第二届董事会第</w:t>
            </w:r>
            <w:r>
              <w:rPr>
                <w:rFonts w:ascii="宋体" w:hAnsi="宋体" w:cs="宋体" w:eastAsia="宋体" w:hint="default"/>
                <w:sz w:val="18"/>
                <w:szCs w:val="18"/>
              </w:rPr>
              <w:t> 十八次会议和第二届监事会第十四次会 议审议通过了《关于会计政策变更的议 </w:t>
            </w:r>
            <w:r>
              <w:rPr>
                <w:rFonts w:ascii="宋体" w:hAnsi="宋体" w:cs="宋体" w:eastAsia="宋体" w:hint="default"/>
                <w:spacing w:val="-7"/>
                <w:sz w:val="18"/>
                <w:szCs w:val="18"/>
              </w:rPr>
              <w:t>案》，同意公司相关会计政策的变更，公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司独立董事发表了独立意见。详见公司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日披露的《关于会计 </w:t>
            </w:r>
            <w:r>
              <w:rPr>
                <w:rFonts w:ascii="宋体" w:hAnsi="宋体" w:cs="宋体" w:eastAsia="宋体" w:hint="default"/>
                <w:spacing w:val="-11"/>
                <w:sz w:val="18"/>
                <w:szCs w:val="18"/>
              </w:rPr>
              <w:t>政策变更的公告》。</w:t>
            </w:r>
          </w:p>
        </w:tc>
        <w:tc>
          <w:tcPr>
            <w:tcW w:w="3191" w:type="dxa"/>
            <w:tcBorders>
              <w:top w:val="single" w:sz="4" w:space="0" w:color="000000"/>
              <w:left w:val="single" w:sz="10" w:space="0" w:color="FFFFFF"/>
              <w:bottom w:val="single" w:sz="4" w:space="0" w:color="000000"/>
              <w:right w:val="single" w:sz="4" w:space="0" w:color="000000"/>
            </w:tcBorders>
          </w:tcPr>
          <w:p>
            <w:pPr/>
          </w:p>
        </w:tc>
      </w:tr>
      <w:tr>
        <w:trPr>
          <w:trHeight w:val="161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日财政部印发了《关于 修订印发一般企业财务报表格式的通 </w:t>
            </w:r>
            <w:r>
              <w:rPr>
                <w:rFonts w:ascii="宋体" w:hAnsi="宋体" w:cs="宋体" w:eastAsia="宋体" w:hint="default"/>
                <w:spacing w:val="-6"/>
                <w:sz w:val="18"/>
                <w:szCs w:val="18"/>
              </w:rPr>
              <w:t>知》，对一般企业财务报表格式进行了修</w:t>
            </w:r>
            <w:r>
              <w:rPr>
                <w:rFonts w:ascii="宋体" w:hAnsi="宋体" w:cs="宋体" w:eastAsia="宋体" w:hint="default"/>
                <w:sz w:val="18"/>
                <w:szCs w:val="18"/>
              </w:rPr>
              <w:t> 订，要求按照企业会计准则和该通知要 求编制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年度及以后期间的财务报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日，公司第二届董事会第</w:t>
            </w:r>
            <w:r>
              <w:rPr>
                <w:rFonts w:ascii="宋体" w:hAnsi="宋体" w:cs="宋体" w:eastAsia="宋体" w:hint="default"/>
                <w:sz w:val="18"/>
                <w:szCs w:val="18"/>
              </w:rPr>
              <w:t> 二十二次会议和第二届监事会第十七次 会议审议通过了《关于会计政策变更的 </w:t>
            </w:r>
            <w:r>
              <w:rPr>
                <w:rFonts w:ascii="宋体" w:hAnsi="宋体" w:cs="宋体" w:eastAsia="宋体" w:hint="default"/>
                <w:spacing w:val="-5"/>
                <w:sz w:val="18"/>
                <w:szCs w:val="18"/>
              </w:rPr>
              <w:t>议案》，同意公司相关会计政策的变更，</w:t>
            </w:r>
            <w:r>
              <w:rPr>
                <w:rFonts w:ascii="宋体" w:hAnsi="宋体" w:cs="宋体" w:eastAsia="宋体" w:hint="default"/>
                <w:sz w:val="18"/>
                <w:szCs w:val="18"/>
              </w:rPr>
              <w:t> 公司独立董事发表了独立意见。详见公</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2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5"/>
        <w:gridCol w:w="3188"/>
        <w:gridCol w:w="3191"/>
      </w:tblGrid>
      <w:tr>
        <w:trPr>
          <w:trHeight w:val="67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91"/>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日披露的《关于会 </w:t>
            </w:r>
            <w:r>
              <w:rPr>
                <w:rFonts w:ascii="宋体" w:hAnsi="宋体" w:cs="宋体" w:eastAsia="宋体" w:hint="default"/>
                <w:spacing w:val="-10"/>
                <w:sz w:val="18"/>
                <w:szCs w:val="18"/>
              </w:rPr>
              <w:t>计政策变更的公告》。</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47"/>
        <w:ind w:left="153" w:right="8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sz w:val="24"/>
          <w:szCs w:val="24"/>
        </w:rPr>
      </w:r>
    </w:p>
    <w:p>
      <w:pPr>
        <w:pStyle w:val="Heading3"/>
        <w:spacing w:line="240" w:lineRule="auto" w:before="168"/>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商品销售收入、增值税应税劳务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3"/>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77"/>
        <w:ind w:left="525" w:right="0" w:hanging="7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w:t>
      </w:r>
      <w:r>
        <w:rPr>
          <w:w w:val="100"/>
        </w:rPr>
        <w:t> </w:t>
      </w:r>
      <w:r>
        <w:rPr/>
        <w:t>根据《国务院关于印发进一步鼓励软件产业和集成电路产业发展的若干政策的通知》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p>
    <w:p>
      <w:pPr>
        <w:pStyle w:val="BodyText"/>
        <w:spacing w:line="256" w:lineRule="auto" w:before="21"/>
        <w:ind w:right="145"/>
        <w:jc w:val="both"/>
      </w:pPr>
      <w:r>
        <w:rPr/>
        <w:t>号</w:t>
      </w:r>
      <w:r>
        <w:rPr>
          <w:rFonts w:ascii="Times New Roman" w:hAnsi="Times New Roman" w:cs="Times New Roman" w:eastAsia="Times New Roman" w:hint="default"/>
        </w:rPr>
        <w:t>)</w:t>
      </w:r>
      <w:r>
        <w:rPr/>
        <w:t>和财政部、国家税务总局《关于软件产品增值税政策的通知》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w:t>
      </w:r>
      <w:r>
        <w:rPr>
          <w:rFonts w:ascii="Times New Roman" w:hAnsi="Times New Roman" w:cs="Times New Roman" w:eastAsia="Times New Roman" w:hint="default"/>
        </w:rPr>
        <w:t>)</w:t>
      </w:r>
      <w:r>
        <w:rPr/>
        <w:t>的规定，本公司及</w:t>
      </w:r>
      <w:r>
        <w:rPr>
          <w:spacing w:val="-27"/>
        </w:rPr>
        <w:t> </w:t>
      </w:r>
      <w:r>
        <w:rPr>
          <w:spacing w:val="-27"/>
        </w:rPr>
      </w:r>
      <w:r>
        <w:rPr>
          <w:spacing w:val="-3"/>
        </w:rPr>
        <w:t>境内子公司销售其自行开发生产的软件产品，按</w:t>
      </w:r>
      <w:r>
        <w:rPr>
          <w:rFonts w:ascii="Times New Roman" w:hAnsi="Times New Roman" w:cs="Times New Roman" w:eastAsia="Times New Roman" w:hint="default"/>
          <w:spacing w:val="-3"/>
        </w:rPr>
        <w:t>17%</w:t>
      </w:r>
      <w:r>
        <w:rPr>
          <w:spacing w:val="-3"/>
        </w:rPr>
        <w:t>的法定税率征收增值税，对其实际税负超过</w:t>
      </w:r>
      <w:r>
        <w:rPr>
          <w:rFonts w:ascii="Times New Roman" w:hAnsi="Times New Roman" w:cs="Times New Roman" w:eastAsia="Times New Roman" w:hint="default"/>
          <w:spacing w:val="-3"/>
        </w:rPr>
        <w:t>3%</w:t>
      </w:r>
      <w:r>
        <w:rPr>
          <w:spacing w:val="-3"/>
        </w:rPr>
        <w:t>的部分</w:t>
      </w:r>
      <w:r>
        <w:rPr>
          <w:spacing w:val="-26"/>
        </w:rPr>
        <w:t> </w:t>
      </w:r>
      <w:r>
        <w:rPr>
          <w:spacing w:val="-26"/>
        </w:rPr>
      </w:r>
      <w:r>
        <w:rPr/>
        <w:t>实行即征即退。</w:t>
      </w:r>
    </w:p>
    <w:p>
      <w:pPr>
        <w:pStyle w:val="BodyText"/>
        <w:spacing w:line="256" w:lineRule="auto" w:before="142"/>
        <w:ind w:right="143" w:firstLine="372"/>
        <w:jc w:val="both"/>
      </w:pPr>
      <w:r>
        <w:rPr/>
        <w:t>根据财政部、国家税务总局《关于全面推开营业税改征增值税试点的通知》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w:t>
      </w:r>
      <w:r>
        <w:rPr>
          <w:rFonts w:ascii="Times New Roman" w:hAnsi="Times New Roman" w:cs="Times New Roman" w:eastAsia="Times New Roman" w:hint="default"/>
        </w:rPr>
        <w:t>)</w:t>
      </w:r>
      <w:r>
        <w:rPr/>
        <w:t>，本</w:t>
      </w:r>
      <w:r>
        <w:rPr>
          <w:spacing w:val="2"/>
          <w:w w:val="100"/>
        </w:rPr>
        <w:t> </w:t>
      </w:r>
      <w:r>
        <w:rPr>
          <w:spacing w:val="-2"/>
        </w:rPr>
        <w:t>公司及境内子公司自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日起，全面实行营业税改征增值税，营业税改征增值税后，本公司及境内</w:t>
      </w:r>
      <w:r>
        <w:rPr>
          <w:spacing w:val="-37"/>
        </w:rPr>
        <w:t> </w:t>
      </w:r>
      <w:r>
        <w:rPr>
          <w:spacing w:val="-37"/>
        </w:rPr>
      </w:r>
      <w:r>
        <w:rPr/>
        <w:t>子公司从事技术开发和技术转让业务免征增值税。</w:t>
      </w:r>
    </w:p>
    <w:p>
      <w:pPr>
        <w:pStyle w:val="BodyText"/>
        <w:spacing w:line="240" w:lineRule="auto" w:before="142"/>
        <w:ind w:left="453" w:right="0"/>
        <w:jc w:val="left"/>
      </w:pPr>
      <w:r>
        <w:rPr/>
        <w:t>（</w:t>
      </w:r>
      <w:r>
        <w:rPr>
          <w:rFonts w:ascii="Times New Roman" w:hAnsi="Times New Roman" w:cs="Times New Roman" w:eastAsia="Times New Roman" w:hint="default"/>
        </w:rPr>
        <w:t>2</w:t>
      </w:r>
      <w:r>
        <w:rPr/>
        <w:t>）所得税</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525" w:right="0"/>
        <w:jc w:val="left"/>
      </w:pPr>
      <w:r>
        <w:rPr/>
        <w:t>本公司：</w:t>
      </w:r>
    </w:p>
    <w:p>
      <w:pPr>
        <w:pStyle w:val="BodyText"/>
        <w:spacing w:line="256" w:lineRule="auto" w:before="157"/>
        <w:ind w:right="0" w:firstLine="372"/>
        <w:jc w:val="left"/>
      </w:pPr>
      <w:r>
        <w:rPr>
          <w:spacing w:val="-3"/>
        </w:rPr>
        <w:t>本公司</w:t>
      </w:r>
      <w:r>
        <w:rPr>
          <w:rFonts w:ascii="Times New Roman" w:hAnsi="Times New Roman" w:cs="Times New Roman" w:eastAsia="Times New Roman" w:hint="default"/>
          <w:spacing w:val="-3"/>
        </w:rPr>
        <w:t>2017</w:t>
      </w:r>
      <w:r>
        <w:rPr>
          <w:spacing w:val="-3"/>
        </w:rPr>
        <w:t>年度已通过高新技术企业复审，并于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月获得了安徽省科学技术厅、安徽省财政厅、</w:t>
      </w:r>
      <w:r>
        <w:rPr>
          <w:w w:val="100"/>
        </w:rPr>
        <w:t> </w:t>
      </w:r>
      <w:r>
        <w:rPr>
          <w:spacing w:val="-4"/>
        </w:rPr>
        <w:t>安徽省国家税务局、安徽省地方税务局联合颁发的编号</w:t>
      </w:r>
      <w:r>
        <w:rPr>
          <w:rFonts w:ascii="Times New Roman" w:hAnsi="Times New Roman" w:cs="Times New Roman" w:eastAsia="Times New Roman" w:hint="default"/>
          <w:spacing w:val="-4"/>
        </w:rPr>
        <w:t>GR201734001260</w:t>
      </w:r>
      <w:r>
        <w:rPr>
          <w:spacing w:val="-4"/>
        </w:rPr>
        <w:t>号《高新技术企业证书》。本公司</w:t>
      </w:r>
      <w:r>
        <w:rPr>
          <w:spacing w:val="-5"/>
        </w:rPr>
        <w:t> </w:t>
      </w:r>
      <w:r>
        <w:rPr>
          <w:spacing w:val="-5"/>
        </w:rPr>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40" w:lineRule="auto" w:before="125"/>
        <w:ind w:left="525" w:right="0"/>
        <w:jc w:val="left"/>
      </w:pPr>
      <w:r>
        <w:rPr/>
        <w:t>子公司：</w:t>
      </w:r>
    </w:p>
    <w:p>
      <w:pPr>
        <w:pStyle w:val="BodyText"/>
        <w:spacing w:line="256" w:lineRule="auto" w:before="157"/>
        <w:ind w:right="208" w:firstLine="372"/>
        <w:jc w:val="both"/>
      </w:pPr>
      <w:r>
        <w:rPr>
          <w:spacing w:val="-3"/>
          <w:w w:val="100"/>
        </w:rPr>
        <w:t>①子公司云网科技于</w:t>
      </w:r>
      <w:r>
        <w:rPr>
          <w:rFonts w:ascii="Times New Roman" w:hAnsi="Times New Roman" w:cs="Times New Roman" w:eastAsia="Times New Roman" w:hint="default"/>
          <w:spacing w:val="-3"/>
          <w:w w:val="100"/>
        </w:rPr>
        <w:t>2016</w:t>
      </w:r>
      <w:r>
        <w:rPr>
          <w:spacing w:val="-3"/>
          <w:w w:val="100"/>
        </w:rPr>
        <w:t>年</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spacing w:val="-3"/>
          <w:w w:val="100"/>
        </w:rPr>
        <w:t>30</w:t>
      </w:r>
      <w:r>
        <w:rPr>
          <w:spacing w:val="-3"/>
          <w:w w:val="100"/>
        </w:rPr>
        <w:t>日取得安徽省软件行业协会颁发的编号为皖</w:t>
      </w:r>
      <w:r>
        <w:rPr>
          <w:rFonts w:ascii="Times New Roman" w:hAnsi="Times New Roman" w:cs="Times New Roman" w:eastAsia="Times New Roman" w:hint="default"/>
          <w:spacing w:val="-3"/>
          <w:w w:val="100"/>
        </w:rPr>
        <w:t>RQ-2016-0045</w:t>
      </w:r>
      <w:r>
        <w:rPr>
          <w:spacing w:val="-3"/>
          <w:w w:val="100"/>
        </w:rPr>
        <w:t>的《软件企</w:t>
      </w:r>
      <w:r>
        <w:rPr>
          <w:w w:val="100"/>
        </w:rPr>
        <w:t> </w:t>
      </w:r>
      <w:r>
        <w:rPr/>
        <w:t>业认定证书》，自</w:t>
      </w:r>
      <w:r>
        <w:rPr>
          <w:rFonts w:ascii="Times New Roman" w:hAnsi="Times New Roman" w:cs="Times New Roman" w:eastAsia="Times New Roman" w:hint="default"/>
        </w:rPr>
        <w:t>2016</w:t>
      </w:r>
      <w:r>
        <w:rPr/>
        <w:t>年起享受</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2017</w:t>
      </w:r>
      <w:r>
        <w:rPr/>
        <w:t>年度系优惠期第二年，免征企业所得税。</w:t>
      </w:r>
    </w:p>
    <w:p>
      <w:pPr>
        <w:pStyle w:val="BodyText"/>
        <w:spacing w:line="256" w:lineRule="auto" w:before="125"/>
        <w:ind w:right="208" w:firstLine="372"/>
        <w:jc w:val="both"/>
      </w:pPr>
      <w:r>
        <w:rPr>
          <w:spacing w:val="-1"/>
        </w:rPr>
        <w:t>②子公司苏州国创</w:t>
      </w:r>
      <w:r>
        <w:rPr>
          <w:rFonts w:ascii="Times New Roman" w:hAnsi="Times New Roman" w:cs="Times New Roman" w:eastAsia="Times New Roman" w:hint="default"/>
          <w:spacing w:val="-1"/>
        </w:rPr>
        <w:t>2017</w:t>
      </w:r>
      <w:r>
        <w:rPr>
          <w:spacing w:val="-1"/>
        </w:rPr>
        <w:t>年度已通过高新技术企业复审，并于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月获得了江苏省科学技术厅、江</w:t>
      </w:r>
      <w:r>
        <w:rPr>
          <w:w w:val="100"/>
        </w:rPr>
        <w:t> </w:t>
      </w:r>
      <w:r>
        <w:rPr>
          <w:spacing w:val="-4"/>
        </w:rPr>
        <w:t>苏省财政厅、江苏省国家税务局、江苏省地方税务局联合颁发的编号</w:t>
      </w:r>
      <w:r>
        <w:rPr>
          <w:rFonts w:ascii="Times New Roman" w:hAnsi="Times New Roman" w:cs="Times New Roman" w:eastAsia="Times New Roman" w:hint="default"/>
          <w:spacing w:val="-4"/>
        </w:rPr>
        <w:t>GR201732000115</w:t>
      </w:r>
      <w:r>
        <w:rPr>
          <w:spacing w:val="-4"/>
        </w:rPr>
        <w:t>号《高新技术企业证</w:t>
      </w:r>
      <w:r>
        <w:rPr>
          <w:spacing w:val="-9"/>
        </w:rPr>
        <w:t> </w:t>
      </w:r>
      <w:r>
        <w:rPr>
          <w:spacing w:val="-9"/>
        </w:rPr>
      </w:r>
      <w:r>
        <w:rPr/>
        <w:t>书》。苏州国创</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206" w:firstLine="372"/>
        <w:jc w:val="both"/>
      </w:pPr>
      <w:r>
        <w:rPr>
          <w:spacing w:val="-3"/>
        </w:rPr>
        <w:t>③子公司慧通互联</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月获得了安徽省科学技术厅、安徽省财政厅、安徽省国家税务局、安徽省地</w:t>
      </w:r>
      <w:r>
        <w:rPr>
          <w:w w:val="100"/>
        </w:rPr>
        <w:t> </w:t>
      </w:r>
      <w:r>
        <w:rPr>
          <w:spacing w:val="-3"/>
        </w:rPr>
        <w:t>方税务局联合颁发的编号</w:t>
      </w:r>
      <w:r>
        <w:rPr>
          <w:rFonts w:ascii="Times New Roman" w:hAnsi="Times New Roman" w:cs="Times New Roman" w:eastAsia="Times New Roman" w:hint="default"/>
          <w:spacing w:val="-3"/>
        </w:rPr>
        <w:t>GR201734000654</w:t>
      </w:r>
      <w:r>
        <w:rPr>
          <w:spacing w:val="-3"/>
        </w:rPr>
        <w:t>号《高新技术企业证书》。慧通互联</w:t>
      </w:r>
      <w:r>
        <w:rPr>
          <w:rFonts w:ascii="Times New Roman" w:hAnsi="Times New Roman" w:cs="Times New Roman" w:eastAsia="Times New Roman" w:hint="default"/>
          <w:spacing w:val="-3"/>
        </w:rPr>
        <w:t>2017</w:t>
      </w:r>
      <w:r>
        <w:rPr>
          <w:spacing w:val="-3"/>
        </w:rPr>
        <w:t>年度至</w:t>
      </w:r>
      <w:r>
        <w:rPr>
          <w:rFonts w:ascii="Times New Roman" w:hAnsi="Times New Roman" w:cs="Times New Roman" w:eastAsia="Times New Roman" w:hint="default"/>
          <w:spacing w:val="-3"/>
        </w:rPr>
        <w:t>2019</w:t>
      </w:r>
      <w:r>
        <w:rPr>
          <w:spacing w:val="-3"/>
        </w:rPr>
        <w:t>年度，可享</w:t>
      </w:r>
      <w:r>
        <w:rPr>
          <w:spacing w:val="-49"/>
        </w:rPr>
        <w:t> </w:t>
      </w:r>
      <w:r>
        <w:rPr>
          <w:spacing w:val="-49"/>
        </w:rPr>
      </w:r>
      <w:r>
        <w:rPr/>
        <w:t>受高新技术企业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207" w:firstLine="372"/>
        <w:jc w:val="both"/>
      </w:pPr>
      <w:r>
        <w:rPr>
          <w:spacing w:val="-3"/>
        </w:rPr>
        <w:t>④子公司国创恒星</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月获得安徽省经济和信息化委员会颁发的皖</w:t>
      </w:r>
      <w:r>
        <w:rPr>
          <w:rFonts w:ascii="Times New Roman" w:hAnsi="Times New Roman" w:cs="Times New Roman" w:eastAsia="Times New Roman" w:hint="default"/>
          <w:spacing w:val="-3"/>
        </w:rPr>
        <w:t>R-2013-0315</w:t>
      </w:r>
      <w:r>
        <w:rPr>
          <w:spacing w:val="-3"/>
        </w:rPr>
        <w:t>号《软件企业认定</w:t>
      </w:r>
      <w:r>
        <w:rPr>
          <w:w w:val="100"/>
        </w:rPr>
        <w:t> </w:t>
      </w:r>
      <w:r>
        <w:rPr/>
        <w:t>证书》，根据国发〔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号《进一步鼓励软件产业和集成电路产业发展的若干政策》的规定，国创恒</w:t>
      </w:r>
      <w:r>
        <w:rPr>
          <w:spacing w:val="-28"/>
        </w:rPr>
        <w:t> </w:t>
      </w:r>
      <w:r>
        <w:rPr>
          <w:spacing w:val="-28"/>
        </w:rPr>
      </w:r>
      <w:r>
        <w:rPr/>
        <w:t>星自获利年度起，享受新办软件企业企业所得税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的优惠政策，国创恒星</w:t>
      </w:r>
      <w:r>
        <w:rPr>
          <w:rFonts w:ascii="Times New Roman" w:hAnsi="Times New Roman" w:cs="Times New Roman" w:eastAsia="Times New Roman" w:hint="default"/>
        </w:rPr>
        <w:t>2017</w:t>
      </w:r>
      <w:r>
        <w:rPr/>
        <w:t>年度执行</w:t>
      </w:r>
      <w:r>
        <w:rPr>
          <w:rFonts w:ascii="Times New Roman" w:hAnsi="Times New Roman" w:cs="Times New Roman" w:eastAsia="Times New Roman" w:hint="default"/>
        </w:rPr>
        <w:t>12.5%</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的企业所得税税率。</w:t>
      </w:r>
    </w:p>
    <w:p>
      <w:pPr>
        <w:pStyle w:val="Heading3"/>
        <w:spacing w:line="610" w:lineRule="atLeast" w:before="11"/>
        <w:ind w:right="7523"/>
        <w:jc w:val="left"/>
        <w:rPr>
          <w:b w:val="0"/>
          <w:bCs w:val="0"/>
        </w:rPr>
      </w:pPr>
      <w:r>
        <w:rPr>
          <w:rFonts w:ascii="Times New Roman" w:hAnsi="Times New Roman" w:cs="Times New Roman" w:eastAsia="Times New Roman" w:hint="default"/>
        </w:rPr>
        <w:t>3</w:t>
      </w:r>
      <w:r>
        <w:rPr/>
        <w:t>、其他</w:t>
      </w:r>
      <w:r>
        <w:rPr>
          <w:spacing w:val="-49"/>
        </w:rPr>
        <w:t> </w:t>
      </w:r>
      <w:r>
        <w:rPr/>
        <w:t>境外公司主要税种及税率</w:t>
      </w:r>
      <w:r>
        <w:rPr>
          <w:b w:val="0"/>
          <w:bCs w:val="0"/>
        </w:rPr>
      </w:r>
    </w:p>
    <w:p>
      <w:pPr>
        <w:pStyle w:val="BodyText"/>
        <w:spacing w:line="240" w:lineRule="auto" w:before="133"/>
        <w:ind w:left="580" w:right="0"/>
        <w:jc w:val="left"/>
      </w:pPr>
      <w:r>
        <w:rPr/>
        <w:t>日本国创于</w:t>
      </w:r>
      <w:r>
        <w:rPr>
          <w:rFonts w:ascii="Times New Roman" w:hAnsi="Times New Roman" w:cs="Times New Roman" w:eastAsia="Times New Roman" w:hint="default"/>
        </w:rPr>
        <w:t>2015</w:t>
      </w:r>
      <w:r>
        <w:rPr/>
        <w:t>年注册于日本东京，报告期内主要税种、税率如下：</w:t>
      </w:r>
    </w:p>
    <w:p>
      <w:pPr>
        <w:spacing w:line="240" w:lineRule="auto" w:before="5"/>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365"/>
        <w:gridCol w:w="2031"/>
        <w:gridCol w:w="2693"/>
        <w:gridCol w:w="2093"/>
      </w:tblGrid>
      <w:tr>
        <w:trPr>
          <w:trHeight w:val="346"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8%</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8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bl>
    <w:p>
      <w:pPr>
        <w:spacing w:line="240" w:lineRule="auto" w:before="8"/>
        <w:rPr>
          <w:rFonts w:ascii="宋体" w:hAnsi="宋体" w:cs="宋体" w:eastAsia="宋体" w:hint="default"/>
          <w:sz w:val="5"/>
          <w:szCs w:val="5"/>
        </w:rPr>
      </w:pPr>
    </w:p>
    <w:p>
      <w:pPr>
        <w:pStyle w:val="BodyText"/>
        <w:spacing w:line="256" w:lineRule="auto" w:before="36"/>
        <w:ind w:right="195"/>
        <w:jc w:val="left"/>
      </w:pPr>
      <w:r>
        <w:rPr/>
        <w:t>注</w:t>
      </w:r>
      <w:r>
        <w:rPr>
          <w:spacing w:val="6"/>
        </w:rPr>
        <w:t> </w:t>
      </w:r>
      <w:r>
        <w:rPr>
          <w:rFonts w:ascii="Times New Roman" w:hAnsi="Times New Roman" w:cs="Times New Roman" w:eastAsia="Times New Roman" w:hint="default"/>
        </w:rPr>
        <w:t>1</w:t>
      </w:r>
      <w:r>
        <w:rPr/>
        <w:t>：消费税是对商品和劳务的增值额课征的一种税，征收实行单一比例税率，税率为</w:t>
      </w:r>
      <w:r>
        <w:rPr>
          <w:spacing w:val="7"/>
        </w:rPr>
        <w:t> </w:t>
      </w:r>
      <w:r>
        <w:rPr>
          <w:rFonts w:ascii="Times New Roman" w:hAnsi="Times New Roman" w:cs="Times New Roman" w:eastAsia="Times New Roman" w:hint="default"/>
        </w:rPr>
        <w:t>8%</w:t>
      </w:r>
      <w:r>
        <w:rPr/>
        <w:t>，以纳税人的</w:t>
      </w:r>
      <w:r>
        <w:rPr>
          <w:spacing w:val="-103"/>
        </w:rPr>
        <w:t> </w:t>
      </w:r>
      <w:r>
        <w:rPr/>
        <w:t>总销货额与总进货额的差额为计税依据，类似于国内的增值税。</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101,857.79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492,357,548.99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522,817,474.60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15,321,236.99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7,483,257.35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507,759,919.19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530,402,589.74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5,713,518.75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9,301,096.94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其他货币资金期末余额主要系本公司为开具银行保函和银行承兑汇票存入的保证金。除此之外，货币资金</w:t>
      </w:r>
      <w:r>
        <w:rPr>
          <w:spacing w:val="-44"/>
        </w:rPr>
        <w:t> </w:t>
      </w:r>
      <w:r>
        <w:rPr>
          <w:spacing w:val="-44"/>
        </w:rPr>
      </w:r>
      <w:r>
        <w:rPr/>
        <w:t>期末余额中无其他因抵押或冻结等对使用有限制、有潜在回收风险的款项。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2,099,999.16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2,218,237.00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4,318,236.16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应收票据期末余额较期初余额增长</w:t>
      </w:r>
      <w:r>
        <w:rPr>
          <w:rFonts w:ascii="Times New Roman" w:hAnsi="Times New Roman" w:cs="Times New Roman" w:eastAsia="Times New Roman" w:hint="default"/>
        </w:rPr>
        <w:t>139.90%</w:t>
      </w:r>
      <w:r>
        <w:rPr/>
        <w:t>，主要系期末收到未到期票据较上期增长所致。</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401,078,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585.52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29,697,7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371,380,7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299,964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,191.54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20,516,42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279,447,76</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2.62</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401,078,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585.52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29,697,7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92.38</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371,380,7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299,964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,191.54</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20,516,42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8.92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279,447,76</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2.62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9"/>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315,009,403.08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15,750,470.15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67,545,416.14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6,754,541.62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10,757,968.97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3,227,390.69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7,503,473.83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3,751,736.92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243,352.50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401,078,585.52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29,697,792.38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347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9,181,363.46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46" w:type="dxa"/>
        <w:tblLayout w:type="fixed"/>
        <w:tblCellMar>
          <w:top w:w="0" w:type="dxa"/>
          <w:left w:w="0" w:type="dxa"/>
          <w:bottom w:w="0" w:type="dxa"/>
          <w:right w:w="0" w:type="dxa"/>
        </w:tblCellMar>
        <w:tblLook w:val="01E0"/>
      </w:tblPr>
      <w:tblGrid>
        <w:gridCol w:w="3651"/>
        <w:gridCol w:w="1988"/>
        <w:gridCol w:w="2127"/>
        <w:gridCol w:w="1524"/>
      </w:tblGrid>
      <w:tr>
        <w:trPr>
          <w:trHeight w:val="662" w:hRule="exact"/>
        </w:trPr>
        <w:tc>
          <w:tcPr>
            <w:tcW w:w="36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right="1392"/>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98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251" w:right="0"/>
              <w:jc w:val="left"/>
              <w:rPr>
                <w:rFonts w:ascii="宋体" w:hAnsi="宋体" w:cs="宋体" w:eastAsia="宋体" w:hint="default"/>
                <w:sz w:val="21"/>
                <w:szCs w:val="21"/>
              </w:rPr>
            </w:pPr>
            <w:r>
              <w:rPr>
                <w:rFonts w:ascii="宋体" w:hAnsi="宋体" w:cs="宋体" w:eastAsia="宋体" w:hint="default"/>
                <w:sz w:val="21"/>
                <w:szCs w:val="21"/>
              </w:rPr>
              <w:t>期末余额（元）</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before="2"/>
              <w:ind w:left="232" w:right="3" w:hanging="228"/>
              <w:jc w:val="left"/>
              <w:rPr>
                <w:rFonts w:ascii="宋体" w:hAnsi="宋体" w:cs="宋体" w:eastAsia="宋体" w:hint="default"/>
                <w:sz w:val="21"/>
                <w:szCs w:val="21"/>
              </w:rPr>
            </w:pPr>
            <w:r>
              <w:rPr>
                <w:rFonts w:ascii="宋体" w:hAnsi="宋体" w:cs="宋体" w:eastAsia="宋体" w:hint="default"/>
                <w:sz w:val="21"/>
                <w:szCs w:val="21"/>
              </w:rPr>
              <w:t>占应收账款期末余额合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4" w:type="dxa"/>
            <w:tcBorders>
              <w:top w:val="single" w:sz="6" w:space="0" w:color="000000"/>
              <w:left w:val="single" w:sz="6" w:space="0" w:color="000000"/>
              <w:bottom w:val="single" w:sz="8" w:space="0" w:color="000000"/>
              <w:right w:val="nil" w:sz="6" w:space="0" w:color="auto"/>
            </w:tcBorders>
          </w:tcPr>
          <w:p>
            <w:pPr>
              <w:pStyle w:val="TableParagraph"/>
              <w:spacing w:line="273" w:lineRule="auto" w:before="2"/>
              <w:ind w:left="336" w:right="22" w:hanging="317"/>
              <w:jc w:val="left"/>
              <w:rPr>
                <w:rFonts w:ascii="宋体" w:hAnsi="宋体" w:cs="宋体" w:eastAsia="宋体" w:hint="default"/>
                <w:sz w:val="21"/>
                <w:szCs w:val="21"/>
              </w:rPr>
            </w:pPr>
            <w:r>
              <w:rPr>
                <w:rFonts w:ascii="宋体" w:hAnsi="宋体" w:cs="宋体" w:eastAsia="宋体" w:hint="default"/>
                <w:sz w:val="21"/>
                <w:szCs w:val="21"/>
              </w:rPr>
              <w:t>期末坏账准备余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额（元）</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24,644,146.00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6.14</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1,232,207.30</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20,242,397.85</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5.05</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1,012,119.89</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13,500,152.00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3.36</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675,007.60</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12,509,770.00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3.12</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781,738.50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11,981,633.99</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2.99</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599,081.70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tabs>
                <w:tab w:pos="547" w:val="left" w:leader="none"/>
              </w:tabs>
              <w:spacing w:line="270" w:lineRule="exact"/>
              <w:ind w:right="143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82,878,099.84</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20.66</w:t>
            </w:r>
          </w:p>
        </w:tc>
        <w:tc>
          <w:tcPr>
            <w:tcW w:w="15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4,300,154.99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3"/>
        <w:spacing w:line="335" w:lineRule="exact"/>
        <w:ind w:right="0"/>
        <w:jc w:val="both"/>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6"/>
        <w:ind w:right="146"/>
        <w:jc w:val="both"/>
      </w:pPr>
      <w:r>
        <w:rPr>
          <w:spacing w:val="-3"/>
        </w:rPr>
        <w:t>应收账款期末账面价值较期初账面价值增长</w:t>
      </w:r>
      <w:r>
        <w:rPr>
          <w:rFonts w:ascii="Times New Roman" w:hAnsi="Times New Roman" w:cs="Times New Roman" w:eastAsia="Times New Roman" w:hint="default"/>
          <w:spacing w:val="-3"/>
        </w:rPr>
        <w:t>32.90%</w:t>
      </w:r>
      <w:r>
        <w:rPr>
          <w:spacing w:val="-3"/>
        </w:rPr>
        <w:t>，主要系营业收入增长，以及部分应收账款未到合同付</w:t>
      </w:r>
      <w:r>
        <w:rPr>
          <w:spacing w:val="-6"/>
        </w:rPr>
        <w:t> </w:t>
      </w:r>
      <w:r>
        <w:rPr>
          <w:spacing w:val="-6"/>
        </w:rPr>
      </w:r>
      <w:r>
        <w:rPr>
          <w:spacing w:val="-2"/>
        </w:rPr>
        <w:t>款期所致，同时公司客户主要为国有大中型企业以及政府部门、事业单位，该等客户执行严格预算管理制</w:t>
      </w:r>
      <w:r>
        <w:rPr>
          <w:spacing w:val="-43"/>
        </w:rPr>
        <w:t> </w:t>
      </w:r>
      <w:r>
        <w:rPr>
          <w:spacing w:val="-43"/>
        </w:rPr>
      </w:r>
      <w:r>
        <w:rPr/>
        <w:t>度，其资金拨付的审批流程较长对应收账款的增长也有一定影响。</w:t>
      </w:r>
    </w:p>
    <w:p>
      <w:pPr>
        <w:spacing w:line="240" w:lineRule="auto" w:before="1"/>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11,102,387.01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4,133,507.98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93.47%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794,015.23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158,710.93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130,238.00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12,115,996.24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4,422,456.91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3949"/>
        <w:gridCol w:w="2823"/>
        <w:gridCol w:w="2518"/>
      </w:tblGrid>
      <w:tr>
        <w:trPr>
          <w:trHeight w:val="660" w:hRule="exact"/>
        </w:trPr>
        <w:tc>
          <w:tcPr>
            <w:tcW w:w="394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1541"/>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282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667" w:right="0"/>
              <w:jc w:val="left"/>
              <w:rPr>
                <w:rFonts w:ascii="宋体" w:hAnsi="宋体" w:cs="宋体" w:eastAsia="宋体" w:hint="default"/>
                <w:sz w:val="21"/>
                <w:szCs w:val="21"/>
              </w:rPr>
            </w:pPr>
            <w:r>
              <w:rPr>
                <w:rFonts w:ascii="宋体" w:hAnsi="宋体" w:cs="宋体" w:eastAsia="宋体" w:hint="default"/>
                <w:sz w:val="21"/>
                <w:szCs w:val="21"/>
              </w:rPr>
              <w:t>期末余额（元）</w:t>
            </w:r>
          </w:p>
        </w:tc>
        <w:tc>
          <w:tcPr>
            <w:tcW w:w="2518"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321" w:right="310" w:hanging="17"/>
              <w:jc w:val="left"/>
              <w:rPr>
                <w:rFonts w:ascii="宋体" w:hAnsi="宋体" w:cs="宋体" w:eastAsia="宋体" w:hint="default"/>
                <w:sz w:val="21"/>
                <w:szCs w:val="21"/>
              </w:rPr>
            </w:pPr>
            <w:r>
              <w:rPr>
                <w:rFonts w:ascii="宋体" w:hAnsi="宋体" w:cs="宋体" w:eastAsia="宋体" w:hint="default"/>
                <w:spacing w:val="-1"/>
                <w:sz w:val="21"/>
                <w:szCs w:val="21"/>
              </w:rPr>
              <w:t>占预付账款期末余额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3,379,577.37</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27.89</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1,260,492.73</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z w:val="21"/>
              </w:rPr>
              <w:t>10.40</w:t>
            </w:r>
          </w:p>
        </w:tc>
      </w:tr>
      <w:tr>
        <w:trPr>
          <w:trHeight w:val="346"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644,451.25</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z w:val="21"/>
              </w:rPr>
              <w:t>5.32</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591,800.00</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4.89</w:t>
            </w:r>
          </w:p>
        </w:tc>
      </w:tr>
      <w:tr>
        <w:trPr>
          <w:trHeight w:val="346"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572,320.98</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z w:val="21"/>
              </w:rPr>
              <w:t>4.72</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tabs>
                <w:tab w:pos="547" w:val="left" w:leader="none"/>
              </w:tabs>
              <w:spacing w:line="272" w:lineRule="exact"/>
              <w:ind w:right="158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6,448,642.33</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53.22</w:t>
            </w:r>
          </w:p>
        </w:tc>
      </w:tr>
    </w:tbl>
    <w:p>
      <w:pPr>
        <w:spacing w:line="240" w:lineRule="auto" w:before="4"/>
        <w:rPr>
          <w:rFonts w:ascii="Microsoft JhengHei" w:hAnsi="Microsoft JhengHei" w:cs="Microsoft JhengHei" w:eastAsia="Microsoft JhengHei" w:hint="default"/>
          <w:b/>
          <w:bCs/>
          <w:sz w:val="18"/>
          <w:szCs w:val="1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71"/>
        <w:ind w:right="0"/>
        <w:jc w:val="left"/>
        <w:rPr>
          <w:sz w:val="24"/>
          <w:szCs w:val="24"/>
        </w:rPr>
      </w:pPr>
      <w:r>
        <w:rPr/>
        <w:t>预付款项期末余额较期初余额增长</w:t>
      </w:r>
      <w:r>
        <w:rPr>
          <w:rFonts w:ascii="Times New Roman" w:hAnsi="Times New Roman" w:cs="Times New Roman" w:eastAsia="Times New Roman" w:hint="default"/>
        </w:rPr>
        <w:t>173.97%</w:t>
      </w:r>
      <w:r>
        <w:rPr/>
        <w:t>，主要系预付供应商货款增加所致</w:t>
      </w:r>
      <w:r>
        <w:rPr>
          <w:sz w:val="24"/>
          <w:szCs w:val="24"/>
        </w:rPr>
        <w:t>。</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44,705,3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3,838,53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40,866,79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38,582,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558.48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36,100,057.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44,705,3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3,838,53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40,866,79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3" w:right="0"/>
              <w:jc w:val="left"/>
              <w:rPr>
                <w:rFonts w:ascii="Times New Roman" w:hAnsi="Times New Roman" w:cs="Times New Roman" w:eastAsia="Times New Roman" w:hint="default"/>
                <w:sz w:val="18"/>
                <w:szCs w:val="18"/>
              </w:rPr>
            </w:pPr>
            <w:r>
              <w:rPr>
                <w:rFonts w:ascii="Times New Roman"/>
                <w:sz w:val="18"/>
              </w:rPr>
              <w:t>38,582,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558.48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2,482,500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36,100,057.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25,745,547.21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1,287,277.35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16,915,744.29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1,691,574.43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1,248,977.49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374,693.25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620,134.80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310,067.40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174,926.70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174,926.70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44,705,330.49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3,838,539.13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7"/>
        <w:rPr>
          <w:rFonts w:ascii="宋体" w:hAnsi="宋体" w:cs="宋体" w:eastAsia="宋体" w:hint="default"/>
          <w:sz w:val="25"/>
          <w:szCs w:val="25"/>
        </w:rPr>
      </w:pPr>
    </w:p>
    <w:p>
      <w:pPr>
        <w:spacing w:line="362" w:lineRule="auto" w:before="44"/>
        <w:ind w:left="153" w:right="527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3"/>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line="340" w:lineRule="auto" w:before="44"/>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1,356,038.21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60" w:space="237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33,782,054.37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31,707,078.49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10,923,276.12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6,875,479.99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44,705,330.49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38,582,558.48</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3,157,385.00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216,509.25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1,313,469.60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65,673.48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1,232,207.00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61,610.35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19,765,961.60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1,646,938.08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7"/>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653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152,474,637.47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152,474,637.47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39,904,234.05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39,904,234.05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150,581.34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150,581.34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152,625,218.81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152,625,218.81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39,904,234.05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39,904,234.05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w:t>
      </w:r>
    </w:p>
    <w:p>
      <w:pPr>
        <w:spacing w:before="10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right="0"/>
        <w:jc w:val="left"/>
      </w:pPr>
      <w:r>
        <w:rPr/>
        <w:t>存货期末余额较期初余额增长</w:t>
      </w:r>
      <w:r>
        <w:rPr>
          <w:rFonts w:ascii="Times New Roman" w:hAnsi="Times New Roman" w:cs="Times New Roman" w:eastAsia="Times New Roman" w:hint="default"/>
        </w:rPr>
        <w:t>282.48%</w:t>
      </w:r>
      <w:r>
        <w:rPr/>
        <w:t>，主要是由于本期正在实施的</w:t>
      </w:r>
      <w:r>
        <w:rPr>
          <w:rFonts w:ascii="Times New Roman" w:hAnsi="Times New Roman" w:cs="Times New Roman" w:eastAsia="Times New Roman" w:hint="default"/>
        </w:rPr>
        <w:t>IT</w:t>
      </w:r>
      <w:r>
        <w:rPr/>
        <w:t>解决方案业务增加较大。</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11,140,958.39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2,593,289.50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9,507,517.47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354,070.56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956,936.44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21,605,412.30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32,947,360.06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right="0"/>
        <w:jc w:val="left"/>
      </w:pPr>
      <w:r>
        <w:rPr/>
        <w:t>其他流动资产期末余额较期初余额下降</w:t>
      </w:r>
      <w:r>
        <w:rPr>
          <w:rFonts w:ascii="Times New Roman" w:hAnsi="Times New Roman" w:cs="Times New Roman" w:eastAsia="Times New Roman" w:hint="default"/>
        </w:rPr>
        <w:t>34.42%</w:t>
      </w:r>
      <w:r>
        <w:rPr/>
        <w:t>，主要系上期理财产品到期所致。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5"/>
        <w:gridCol w:w="1249"/>
        <w:gridCol w:w="1368"/>
        <w:gridCol w:w="1368"/>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2"/>
        <w:gridCol w:w="869"/>
        <w:gridCol w:w="871"/>
        <w:gridCol w:w="869"/>
        <w:gridCol w:w="871"/>
        <w:gridCol w:w="869"/>
        <w:gridCol w:w="872"/>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中电科</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（上海） 公共设施 运营管理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4,372,358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186,398.1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186,398.1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29,259,409.26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408,870.09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3,090,537.02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21,717,284.42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54,476,100.79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240,598.42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789,705.12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3,181,198.17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4,211,501.71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240,598.42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789,705.12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3,181,198.17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4,211,501.71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376,661.54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376,661.54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29,259,409.26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649,468.51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3,648,642.14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24,753,421.05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58,310,940.96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2,650,334.68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109,016.78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2,023,841.23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10,784,863.76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15,568,056.45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946,525.81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77,206.48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424,377.60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3,666,418.66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5,114,528.55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946,525.81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77,206.48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424,377.60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3,666,418.66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5,114,528.55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220,020.00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220,020.00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3,596,860.49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186,223.26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2,228,198.83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14,451,282.42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20,462,565.00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25,662,548.77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1,420,443.31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10,302,138.63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37,848,375.96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26,609,074.58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299,853.31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1,066,695.79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10,932,420.66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38,908,044.34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软件研发生产楼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79,790,335.43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79,790,335.43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47,711,713.22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47,711,713.22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西安营销服务中 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6,540,930.47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6,540,930.47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重庆营销服务中 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4,444,789.62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4,444,789.62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90,776,055.52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47,711,713.22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47,711,713.22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软件研 发生产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47,711,7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32,078,6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79,790,3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39.31%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47,711,7</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13.22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32,078,6</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22.21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79,790,3</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483,875.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216,718.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right="0"/>
        <w:jc w:val="left"/>
      </w:pPr>
      <w:r>
        <w:rPr/>
        <w:t>在建工程期末余额较期初余额增长</w:t>
      </w:r>
      <w:r>
        <w:rPr>
          <w:rFonts w:ascii="Times New Roman" w:hAnsi="Times New Roman" w:cs="Times New Roman" w:eastAsia="Times New Roman" w:hint="default"/>
        </w:rPr>
        <w:t>90.26%</w:t>
      </w:r>
      <w:r>
        <w:rPr/>
        <w:t>，主要系本期软件研发生产楼投入以及营销服务网络建设所致。</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7,646,833.47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3,525,299.14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11,172,132.61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1,934,369.05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1,934,369.05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792,743.12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792,743.12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1,141,625.93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1,141,625.93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7,646,833.47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5,459,668.19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13,106,501.66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611,746.71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2,173,498.56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2,785,245.27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162,124.70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697,173.73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859,298.43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162,124.70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697,173.73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859,298.43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773,871.41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2,870,672.29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3,644,543.70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6,872,962.06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2,588,995.90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9,461,957.96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7,035,086.76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1,351,800.58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8,386,887.34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12.07%</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3190"/>
        <w:gridCol w:w="3188"/>
        <w:gridCol w:w="1064"/>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2" w:lineRule="auto" w:before="49"/>
        <w:ind w:left="153" w:right="5093"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107,911.19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315,289.39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90,639.93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332,560.65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315,289.39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90,639.93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332,560.65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33,262,515.81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5,012,340.96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22,738,947.03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3,423,828.71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23,528,705.23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3,529,305.78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6,841,953.76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855,244.22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1,315,372.50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9,908,243.34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1,486,236.50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21,608,771.48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3,618,652.77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65,560,371.05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9,857,019.24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61,097,915.61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9,383,962.20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1,896,843.36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261,262.90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1,690,527.26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305,348.08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1,896,843.36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261,262.90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1,690,527.26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305,348.08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9,857,019.24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9,383,962.20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261,262.90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305,348.08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9,724,337.73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13,092,863.43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273,815.70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259,982.81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9,998,153.43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13,352,846.24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10,365.30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4,089,842.77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4,089,842.77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805,750.43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8,992,655.36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4,818,379.23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9,724,337.73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13,092,863.43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预付工程款及设备款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139,744.00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其他非流动资产期末余额较期初余额下降</w:t>
      </w:r>
      <w:r>
        <w:rPr>
          <w:rFonts w:ascii="Times New Roman" w:hAnsi="Times New Roman" w:cs="Times New Roman" w:eastAsia="Times New Roman" w:hint="default"/>
        </w:rPr>
        <w:t>100.00%</w:t>
      </w:r>
      <w:r>
        <w:rPr/>
        <w:t>，主要系按进度结算转入在建工程所致。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right="0"/>
        <w:jc w:val="left"/>
      </w:pPr>
      <w:r>
        <w:rPr/>
        <w:t>短期借款期末余额较期初余额增长较大，主要系因资金周转需要增加借款所致。</w:t>
      </w:r>
    </w:p>
    <w:p>
      <w:pPr>
        <w:spacing w:after="0" w:line="240"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48,763,642.53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17,898,416.23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48,763,642.53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17,898,416.23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130,861,543.78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77,502,058.41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25,125,009.05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25,227,054.92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155,986,552.83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102,729,113.33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56" w:lineRule="auto"/>
        <w:ind w:right="0"/>
        <w:jc w:val="left"/>
      </w:pPr>
      <w:r>
        <w:rPr>
          <w:spacing w:val="-3"/>
        </w:rPr>
        <w:t>（</w:t>
      </w:r>
      <w:r>
        <w:rPr>
          <w:rFonts w:ascii="Times New Roman" w:hAnsi="Times New Roman" w:cs="Times New Roman" w:eastAsia="Times New Roman" w:hint="default"/>
          <w:spacing w:val="-3"/>
        </w:rPr>
        <w:t>1</w:t>
      </w:r>
      <w:r>
        <w:rPr>
          <w:spacing w:val="-3"/>
        </w:rPr>
        <w:t>）应付账款期末余额中账龄超过一年的应付账款金额为</w:t>
      </w:r>
      <w:r>
        <w:rPr>
          <w:rFonts w:ascii="Times New Roman" w:hAnsi="Times New Roman" w:cs="Times New Roman" w:eastAsia="Times New Roman" w:hint="default"/>
          <w:spacing w:val="-3"/>
        </w:rPr>
        <w:t>16,637,506.78</w:t>
      </w:r>
      <w:r>
        <w:rPr>
          <w:spacing w:val="-3"/>
        </w:rPr>
        <w:t>元，主要系部分供应商的货款尚未</w:t>
      </w:r>
      <w:r>
        <w:rPr>
          <w:spacing w:val="-27"/>
        </w:rPr>
        <w:t> </w:t>
      </w:r>
      <w:r>
        <w:rPr>
          <w:spacing w:val="-27"/>
        </w:rPr>
      </w:r>
      <w:r>
        <w:rPr/>
        <w:t>达到结算条件所致。</w:t>
      </w:r>
    </w:p>
    <w:p>
      <w:pPr>
        <w:pStyle w:val="BodyText"/>
        <w:spacing w:line="256" w:lineRule="auto" w:before="142"/>
        <w:ind w:right="0"/>
        <w:jc w:val="left"/>
      </w:pPr>
      <w:r>
        <w:rPr/>
        <w:t>（</w:t>
      </w:r>
      <w:r>
        <w:rPr>
          <w:rFonts w:ascii="Times New Roman" w:hAnsi="Times New Roman" w:cs="Times New Roman" w:eastAsia="Times New Roman" w:hint="default"/>
        </w:rPr>
        <w:t>2</w:t>
      </w:r>
      <w:r>
        <w:rPr/>
        <w:t>）应付账款期末余额较期初余额增长</w:t>
      </w:r>
      <w:r>
        <w:rPr>
          <w:rFonts w:ascii="Times New Roman" w:hAnsi="Times New Roman" w:cs="Times New Roman" w:eastAsia="Times New Roman" w:hint="default"/>
        </w:rPr>
        <w:t>51.84%</w:t>
      </w:r>
      <w:r>
        <w:rPr/>
        <w:t>，主要系随着公司业务规模的增长，采购金额增加较大，</w:t>
      </w:r>
      <w:r>
        <w:rPr>
          <w:spacing w:val="-42"/>
        </w:rPr>
        <w:t> </w:t>
      </w:r>
      <w:r>
        <w:rPr>
          <w:spacing w:val="-42"/>
        </w:rPr>
      </w:r>
      <w:r>
        <w:rPr/>
        <w:t>相应尚未达到结算条件的货款增加较大所致。</w:t>
      </w:r>
    </w:p>
    <w:p>
      <w:pPr>
        <w:spacing w:after="0" w:line="256"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50,540,224.73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10,797,797.66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50,540,224.73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10,797,797.66</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59" w:lineRule="auto"/>
        <w:ind w:right="0"/>
        <w:jc w:val="left"/>
      </w:pPr>
      <w:r>
        <w:rPr>
          <w:spacing w:val="-1"/>
        </w:rPr>
        <w:t>（</w:t>
      </w:r>
      <w:r>
        <w:rPr>
          <w:rFonts w:ascii="Times New Roman" w:hAnsi="Times New Roman" w:cs="Times New Roman" w:eastAsia="Times New Roman" w:hint="default"/>
          <w:spacing w:val="-1"/>
        </w:rPr>
        <w:t>1</w:t>
      </w:r>
      <w:r>
        <w:rPr>
          <w:spacing w:val="-1"/>
        </w:rPr>
        <w:t>）预收账款期末余额中账龄超过一年的预收账款金额为</w:t>
      </w:r>
      <w:r>
        <w:rPr>
          <w:rFonts w:ascii="Times New Roman" w:hAnsi="Times New Roman" w:cs="Times New Roman" w:eastAsia="Times New Roman" w:hint="default"/>
          <w:spacing w:val="-1"/>
        </w:rPr>
        <w:t>2,007,770.00</w:t>
      </w:r>
      <w:r>
        <w:rPr>
          <w:spacing w:val="-1"/>
        </w:rPr>
        <w:t>元，主要系部分项目尚未达到收入</w:t>
      </w:r>
      <w:r>
        <w:rPr>
          <w:spacing w:val="-26"/>
        </w:rPr>
        <w:t> </w:t>
      </w:r>
      <w:r>
        <w:rPr>
          <w:spacing w:val="-26"/>
        </w:rPr>
      </w:r>
      <w:r>
        <w:rPr/>
        <w:t>确认条件所致。</w:t>
      </w:r>
    </w:p>
    <w:p>
      <w:pPr>
        <w:pStyle w:val="BodyText"/>
        <w:spacing w:line="256" w:lineRule="auto" w:before="140"/>
        <w:ind w:right="0"/>
        <w:jc w:val="left"/>
        <w:rPr>
          <w:rFonts w:ascii="宋体" w:hAnsi="宋体" w:cs="宋体" w:eastAsia="宋体" w:hint="default"/>
        </w:rPr>
      </w:pPr>
      <w:r>
        <w:rPr/>
        <w:t>（</w:t>
      </w:r>
      <w:r>
        <w:rPr>
          <w:rFonts w:ascii="Times New Roman" w:hAnsi="Times New Roman" w:cs="Times New Roman" w:eastAsia="Times New Roman" w:hint="default"/>
        </w:rPr>
        <w:t>2</w:t>
      </w:r>
      <w:r>
        <w:rPr/>
        <w:t>）预收账款期末余额较期初余额增长较大，主要系本期收到尚未完工的</w:t>
      </w:r>
      <w:r>
        <w:rPr>
          <w:rFonts w:ascii="宋体" w:hAnsi="宋体" w:cs="宋体" w:eastAsia="宋体" w:hint="default"/>
        </w:rPr>
        <w:t>IT</w:t>
      </w:r>
      <w:r>
        <w:rPr/>
        <w:t>解决方案业务的货款增长所</w:t>
      </w:r>
      <w:r>
        <w:rPr>
          <w:spacing w:val="-23"/>
        </w:rPr>
        <w:t> </w:t>
      </w:r>
      <w:r>
        <w:rPr>
          <w:spacing w:val="-23"/>
        </w:rPr>
      </w:r>
      <w:r>
        <w:rPr/>
        <w:t>致。</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19,610,704.13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255,634,506.66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253,771,872.61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21,473,338.18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17,896,167.69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17,896,167.69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19,610,704.13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273,530,674.35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271,668,040.30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21,473,338.18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19,610,704.13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228,434,070.34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226,571,436.29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21,473,338.18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9,592,971.96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9,592,971.96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8,948,243.05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8,948,243.05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8,205,797.24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8,205,797.24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359,988.89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382,456.92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382,456.92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6,750,729.29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6,750,729.29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1,908,492.02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1,908,492.02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19,610,704.13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255,634,506.66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253,771,872.61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21,473,338.18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17,293,827.78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17,293,827.78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602,339.91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602,339.91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17,896,167.69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17,896,167.69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3,643,792.63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7,126,928.95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978,994.46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10,042,634.75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2,167,310.03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4,239,250.80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6,790,097.12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21,408,814.50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7"/>
        <w:ind w:right="0"/>
        <w:jc w:val="left"/>
      </w:pPr>
      <w:r>
        <w:rPr/>
        <w:t>应交税费期末余额较期初余额下降</w:t>
      </w:r>
      <w:r>
        <w:rPr>
          <w:rFonts w:ascii="Times New Roman" w:hAnsi="Times New Roman" w:cs="Times New Roman" w:eastAsia="Times New Roman" w:hint="default"/>
        </w:rPr>
        <w:t>68.28%</w:t>
      </w:r>
      <w:r>
        <w:rPr/>
        <w:t>，主要系应交企业所得税下降较大所致。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204,208.34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204,208.34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227,761,224.24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135,618,308.51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976,795.14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824,309.96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限制性股票激励对象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230,458,019.38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319,781,368.47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应付科研合作款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83,333.27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800"/>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line="360" w:lineRule="auto" w:before="49"/>
        <w:ind w:left="153" w:right="7613"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line="360"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4" w:space="4175"/>
            <w:col w:w="1121"/>
          </w:cols>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4"/>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3" w:right="6533"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3" w:right="257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9,908,243.34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1,139,093.33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9,908,243.34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1,139,093.33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4"/>
        <w:gridCol w:w="1063"/>
        <w:gridCol w:w="1064"/>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77"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省战略性新 兴产业发展 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3,633,333.34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7"/>
              <w:jc w:val="left"/>
              <w:rPr>
                <w:rFonts w:ascii="宋体" w:hAnsi="宋体" w:cs="宋体" w:eastAsia="宋体" w:hint="default"/>
                <w:sz w:val="18"/>
                <w:szCs w:val="18"/>
              </w:rPr>
            </w:pPr>
            <w:r>
              <w:rPr>
                <w:rFonts w:ascii="宋体" w:hAnsi="宋体" w:cs="宋体" w:eastAsia="宋体" w:hint="default"/>
                <w:sz w:val="18"/>
                <w:szCs w:val="18"/>
              </w:rPr>
              <w:t>国家服务业 发展资金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安徽省创新 型省份建设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750,355.00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191,580.00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7"/>
              <w:jc w:val="left"/>
              <w:rPr>
                <w:rFonts w:ascii="宋体" w:hAnsi="宋体" w:cs="宋体" w:eastAsia="宋体" w:hint="default"/>
                <w:sz w:val="18"/>
                <w:szCs w:val="18"/>
              </w:rPr>
            </w:pPr>
            <w:r>
              <w:rPr>
                <w:rFonts w:ascii="宋体" w:hAnsi="宋体" w:cs="宋体" w:eastAsia="宋体" w:hint="default"/>
                <w:sz w:val="18"/>
                <w:szCs w:val="18"/>
              </w:rPr>
              <w:t>自主创新专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742,205.00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191,580.00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550,625.00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促进服务业 发展政策资 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7"/>
              <w:jc w:val="left"/>
              <w:rPr>
                <w:rFonts w:ascii="宋体" w:hAnsi="宋体" w:cs="宋体" w:eastAsia="宋体" w:hint="default"/>
                <w:sz w:val="18"/>
                <w:szCs w:val="18"/>
              </w:rPr>
            </w:pPr>
            <w:r>
              <w:rPr>
                <w:rFonts w:ascii="宋体" w:hAnsi="宋体" w:cs="宋体" w:eastAsia="宋体" w:hint="default"/>
                <w:sz w:val="18"/>
                <w:szCs w:val="18"/>
              </w:rPr>
              <w:t>省企业发展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安徽省支持 自主创新能 力建设资金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582,350.00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459,750.00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9,908,243.34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1,139,093.33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96,075,000.00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115,290,000.00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-8,965,000.00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106,325,000.00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202,400,000.00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56" w:lineRule="auto"/>
        <w:ind w:right="188" w:firstLine="427"/>
        <w:jc w:val="both"/>
      </w:pPr>
      <w:r>
        <w:rPr>
          <w:spacing w:val="-1"/>
        </w:rPr>
        <w:t>科大国创软件股份有限公司（以下简称</w:t>
      </w:r>
      <w:r>
        <w:rPr>
          <w:rFonts w:ascii="Times New Roman" w:hAnsi="Times New Roman" w:cs="Times New Roman" w:eastAsia="Times New Roman" w:hint="default"/>
          <w:spacing w:val="-1"/>
        </w:rPr>
        <w:t>“</w:t>
      </w:r>
      <w:r>
        <w:rPr>
          <w:spacing w:val="-1"/>
        </w:rPr>
        <w:t>科大国创</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），系由科大恒星电子商务技</w:t>
      </w:r>
      <w:r>
        <w:rPr>
          <w:w w:val="100"/>
        </w:rPr>
        <w:t> </w:t>
      </w:r>
      <w:r>
        <w:rPr>
          <w:spacing w:val="-4"/>
        </w:rPr>
        <w:t>术有限公司（原名为</w:t>
      </w:r>
      <w:r>
        <w:rPr>
          <w:rFonts w:ascii="Times New Roman" w:hAnsi="Times New Roman" w:cs="Times New Roman" w:eastAsia="Times New Roman" w:hint="default"/>
          <w:spacing w:val="-4"/>
        </w:rPr>
        <w:t>“</w:t>
      </w:r>
      <w:r>
        <w:rPr>
          <w:spacing w:val="-4"/>
        </w:rPr>
        <w:t>安徽科大恒星电子商务技术有限公司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8</w:t>
      </w:r>
      <w:r>
        <w:rPr>
          <w:spacing w:val="-4"/>
        </w:rPr>
        <w:t>月更名）整体变更设立的股份有限公</w:t>
      </w:r>
      <w:r>
        <w:rPr>
          <w:spacing w:val="-20"/>
        </w:rPr>
        <w:t> </w:t>
      </w:r>
      <w:r>
        <w:rPr>
          <w:spacing w:val="-20"/>
        </w:rPr>
      </w:r>
      <w:r>
        <w:rPr>
          <w:spacing w:val="-2"/>
        </w:rPr>
        <w:t>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02</w:t>
      </w:r>
      <w:r>
        <w:rPr>
          <w:spacing w:val="-2"/>
        </w:rPr>
        <w:t>日取得合肥市工商行政管理局核发的</w:t>
      </w:r>
      <w:r>
        <w:rPr>
          <w:rFonts w:ascii="Times New Roman" w:hAnsi="Times New Roman" w:cs="Times New Roman" w:eastAsia="Times New Roman" w:hint="default"/>
          <w:spacing w:val="-2"/>
        </w:rPr>
        <w:t>91340100723329328P</w:t>
      </w:r>
      <w:r>
        <w:rPr>
          <w:spacing w:val="-2"/>
        </w:rPr>
        <w:t>号营业执照。本公司经中国</w:t>
      </w:r>
      <w:r>
        <w:rPr>
          <w:spacing w:val="-33"/>
        </w:rPr>
        <w:t> </w:t>
      </w:r>
      <w:r>
        <w:rPr>
          <w:spacing w:val="-33"/>
        </w:rPr>
      </w:r>
      <w:r>
        <w:rPr/>
        <w:t>证券监督管理委员会证监许可［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1302</w:t>
      </w:r>
      <w:r>
        <w:rPr/>
        <w:t>号文批准，首次向社会公开发行人民币普通股</w:t>
      </w:r>
      <w:r>
        <w:rPr>
          <w:rFonts w:ascii="Times New Roman" w:hAnsi="Times New Roman" w:cs="Times New Roman" w:eastAsia="Times New Roman" w:hint="default"/>
        </w:rPr>
        <w:t>2,300.00</w:t>
      </w:r>
      <w:r>
        <w:rPr/>
        <w:t>万股，</w:t>
      </w:r>
      <w:r>
        <w:rPr>
          <w:spacing w:val="-2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月在深圳证券交易所上市，注册资本人民币</w:t>
      </w:r>
      <w:r>
        <w:rPr>
          <w:rFonts w:ascii="Times New Roman" w:hAnsi="Times New Roman" w:cs="Times New Roman" w:eastAsia="Times New Roman" w:hint="default"/>
        </w:rPr>
        <w:t>9,200.00</w:t>
      </w:r>
      <w:r>
        <w:rPr/>
        <w:t>万元。</w:t>
      </w:r>
    </w:p>
    <w:p>
      <w:pPr>
        <w:pStyle w:val="BodyText"/>
        <w:spacing w:line="256" w:lineRule="auto" w:before="125"/>
        <w:ind w:right="0" w:firstLine="427"/>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日，经科大国创股东大会审议通过，向</w:t>
      </w:r>
      <w:r>
        <w:rPr>
          <w:rFonts w:ascii="Times New Roman" w:hAnsi="Times New Roman" w:cs="Times New Roman" w:eastAsia="Times New Roman" w:hint="default"/>
          <w:spacing w:val="-2"/>
        </w:rPr>
        <w:t>314</w:t>
      </w:r>
      <w:r>
        <w:rPr>
          <w:spacing w:val="-2"/>
        </w:rPr>
        <w:t>名员工激励对象授予限制性股票</w:t>
      </w:r>
      <w:r>
        <w:rPr>
          <w:rFonts w:ascii="Times New Roman" w:hAnsi="Times New Roman" w:cs="Times New Roman" w:eastAsia="Times New Roman" w:hint="default"/>
          <w:spacing w:val="-2"/>
        </w:rPr>
        <w:t>407.50</w:t>
      </w:r>
      <w:r>
        <w:rPr>
          <w:spacing w:val="-2"/>
        </w:rPr>
        <w:t>万股，</w:t>
      </w:r>
      <w:r>
        <w:rPr>
          <w:spacing w:val="-3"/>
          <w:w w:val="100"/>
        </w:rPr>
        <w:t> </w:t>
      </w:r>
      <w:r>
        <w:rPr/>
        <w:t>每股面值人民币</w:t>
      </w:r>
      <w:r>
        <w:rPr>
          <w:rFonts w:ascii="Times New Roman" w:hAnsi="Times New Roman" w:cs="Times New Roman" w:eastAsia="Times New Roman" w:hint="default"/>
        </w:rPr>
        <w:t>1</w:t>
      </w:r>
      <w:r>
        <w:rPr/>
        <w:t>元，申请增加注册资本人民币</w:t>
      </w:r>
      <w:r>
        <w:rPr>
          <w:rFonts w:ascii="Times New Roman" w:hAnsi="Times New Roman" w:cs="Times New Roman" w:eastAsia="Times New Roman" w:hint="default"/>
        </w:rPr>
        <w:t>4,075,000.00</w:t>
      </w:r>
      <w:r>
        <w:rPr/>
        <w:t>元，变更后的注册资本为人民币</w:t>
      </w:r>
      <w:r>
        <w:rPr>
          <w:rFonts w:ascii="Times New Roman" w:hAnsi="Times New Roman" w:cs="Times New Roman" w:eastAsia="Times New Roman" w:hint="default"/>
        </w:rPr>
        <w:t>96,075,000.00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2"/>
        <w:rPr>
          <w:rFonts w:ascii="宋体" w:hAnsi="宋体" w:cs="宋体" w:eastAsia="宋体" w:hint="default"/>
          <w:sz w:val="8"/>
          <w:szCs w:val="8"/>
        </w:rPr>
      </w:pPr>
    </w:p>
    <w:p>
      <w:pPr>
        <w:pStyle w:val="BodyText"/>
        <w:spacing w:line="256" w:lineRule="auto" w:before="36"/>
        <w:ind w:right="190" w:firstLine="427"/>
        <w:jc w:val="both"/>
      </w:pPr>
      <w:r>
        <w:rPr/>
        <w:t>根据公司</w:t>
      </w:r>
      <w:r>
        <w:rPr>
          <w:rFonts w:ascii="Times New Roman" w:hAnsi="Times New Roman" w:cs="Times New Roman" w:eastAsia="Times New Roman" w:hint="default"/>
        </w:rPr>
        <w:t>2016</w:t>
      </w:r>
      <w:r>
        <w:rPr/>
        <w:t>年度股东大会决议的规定，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日公司由资本公积转增股本，增加注册资本人</w:t>
      </w:r>
      <w:r>
        <w:rPr>
          <w:w w:val="100"/>
        </w:rPr>
        <w:t> </w:t>
      </w:r>
      <w:r>
        <w:rPr/>
        <w:t>民币</w:t>
      </w:r>
      <w:r>
        <w:rPr>
          <w:rFonts w:ascii="Times New Roman" w:hAnsi="Times New Roman" w:cs="Times New Roman" w:eastAsia="Times New Roman" w:hint="default"/>
        </w:rPr>
        <w:t>115,290,000.00</w:t>
      </w:r>
      <w:r>
        <w:rPr/>
        <w:t>元，变更后的注册资本为人民</w:t>
      </w:r>
      <w:r>
        <w:rPr>
          <w:rFonts w:ascii="Times New Roman" w:hAnsi="Times New Roman" w:cs="Times New Roman" w:eastAsia="Times New Roman" w:hint="default"/>
        </w:rPr>
        <w:t>211,365,000.00</w:t>
      </w:r>
      <w:r>
        <w:rPr/>
        <w:t>元。</w:t>
      </w:r>
    </w:p>
    <w:p>
      <w:pPr>
        <w:pStyle w:val="BodyText"/>
        <w:spacing w:line="264" w:lineRule="auto" w:before="125"/>
        <w:ind w:right="186" w:firstLine="427"/>
        <w:jc w:val="both"/>
      </w:pPr>
      <w:r>
        <w:rPr>
          <w:spacing w:val="-2"/>
        </w:rPr>
        <w:t>根据公司</w:t>
      </w:r>
      <w:r>
        <w:rPr>
          <w:rFonts w:ascii="Times New Roman" w:hAnsi="Times New Roman" w:cs="Times New Roman" w:eastAsia="Times New Roman" w:hint="default"/>
          <w:spacing w:val="-2"/>
        </w:rPr>
        <w:t>2017</w:t>
      </w:r>
      <w:r>
        <w:rPr>
          <w:spacing w:val="-2"/>
        </w:rPr>
        <w:t>年第二次临时股东大会决议、第二届董事会第十六次会议决议、第二届董事会第十七次</w:t>
      </w:r>
      <w:r>
        <w:rPr>
          <w:w w:val="100"/>
        </w:rPr>
        <w:t> </w:t>
      </w:r>
      <w:r>
        <w:rPr>
          <w:spacing w:val="-2"/>
        </w:rPr>
        <w:t>会议决议、第二届监事会第十二次会议决议、第二届监事会第十三次会议决议以及修改后的章程规定，公</w:t>
      </w:r>
      <w:r>
        <w:rPr>
          <w:spacing w:val="-43"/>
        </w:rPr>
        <w:t> </w:t>
      </w:r>
      <w:r>
        <w:rPr>
          <w:spacing w:val="-43"/>
        </w:rPr>
      </w:r>
      <w:r>
        <w:rPr/>
        <w:t>司申请减少注册资本人民币</w:t>
      </w:r>
      <w:r>
        <w:rPr>
          <w:rFonts w:ascii="Times New Roman" w:hAnsi="Times New Roman" w:cs="Times New Roman" w:eastAsia="Times New Roman" w:hint="default"/>
        </w:rPr>
        <w:t>8,965,000.00</w:t>
      </w:r>
      <w:r>
        <w:rPr/>
        <w:t>元，变更后的注册资本为人民币</w:t>
      </w:r>
      <w:r>
        <w:rPr>
          <w:rFonts w:ascii="Times New Roman" w:hAnsi="Times New Roman" w:cs="Times New Roman" w:eastAsia="Times New Roman" w:hint="default"/>
        </w:rPr>
        <w:t>202,400,000.00</w:t>
      </w:r>
      <w:r>
        <w:rPr/>
        <w:t>元。</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4"/>
        <w:gridCol w:w="1063"/>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53" w:right="369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after="0" w:line="360" w:lineRule="auto"/>
        <w:jc w:val="left"/>
        <w:rPr>
          <w:rFonts w:ascii="宋体" w:hAnsi="宋体" w:cs="宋体" w:eastAsia="宋体" w:hint="default"/>
          <w:sz w:val="18"/>
          <w:szCs w:val="18"/>
        </w:rPr>
        <w:sectPr>
          <w:pgSz w:w="11910" w:h="16840"/>
          <w:pgMar w:header="748"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412,411,974.87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286,643,750.00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125,768,224.87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9,596,895.52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2,486,313.03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38,762,982.49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422,008,870.39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289,130,063.03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164,531,207.36</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450" w:lineRule="atLeast" w:before="3"/>
        <w:ind w:left="580" w:right="0"/>
        <w:jc w:val="left"/>
        <w:rPr>
          <w:rFonts w:ascii="Times New Roman" w:hAnsi="Times New Roman" w:cs="Times New Roman" w:eastAsia="Times New Roman" w:hint="default"/>
        </w:rPr>
      </w:pPr>
      <w:r>
        <w:rPr/>
        <w:t>本期资本公积增加数：</w:t>
      </w:r>
      <w:r>
        <w:rPr>
          <w:w w:val="100"/>
        </w:rPr>
        <w:t> </w:t>
      </w:r>
      <w:r>
        <w:rPr>
          <w:spacing w:val="-2"/>
        </w:rPr>
        <w:t>其他资本公积：公司</w:t>
      </w:r>
      <w:r>
        <w:rPr>
          <w:rFonts w:ascii="Times New Roman" w:hAnsi="Times New Roman" w:cs="Times New Roman" w:eastAsia="Times New Roman" w:hint="default"/>
          <w:spacing w:val="-2"/>
        </w:rPr>
        <w:t>2017</w:t>
      </w:r>
      <w:r>
        <w:rPr>
          <w:spacing w:val="-2"/>
        </w:rPr>
        <w:t>年第二次临时股东大会决议同意公司终止实施</w:t>
      </w:r>
      <w:r>
        <w:rPr>
          <w:rFonts w:ascii="Times New Roman" w:hAnsi="Times New Roman" w:cs="Times New Roman" w:eastAsia="Times New Roman" w:hint="default"/>
          <w:spacing w:val="-2"/>
        </w:rPr>
        <w:t>“2016</w:t>
      </w:r>
      <w:r>
        <w:rPr>
          <w:spacing w:val="-2"/>
        </w:rPr>
        <w:t>年限制性股票激励计划</w:t>
      </w:r>
      <w:r>
        <w:rPr>
          <w:rFonts w:ascii="Times New Roman" w:hAnsi="Times New Roman" w:cs="Times New Roman" w:eastAsia="Times New Roman" w:hint="default"/>
          <w:spacing w:val="-2"/>
        </w:rPr>
        <w:t>”</w:t>
      </w:r>
    </w:p>
    <w:p>
      <w:pPr>
        <w:pStyle w:val="BodyText"/>
        <w:spacing w:line="264" w:lineRule="auto" w:before="21"/>
        <w:ind w:right="146"/>
        <w:jc w:val="both"/>
      </w:pPr>
      <w:r>
        <w:rPr>
          <w:spacing w:val="-3"/>
        </w:rPr>
        <w:t>并回购注销已授予未解锁限制性股票</w:t>
      </w:r>
      <w:r>
        <w:rPr>
          <w:rFonts w:ascii="Times New Roman" w:hAnsi="Times New Roman" w:cs="Times New Roman" w:eastAsia="Times New Roman" w:hint="default"/>
          <w:spacing w:val="-3"/>
        </w:rPr>
        <w:t>8,353,400.00</w:t>
      </w:r>
      <w:r>
        <w:rPr>
          <w:spacing w:val="-3"/>
        </w:rPr>
        <w:t>股，本次终止后对于已计提的股份支付费用不予转回，对</w:t>
      </w:r>
      <w:r>
        <w:rPr>
          <w:spacing w:val="-32"/>
        </w:rPr>
        <w:t> </w:t>
      </w:r>
      <w:r>
        <w:rPr>
          <w:spacing w:val="-32"/>
        </w:rPr>
      </w:r>
      <w:r>
        <w:rPr>
          <w:spacing w:val="-2"/>
        </w:rPr>
        <w:t>于原本应在剩余等待期内确认的股份支付费用在本期加速提取，对于与激励对象离职相关的股份支付费用</w:t>
      </w:r>
      <w:r>
        <w:rPr>
          <w:spacing w:val="-43"/>
        </w:rPr>
        <w:t> </w:t>
      </w:r>
      <w:r>
        <w:rPr>
          <w:spacing w:val="-43"/>
        </w:rPr>
      </w:r>
      <w:r>
        <w:rPr/>
        <w:t>不予计提。该事项增加资本公积（其他资本公积）为</w:t>
      </w:r>
      <w:r>
        <w:rPr>
          <w:rFonts w:ascii="Times New Roman" w:hAnsi="Times New Roman" w:cs="Times New Roman" w:eastAsia="Times New Roman" w:hint="default"/>
        </w:rPr>
        <w:t>31,652,400.00</w:t>
      </w:r>
      <w:r>
        <w:rPr/>
        <w:t>元。</w:t>
      </w:r>
    </w:p>
    <w:p>
      <w:pPr>
        <w:pStyle w:val="BodyText"/>
        <w:spacing w:line="240" w:lineRule="auto" w:before="118"/>
        <w:ind w:left="580" w:right="0"/>
        <w:jc w:val="left"/>
      </w:pPr>
      <w:r>
        <w:rPr/>
        <w:t>本期资本公积减少数：</w:t>
      </w:r>
    </w:p>
    <w:p>
      <w:pPr>
        <w:pStyle w:val="BodyText"/>
        <w:spacing w:line="256" w:lineRule="auto" w:before="157"/>
        <w:ind w:right="148" w:firstLine="427"/>
        <w:jc w:val="both"/>
      </w:pPr>
      <w:r>
        <w:rPr/>
        <w:t>（</w:t>
      </w:r>
      <w:r>
        <w:rPr>
          <w:rFonts w:ascii="Times New Roman" w:hAnsi="Times New Roman" w:cs="Times New Roman" w:eastAsia="Times New Roman" w:hint="default"/>
        </w:rPr>
        <w:t>1</w:t>
      </w:r>
      <w:r>
        <w:rPr/>
        <w:t>）股本溢价：①公司</w:t>
      </w:r>
      <w:r>
        <w:rPr>
          <w:rFonts w:ascii="Times New Roman" w:hAnsi="Times New Roman" w:cs="Times New Roman" w:eastAsia="Times New Roman" w:hint="default"/>
        </w:rPr>
        <w:t>2016</w:t>
      </w:r>
      <w:r>
        <w:rPr/>
        <w:t>年度股东大会决议审议通过了《关于公司</w:t>
      </w:r>
      <w:r>
        <w:rPr>
          <w:rFonts w:ascii="Times New Roman" w:hAnsi="Times New Roman" w:cs="Times New Roman" w:eastAsia="Times New Roman" w:hint="default"/>
        </w:rPr>
        <w:t>2016</w:t>
      </w:r>
      <w:r>
        <w:rPr/>
        <w:t>年度利润分配及资本公积</w:t>
      </w:r>
      <w:r>
        <w:rPr>
          <w:w w:val="100"/>
        </w:rPr>
        <w:t> </w:t>
      </w:r>
      <w:r>
        <w:rPr/>
        <w:t>转增股本预案的议案》，公司以截止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9,607.50</w:t>
      </w:r>
      <w:r>
        <w:rPr/>
        <w:t>万股为基数，向全体股东每</w:t>
      </w:r>
      <w:r>
        <w:rPr>
          <w:rFonts w:ascii="Times New Roman" w:hAnsi="Times New Roman" w:cs="Times New Roman" w:eastAsia="Times New Roman" w:hint="default"/>
        </w:rPr>
        <w:t>10</w:t>
      </w:r>
      <w:r>
        <w:rPr/>
        <w:t>股派</w:t>
      </w:r>
      <w:r>
        <w:rPr>
          <w:spacing w:val="-28"/>
        </w:rPr>
        <w:t> </w:t>
      </w:r>
      <w:r>
        <w:rPr>
          <w:spacing w:val="-3"/>
        </w:rPr>
        <w:t>发现金股利人民币</w:t>
      </w:r>
      <w:r>
        <w:rPr>
          <w:rFonts w:ascii="Times New Roman" w:hAnsi="Times New Roman" w:cs="Times New Roman" w:eastAsia="Times New Roman" w:hint="default"/>
          <w:spacing w:val="-3"/>
        </w:rPr>
        <w:t>1.2</w:t>
      </w:r>
      <w:r>
        <w:rPr>
          <w:spacing w:val="-3"/>
        </w:rPr>
        <w:t>元（含税），同时以资本公积向全体股东每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12</w:t>
      </w:r>
      <w:r>
        <w:rPr>
          <w:spacing w:val="-3"/>
        </w:rPr>
        <w:t>股。该事项减少资本公积（股</w:t>
      </w:r>
      <w:r>
        <w:rPr>
          <w:spacing w:val="-42"/>
        </w:rPr>
        <w:t> </w:t>
      </w:r>
      <w:r>
        <w:rPr>
          <w:spacing w:val="-42"/>
        </w:rPr>
      </w:r>
      <w:r>
        <w:rPr>
          <w:spacing w:val="-5"/>
        </w:rPr>
        <w:t>本溢价）为</w:t>
      </w:r>
      <w:r>
        <w:rPr>
          <w:rFonts w:ascii="Times New Roman" w:hAnsi="Times New Roman" w:cs="Times New Roman" w:eastAsia="Times New Roman" w:hint="default"/>
          <w:spacing w:val="-5"/>
        </w:rPr>
        <w:t>115,290,000.00</w:t>
      </w:r>
      <w:r>
        <w:rPr>
          <w:spacing w:val="-5"/>
        </w:rPr>
        <w:t>元。该事项业经华普天健会计师事务所（特殊普通合伙）出具的会验字</w:t>
      </w:r>
      <w:r>
        <w:rPr>
          <w:rFonts w:ascii="Times New Roman" w:hAnsi="Times New Roman" w:cs="Times New Roman" w:eastAsia="Times New Roman" w:hint="default"/>
          <w:spacing w:val="-5"/>
        </w:rPr>
        <w:t>[2017]4983</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号《验资报告》审验。②公司终止</w:t>
      </w:r>
      <w:r>
        <w:rPr>
          <w:rFonts w:ascii="Times New Roman" w:hAnsi="Times New Roman" w:cs="Times New Roman" w:eastAsia="Times New Roman" w:hint="default"/>
          <w:spacing w:val="-2"/>
        </w:rPr>
        <w:t>“2016</w:t>
      </w:r>
      <w:r>
        <w:rPr>
          <w:spacing w:val="-2"/>
        </w:rPr>
        <w:t>年限制性股票激励计划</w:t>
      </w:r>
      <w:r>
        <w:rPr>
          <w:rFonts w:ascii="Times New Roman" w:hAnsi="Times New Roman" w:cs="Times New Roman" w:eastAsia="Times New Roman" w:hint="default"/>
          <w:spacing w:val="-2"/>
        </w:rPr>
        <w:t>”</w:t>
      </w:r>
      <w:r>
        <w:rPr>
          <w:spacing w:val="-2"/>
        </w:rPr>
        <w:t>，并退回限制性股票激励对象缴纳的出资</w:t>
      </w:r>
      <w:r>
        <w:rPr>
          <w:spacing w:val="-15"/>
        </w:rPr>
        <w:t> </w:t>
      </w:r>
      <w:r>
        <w:rPr>
          <w:spacing w:val="-15"/>
        </w:rPr>
      </w:r>
      <w:r>
        <w:rPr>
          <w:spacing w:val="-1"/>
        </w:rPr>
        <w:t>款</w:t>
      </w:r>
      <w:r>
        <w:rPr>
          <w:rFonts w:ascii="Times New Roman" w:hAnsi="Times New Roman" w:cs="Times New Roman" w:eastAsia="Times New Roman" w:hint="default"/>
          <w:spacing w:val="-1"/>
        </w:rPr>
        <w:t>180,318,750.00</w:t>
      </w:r>
      <w:r>
        <w:rPr>
          <w:spacing w:val="-1"/>
        </w:rPr>
        <w:t>元。其中冲减股本为</w:t>
      </w:r>
      <w:r>
        <w:rPr>
          <w:rFonts w:ascii="Times New Roman" w:hAnsi="Times New Roman" w:cs="Times New Roman" w:eastAsia="Times New Roman" w:hint="default"/>
          <w:spacing w:val="-1"/>
        </w:rPr>
        <w:t>8,965,000.00</w:t>
      </w:r>
      <w:r>
        <w:rPr>
          <w:spacing w:val="-1"/>
        </w:rPr>
        <w:t>元，冲减资本公积（股本溢价）为</w:t>
      </w:r>
      <w:r>
        <w:rPr>
          <w:rFonts w:ascii="Times New Roman" w:hAnsi="Times New Roman" w:cs="Times New Roman" w:eastAsia="Times New Roman" w:hint="default"/>
          <w:spacing w:val="-1"/>
        </w:rPr>
        <w:t>171,353,750.00</w:t>
      </w:r>
      <w:r>
        <w:rPr>
          <w:spacing w:val="-1"/>
        </w:rPr>
        <w:t>元。该</w:t>
      </w:r>
      <w:r>
        <w:rPr>
          <w:spacing w:val="-13"/>
        </w:rPr>
        <w:t> </w:t>
      </w:r>
      <w:r>
        <w:rPr>
          <w:spacing w:val="-13"/>
        </w:rPr>
      </w:r>
      <w:r>
        <w:rPr/>
        <w:t>减资业经华普天健会计师事务所（特殊普通合伙）出具的会验字</w:t>
      </w:r>
      <w:r>
        <w:rPr>
          <w:rFonts w:ascii="Times New Roman" w:hAnsi="Times New Roman" w:cs="Times New Roman" w:eastAsia="Times New Roman" w:hint="default"/>
        </w:rPr>
        <w:t>[2017]4984</w:t>
      </w:r>
      <w:r>
        <w:rPr/>
        <w:t>号《验资报告》审验。</w:t>
      </w:r>
    </w:p>
    <w:p>
      <w:pPr>
        <w:pStyle w:val="BodyText"/>
        <w:spacing w:line="256" w:lineRule="auto" w:before="125"/>
        <w:ind w:right="146" w:firstLine="427"/>
        <w:jc w:val="both"/>
      </w:pPr>
      <w:r>
        <w:rPr/>
        <w:t>（</w:t>
      </w:r>
      <w:r>
        <w:rPr>
          <w:rFonts w:ascii="Times New Roman" w:hAnsi="Times New Roman" w:cs="Times New Roman" w:eastAsia="Times New Roman" w:hint="default"/>
        </w:rPr>
        <w:t>2</w:t>
      </w:r>
      <w:r>
        <w:rPr/>
        <w:t>）其他资本公积：公司终止</w:t>
      </w:r>
      <w:r>
        <w:rPr>
          <w:rFonts w:ascii="Times New Roman" w:hAnsi="Times New Roman" w:cs="Times New Roman" w:eastAsia="Times New Roman" w:hint="default"/>
        </w:rPr>
        <w:t>“2016</w:t>
      </w:r>
      <w:r>
        <w:rPr/>
        <w:t>年限制性股票激励计划</w:t>
      </w:r>
      <w:r>
        <w:rPr>
          <w:rFonts w:ascii="Times New Roman" w:hAnsi="Times New Roman" w:cs="Times New Roman" w:eastAsia="Times New Roman" w:hint="default"/>
        </w:rPr>
        <w:t>”</w:t>
      </w:r>
      <w:r>
        <w:rPr/>
        <w:t>，冲减原股权激励形成的可抵扣暂时性</w:t>
      </w:r>
      <w:r>
        <w:rPr>
          <w:w w:val="100"/>
        </w:rPr>
        <w:t> </w:t>
      </w:r>
      <w:r>
        <w:rPr>
          <w:spacing w:val="-3"/>
        </w:rPr>
        <w:t>差异确认的递延所得税资产计入资本公积部分金额。该事项减少资本公积（其他资本公积）为</w:t>
      </w:r>
      <w:r>
        <w:rPr>
          <w:rFonts w:ascii="Times New Roman" w:hAnsi="Times New Roman" w:cs="Times New Roman" w:eastAsia="Times New Roman" w:hint="default"/>
          <w:spacing w:val="-3"/>
        </w:rPr>
        <w:t>2,486,313.03</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授予限制性股票回购义 务确认的库存股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180,318,750.00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180,318,750.00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6"/>
        <w:ind w:right="0"/>
        <w:jc w:val="left"/>
      </w:pPr>
      <w:r>
        <w:rPr/>
        <w:t>本期减少</w:t>
      </w:r>
      <w:r>
        <w:rPr>
          <w:rFonts w:ascii="Times New Roman" w:hAnsi="Times New Roman" w:cs="Times New Roman" w:eastAsia="Times New Roman" w:hint="default"/>
        </w:rPr>
        <w:t>180,318,750.00</w:t>
      </w:r>
      <w:r>
        <w:rPr/>
        <w:t>元系向员工激励对象回购注销限制性股票所致。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4895"/>
        <w:gridCol w:w="799"/>
      </w:tblGrid>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102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314,217.28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-165,468.70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-165,468.70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148,748.5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314,217.28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-165,468.70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-165,468.70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148,748.5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314,217.28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-165,468.70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-165,468.70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148,748.5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436" w:lineRule="auto" w:before="49"/>
        <w:ind w:left="153" w:right="0" w:firstLine="0"/>
        <w:jc w:val="left"/>
        <w:rPr>
          <w:rFonts w:ascii="Microsoft JhengHei" w:hAnsi="Microsoft JhengHei" w:cs="Microsoft JhengHei" w:eastAsia="Microsoft JhengHei" w:hint="default"/>
          <w:sz w:val="21"/>
          <w:szCs w:val="21"/>
        </w:rPr>
      </w:pPr>
      <w:r>
        <w:rPr>
          <w:rFonts w:ascii="宋体" w:hAnsi="宋体" w:cs="宋体" w:eastAsia="宋体" w:hint="default"/>
          <w:sz w:val="18"/>
          <w:szCs w:val="18"/>
        </w:rPr>
        <w:t>其他说明，包括对现金流量套期损益的有效部分转为被套期项目初始确认金额调整： </w:t>
      </w:r>
      <w:r>
        <w:rPr>
          <w:rFonts w:ascii="宋体" w:hAnsi="宋体" w:cs="宋体" w:eastAsia="宋体" w:hint="default"/>
          <w:spacing w:val="-2"/>
          <w:sz w:val="21"/>
          <w:szCs w:val="21"/>
        </w:rPr>
        <w:t>其他综合收益期末余额较期初余额下降</w:t>
      </w:r>
      <w:r>
        <w:rPr>
          <w:rFonts w:ascii="Times New Roman" w:hAnsi="Times New Roman" w:cs="Times New Roman" w:eastAsia="Times New Roman" w:hint="default"/>
          <w:spacing w:val="-2"/>
          <w:sz w:val="21"/>
          <w:szCs w:val="21"/>
        </w:rPr>
        <w:t>52.66%</w:t>
      </w:r>
      <w:r>
        <w:rPr>
          <w:rFonts w:ascii="宋体" w:hAnsi="宋体" w:cs="宋体" w:eastAsia="宋体" w:hint="default"/>
          <w:spacing w:val="-2"/>
          <w:sz w:val="21"/>
          <w:szCs w:val="21"/>
        </w:rPr>
        <w:t>，主要系日元汇率变化导致公司其他综合收益减少所致。</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Times New Roman" w:hAnsi="Times New Roman" w:cs="Times New Roman" w:eastAsia="Times New Roman" w:hint="default"/>
          <w:b/>
          <w:bCs/>
          <w:sz w:val="21"/>
          <w:szCs w:val="21"/>
        </w:rPr>
        <w:t>58</w:t>
      </w: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p>
      <w:pPr>
        <w:spacing w:before="10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13,341,579.35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2,257,531.03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15,599,110.38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13,341,579.35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2,257,531.03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15,599,110.38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8"/>
        <w:rPr>
          <w:rFonts w:ascii="宋体" w:hAnsi="宋体" w:cs="宋体" w:eastAsia="宋体" w:hint="default"/>
          <w:sz w:val="13"/>
          <w:szCs w:val="13"/>
        </w:rPr>
      </w:pPr>
    </w:p>
    <w:p>
      <w:pPr>
        <w:pStyle w:val="BodyText"/>
        <w:spacing w:line="256" w:lineRule="auto"/>
        <w:ind w:right="0"/>
        <w:jc w:val="left"/>
      </w:pPr>
      <w:r>
        <w:rPr>
          <w:spacing w:val="-2"/>
        </w:rPr>
        <w:t>本期盈余公积增加系本公司按《公司法》及本公司章程有关规定，按本期母公司净利润</w:t>
      </w:r>
      <w:r>
        <w:rPr>
          <w:rFonts w:ascii="Times New Roman" w:hAnsi="Times New Roman" w:cs="Times New Roman" w:eastAsia="Times New Roman" w:hint="default"/>
          <w:spacing w:val="-2"/>
        </w:rPr>
        <w:t>10</w:t>
      </w:r>
      <w:r>
        <w:rPr>
          <w:spacing w:val="-2"/>
        </w:rPr>
        <w:t>％提取法定盈余</w:t>
      </w:r>
      <w:r>
        <w:rPr>
          <w:spacing w:val="-42"/>
        </w:rPr>
        <w:t> </w:t>
      </w:r>
      <w:r>
        <w:rPr>
          <w:spacing w:val="-42"/>
        </w:rPr>
      </w:r>
      <w:r>
        <w:rPr/>
        <w:t>公积金。</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175,977,127.17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122,178,744.40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175,977,127.17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122,178,744.40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18,374,393.31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56,927,437.17</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2,257,531.03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3,129,054.40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180,564,989.45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175,977,127.17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607,857,521.79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357,933,725.48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594,231,453.27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375,076,624.54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607,857,521.79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357,933,725.48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594,231,453.27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375,076,624.54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1,386,771.60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922,381.47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990,422.54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661,356.48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441,570.14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107,460.60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379,879.53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174,478.24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340,910.07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303,005.36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3,539,553.88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2,168,682.15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税金及附加本期发生额较上期增长</w:t>
      </w:r>
      <w:r>
        <w:rPr>
          <w:rFonts w:ascii="Times New Roman" w:hAnsi="Times New Roman" w:cs="Times New Roman" w:eastAsia="Times New Roman" w:hint="default"/>
        </w:rPr>
        <w:t>63.21%</w:t>
      </w:r>
      <w:r>
        <w:rPr/>
        <w:t>，主要系本期城市维护建设税和印花税增长较多所致。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23,560,293.26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15,167,809.92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8,917,266.74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5,856,244.13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9,898,452.77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6,756,584.11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8,605,729.30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4,232,434.82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3,632,786.85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619,970.15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2,265,913.32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1,879,178.12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56,880,442.24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34,512,221.25</w:t>
            </w:r>
          </w:p>
        </w:tc>
      </w:tr>
    </w:tbl>
    <w:p>
      <w:pPr>
        <w:spacing w:line="405" w:lineRule="auto" w:before="49"/>
        <w:ind w:left="153" w:right="2573" w:firstLine="0"/>
        <w:jc w:val="left"/>
        <w:rPr>
          <w:rFonts w:ascii="Microsoft JhengHei" w:hAnsi="Microsoft JhengHei" w:cs="Microsoft JhengHei" w:eastAsia="Microsoft JhengHei" w:hint="default"/>
          <w:sz w:val="21"/>
          <w:szCs w:val="21"/>
        </w:rPr>
      </w:pPr>
      <w:r>
        <w:rPr>
          <w:rFonts w:ascii="宋体" w:hAnsi="宋体" w:cs="宋体" w:eastAsia="宋体" w:hint="default"/>
          <w:sz w:val="18"/>
          <w:szCs w:val="18"/>
        </w:rPr>
        <w:t>其他说明： </w:t>
      </w:r>
      <w:r>
        <w:rPr>
          <w:rFonts w:ascii="宋体" w:hAnsi="宋体" w:cs="宋体" w:eastAsia="宋体" w:hint="default"/>
          <w:spacing w:val="-2"/>
          <w:sz w:val="21"/>
          <w:szCs w:val="21"/>
        </w:rPr>
        <w:t>销售费用本期发生额较上期增长</w:t>
      </w:r>
      <w:r>
        <w:rPr>
          <w:rFonts w:ascii="Times New Roman" w:hAnsi="Times New Roman" w:cs="Times New Roman" w:eastAsia="Times New Roman" w:hint="default"/>
          <w:spacing w:val="-2"/>
          <w:sz w:val="21"/>
          <w:szCs w:val="21"/>
        </w:rPr>
        <w:t>64.81%</w:t>
      </w:r>
      <w:r>
        <w:rPr>
          <w:rFonts w:ascii="宋体" w:hAnsi="宋体" w:cs="宋体" w:eastAsia="宋体" w:hint="default"/>
          <w:spacing w:val="-2"/>
          <w:sz w:val="21"/>
          <w:szCs w:val="21"/>
        </w:rPr>
        <w:t>，主要系公司加大市场开拓力度所致</w:t>
      </w:r>
      <w:r>
        <w:rPr>
          <w:rFonts w:ascii="宋体" w:hAnsi="宋体" w:cs="宋体" w:eastAsia="宋体" w:hint="default"/>
          <w:spacing w:val="-2"/>
          <w:sz w:val="24"/>
          <w:szCs w:val="24"/>
        </w:rPr>
        <w:t>。</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Times New Roman" w:hAnsi="Times New Roman" w:cs="Times New Roman" w:eastAsia="Times New Roman" w:hint="default"/>
          <w:b/>
          <w:bCs/>
          <w:sz w:val="21"/>
          <w:szCs w:val="21"/>
        </w:rPr>
        <w:t>64</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before="14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129,986,615.70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81,496,766.71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27,479,767.19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22,921,080.01</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11,546,427.78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8,367,101.22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9,140,289.13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2,203,959.87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5,888,778.71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6,258,626.10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184,041,878.51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121,247,533.91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56" w:lineRule="auto"/>
        <w:ind w:right="0"/>
        <w:jc w:val="left"/>
      </w:pPr>
      <w:r>
        <w:rPr>
          <w:spacing w:val="-3"/>
        </w:rPr>
        <w:t>管理费用本期发生额较上期增长</w:t>
      </w:r>
      <w:r>
        <w:rPr>
          <w:rFonts w:ascii="Times New Roman" w:hAnsi="Times New Roman" w:cs="Times New Roman" w:eastAsia="Times New Roman" w:hint="default"/>
          <w:spacing w:val="-3"/>
        </w:rPr>
        <w:t>51.79%</w:t>
      </w:r>
      <w:r>
        <w:rPr>
          <w:spacing w:val="-3"/>
        </w:rPr>
        <w:t>，主要系随着公司募投项目建设不断推进，公司研发投入增长较大</w:t>
      </w:r>
      <w:r>
        <w:rPr>
          <w:spacing w:val="-6"/>
        </w:rPr>
        <w:t> </w:t>
      </w:r>
      <w:r>
        <w:rPr>
          <w:spacing w:val="-6"/>
        </w:rPr>
      </w:r>
      <w:r>
        <w:rPr/>
        <w:t>所致。</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2,997,150.00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2,090,808.54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5,626,547.78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1,280,646.36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1,341,022.16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-1,799,676.31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295,279.01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446,577.65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-993,096.61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-542,936.48</w:t>
            </w:r>
          </w:p>
        </w:tc>
      </w:tr>
    </w:tbl>
    <w:p>
      <w:pPr>
        <w:spacing w:line="436" w:lineRule="auto" w:before="49"/>
        <w:ind w:left="153" w:right="2573" w:firstLine="0"/>
        <w:jc w:val="left"/>
        <w:rPr>
          <w:rFonts w:ascii="Microsoft JhengHei" w:hAnsi="Microsoft JhengHei" w:cs="Microsoft JhengHei" w:eastAsia="Microsoft JhengHei" w:hint="default"/>
          <w:sz w:val="21"/>
          <w:szCs w:val="21"/>
        </w:rPr>
      </w:pPr>
      <w:r>
        <w:rPr>
          <w:rFonts w:ascii="宋体" w:hAnsi="宋体" w:cs="宋体" w:eastAsia="宋体" w:hint="default"/>
          <w:sz w:val="18"/>
          <w:szCs w:val="18"/>
        </w:rPr>
        <w:t>其他说明： </w:t>
      </w:r>
      <w:r>
        <w:rPr>
          <w:rFonts w:ascii="宋体" w:hAnsi="宋体" w:cs="宋体" w:eastAsia="宋体" w:hint="default"/>
          <w:spacing w:val="-2"/>
          <w:sz w:val="21"/>
          <w:szCs w:val="21"/>
        </w:rPr>
        <w:t>财务费用本期发生额较上期下降</w:t>
      </w:r>
      <w:r>
        <w:rPr>
          <w:rFonts w:ascii="Times New Roman" w:hAnsi="Times New Roman" w:cs="Times New Roman" w:eastAsia="Times New Roman" w:hint="default"/>
          <w:spacing w:val="-2"/>
          <w:sz w:val="21"/>
          <w:szCs w:val="21"/>
        </w:rPr>
        <w:t>82.91%</w:t>
      </w:r>
      <w:r>
        <w:rPr>
          <w:rFonts w:ascii="宋体" w:hAnsi="宋体" w:cs="宋体" w:eastAsia="宋体" w:hint="default"/>
          <w:spacing w:val="-2"/>
          <w:sz w:val="21"/>
          <w:szCs w:val="21"/>
        </w:rPr>
        <w:t>，主要系本期利息收入增长较大所致。</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Times New Roman" w:hAnsi="Times New Roman" w:cs="Times New Roman" w:eastAsia="Times New Roman" w:hint="default"/>
          <w:b/>
          <w:bCs/>
          <w:sz w:val="21"/>
          <w:szCs w:val="21"/>
        </w:rPr>
        <w:t>66</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before="10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10,537,401.67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9,631,673.23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10,537,401.67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9,631,673.23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186,398.15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-1,267.77</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2,316,129.64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1,054,841.00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2,502,527.79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1,053,573.23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投资收益本期发生额较上期增长</w:t>
      </w:r>
      <w:r>
        <w:rPr>
          <w:rFonts w:ascii="Times New Roman" w:hAnsi="Times New Roman" w:cs="Times New Roman" w:eastAsia="Times New Roman" w:hint="default"/>
        </w:rPr>
        <w:t>137.53%</w:t>
      </w:r>
      <w:r>
        <w:rPr/>
        <w:t>，主要系本期银行理财产品收益增长所致。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14,806.82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14,806.82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11,103,175.01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递延收益摊销转入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1,139,093.33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8,544,293.32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1,007,557.25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9,551,850.57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3"/>
        <w:gridCol w:w="1061"/>
        <w:gridCol w:w="1063"/>
        <w:gridCol w:w="1064"/>
        <w:gridCol w:w="1063"/>
        <w:gridCol w:w="1064"/>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9"/>
        <w:ind w:right="0"/>
        <w:jc w:val="left"/>
      </w:pPr>
      <w:r>
        <w:rPr>
          <w:spacing w:val="-5"/>
        </w:rPr>
        <w:t>营业外收入本期发生额较上期下降较大，主要系根据财政部《企业会计准则第</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政府补助》（修订）</w:t>
      </w:r>
      <w:r>
        <w:rPr>
          <w:spacing w:val="-3"/>
        </w:rPr>
        <w:t> </w:t>
      </w:r>
      <w:r>
        <w:rPr>
          <w:spacing w:val="-3"/>
        </w:rPr>
      </w:r>
      <w:r>
        <w:rPr>
          <w:spacing w:val="-2"/>
        </w:rPr>
        <w:t>的规定，公司自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日起，对于原在营业外收入中核算的与公司日常活动相关的政府补助调整至其</w:t>
      </w:r>
      <w:r>
        <w:rPr>
          <w:spacing w:val="-40"/>
        </w:rPr>
        <w:t> </w:t>
      </w:r>
      <w:r>
        <w:rPr>
          <w:spacing w:val="-40"/>
        </w:rPr>
      </w:r>
      <w:r>
        <w:rPr/>
        <w:t>他收益项目单独进行列报所致。</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22,037.62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22,037.62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22,037.62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22,037.62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-5,464,608.98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11,292,575.31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-3,003,455.24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-2,859,157.37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-8,468,064.22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8,433,417.94</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10,655,181.95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1,598,277.29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-3,025,693.61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-5,988,754.68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2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-774,036.17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-1,946,310.13</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1,668,453.08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-8,468,064.22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所得税费用本期发生额较上期下降</w:t>
      </w:r>
      <w:r>
        <w:rPr>
          <w:rFonts w:ascii="Times New Roman" w:hAnsi="Times New Roman" w:cs="Times New Roman" w:eastAsia="Times New Roman" w:hint="default"/>
        </w:rPr>
        <w:t>200.41%</w:t>
      </w:r>
      <w:r>
        <w:rPr/>
        <w:t>，主要系本期利润总额减少导致当期所得税费用下降所致。</w:t>
      </w:r>
    </w:p>
    <w:p>
      <w:pPr>
        <w:spacing w:line="240" w:lineRule="auto" w:before="6"/>
        <w:rPr>
          <w:rFonts w:ascii="宋体" w:hAnsi="宋体" w:cs="宋体" w:eastAsia="宋体" w:hint="default"/>
          <w:sz w:val="19"/>
          <w:szCs w:val="19"/>
        </w:rPr>
      </w:pPr>
    </w:p>
    <w:p>
      <w:pPr>
        <w:spacing w:line="482" w:lineRule="auto" w:before="0"/>
        <w:ind w:left="153" w:right="78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74</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92,101,693.13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135,618,308.51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8,603,175.01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10,310,150.00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借转补资金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2,427,515.92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1,361,900.47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104,332,384.06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147,790,358.98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21,444,880.55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15,123,685.33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10,017,879.71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5,858,780.39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9,346,046.68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8,536,396.70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16,699,962.95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34,912,026.43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57,508,769.89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64,430,888.85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5,626,547.78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1,280,646.36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2,316,129.64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1,054,841.00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7,942,677.42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2,335,487.36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质押的定期存单收回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8,300,000.00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限制性股票终止退回款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28,198,500.00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180,318,750.00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28,198,500.00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19,123,246.17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54,209,660.53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10,537,401.67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9,631,673.23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r>
        <w:rPr/>
        <w:pict>
          <v:shape style="position:absolute;margin-left:190.130005pt;margin-top:224.299988pt;width:185.55pt;height:19.6pt;mso-position-horizontal-relative:page;mso-position-vertical-relative:page;z-index:-8549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30005pt;margin-top:244.465988pt;width:185.55pt;height:19.6pt;mso-position-horizontal-relative:page;mso-position-vertical-relative:page;z-index:-8549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6"/>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5,114,528.55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4,743,223.57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859,298.43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857,996.52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90,639.93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80,933.28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-2,886,875.17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-1,458,443.29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-2,502,527.79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-1,053,573.23</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-3,472,889.31</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-2,956,835.58</w:t>
            </w:r>
          </w:p>
        </w:tc>
      </w:tr>
      <w:tr>
        <w:trPr>
          <w:trHeight w:val="404"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-44,085.18</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97,678.21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6" w:right="0"/>
              <w:jc w:val="left"/>
              <w:rPr>
                <w:rFonts w:ascii="Times New Roman" w:hAnsi="Times New Roman" w:cs="Times New Roman" w:eastAsia="Times New Roman" w:hint="default"/>
                <w:sz w:val="18"/>
                <w:szCs w:val="18"/>
              </w:rPr>
            </w:pPr>
            <w:r>
              <w:rPr>
                <w:rFonts w:ascii="Times New Roman"/>
                <w:sz w:val="18"/>
              </w:rPr>
              <w:t>-112,720,984.76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-3,508,966.00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-74,497,226.65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-12,907,257.39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126,015,702.16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60,030,397.95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31,163,400.00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6,940,600.00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-3,235,178.77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114,707,087.80</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2"/>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492,438,682.20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522,919,332.39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522,919,332.39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136,064,145.32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-60,480,650.19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416,855,187.07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492,438,682.20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522,919,332.39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81,133.21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101,857.79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492,357,548.99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522,817,474.60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492,438,682.20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552,919,332.39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line="482" w:lineRule="auto" w:before="0"/>
        <w:ind w:left="153" w:right="43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before="5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15,321,236.99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用于开具银行承兑汇票和保函</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6,872,962.06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抵押用于取得银行贷款</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22,194,199.05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2"/>
        <w:gridCol w:w="2391"/>
        <w:gridCol w:w="239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87,649.82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568,292,465.99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32,894,472.81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86,415,839.90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5,002,008.06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85,244,126.00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4,934,185.75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3,220,453.10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186,409.49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5,865,245.00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339,497.98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5"/>
        </w:rPr>
        <w:t> </w:t>
      </w:r>
      <w:r>
        <w:rPr>
          <w:spacing w:val="2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943"/>
        <w:gridCol w:w="3250"/>
        <w:gridCol w:w="3122"/>
      </w:tblGrid>
      <w:tr>
        <w:trPr>
          <w:trHeight w:val="696" w:hRule="exact"/>
        </w:trPr>
        <w:tc>
          <w:tcPr>
            <w:tcW w:w="294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250"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312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27"/>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348" w:hRule="exact"/>
        </w:trPr>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日本国创</w:t>
            </w:r>
          </w:p>
        </w:tc>
        <w:tc>
          <w:tcPr>
            <w:tcW w:w="3250"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3122" w:type="dxa"/>
            <w:tcBorders>
              <w:top w:val="single" w:sz="8" w:space="0" w:color="000000"/>
              <w:left w:val="single" w:sz="6" w:space="0" w:color="000000"/>
              <w:bottom w:val="single" w:sz="8" w:space="0" w:color="000000"/>
              <w:right w:val="nil" w:sz="6" w:space="0" w:color="auto"/>
            </w:tcBorders>
          </w:tcPr>
          <w:p>
            <w:pPr>
              <w:pStyle w:val="TableParagraph"/>
              <w:spacing w:line="272" w:lineRule="exact"/>
              <w:ind w:right="31"/>
              <w:jc w:val="center"/>
              <w:rPr>
                <w:rFonts w:ascii="宋体" w:hAnsi="宋体" w:cs="宋体" w:eastAsia="宋体" w:hint="default"/>
                <w:sz w:val="21"/>
                <w:szCs w:val="21"/>
              </w:rPr>
            </w:pPr>
            <w:r>
              <w:rPr>
                <w:rFonts w:ascii="宋体" w:hAnsi="宋体" w:cs="宋体" w:eastAsia="宋体" w:hint="default"/>
                <w:sz w:val="21"/>
                <w:szCs w:val="21"/>
              </w:rPr>
              <w:t>日元</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2"/>
        <w:rPr>
          <w:rFonts w:ascii="宋体" w:hAnsi="宋体" w:cs="宋体" w:eastAsia="宋体" w:hint="default"/>
          <w:sz w:val="21"/>
          <w:szCs w:val="21"/>
        </w:rPr>
      </w:pPr>
    </w:p>
    <w:p>
      <w:pPr>
        <w:spacing w:line="376" w:lineRule="auto" w:before="0"/>
        <w:ind w:left="153" w:right="73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3"/>
        <w:spacing w:line="240" w:lineRule="auto" w:before="87"/>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6"/>
        <w:gridCol w:w="1063"/>
        <w:gridCol w:w="1064"/>
        <w:gridCol w:w="1066"/>
        <w:gridCol w:w="1061"/>
        <w:gridCol w:w="1063"/>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9" w:top="1060" w:bottom="1160" w:left="980" w:right="980"/>
        </w:sectPr>
      </w:pPr>
    </w:p>
    <w:p>
      <w:pPr>
        <w:spacing w:line="240" w:lineRule="auto" w:before="12"/>
        <w:rPr>
          <w:rFonts w:ascii="宋体" w:hAnsi="宋体" w:cs="宋体" w:eastAsia="宋体" w:hint="default"/>
          <w:sz w:val="27"/>
          <w:szCs w:val="2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785;height:404"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5"/>
        <w:ind w:left="153" w:right="509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49"/>
        <w:ind w:left="153"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4"/>
        <w:gridCol w:w="1066"/>
        <w:gridCol w:w="1064"/>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5;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4"/>
        <w:ind w:left="153" w:right="761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62"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8;top:14;width:24;height:394" coordorigin="3168,14" coordsize="24,394">
              <v:shape style="position:absolute;left:3168;top:14;width:24;height:394" coordorigin="3168,14" coordsize="24,394" path="m3168,408l3192,408,3192,14,3168,14,3168,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3135;height:394" coordorigin="34,14" coordsize="3135,394">
              <v:shape style="position:absolute;left:34;top:14;width:3135;height:394" coordorigin="34,14" coordsize="3135,394" path="m34,408l3168,408,3168,14,34,14,34,408xe" filled="true" fillcolor="#d2d2d2" stroked="false">
                <v:path arrowok="t"/>
                <v:fill type="solid"/>
              </v:shape>
            </v:group>
            <v:group style="position:absolute;left:3202;top:14;width:22;height:394" coordorigin="3202,14" coordsize="22,394">
              <v:shape style="position:absolute;left:3202;top:14;width:22;height:394" coordorigin="3202,14" coordsize="22,394" path="m3202,408l3224,408,3224,14,3202,14,3202,408xe" filled="true" fillcolor="#e0ffff" stroked="false">
                <v:path arrowok="t"/>
                <v:fill type="solid"/>
              </v:shape>
            </v:group>
            <v:group style="position:absolute;left:9549;top:14;width:24;height:394" coordorigin="9549,14" coordsize="24,394">
              <v:shape style="position:absolute;left:9549;top:14;width:24;height:394" coordorigin="9549,14" coordsize="24,394" path="m9549,408l9573,408,9573,14,9549,14,9549,408xe" filled="true" fillcolor="#e0ffff" stroked="false">
                <v:path arrowok="t"/>
                <v:fill type="solid"/>
              </v:shape>
            </v:group>
            <v:group style="position:absolute;left:3224;top:14;width:6326;height:394" coordorigin="3224,14" coordsize="6326,394">
              <v:shape style="position:absolute;left:3224;top:14;width:6326;height:394" coordorigin="3224,14" coordsize="6326,394"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pt" strokecolor="#000000">
                <v:path arrowok="t"/>
              </v:shape>
            </v:group>
            <v:group style="position:absolute;left:3168;top:418;width:24;height:392" coordorigin="3168,418" coordsize="24,392">
              <v:shape style="position:absolute;left:3168;top:418;width:24;height:392" coordorigin="3168,418" coordsize="24,392" path="m3168,809l3192,809,3192,418,3168,418,3168,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5;height:392" coordorigin="34,418" coordsize="3135,392">
              <v:shape style="position:absolute;left:34;top:418;width:3135;height:392" coordorigin="34,418" coordsize="3135,392" path="m34,809l3168,809,3168,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2;top:418;width:22;height:392" coordorigin="3202,418" coordsize="22,392">
              <v:shape style="position:absolute;left:3202;top:418;width:22;height:392" coordorigin="3202,418" coordsize="22,392" path="m3202,809l3224,809,3224,418,3202,418,3202,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2;top:418;width:22;height:392" coordorigin="6392,418" coordsize="22,392">
              <v:shape style="position:absolute;left:6392;top:418;width:22;height:392" coordorigin="6392,418" coordsize="22,392" path="m6392,809l6414,809,6414,418,6392,418,6392,809xe" filled="true" fillcolor="#d2d2d2" stroked="false">
                <v:path arrowok="t"/>
                <v:fill type="solid"/>
              </v:shape>
            </v:group>
            <v:group style="position:absolute;left:6414;top:418;width:3136;height:392" coordorigin="6414,418" coordsize="3136,392">
              <v:shape style="position:absolute;left:6414;top:418;width:3136;height:392" coordorigin="6414,418" coordsize="3136,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0,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0,413e" filled="false" stroked="true" strokeweight=".48001pt" strokecolor="#000000">
                <v:path arrowok="t"/>
              </v:shape>
            </v:group>
            <v:group style="position:absolute;left:6390;top:413;width:3184;height:2" coordorigin="6390,413" coordsize="3184,2">
              <v:shape style="position:absolute;left:6390;top:413;width:3184;height:2" coordorigin="6390,413" coordsize="3184,0" path="m6390,413l9573,413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8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2" w:lineRule="auto" w:before="44"/>
        <w:ind w:left="153" w:right="659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3" w:right="4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3"/>
          <w:szCs w:val="13"/>
        </w:rPr>
      </w:pPr>
    </w:p>
    <w:p>
      <w:pPr>
        <w:pStyle w:val="BodyText"/>
        <w:spacing w:line="240" w:lineRule="auto"/>
        <w:ind w:left="580" w:right="0"/>
        <w:jc w:val="left"/>
      </w:pPr>
      <w:r>
        <w:rPr/>
        <w:t>新设子公司：</w:t>
      </w:r>
    </w:p>
    <w:p>
      <w:pPr>
        <w:pStyle w:val="BodyText"/>
        <w:spacing w:line="256" w:lineRule="auto" w:before="157"/>
        <w:ind w:right="0" w:firstLine="42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月，公司与中国科学技术大学及自然人纪金龙、陈意云、华蓓、张昱、李兆鹏共同出资成立</w:t>
      </w:r>
      <w:r>
        <w:rPr>
          <w:w w:val="100"/>
        </w:rPr>
        <w:t> </w:t>
      </w:r>
      <w:r>
        <w:rPr/>
        <w:t>中科国创，中科国创注册资本为</w:t>
      </w:r>
      <w:r>
        <w:rPr>
          <w:rFonts w:ascii="Times New Roman" w:hAnsi="Times New Roman" w:cs="Times New Roman" w:eastAsia="Times New Roman" w:hint="default"/>
        </w:rPr>
        <w:t>1,003.30</w:t>
      </w:r>
      <w:r>
        <w:rPr/>
        <w:t>万元，其中，公司认缴注册资本</w:t>
      </w:r>
      <w:r>
        <w:rPr>
          <w:rFonts w:ascii="Times New Roman" w:hAnsi="Times New Roman" w:cs="Times New Roman" w:eastAsia="Times New Roman" w:hint="default"/>
        </w:rPr>
        <w:t>6,872,610.00</w:t>
      </w:r>
      <w:r>
        <w:rPr/>
        <w:t>元，占中科国创注册</w:t>
      </w:r>
      <w:r>
        <w:rPr>
          <w:spacing w:val="-81"/>
        </w:rPr>
        <w:t> </w:t>
      </w:r>
      <w:r>
        <w:rPr>
          <w:spacing w:val="-81"/>
        </w:rPr>
      </w:r>
      <w:r>
        <w:rPr>
          <w:spacing w:val="-5"/>
        </w:rPr>
        <w:t>资本的</w:t>
      </w:r>
      <w:r>
        <w:rPr>
          <w:rFonts w:ascii="Times New Roman" w:hAnsi="Times New Roman" w:cs="Times New Roman" w:eastAsia="Times New Roman" w:hint="default"/>
          <w:spacing w:val="-5"/>
        </w:rPr>
        <w:t>68.50%</w:t>
      </w:r>
      <w:r>
        <w:rPr>
          <w:spacing w:val="-5"/>
        </w:rPr>
        <w:t>。截止</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日，公司已实际缴纳出资</w:t>
      </w:r>
      <w:r>
        <w:rPr>
          <w:rFonts w:ascii="Times New Roman" w:hAnsi="Times New Roman" w:cs="Times New Roman" w:eastAsia="Times New Roman" w:hint="default"/>
          <w:spacing w:val="-5"/>
        </w:rPr>
        <w:t>6,872,610.00</w:t>
      </w:r>
      <w:r>
        <w:rPr>
          <w:spacing w:val="-5"/>
        </w:rPr>
        <w:t>元，占中科国创实收资本的</w:t>
      </w:r>
      <w:r>
        <w:rPr>
          <w:rFonts w:ascii="Times New Roman" w:hAnsi="Times New Roman" w:cs="Times New Roman" w:eastAsia="Times New Roman" w:hint="default"/>
          <w:spacing w:val="-5"/>
        </w:rPr>
        <w:t>85.63%</w:t>
      </w:r>
      <w:r>
        <w:rPr>
          <w:spacing w:val="-5"/>
        </w:rPr>
        <w:t>。</w:t>
      </w:r>
      <w:r>
        <w:rPr>
          <w:spacing w:val="-11"/>
        </w:rPr>
        <w:t> </w:t>
      </w:r>
      <w:r>
        <w:rPr/>
        <w:t>中科国创自</w:t>
      </w:r>
      <w:r>
        <w:rPr>
          <w:rFonts w:ascii="Times New Roman" w:hAnsi="Times New Roman" w:cs="Times New Roman" w:eastAsia="Times New Roman" w:hint="default"/>
        </w:rPr>
        <w:t>2017</w:t>
      </w:r>
      <w:r>
        <w:rPr/>
        <w:t>年成立之日起纳入合并范围。</w:t>
      </w:r>
    </w:p>
    <w:p>
      <w:pPr>
        <w:pStyle w:val="BodyText"/>
        <w:spacing w:line="256" w:lineRule="auto" w:before="125"/>
        <w:ind w:right="0" w:firstLine="427"/>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月，公司新设全资子公司智能科技，智能科技注册资本为</w:t>
      </w:r>
      <w:r>
        <w:rPr>
          <w:rFonts w:ascii="Times New Roman" w:hAnsi="Times New Roman" w:cs="Times New Roman" w:eastAsia="Times New Roman" w:hint="default"/>
          <w:spacing w:val="-4"/>
        </w:rPr>
        <w:t>1,000.00</w:t>
      </w:r>
      <w:r>
        <w:rPr>
          <w:spacing w:val="-4"/>
        </w:rPr>
        <w:t>万元。截止</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spacing w:val="-3"/>
          <w:w w:val="100"/>
        </w:rPr>
        <w:t> </w:t>
      </w:r>
      <w:r>
        <w:rPr/>
        <w:t>公司认缴注册资本尚未缴纳。智能科技自</w:t>
      </w:r>
      <w:r>
        <w:rPr>
          <w:rFonts w:ascii="Times New Roman" w:hAnsi="Times New Roman" w:cs="Times New Roman" w:eastAsia="Times New Roman" w:hint="default"/>
        </w:rPr>
        <w:t>2017</w:t>
      </w:r>
      <w:r>
        <w:rPr/>
        <w:t>年成立之日起纳入合并范围。</w:t>
      </w:r>
    </w:p>
    <w:p>
      <w:pPr>
        <w:pStyle w:val="BodyText"/>
        <w:spacing w:line="240" w:lineRule="auto" w:before="125"/>
        <w:ind w:left="580" w:right="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月，公司控股子公司慧通互联新设全资子公司慧通物流，慧通物流注册资本</w:t>
      </w:r>
      <w:r>
        <w:rPr>
          <w:rFonts w:ascii="Times New Roman" w:hAnsi="Times New Roman" w:cs="Times New Roman" w:eastAsia="Times New Roman" w:hint="default"/>
          <w:spacing w:val="-3"/>
        </w:rPr>
        <w:t>500.00</w:t>
      </w:r>
      <w:r>
        <w:rPr>
          <w:spacing w:val="-3"/>
        </w:rPr>
        <w:t>万元。截止</w:t>
      </w:r>
    </w:p>
    <w:p>
      <w:pPr>
        <w:pStyle w:val="BodyText"/>
        <w:spacing w:line="240" w:lineRule="auto" w:before="22"/>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日，慧通互联已实际缴纳出资</w:t>
      </w:r>
      <w:r>
        <w:rPr>
          <w:rFonts w:ascii="Times New Roman" w:hAnsi="Times New Roman" w:cs="Times New Roman" w:eastAsia="Times New Roman" w:hint="default"/>
        </w:rPr>
        <w:t>457.00</w:t>
      </w:r>
      <w:r>
        <w:rPr/>
        <w:t>万元。慧通物流自</w:t>
      </w:r>
      <w:r>
        <w:rPr>
          <w:rFonts w:ascii="Times New Roman" w:hAnsi="Times New Roman" w:cs="Times New Roman" w:eastAsia="Times New Roman" w:hint="default"/>
        </w:rPr>
        <w:t>2017</w:t>
      </w:r>
      <w:r>
        <w:rPr/>
        <w:t>年成立之日起纳入合并范围。</w:t>
      </w:r>
    </w:p>
    <w:p>
      <w:pPr>
        <w:spacing w:after="0" w:line="240" w:lineRule="auto"/>
        <w:jc w:val="left"/>
        <w:sectPr>
          <w:pgSz w:w="11910" w:h="16840"/>
          <w:pgMar w:header="748" w:footer="979" w:top="1060" w:bottom="1160" w:left="980" w:right="92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49"/>
        <w:ind w:left="153" w:right="185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7"/>
        <w:ind w:left="153" w:right="671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878,984.42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2,319,256.67</w:t>
            </w: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5"/>
        <w:gridCol w:w="737"/>
        <w:gridCol w:w="737"/>
        <w:gridCol w:w="735"/>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慧通互 联</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233,168,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251.11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4,655,64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center"/>
              <w:rPr>
                <w:rFonts w:ascii="Times New Roman" w:hAnsi="Times New Roman" w:cs="Times New Roman" w:eastAsia="Times New Roman" w:hint="default"/>
                <w:sz w:val="18"/>
                <w:szCs w:val="18"/>
              </w:rPr>
            </w:pPr>
            <w:r>
              <w:rPr>
                <w:rFonts w:ascii="Times New Roman"/>
                <w:sz w:val="18"/>
              </w:rPr>
              <w:t>237,823,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898.39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232,025,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232,025,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756.71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137,880,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478.32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1,244,87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center"/>
              <w:rPr>
                <w:rFonts w:ascii="Times New Roman" w:hAnsi="Times New Roman" w:cs="Times New Roman" w:eastAsia="Times New Roman" w:hint="default"/>
                <w:sz w:val="18"/>
                <w:szCs w:val="18"/>
              </w:rPr>
            </w:pPr>
            <w:r>
              <w:rPr>
                <w:rFonts w:ascii="Times New Roman"/>
                <w:sz w:val="18"/>
              </w:rPr>
              <w:t>139,125,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 w:right="0"/>
              <w:jc w:val="center"/>
              <w:rPr>
                <w:rFonts w:ascii="Times New Roman" w:hAnsi="Times New Roman" w:cs="Times New Roman" w:eastAsia="Times New Roman" w:hint="default"/>
                <w:sz w:val="18"/>
                <w:szCs w:val="18"/>
              </w:rPr>
            </w:pPr>
            <w:r>
              <w:rPr>
                <w:rFonts w:ascii="Times New Roman"/>
                <w:sz w:val="18"/>
              </w:rPr>
              <w:t>140,524,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677.42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center"/>
              <w:rPr>
                <w:rFonts w:ascii="Times New Roman" w:hAnsi="Times New Roman" w:cs="Times New Roman" w:eastAsia="Times New Roman" w:hint="default"/>
                <w:sz w:val="18"/>
                <w:szCs w:val="18"/>
              </w:rPr>
            </w:pPr>
            <w:r>
              <w:rPr>
                <w:rFonts w:ascii="Times New Roman"/>
                <w:sz w:val="18"/>
              </w:rPr>
              <w:t>140,524,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677.42</w:t>
            </w:r>
          </w:p>
        </w:tc>
      </w:tr>
    </w:tbl>
    <w:p>
      <w:pPr>
        <w:spacing w:before="4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4"/>
        <w:gridCol w:w="1063"/>
        <w:gridCol w:w="1066"/>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22,378,438.4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2,197,461.05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2,197,461.05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77,810,726.1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10,550,220.9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-7,227,488.02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-7,227,488.02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132,559,298.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1369"/>
        <w:gridCol w:w="1366"/>
        <w:gridCol w:w="1366"/>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8" w:footer="979" w:top="1060" w:bottom="1160" w:left="980" w:right="98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4,372,358.56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173,626.33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173,626.33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12,771.82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3" w:right="45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both"/>
        <w:rPr>
          <w:b w:val="0"/>
          <w:bCs w:val="0"/>
        </w:rPr>
      </w:pPr>
      <w:r>
        <w:rPr/>
        <w:t>十、与金融工具相关的风险</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0" w:firstLine="427"/>
        <w:jc w:val="left"/>
      </w:pPr>
      <w:r>
        <w:rPr>
          <w:spacing w:val="-3"/>
        </w:rPr>
        <w:t>本公司在经营过程中面临信用风险、市场风险和流动性风险等多种金融风险。公司经营管理层对这些</w:t>
      </w:r>
      <w:r>
        <w:rPr>
          <w:w w:val="100"/>
        </w:rPr>
        <w:t> </w:t>
      </w:r>
      <w:r>
        <w:rPr/>
        <w:t>风险敞口进行管理和监控以确保将上述风险控制在限定的范围之内。</w:t>
      </w:r>
    </w:p>
    <w:p>
      <w:pPr>
        <w:pStyle w:val="BodyText"/>
        <w:spacing w:line="273" w:lineRule="auto" w:before="8"/>
        <w:ind w:left="580" w:right="0"/>
        <w:jc w:val="left"/>
      </w:pPr>
      <w:r>
        <w:rPr/>
        <w:t>（一）信用风险</w:t>
      </w:r>
      <w:r>
        <w:rPr>
          <w:spacing w:val="-103"/>
        </w:rPr>
        <w:t> </w:t>
      </w:r>
      <w:r>
        <w:rPr>
          <w:spacing w:val="-103"/>
        </w:rPr>
      </w:r>
      <w:r>
        <w:rPr>
          <w:spacing w:val="-3"/>
        </w:rPr>
        <w:t>信用风险是指金融工具的一方不履行义务，造成另一方发生财务损失的风险。本公司应收账款客户主</w:t>
      </w:r>
    </w:p>
    <w:p>
      <w:pPr>
        <w:pStyle w:val="BodyText"/>
        <w:spacing w:line="273" w:lineRule="auto" w:before="7"/>
        <w:ind w:right="146"/>
        <w:jc w:val="both"/>
      </w:pPr>
      <w:r>
        <w:rPr>
          <w:spacing w:val="-2"/>
        </w:rPr>
        <w:t>要为国有大中型企业以及政府部门、事业单位，信用状况良好，信用风险低。本公司其他金融资产包括货</w:t>
      </w:r>
      <w:r>
        <w:rPr>
          <w:spacing w:val="-47"/>
        </w:rPr>
        <w:t> </w:t>
      </w:r>
      <w:r>
        <w:rPr>
          <w:spacing w:val="-47"/>
        </w:rPr>
      </w:r>
      <w:r>
        <w:rPr>
          <w:spacing w:val="-2"/>
        </w:rPr>
        <w:t>币资金及其他应收款等，这些金融资产的信用风险源自交易对手违约，最大风险敞口等于这些工具的账面</w:t>
      </w:r>
      <w:r>
        <w:rPr>
          <w:spacing w:val="-42"/>
        </w:rPr>
        <w:t> </w:t>
      </w:r>
      <w:r>
        <w:rPr>
          <w:spacing w:val="-42"/>
        </w:rPr>
      </w:r>
      <w:r>
        <w:rPr/>
        <w:t>金额。本公司无因提供财务担保而面临的信用风险。</w:t>
      </w:r>
    </w:p>
    <w:p>
      <w:pPr>
        <w:pStyle w:val="BodyText"/>
        <w:spacing w:line="273" w:lineRule="auto" w:before="7"/>
        <w:ind w:left="580" w:right="0"/>
        <w:jc w:val="left"/>
      </w:pPr>
      <w:r>
        <w:rPr/>
        <w:t>（二）市场风险</w:t>
      </w:r>
      <w:r>
        <w:rPr>
          <w:spacing w:val="-103"/>
        </w:rPr>
        <w:t> </w:t>
      </w:r>
      <w:r>
        <w:rPr>
          <w:spacing w:val="-103"/>
        </w:rPr>
      </w:r>
      <w:r>
        <w:rPr>
          <w:spacing w:val="-2"/>
        </w:rPr>
        <w:t>金融工具的市场风险，是指金融工具的公允价值或未来现金流量因市场价格变动而发生波动的风险，</w:t>
      </w:r>
    </w:p>
    <w:p>
      <w:pPr>
        <w:pStyle w:val="BodyText"/>
        <w:spacing w:line="240" w:lineRule="auto" w:before="7"/>
        <w:ind w:right="0"/>
        <w:jc w:val="both"/>
      </w:pPr>
      <w:r>
        <w:rPr/>
        <w:t>包括外汇风险、利率风险和其他价格风险。</w:t>
      </w:r>
    </w:p>
    <w:p>
      <w:pPr>
        <w:pStyle w:val="BodyText"/>
        <w:spacing w:line="256" w:lineRule="auto" w:before="37"/>
        <w:ind w:left="580" w:right="0"/>
        <w:jc w:val="left"/>
      </w:pPr>
      <w:r>
        <w:rPr>
          <w:rFonts w:ascii="Times New Roman" w:hAnsi="Times New Roman" w:cs="Times New Roman" w:eastAsia="Times New Roman" w:hint="default"/>
        </w:rPr>
        <w:t>1.</w:t>
      </w:r>
      <w:r>
        <w:rPr/>
        <w:t>外汇风险</w:t>
      </w:r>
      <w:r>
        <w:rPr>
          <w:spacing w:val="-103"/>
        </w:rPr>
        <w:t> </w:t>
      </w:r>
      <w:r>
        <w:rPr>
          <w:spacing w:val="-103"/>
        </w:rPr>
      </w:r>
      <w:r>
        <w:rPr>
          <w:spacing w:val="-3"/>
        </w:rPr>
        <w:t>外汇风险，是指金融工具的公允价值或未来现金流量因外汇汇率变动而发生波动的风险。本公司面临</w:t>
      </w:r>
    </w:p>
    <w:p>
      <w:pPr>
        <w:pStyle w:val="BodyText"/>
        <w:spacing w:line="273" w:lineRule="auto" w:before="22"/>
        <w:ind w:right="0"/>
        <w:jc w:val="left"/>
      </w:pPr>
      <w:r>
        <w:rPr>
          <w:spacing w:val="-2"/>
        </w:rPr>
        <w:t>的外汇风险主要来源于以日元结算的国际软件业务收入以及日元存款。近年来，国际外汇市场尤其是日元</w:t>
      </w:r>
      <w:r>
        <w:rPr>
          <w:spacing w:val="-43"/>
        </w:rPr>
        <w:t> </w:t>
      </w:r>
      <w:r>
        <w:rPr>
          <w:spacing w:val="-43"/>
        </w:rPr>
      </w:r>
      <w:r>
        <w:rPr/>
        <w:t>汇率大幅波动，汇率的变动可能会导致汇兑净损失，从而对公司的财务状况造成影响。</w:t>
      </w:r>
    </w:p>
    <w:p>
      <w:pPr>
        <w:pStyle w:val="BodyText"/>
        <w:spacing w:line="256" w:lineRule="auto" w:before="7"/>
        <w:ind w:left="580" w:right="0"/>
        <w:jc w:val="left"/>
      </w:pPr>
      <w:r>
        <w:rPr>
          <w:rFonts w:ascii="Times New Roman" w:hAnsi="Times New Roman" w:cs="Times New Roman" w:eastAsia="Times New Roman" w:hint="default"/>
        </w:rPr>
        <w:t>2.</w:t>
      </w:r>
      <w:r>
        <w:rPr/>
        <w:t>利率风险</w:t>
      </w:r>
      <w:r>
        <w:rPr>
          <w:spacing w:val="-103"/>
        </w:rPr>
        <w:t> </w:t>
      </w:r>
      <w:r>
        <w:rPr>
          <w:spacing w:val="-103"/>
        </w:rPr>
      </w:r>
      <w:r>
        <w:rPr>
          <w:spacing w:val="-3"/>
        </w:rPr>
        <w:t>利率风险，是指金融工具的公允价值或未来现金流量因市场利率变动而发生波动的风险。本公司面临</w:t>
      </w:r>
    </w:p>
    <w:p>
      <w:pPr>
        <w:pStyle w:val="BodyText"/>
        <w:spacing w:line="273" w:lineRule="auto" w:before="22"/>
        <w:ind w:right="0"/>
        <w:jc w:val="left"/>
      </w:pPr>
      <w:r>
        <w:rPr>
          <w:spacing w:val="-2"/>
        </w:rPr>
        <w:t>的利率风险主要来源于银行借款。公司通过建立良好的银企关系，对授信额度、授信品种以及授信期限进</w:t>
      </w:r>
      <w:r>
        <w:rPr>
          <w:spacing w:val="-43"/>
        </w:rPr>
        <w:t> </w:t>
      </w:r>
      <w:r>
        <w:rPr>
          <w:spacing w:val="-43"/>
        </w:rPr>
      </w:r>
      <w:r>
        <w:rPr/>
        <w:t>行合理的设计，保障银行授信额度充足，满足公司各类短期融资需求。</w:t>
      </w:r>
    </w:p>
    <w:p>
      <w:pPr>
        <w:pStyle w:val="BodyText"/>
        <w:spacing w:line="273" w:lineRule="auto" w:before="7"/>
        <w:ind w:left="580" w:right="0"/>
        <w:jc w:val="left"/>
      </w:pPr>
      <w:r>
        <w:rPr/>
        <w:t>（三）流动性风险</w:t>
      </w:r>
      <w:r>
        <w:rPr>
          <w:w w:val="100"/>
        </w:rPr>
        <w:t> </w:t>
      </w:r>
      <w:r>
        <w:rPr>
          <w:spacing w:val="-2"/>
        </w:rPr>
        <w:t>流动性风险，是指企业在履行以交付现金或其他金融资产的方式结算的义务时发生资金短缺的风险。</w:t>
      </w:r>
    </w:p>
    <w:p>
      <w:pPr>
        <w:pStyle w:val="BodyText"/>
        <w:spacing w:line="264" w:lineRule="auto" w:before="7"/>
        <w:ind w:right="146"/>
        <w:jc w:val="both"/>
      </w:pPr>
      <w:r>
        <w:rPr>
          <w:spacing w:val="-2"/>
        </w:rPr>
        <w:t>本公司的政策是确保拥有充足的现金以偿还到期债务。流动性风险由本公司的财务部门集中控制。财务部</w:t>
      </w:r>
      <w:r>
        <w:rPr>
          <w:spacing w:val="-44"/>
        </w:rPr>
        <w:t> </w:t>
      </w:r>
      <w:r>
        <w:rPr>
          <w:spacing w:val="-44"/>
        </w:rPr>
      </w:r>
      <w:r>
        <w:rPr>
          <w:spacing w:val="-2"/>
        </w:rPr>
        <w:t>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w:t>
      </w:r>
      <w:r>
        <w:rPr>
          <w:spacing w:val="-41"/>
        </w:rPr>
        <w:t> </w:t>
      </w:r>
      <w:r>
        <w:rPr>
          <w:spacing w:val="-41"/>
        </w:rPr>
      </w:r>
      <w:r>
        <w:rPr/>
        <w:t>理预测的情况下拥有充足的资金偿还债务。</w:t>
      </w:r>
    </w:p>
    <w:p>
      <w:pPr>
        <w:spacing w:after="0" w:line="264" w:lineRule="auto"/>
        <w:jc w:val="both"/>
        <w:sectPr>
          <w:pgSz w:w="11910" w:h="16840"/>
          <w:pgMar w:header="748"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7"/>
        <w:gridCol w:w="1913"/>
        <w:gridCol w:w="1913"/>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71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合肥国创智能科技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34.01%</w:t>
            </w: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本企业最终控制方是董永东、杨杨、史兴领、许广德。 其他说明：</w:t>
      </w:r>
    </w:p>
    <w:p>
      <w:pPr>
        <w:pStyle w:val="BodyText"/>
        <w:spacing w:line="256" w:lineRule="auto" w:before="86"/>
        <w:ind w:right="124"/>
        <w:jc w:val="both"/>
      </w:pPr>
      <w:r>
        <w:rPr>
          <w:spacing w:val="-2"/>
        </w:rPr>
        <w:t>董永东、杨杨、史兴领、许广德为本公司的实际控制人，截至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日，董永东、杨杨、史兴领、</w:t>
      </w:r>
      <w:r>
        <w:rPr>
          <w:spacing w:val="-13"/>
        </w:rPr>
        <w:t> </w:t>
      </w:r>
      <w:r>
        <w:rPr>
          <w:spacing w:val="-13"/>
        </w:rPr>
      </w:r>
      <w:r>
        <w:rPr/>
        <w:t>许广德通过合肥国创间接控制公司</w:t>
      </w:r>
      <w:r>
        <w:rPr>
          <w:rFonts w:ascii="Times New Roman" w:hAnsi="Times New Roman" w:cs="Times New Roman" w:eastAsia="Times New Roman" w:hint="default"/>
        </w:rPr>
        <w:t>34.01%</w:t>
      </w:r>
      <w:r>
        <w:rPr/>
        <w:t>的股权，董永东、杨杨、史兴领直接持有公司</w:t>
      </w:r>
      <w:r>
        <w:rPr>
          <w:rFonts w:ascii="Times New Roman" w:hAnsi="Times New Roman" w:cs="Times New Roman" w:eastAsia="Times New Roman" w:hint="default"/>
        </w:rPr>
        <w:t>9.33%</w:t>
      </w:r>
      <w:r>
        <w:rPr/>
        <w:t>的股权，据</w:t>
      </w:r>
      <w:r>
        <w:rPr>
          <w:spacing w:val="-59"/>
        </w:rPr>
        <w:t> </w:t>
      </w:r>
      <w:r>
        <w:rPr>
          <w:spacing w:val="-59"/>
        </w:rPr>
      </w:r>
      <w:r>
        <w:rPr/>
        <w:t>此，实际控制人合计控制公司</w:t>
      </w:r>
      <w:r>
        <w:rPr>
          <w:rFonts w:ascii="Times New Roman" w:hAnsi="Times New Roman" w:cs="Times New Roman" w:eastAsia="Times New Roman" w:hint="default"/>
        </w:rPr>
        <w:t>43.34%</w:t>
      </w:r>
      <w:r>
        <w:rPr/>
        <w:t>的股权。</w:t>
      </w:r>
    </w:p>
    <w:p>
      <w:pPr>
        <w:spacing w:after="0" w:line="256" w:lineRule="auto"/>
        <w:jc w:val="both"/>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中电科（上海）公共设施运营管理有限公司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上海雅弘股权投资基金中心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以上股份的主要股东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公司股东，并向公司委派董事</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公司员工设立的投资公司，其董事长由科大国创董事长董永 东兼任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公司董事担任总经理</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中电科（上海）公共设施运营管理有限公司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云上神州浪潮国创大数据产业发展有限公司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7"/>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中电科（上海）公共设施运营 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2,849,621.04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980"/>
        </w:sectPr>
      </w:pPr>
    </w:p>
    <w:p>
      <w:pPr>
        <w:spacing w:line="340" w:lineRule="auto" w:before="50"/>
        <w:ind w:left="153"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4" w:space="6285"/>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96"/>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日，合肥国创为本公司</w:t>
      </w:r>
      <w:r>
        <w:rPr>
          <w:rFonts w:ascii="Times New Roman" w:hAnsi="Times New Roman" w:cs="Times New Roman" w:eastAsia="Times New Roman" w:hint="default"/>
        </w:rPr>
        <w:t>48,763,642.53</w:t>
      </w:r>
      <w:r>
        <w:rPr/>
        <w:t>元银行承兑汇票提供连带责任保证。</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2,340,000.00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0"/>
        <w:jc w:val="left"/>
      </w:pPr>
      <w:r>
        <w:rPr>
          <w:spacing w:val="-2"/>
        </w:rPr>
        <w:t>本年度公司向关联方安徽贵博新能科技有限公司采购价值</w:t>
      </w:r>
      <w:r>
        <w:rPr>
          <w:rFonts w:ascii="Times New Roman" w:hAnsi="Times New Roman" w:cs="Times New Roman" w:eastAsia="Times New Roman" w:hint="default"/>
          <w:spacing w:val="-2"/>
        </w:rPr>
        <w:t>273,000.00</w:t>
      </w:r>
      <w:r>
        <w:rPr>
          <w:spacing w:val="-2"/>
        </w:rPr>
        <w:t>元（含税）的光伏储能微电网系统用</w:t>
      </w:r>
      <w:r>
        <w:rPr>
          <w:spacing w:val="-13"/>
        </w:rPr>
        <w:t> </w:t>
      </w:r>
      <w:r>
        <w:rPr>
          <w:spacing w:val="-13"/>
        </w:rPr>
      </w:r>
      <w:r>
        <w:rPr/>
        <w:t>于办公楼的节能改造。</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7"/>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777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before="1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日召开了第二届董事会第十七次会议和第二届监事会第十三次会议，审议通过了《关</w:t>
      </w:r>
      <w:r>
        <w:rPr>
          <w:w w:val="100"/>
        </w:rPr>
        <w:t> </w:t>
      </w:r>
      <w:r>
        <w:rPr>
          <w:spacing w:val="-2"/>
        </w:rPr>
        <w:t>于终止实施限制性股票激励计划的议案》，公司终止实施</w:t>
      </w:r>
      <w:r>
        <w:rPr>
          <w:rFonts w:ascii="Times New Roman" w:hAnsi="Times New Roman" w:cs="Times New Roman" w:eastAsia="Times New Roman" w:hint="default"/>
          <w:spacing w:val="-2"/>
        </w:rPr>
        <w:t>“2016</w:t>
      </w:r>
      <w:r>
        <w:rPr>
          <w:spacing w:val="-2"/>
        </w:rPr>
        <w:t>年限制性股票激励计划</w:t>
      </w:r>
      <w:r>
        <w:rPr>
          <w:rFonts w:ascii="Times New Roman" w:hAnsi="Times New Roman" w:cs="Times New Roman" w:eastAsia="Times New Roman" w:hint="default"/>
          <w:spacing w:val="-2"/>
        </w:rPr>
        <w:t>”</w:t>
      </w:r>
      <w:r>
        <w:rPr>
          <w:spacing w:val="-2"/>
        </w:rPr>
        <w:t>，公司独立董事发</w:t>
      </w:r>
      <w:r>
        <w:rPr>
          <w:spacing w:val="-19"/>
        </w:rPr>
        <w:t> </w:t>
      </w:r>
      <w:r>
        <w:rPr>
          <w:spacing w:val="-19"/>
        </w:rPr>
      </w:r>
      <w:r>
        <w:rPr/>
        <w:t>表了同意的独立意见，律师事务所亦出具了法律意见书。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日，公司召开</w:t>
      </w:r>
      <w:r>
        <w:rPr>
          <w:rFonts w:ascii="Times New Roman" w:hAnsi="Times New Roman" w:cs="Times New Roman" w:eastAsia="Times New Roman" w:hint="default"/>
        </w:rPr>
        <w:t>2017</w:t>
      </w:r>
      <w:r>
        <w:rPr/>
        <w:t>年第二次临时股</w:t>
      </w:r>
      <w:r>
        <w:rPr>
          <w:w w:val="100"/>
        </w:rPr>
        <w:t> </w:t>
      </w:r>
      <w:r>
        <w:rPr>
          <w:spacing w:val="-2"/>
        </w:rPr>
        <w:t>东大会，审议通过上述议案。根据《企业会计准则》的相关规定，公司因本次终止及注销激励计划在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年共计提</w:t>
      </w:r>
      <w:r>
        <w:rPr>
          <w:rFonts w:ascii="Times New Roman" w:hAnsi="Times New Roman" w:cs="Times New Roman" w:eastAsia="Times New Roman" w:hint="default"/>
        </w:rPr>
        <w:t>3,116.34</w:t>
      </w:r>
      <w:r>
        <w:rPr/>
        <w:t>万元股份支付费用，同时本期库存股减少</w:t>
      </w:r>
      <w:r>
        <w:rPr>
          <w:rFonts w:ascii="Times New Roman" w:hAnsi="Times New Roman" w:cs="Times New Roman" w:eastAsia="Times New Roman" w:hint="default"/>
        </w:rPr>
        <w:t>180,318,750.00</w:t>
      </w:r>
      <w:r>
        <w:rPr/>
        <w:t>元。</w:t>
      </w:r>
    </w:p>
    <w:p>
      <w:pPr>
        <w:spacing w:line="240" w:lineRule="auto" w:before="3"/>
        <w:rPr>
          <w:rFonts w:ascii="宋体" w:hAnsi="宋体" w:cs="宋体" w:eastAsia="宋体" w:hint="default"/>
          <w:sz w:val="18"/>
          <w:szCs w:val="18"/>
        </w:rPr>
      </w:pPr>
    </w:p>
    <w:p>
      <w:pPr>
        <w:spacing w:line="376" w:lineRule="auto" w:before="0"/>
        <w:ind w:left="153" w:right="7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before="174"/>
        <w:ind w:left="153"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十五、资产负债表日后事项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5,060,000.00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5,060,000.00</w:t>
            </w:r>
          </w:p>
        </w:tc>
      </w:tr>
    </w:tbl>
    <w:p>
      <w:pPr>
        <w:spacing w:line="240" w:lineRule="auto" w:before="5"/>
        <w:rPr>
          <w:rFonts w:ascii="宋体" w:hAnsi="宋体" w:cs="宋体" w:eastAsia="宋体" w:hint="default"/>
          <w:sz w:val="19"/>
          <w:szCs w:val="19"/>
        </w:rPr>
      </w:pPr>
    </w:p>
    <w:p>
      <w:pPr>
        <w:pStyle w:val="Heading3"/>
        <w:spacing w:line="335" w:lineRule="exact"/>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00" w:lineRule="auto" w:before="0"/>
        <w:ind w:left="153" w:right="148" w:firstLine="0"/>
        <w:jc w:val="both"/>
        <w:rPr>
          <w:rFonts w:ascii="宋体" w:hAnsi="宋体" w:cs="宋体" w:eastAsia="宋体" w:hint="default"/>
          <w:sz w:val="18"/>
          <w:szCs w:val="18"/>
        </w:rPr>
      </w:pPr>
      <w:r>
        <w:rPr>
          <w:rFonts w:ascii="宋体" w:hAnsi="宋体" w:cs="宋体" w:eastAsia="宋体" w:hint="default"/>
          <w:spacing w:val="-2"/>
          <w:sz w:val="18"/>
          <w:szCs w:val="18"/>
        </w:rPr>
        <w:t>股利分配方案：根据</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日公司第二届董事会二十二次会议决议，公司拟以现有总股本</w:t>
      </w:r>
      <w:r>
        <w:rPr>
          <w:rFonts w:ascii="Times New Roman" w:hAnsi="Times New Roman" w:cs="Times New Roman" w:eastAsia="Times New Roman" w:hint="default"/>
          <w:spacing w:val="-2"/>
          <w:sz w:val="18"/>
          <w:szCs w:val="18"/>
        </w:rPr>
        <w:t>202,400,000</w:t>
      </w:r>
      <w:r>
        <w:rPr>
          <w:rFonts w:ascii="宋体" w:hAnsi="宋体" w:cs="宋体" w:eastAsia="宋体" w:hint="default"/>
          <w:spacing w:val="-2"/>
          <w:sz w:val="18"/>
          <w:szCs w:val="18"/>
        </w:rPr>
        <w:t>股为基数，向全</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体股东按每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股派发现金股利人民币</w:t>
      </w:r>
      <w:r>
        <w:rPr>
          <w:rFonts w:ascii="Times New Roman" w:hAnsi="Times New Roman" w:cs="Times New Roman" w:eastAsia="Times New Roman" w:hint="default"/>
          <w:spacing w:val="-2"/>
          <w:sz w:val="18"/>
          <w:szCs w:val="18"/>
        </w:rPr>
        <w:t>0.25</w:t>
      </w:r>
      <w:r>
        <w:rPr>
          <w:rFonts w:ascii="宋体" w:hAnsi="宋体" w:cs="宋体" w:eastAsia="宋体" w:hint="default"/>
          <w:spacing w:val="-2"/>
          <w:sz w:val="18"/>
          <w:szCs w:val="18"/>
        </w:rPr>
        <w:t>元（含税），合计派发现金股利</w:t>
      </w:r>
      <w:r>
        <w:rPr>
          <w:rFonts w:ascii="Times New Roman" w:hAnsi="Times New Roman" w:cs="Times New Roman" w:eastAsia="Times New Roman" w:hint="default"/>
          <w:spacing w:val="-2"/>
          <w:sz w:val="18"/>
          <w:szCs w:val="18"/>
        </w:rPr>
        <w:t>5,060,000.00</w:t>
      </w:r>
      <w:r>
        <w:rPr>
          <w:rFonts w:ascii="宋体" w:hAnsi="宋体" w:cs="宋体" w:eastAsia="宋体" w:hint="default"/>
          <w:spacing w:val="-2"/>
          <w:sz w:val="18"/>
          <w:szCs w:val="18"/>
        </w:rPr>
        <w:t>元（含税），剩余未分配利润结转以后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年度。</w:t>
      </w:r>
    </w:p>
    <w:p>
      <w:pPr>
        <w:spacing w:before="31"/>
        <w:ind w:left="153" w:right="0" w:firstLine="0"/>
        <w:jc w:val="both"/>
        <w:rPr>
          <w:rFonts w:ascii="宋体" w:hAnsi="宋体" w:cs="宋体" w:eastAsia="宋体" w:hint="default"/>
          <w:sz w:val="18"/>
          <w:szCs w:val="18"/>
        </w:rPr>
      </w:pPr>
      <w:r>
        <w:rPr>
          <w:rFonts w:ascii="宋体" w:hAnsi="宋体" w:cs="宋体" w:eastAsia="宋体" w:hint="default"/>
          <w:sz w:val="18"/>
          <w:szCs w:val="18"/>
        </w:rPr>
        <w:t>除上述事项外，截至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日，本公司无需要披露的重要资产负债表日后事项。</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590" w:lineRule="atLeast" w:before="24"/>
        <w:ind w:left="580" w:right="0" w:hanging="428"/>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3"/>
          <w:sz w:val="21"/>
          <w:szCs w:val="21"/>
        </w:rPr>
        <w:t>本公司以内部组织结构、管理要求、内部报告制度为依据确定经营分部，以经营分部为基础确定报告</w:t>
      </w:r>
    </w:p>
    <w:p>
      <w:pPr>
        <w:pStyle w:val="BodyText"/>
        <w:spacing w:line="240" w:lineRule="auto" w:before="37"/>
        <w:ind w:right="0"/>
        <w:jc w:val="left"/>
      </w:pPr>
      <w:r>
        <w:rPr/>
        <w:t>分部。</w:t>
      </w:r>
    </w:p>
    <w:p>
      <w:pPr>
        <w:pStyle w:val="BodyText"/>
        <w:spacing w:line="256" w:lineRule="auto" w:before="157"/>
        <w:ind w:right="148" w:firstLine="427"/>
        <w:jc w:val="both"/>
      </w:pPr>
      <w:r>
        <w:rPr/>
        <w:t>经营分部，是指本公司内同时满足下列条件的组成部分：（</w:t>
      </w:r>
      <w:r>
        <w:rPr>
          <w:rFonts w:ascii="Times New Roman" w:hAnsi="Times New Roman" w:cs="Times New Roman" w:eastAsia="Times New Roman" w:hint="default"/>
        </w:rPr>
        <w:t>1</w:t>
      </w:r>
      <w:r>
        <w:rPr/>
        <w:t>）该组成部分能够在日常活动中产生收</w:t>
      </w:r>
      <w:r>
        <w:rPr>
          <w:w w:val="100"/>
        </w:rPr>
        <w:t> </w:t>
      </w:r>
      <w:r>
        <w:rPr/>
        <w:t>入、发生费用；（</w:t>
      </w:r>
      <w:r>
        <w:rPr>
          <w:rFonts w:ascii="Times New Roman" w:hAnsi="Times New Roman" w:cs="Times New Roman" w:eastAsia="Times New Roman" w:hint="default"/>
        </w:rPr>
        <w:t>2</w:t>
      </w:r>
      <w:r>
        <w:rPr/>
        <w:t>）本公司管理层能够定期评价该组成部分的经营成果，以决定向其配置资源、评价其</w:t>
      </w:r>
      <w:r>
        <w:rPr>
          <w:spacing w:val="-23"/>
        </w:rPr>
        <w:t> </w:t>
      </w:r>
      <w:r>
        <w:rPr>
          <w:spacing w:val="-23"/>
        </w:rPr>
      </w:r>
      <w:r>
        <w:rPr/>
        <w:t>业绩；（</w:t>
      </w:r>
      <w:r>
        <w:rPr>
          <w:rFonts w:ascii="Times New Roman" w:hAnsi="Times New Roman" w:cs="Times New Roman" w:eastAsia="Times New Roman" w:hint="default"/>
        </w:rPr>
        <w:t>3</w:t>
      </w:r>
      <w:r>
        <w:rPr/>
        <w:t>）本公司能够取得该组成部分的财务状况、经营成果和现金流量等有关会计信息。</w:t>
      </w:r>
    </w:p>
    <w:p>
      <w:pPr>
        <w:pStyle w:val="BodyText"/>
        <w:spacing w:line="240" w:lineRule="auto" w:before="125"/>
        <w:ind w:left="580" w:right="0"/>
        <w:jc w:val="left"/>
      </w:pPr>
      <w:r>
        <w:rPr/>
        <w:t>本公司报告分部包括：</w:t>
      </w:r>
    </w:p>
    <w:p>
      <w:pPr>
        <w:pStyle w:val="BodyText"/>
        <w:spacing w:line="240" w:lineRule="auto" w:before="157"/>
        <w:ind w:left="580" w:right="0"/>
        <w:jc w:val="left"/>
      </w:pPr>
      <w:r>
        <w:rPr/>
        <w:t>（</w:t>
      </w:r>
      <w:r>
        <w:rPr>
          <w:rFonts w:ascii="Times New Roman" w:hAnsi="Times New Roman" w:cs="Times New Roman" w:eastAsia="Times New Roman" w:hint="default"/>
        </w:rPr>
        <w:t>1</w:t>
      </w:r>
      <w:r>
        <w:rPr/>
        <w:t>）科大国创软件股份有限公司；</w:t>
      </w:r>
    </w:p>
    <w:p>
      <w:pPr>
        <w:pStyle w:val="BodyText"/>
        <w:spacing w:line="240" w:lineRule="auto" w:before="141"/>
        <w:ind w:left="580" w:right="0"/>
        <w:jc w:val="left"/>
      </w:pPr>
      <w:r>
        <w:rPr/>
        <w:t>（</w:t>
      </w:r>
      <w:r>
        <w:rPr>
          <w:rFonts w:ascii="Times New Roman" w:hAnsi="Times New Roman" w:cs="Times New Roman" w:eastAsia="Times New Roman" w:hint="default"/>
        </w:rPr>
        <w:t>2</w:t>
      </w:r>
      <w:r>
        <w:rPr/>
        <w:t>）安徽科大国创云网科技有限公司；</w:t>
      </w:r>
    </w:p>
    <w:p>
      <w:pPr>
        <w:pStyle w:val="BodyText"/>
        <w:spacing w:line="240" w:lineRule="auto" w:before="141"/>
        <w:ind w:left="580" w:right="0"/>
        <w:jc w:val="left"/>
      </w:pPr>
      <w:r>
        <w:rPr/>
        <w:t>（</w:t>
      </w:r>
      <w:r>
        <w:rPr>
          <w:rFonts w:ascii="Times New Roman" w:hAnsi="Times New Roman" w:cs="Times New Roman" w:eastAsia="Times New Roman" w:hint="default"/>
        </w:rPr>
        <w:t>3</w:t>
      </w:r>
      <w:r>
        <w:rPr/>
        <w:t>）苏州科大国创信息技术有限公司；</w:t>
      </w:r>
    </w:p>
    <w:p>
      <w:pPr>
        <w:pStyle w:val="BodyText"/>
        <w:spacing w:line="240" w:lineRule="auto" w:before="142"/>
        <w:ind w:left="580" w:right="0"/>
        <w:jc w:val="left"/>
      </w:pPr>
      <w:r>
        <w:rPr/>
        <w:t>（</w:t>
      </w:r>
      <w:r>
        <w:rPr>
          <w:rFonts w:ascii="Times New Roman" w:hAnsi="Times New Roman" w:cs="Times New Roman" w:eastAsia="Times New Roman" w:hint="default"/>
        </w:rPr>
        <w:t>4</w:t>
      </w:r>
      <w:r>
        <w:rPr/>
        <w:t>）国创恒星（合肥）软件技术有限公司；</w:t>
      </w:r>
    </w:p>
    <w:p>
      <w:pPr>
        <w:pStyle w:val="BodyText"/>
        <w:spacing w:line="240" w:lineRule="auto" w:before="141"/>
        <w:ind w:left="580" w:right="0"/>
        <w:jc w:val="left"/>
      </w:pPr>
      <w:r>
        <w:rPr/>
        <w:t>（</w:t>
      </w:r>
      <w:r>
        <w:rPr>
          <w:rFonts w:ascii="Times New Roman" w:hAnsi="Times New Roman" w:cs="Times New Roman" w:eastAsia="Times New Roman" w:hint="default"/>
        </w:rPr>
        <w:t>5</w:t>
      </w:r>
      <w:r>
        <w:rPr/>
        <w:t>）安徽慧通互联科技有限公司；</w:t>
      </w:r>
    </w:p>
    <w:p>
      <w:pPr>
        <w:pStyle w:val="BodyText"/>
        <w:spacing w:line="240" w:lineRule="auto" w:before="141"/>
        <w:ind w:left="580" w:right="0"/>
        <w:jc w:val="left"/>
      </w:pPr>
      <w:r>
        <w:rPr/>
        <w:t>（</w:t>
      </w:r>
      <w:r>
        <w:rPr>
          <w:rFonts w:ascii="Times New Roman" w:hAnsi="Times New Roman" w:cs="Times New Roman" w:eastAsia="Times New Roman" w:hint="default"/>
        </w:rPr>
        <w:t>6</w:t>
      </w:r>
      <w:r>
        <w:rPr/>
        <w:t>）安徽慧通互联物流科技有限公司；</w:t>
      </w:r>
    </w:p>
    <w:p>
      <w:pPr>
        <w:pStyle w:val="BodyText"/>
        <w:spacing w:line="240" w:lineRule="auto" w:before="141"/>
        <w:ind w:left="580" w:right="0"/>
        <w:jc w:val="left"/>
      </w:pPr>
      <w:r>
        <w:rPr/>
        <w:t>（</w:t>
      </w:r>
      <w:r>
        <w:rPr>
          <w:rFonts w:ascii="Times New Roman" w:hAnsi="Times New Roman" w:cs="Times New Roman" w:eastAsia="Times New Roman" w:hint="default"/>
        </w:rPr>
        <w:t>7</w:t>
      </w:r>
      <w:r>
        <w:rPr/>
        <w:t>）安徽中科国创高可信软件有限公司；</w:t>
      </w:r>
    </w:p>
    <w:p>
      <w:pPr>
        <w:pStyle w:val="BodyText"/>
        <w:spacing w:line="240" w:lineRule="auto" w:before="141"/>
        <w:ind w:left="580" w:right="0"/>
        <w:jc w:val="left"/>
      </w:pPr>
      <w:r>
        <w:rPr/>
        <w:t>（</w:t>
      </w:r>
      <w:r>
        <w:rPr>
          <w:rFonts w:ascii="Times New Roman" w:hAnsi="Times New Roman" w:cs="Times New Roman" w:eastAsia="Times New Roman" w:hint="default"/>
        </w:rPr>
        <w:t>8</w:t>
      </w:r>
      <w:r>
        <w:rPr/>
        <w:t>）株式会社科大国创；</w:t>
      </w:r>
    </w:p>
    <w:p>
      <w:pPr>
        <w:pStyle w:val="BodyText"/>
        <w:spacing w:line="357" w:lineRule="auto" w:before="141"/>
        <w:ind w:left="578" w:right="773" w:firstLine="2"/>
        <w:jc w:val="left"/>
      </w:pPr>
      <w:r>
        <w:rPr/>
        <w:t>（</w:t>
      </w:r>
      <w:r>
        <w:rPr>
          <w:rFonts w:ascii="Times New Roman" w:hAnsi="Times New Roman" w:cs="Times New Roman" w:eastAsia="Times New Roman" w:hint="default"/>
        </w:rPr>
        <w:t>9</w:t>
      </w:r>
      <w:r>
        <w:rPr/>
        <w:t>）安徽科大国创智能科技有限公司。</w:t>
      </w:r>
      <w:r>
        <w:rPr>
          <w:w w:val="100"/>
        </w:rPr>
        <w:t> </w:t>
      </w:r>
      <w:r>
        <w:rPr>
          <w:spacing w:val="-2"/>
        </w:rPr>
        <w:t>本公司经营分部的会计政策与本公司主要会计政策相同。</w:t>
      </w:r>
    </w:p>
    <w:p>
      <w:pPr>
        <w:spacing w:after="0" w:line="357" w:lineRule="auto"/>
        <w:jc w:val="left"/>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800"/>
        <w:gridCol w:w="797"/>
        <w:gridCol w:w="799"/>
        <w:gridCol w:w="797"/>
        <w:gridCol w:w="799"/>
        <w:gridCol w:w="797"/>
        <w:gridCol w:w="800"/>
        <w:gridCol w:w="797"/>
        <w:gridCol w:w="800"/>
        <w:gridCol w:w="797"/>
      </w:tblGrid>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34" w:hanging="272"/>
              <w:jc w:val="left"/>
              <w:rPr>
                <w:rFonts w:ascii="宋体" w:hAnsi="宋体" w:cs="宋体" w:eastAsia="宋体" w:hint="default"/>
                <w:sz w:val="18"/>
                <w:szCs w:val="18"/>
              </w:rPr>
            </w:pPr>
            <w:r>
              <w:rPr>
                <w:rFonts w:ascii="宋体" w:hAnsi="宋体" w:cs="宋体" w:eastAsia="宋体" w:hint="default"/>
                <w:sz w:val="18"/>
                <w:szCs w:val="18"/>
              </w:rPr>
              <w:t>分部间抵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534,682,0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157,074,7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52,131,84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11,295,75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9,810,777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12,710,11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54,529,48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-224,377,</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220.10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607,857,5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21.79</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421,257,5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56,102,64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31,809,48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7,694,684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2,713,297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12,260,69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49,600,03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-223,504,</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682.04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357,933,7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25.48</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1,110,291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,030.81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170,438,3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66,965,99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3,685,807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234,740,6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9,771,217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7,874,719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10,987,99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-351,422,</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370.55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1,263,333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,466.91</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630,701,3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22,346,23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12,728,55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228,871,9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5,271,805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261,435.6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7,150,815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-210,585,</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636.94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696,746,4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96.02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56" w:lineRule="auto"/>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日，公司股本中有</w:t>
      </w:r>
      <w:r>
        <w:rPr>
          <w:rFonts w:ascii="Times New Roman" w:hAnsi="Times New Roman" w:cs="Times New Roman" w:eastAsia="Times New Roman" w:hint="default"/>
        </w:rPr>
        <w:t>1,819.04</w:t>
      </w:r>
      <w:r>
        <w:rPr/>
        <w:t>万股对外质押，其中实际控制人董永东、杨杨、史兴领对外</w:t>
      </w:r>
      <w:r>
        <w:rPr>
          <w:spacing w:val="-25"/>
        </w:rPr>
        <w:t> </w:t>
      </w:r>
      <w:r>
        <w:rPr>
          <w:spacing w:val="-25"/>
        </w:rPr>
      </w:r>
      <w:r>
        <w:rPr/>
        <w:t>质押的股数为</w:t>
      </w:r>
      <w:r>
        <w:rPr>
          <w:rFonts w:ascii="Times New Roman" w:hAnsi="Times New Roman" w:cs="Times New Roman" w:eastAsia="Times New Roman" w:hint="default"/>
        </w:rPr>
        <w:t>1,576.77</w:t>
      </w:r>
      <w:r>
        <w:rPr/>
        <w:t>万股。</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9"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383,742,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768.09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28,507,8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355,234,8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69.68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288,289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,858.61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19,747,34</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268,542,51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6.86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383,742,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768.09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28,507,8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355,234,8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69.68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288,289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,858.61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19,747,34</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268,542,51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6.86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9" w:top="1060" w:bottom="1160" w:left="980" w:right="98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9"/>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296,281,003.69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14,814,050.18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65,956,112.06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6,595,611.21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10,712,157.01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3,213,647.10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7,503,473.83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3,751,736.92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163,352.50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2,171.00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380,618,270.09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28,507,898.41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362"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3"/>
        <w:ind w:left="15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75"/>
            <w:col w:w="1101"/>
          </w:cols>
        </w:sectPr>
      </w:pP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452"/>
        <w:gridCol w:w="1078"/>
        <w:gridCol w:w="766"/>
        <w:gridCol w:w="487"/>
        <w:gridCol w:w="826"/>
        <w:gridCol w:w="1080"/>
        <w:gridCol w:w="946"/>
        <w:gridCol w:w="766"/>
        <w:gridCol w:w="485"/>
        <w:gridCol w:w="828"/>
        <w:gridCol w:w="946"/>
      </w:tblGrid>
      <w:tr>
        <w:trPr>
          <w:trHeight w:val="427" w:hRule="exact"/>
        </w:trPr>
        <w:tc>
          <w:tcPr>
            <w:tcW w:w="1452" w:type="dxa"/>
            <w:vMerge w:val="restart"/>
            <w:tcBorders>
              <w:top w:val="single" w:sz="6" w:space="0" w:color="000000"/>
              <w:left w:val="nil" w:sz="6" w:space="0" w:color="auto"/>
              <w:right w:val="single" w:sz="6" w:space="0" w:color="000000"/>
            </w:tcBorders>
          </w:tcPr>
          <w:p>
            <w:pPr>
              <w:pStyle w:val="TableParagraph"/>
              <w:tabs>
                <w:tab w:pos="871" w:val="left" w:leader="none"/>
              </w:tabs>
              <w:spacing w:line="240" w:lineRule="auto" w:before="61"/>
              <w:ind w:left="403"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23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452" w:type="dxa"/>
            <w:vMerge/>
            <w:tcBorders>
              <w:left w:val="nil" w:sz="6" w:space="0" w:color="auto"/>
              <w:right w:val="single" w:sz="6" w:space="0" w:color="000000"/>
            </w:tcBorders>
          </w:tcPr>
          <w:p>
            <w:pP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61"/>
              <w:ind w:left="1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vMerge w:val="restart"/>
            <w:tcBorders>
              <w:top w:val="single" w:sz="6" w:space="0" w:color="000000"/>
              <w:left w:val="single" w:sz="6" w:space="0" w:color="000000"/>
              <w:right w:val="single" w:sz="6" w:space="0" w:color="000000"/>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39" w:hRule="exact"/>
        </w:trPr>
        <w:tc>
          <w:tcPr>
            <w:tcW w:w="1452" w:type="dxa"/>
            <w:vMerge/>
            <w:tcBorders>
              <w:left w:val="nil" w:sz="6" w:space="0" w:color="auto"/>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w:t>
            </w:r>
          </w:p>
        </w:tc>
        <w:tc>
          <w:tcPr>
            <w:tcW w:w="1080" w:type="dxa"/>
            <w:vMerge/>
            <w:tcBorders>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46" w:type="dxa"/>
            <w:vMerge/>
            <w:tcBorders>
              <w:left w:val="single" w:sz="6" w:space="0" w:color="000000"/>
              <w:bottom w:val="single" w:sz="6" w:space="0" w:color="000000"/>
              <w:right w:val="single" w:sz="6" w:space="0" w:color="000000"/>
            </w:tcBorders>
          </w:tcPr>
          <w:p>
            <w:pPr/>
          </w:p>
        </w:tc>
      </w:tr>
      <w:tr>
        <w:trPr>
          <w:trHeight w:val="1051" w:hRule="exact"/>
        </w:trPr>
        <w:tc>
          <w:tcPr>
            <w:tcW w:w="1452"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63"/>
              <w:ind w:left="98" w:right="84"/>
              <w:jc w:val="center"/>
              <w:rPr>
                <w:rFonts w:ascii="宋体" w:hAnsi="宋体" w:cs="宋体" w:eastAsia="宋体" w:hint="default"/>
                <w:sz w:val="18"/>
                <w:szCs w:val="18"/>
              </w:rPr>
            </w:pPr>
            <w:r>
              <w:rPr>
                <w:rFonts w:ascii="宋体" w:hAnsi="宋体" w:cs="宋体" w:eastAsia="宋体" w:hint="default"/>
                <w:sz w:val="18"/>
                <w:szCs w:val="18"/>
              </w:rPr>
              <w:t>合并范围内不计 提坏账准备的应 收账款</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3,124,498.00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0.81</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0" w:right="0"/>
              <w:jc w:val="left"/>
              <w:rPr>
                <w:rFonts w:ascii="Times New Roman" w:hAnsi="Times New Roman" w:cs="Times New Roman" w:eastAsia="Times New Roman" w:hint="default"/>
                <w:sz w:val="18"/>
                <w:szCs w:val="18"/>
              </w:rPr>
            </w:pPr>
            <w:r>
              <w:rPr>
                <w:rFonts w:ascii="Times New Roman"/>
                <w:sz w:val="18"/>
              </w:rPr>
              <w:t>3,124,498.00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938,292.65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0.33</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2" w:right="0"/>
              <w:jc w:val="left"/>
              <w:rPr>
                <w:rFonts w:ascii="Times New Roman" w:hAnsi="Times New Roman" w:cs="Times New Roman" w:eastAsia="Times New Roman" w:hint="default"/>
                <w:sz w:val="18"/>
                <w:szCs w:val="18"/>
              </w:rPr>
            </w:pPr>
            <w:r>
              <w:rPr>
                <w:rFonts w:ascii="Times New Roman"/>
                <w:sz w:val="18"/>
              </w:rPr>
              <w:t>938,292.65</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40" w:lineRule="auto" w:before="44"/>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8,760,556.66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60" w:space="2370"/>
            <w:col w:w="112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334" w:hRule="exact"/>
        </w:trPr>
        <w:tc>
          <w:tcPr>
            <w:tcW w:w="4982" w:type="dxa"/>
            <w:tcBorders>
              <w:top w:val="single" w:sz="6" w:space="0" w:color="000000"/>
              <w:left w:val="nil" w:sz="6" w:space="0" w:color="auto"/>
              <w:bottom w:val="single" w:sz="4" w:space="0" w:color="000000"/>
              <w:right w:val="nil" w:sz="6" w:space="0" w:color="auto"/>
            </w:tcBorders>
          </w:tcPr>
          <w:p>
            <w:pPr/>
          </w:p>
        </w:tc>
        <w:tc>
          <w:tcPr>
            <w:tcW w:w="45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4"/>
        <w:rPr>
          <w:rFonts w:ascii="宋体" w:hAnsi="宋体" w:cs="宋体" w:eastAsia="宋体" w:hint="default"/>
          <w:sz w:val="22"/>
          <w:szCs w:val="22"/>
        </w:rPr>
      </w:pPr>
    </w:p>
    <w:p>
      <w:pPr>
        <w:pStyle w:val="Heading3"/>
        <w:spacing w:line="240" w:lineRule="auto"/>
        <w:ind w:left="113"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6" w:type="dxa"/>
        <w:tblLayout w:type="fixed"/>
        <w:tblCellMar>
          <w:top w:w="0" w:type="dxa"/>
          <w:left w:w="0" w:type="dxa"/>
          <w:bottom w:w="0" w:type="dxa"/>
          <w:right w:w="0" w:type="dxa"/>
        </w:tblCellMar>
        <w:tblLook w:val="01E0"/>
      </w:tblPr>
      <w:tblGrid>
        <w:gridCol w:w="2561"/>
        <w:gridCol w:w="1702"/>
        <w:gridCol w:w="3119"/>
        <w:gridCol w:w="2278"/>
      </w:tblGrid>
      <w:tr>
        <w:trPr>
          <w:trHeight w:val="348" w:hRule="exact"/>
        </w:trPr>
        <w:tc>
          <w:tcPr>
            <w:tcW w:w="256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期末余额（元）</w:t>
            </w:r>
          </w:p>
        </w:tc>
        <w:tc>
          <w:tcPr>
            <w:tcW w:w="31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8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占应收账款期末余额合计数的比例（</w:t>
            </w:r>
            <w:r>
              <w:rPr>
                <w:rFonts w:ascii="Times New Roman" w:hAnsi="Times New Roman" w:cs="Times New Roman" w:eastAsia="Times New Roman" w:hint="default"/>
                <w:spacing w:val="-2"/>
                <w:sz w:val="18"/>
                <w:szCs w:val="18"/>
              </w:rPr>
              <w:t>%</w:t>
            </w:r>
          </w:p>
        </w:tc>
        <w:tc>
          <w:tcPr>
            <w:tcW w:w="227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期末坏账准备余额（元）</w:t>
            </w:r>
          </w:p>
        </w:tc>
      </w:tr>
      <w:tr>
        <w:trPr>
          <w:trHeight w:val="349"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24,644,146.00</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6.42</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0"/>
              <w:ind w:left="660" w:right="0"/>
              <w:jc w:val="left"/>
              <w:rPr>
                <w:rFonts w:ascii="Times New Roman" w:hAnsi="Times New Roman" w:cs="Times New Roman" w:eastAsia="Times New Roman" w:hint="default"/>
                <w:sz w:val="18"/>
                <w:szCs w:val="18"/>
              </w:rPr>
            </w:pPr>
            <w:r>
              <w:rPr>
                <w:rFonts w:ascii="Times New Roman"/>
                <w:sz w:val="18"/>
              </w:rPr>
              <w:t>1,232,207.30</w:t>
            </w:r>
          </w:p>
        </w:tc>
      </w:tr>
      <w:tr>
        <w:trPr>
          <w:trHeight w:val="346"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20,242,397.85</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5.28</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660" w:right="0"/>
              <w:jc w:val="left"/>
              <w:rPr>
                <w:rFonts w:ascii="Times New Roman" w:hAnsi="Times New Roman" w:cs="Times New Roman" w:eastAsia="Times New Roman" w:hint="default"/>
                <w:sz w:val="18"/>
                <w:szCs w:val="18"/>
              </w:rPr>
            </w:pPr>
            <w:r>
              <w:rPr>
                <w:rFonts w:ascii="Times New Roman"/>
                <w:sz w:val="18"/>
              </w:rPr>
              <w:t>1,012,119.89</w:t>
            </w:r>
          </w:p>
        </w:tc>
      </w:tr>
      <w:tr>
        <w:trPr>
          <w:trHeight w:val="348"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13,500,152.00</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3.52</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0"/>
              <w:ind w:left="727" w:right="0"/>
              <w:jc w:val="left"/>
              <w:rPr>
                <w:rFonts w:ascii="Times New Roman" w:hAnsi="Times New Roman" w:cs="Times New Roman" w:eastAsia="Times New Roman" w:hint="default"/>
                <w:sz w:val="18"/>
                <w:szCs w:val="18"/>
              </w:rPr>
            </w:pPr>
            <w:r>
              <w:rPr>
                <w:rFonts w:ascii="Times New Roman"/>
                <w:sz w:val="18"/>
              </w:rPr>
              <w:t>675,007.60</w:t>
            </w:r>
          </w:p>
        </w:tc>
      </w:tr>
      <w:tr>
        <w:trPr>
          <w:trHeight w:val="346"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12,509,770.00</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3.26</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727" w:right="0"/>
              <w:jc w:val="left"/>
              <w:rPr>
                <w:rFonts w:ascii="Times New Roman" w:hAnsi="Times New Roman" w:cs="Times New Roman" w:eastAsia="Times New Roman" w:hint="default"/>
                <w:sz w:val="18"/>
                <w:szCs w:val="18"/>
              </w:rPr>
            </w:pPr>
            <w:r>
              <w:rPr>
                <w:rFonts w:ascii="Times New Roman"/>
                <w:sz w:val="18"/>
              </w:rPr>
              <w:t>781,738.50</w:t>
            </w:r>
          </w:p>
        </w:tc>
      </w:tr>
      <w:tr>
        <w:trPr>
          <w:trHeight w:val="348"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11,981,633.99</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3.12</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0"/>
              <w:ind w:left="727" w:right="0"/>
              <w:jc w:val="left"/>
              <w:rPr>
                <w:rFonts w:ascii="Times New Roman" w:hAnsi="Times New Roman" w:cs="Times New Roman" w:eastAsia="Times New Roman" w:hint="default"/>
                <w:sz w:val="18"/>
                <w:szCs w:val="18"/>
              </w:rPr>
            </w:pPr>
            <w:r>
              <w:rPr>
                <w:rFonts w:ascii="Times New Roman"/>
                <w:sz w:val="18"/>
              </w:rPr>
              <w:t>599,081.70</w:t>
            </w:r>
          </w:p>
        </w:tc>
      </w:tr>
      <w:tr>
        <w:trPr>
          <w:trHeight w:val="348" w:hRule="exact"/>
        </w:trPr>
        <w:tc>
          <w:tcPr>
            <w:tcW w:w="2561" w:type="dxa"/>
            <w:tcBorders>
              <w:top w:val="single" w:sz="8" w:space="0" w:color="000000"/>
              <w:left w:val="single" w:sz="6" w:space="0" w:color="000000"/>
              <w:bottom w:val="single" w:sz="8" w:space="0" w:color="000000"/>
              <w:right w:val="single" w:sz="6" w:space="0" w:color="000000"/>
            </w:tcBorders>
          </w:tcPr>
          <w:p>
            <w:pPr>
              <w:pStyle w:val="TableParagraph"/>
              <w:tabs>
                <w:tab w:pos="469" w:val="left" w:leader="none"/>
              </w:tabs>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82,878,099.84</w:t>
            </w:r>
          </w:p>
        </w:tc>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21.60</w:t>
            </w:r>
          </w:p>
        </w:tc>
        <w:tc>
          <w:tcPr>
            <w:tcW w:w="22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660" w:right="0"/>
              <w:jc w:val="left"/>
              <w:rPr>
                <w:rFonts w:ascii="Times New Roman" w:hAnsi="Times New Roman" w:cs="Times New Roman" w:eastAsia="Times New Roman" w:hint="default"/>
                <w:sz w:val="18"/>
                <w:szCs w:val="18"/>
              </w:rPr>
            </w:pPr>
            <w:r>
              <w:rPr>
                <w:rFonts w:ascii="Times New Roman"/>
                <w:sz w:val="18"/>
              </w:rPr>
              <w:t>4,300,154.99</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left="113" w:right="0"/>
        <w:jc w:val="both"/>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3" w:right="0"/>
        <w:jc w:val="both"/>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6"/>
        <w:ind w:left="113" w:right="146"/>
        <w:jc w:val="both"/>
      </w:pPr>
      <w:r>
        <w:rPr>
          <w:spacing w:val="-3"/>
        </w:rPr>
        <w:t>应收账款期末账面价值较期初账面价值增长</w:t>
      </w:r>
      <w:r>
        <w:rPr>
          <w:rFonts w:ascii="Times New Roman" w:hAnsi="Times New Roman" w:cs="Times New Roman" w:eastAsia="Times New Roman" w:hint="default"/>
          <w:spacing w:val="-3"/>
        </w:rPr>
        <w:t>32.28%</w:t>
      </w:r>
      <w:r>
        <w:rPr>
          <w:spacing w:val="-3"/>
        </w:rPr>
        <w:t>，主要系营业收入增长，以及部分应收账款未到合同付</w:t>
      </w:r>
      <w:r>
        <w:rPr>
          <w:spacing w:val="-6"/>
        </w:rPr>
        <w:t> </w:t>
      </w:r>
      <w:r>
        <w:rPr>
          <w:spacing w:val="-6"/>
        </w:rPr>
      </w:r>
      <w:r>
        <w:rPr>
          <w:spacing w:val="-2"/>
        </w:rPr>
        <w:t>款期所致，同时公司客户主要为国有大中型企业以及政府部门、事业单位，该等客户执行严格预算管理制</w:t>
      </w:r>
      <w:r>
        <w:rPr>
          <w:spacing w:val="-43"/>
        </w:rPr>
        <w:t> </w:t>
      </w:r>
      <w:r>
        <w:rPr>
          <w:spacing w:val="-43"/>
        </w:rPr>
      </w:r>
      <w:r>
        <w:rPr/>
        <w:t>度，其资金拨付的审批流程较长对应收账款的增长也有一定影响。</w:t>
      </w:r>
    </w:p>
    <w:p>
      <w:pPr>
        <w:spacing w:line="240" w:lineRule="auto" w:before="1"/>
        <w:rPr>
          <w:rFonts w:ascii="宋体" w:hAnsi="宋体" w:cs="宋体" w:eastAsia="宋体" w:hint="default"/>
          <w:sz w:val="19"/>
          <w:szCs w:val="19"/>
        </w:rPr>
      </w:pPr>
    </w:p>
    <w:p>
      <w:pPr>
        <w:pStyle w:val="Heading3"/>
        <w:spacing w:line="240" w:lineRule="auto"/>
        <w:ind w:left="113" w:right="0"/>
        <w:jc w:val="both"/>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3" w:right="0"/>
        <w:jc w:val="both"/>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36,677,0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02.38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3,299,45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33,377,55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47,124,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489.97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2,089,585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45,034,904.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36,677,0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02.38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3,299,45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33,377,55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left"/>
              <w:rPr>
                <w:rFonts w:ascii="Times New Roman" w:hAnsi="Times New Roman" w:cs="Times New Roman" w:eastAsia="Times New Roman" w:hint="default"/>
                <w:sz w:val="18"/>
                <w:szCs w:val="18"/>
              </w:rPr>
            </w:pPr>
            <w:r>
              <w:rPr>
                <w:rFonts w:ascii="Times New Roman"/>
                <w:sz w:val="18"/>
              </w:rPr>
              <w:t>47,124,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489.97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2,089,585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45,034,904.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after="0"/>
        <w:jc w:val="left"/>
        <w:rPr>
          <w:rFonts w:ascii="宋体" w:hAnsi="宋体" w:cs="宋体" w:eastAsia="宋体" w:hint="default"/>
          <w:sz w:val="18"/>
          <w:szCs w:val="18"/>
        </w:rPr>
        <w:sectPr>
          <w:pgSz w:w="11910" w:h="16840"/>
          <w:pgMar w:header="748" w:footer="979" w:top="1060" w:bottom="1160" w:left="1020" w:right="980"/>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8" w:footer="979" w:top="1060" w:bottom="1160" w:left="980" w:right="98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18,185,955.80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909,297.79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16,573,934.29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1,657,393.43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1,248,977.49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374,693.25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620,134.80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310,067.40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36,677,002.38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3,299,451.87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w:t>
            </w:r>
          </w:p>
        </w:tc>
      </w:tr>
    </w:tbl>
    <w:p>
      <w:pPr>
        <w:spacing w:line="362" w:lineRule="auto" w:before="49"/>
        <w:ind w:left="153" w:right="527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3"/>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93"/>
        <w:gridCol w:w="1952"/>
        <w:gridCol w:w="1061"/>
        <w:gridCol w:w="1501"/>
        <w:gridCol w:w="1058"/>
        <w:gridCol w:w="1496"/>
      </w:tblGrid>
      <w:tr>
        <w:trPr>
          <w:trHeight w:val="428" w:hRule="exact"/>
        </w:trPr>
        <w:tc>
          <w:tcPr>
            <w:tcW w:w="2593" w:type="dxa"/>
            <w:vMerge w:val="restart"/>
            <w:tcBorders>
              <w:top w:val="single" w:sz="6" w:space="0" w:color="000000"/>
              <w:left w:val="nil" w:sz="6" w:space="0" w:color="auto"/>
              <w:right w:val="single" w:sz="6" w:space="0" w:color="000000"/>
            </w:tcBorders>
          </w:tcPr>
          <w:p>
            <w:pPr>
              <w:pStyle w:val="TableParagraph"/>
              <w:tabs>
                <w:tab w:pos="479" w:val="left" w:leader="none"/>
              </w:tabs>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706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593" w:type="dxa"/>
            <w:vMerge/>
            <w:tcBorders>
              <w:left w:val="nil" w:sz="6" w:space="0" w:color="auto"/>
              <w:right w:val="single" w:sz="6" w:space="0" w:color="000000"/>
            </w:tcBorders>
          </w:tcPr>
          <w:p>
            <w:pPr/>
          </w:p>
        </w:tc>
        <w:tc>
          <w:tcPr>
            <w:tcW w:w="30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6" w:type="dxa"/>
            <w:vMerge w:val="restart"/>
            <w:tcBorders>
              <w:top w:val="single" w:sz="6" w:space="0" w:color="000000"/>
              <w:left w:val="single" w:sz="6" w:space="0" w:color="000000"/>
              <w:right w:val="single" w:sz="6" w:space="0" w:color="000000"/>
            </w:tcBorders>
          </w:tcPr>
          <w:p>
            <w:pPr>
              <w:pStyle w:val="TableParagraph"/>
              <w:spacing w:line="240" w:lineRule="auto" w:before="61"/>
              <w:ind w:left="112"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427" w:hRule="exact"/>
        </w:trPr>
        <w:tc>
          <w:tcPr>
            <w:tcW w:w="2593" w:type="dxa"/>
            <w:vMerge/>
            <w:tcBorders>
              <w:left w:val="nil" w:sz="6" w:space="0" w:color="auto"/>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496" w:type="dxa"/>
            <w:vMerge/>
            <w:tcBorders>
              <w:left w:val="single" w:sz="6" w:space="0" w:color="000000"/>
              <w:bottom w:val="single" w:sz="6" w:space="0" w:color="000000"/>
              <w:right w:val="single" w:sz="6" w:space="0" w:color="000000"/>
            </w:tcBorders>
          </w:tcPr>
          <w:p>
            <w:pPr/>
          </w:p>
        </w:tc>
      </w:tr>
      <w:tr>
        <w:trPr>
          <w:trHeight w:val="739" w:hRule="exact"/>
        </w:trPr>
        <w:tc>
          <w:tcPr>
            <w:tcW w:w="2593"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61"/>
              <w:ind w:left="938" w:right="24" w:hanging="900"/>
              <w:jc w:val="left"/>
              <w:rPr>
                <w:rFonts w:ascii="宋体" w:hAnsi="宋体" w:cs="宋体" w:eastAsia="宋体" w:hint="default"/>
                <w:sz w:val="18"/>
                <w:szCs w:val="18"/>
              </w:rPr>
            </w:pPr>
            <w:r>
              <w:rPr>
                <w:rFonts w:ascii="宋体" w:hAnsi="宋体" w:cs="宋体" w:eastAsia="宋体" w:hint="default"/>
                <w:sz w:val="18"/>
                <w:szCs w:val="18"/>
              </w:rPr>
              <w:t>合并范围内不计提坏账准备的其 他应收款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27" w:hRule="exact"/>
        </w:trPr>
        <w:tc>
          <w:tcPr>
            <w:tcW w:w="2593" w:type="dxa"/>
            <w:vMerge w:val="restart"/>
            <w:tcBorders>
              <w:top w:val="single" w:sz="6" w:space="0" w:color="000000"/>
              <w:left w:val="nil" w:sz="6" w:space="0" w:color="auto"/>
              <w:right w:val="single" w:sz="6" w:space="0" w:color="000000"/>
            </w:tcBorders>
          </w:tcPr>
          <w:p>
            <w:pPr>
              <w:pStyle w:val="TableParagraph"/>
              <w:tabs>
                <w:tab w:pos="479" w:val="left" w:leader="none"/>
              </w:tabs>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706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2593" w:type="dxa"/>
            <w:vMerge/>
            <w:tcBorders>
              <w:left w:val="nil" w:sz="6" w:space="0" w:color="auto"/>
              <w:right w:val="single" w:sz="6" w:space="0" w:color="000000"/>
            </w:tcBorders>
          </w:tcPr>
          <w:p>
            <w:pPr/>
          </w:p>
        </w:tc>
        <w:tc>
          <w:tcPr>
            <w:tcW w:w="30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6" w:type="dxa"/>
            <w:vMerge w:val="restart"/>
            <w:tcBorders>
              <w:top w:val="single" w:sz="6" w:space="0" w:color="000000"/>
              <w:left w:val="single" w:sz="6" w:space="0" w:color="000000"/>
              <w:right w:val="single" w:sz="6" w:space="0" w:color="000000"/>
            </w:tcBorders>
          </w:tcPr>
          <w:p>
            <w:pPr>
              <w:pStyle w:val="TableParagraph"/>
              <w:spacing w:line="240" w:lineRule="auto" w:before="58"/>
              <w:ind w:left="112"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427" w:hRule="exact"/>
        </w:trPr>
        <w:tc>
          <w:tcPr>
            <w:tcW w:w="2593" w:type="dxa"/>
            <w:vMerge/>
            <w:tcBorders>
              <w:left w:val="nil" w:sz="6" w:space="0" w:color="auto"/>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496" w:type="dxa"/>
            <w:vMerge/>
            <w:tcBorders>
              <w:left w:val="single" w:sz="6" w:space="0" w:color="000000"/>
              <w:bottom w:val="single" w:sz="6" w:space="0" w:color="000000"/>
              <w:right w:val="single" w:sz="6" w:space="0" w:color="000000"/>
            </w:tcBorders>
          </w:tcPr>
          <w:p>
            <w:pPr/>
          </w:p>
        </w:tc>
      </w:tr>
      <w:tr>
        <w:trPr>
          <w:trHeight w:val="740" w:hRule="exact"/>
        </w:trPr>
        <w:tc>
          <w:tcPr>
            <w:tcW w:w="2593" w:type="dxa"/>
            <w:tcBorders>
              <w:top w:val="single" w:sz="6" w:space="0" w:color="000000"/>
              <w:left w:val="nil" w:sz="6" w:space="0" w:color="auto"/>
              <w:bottom w:val="single" w:sz="6" w:space="0" w:color="000000"/>
              <w:right w:val="single" w:sz="6" w:space="0" w:color="000000"/>
            </w:tcBorders>
          </w:tcPr>
          <w:p>
            <w:pPr>
              <w:pStyle w:val="TableParagraph"/>
              <w:spacing w:line="319" w:lineRule="auto" w:before="61"/>
              <w:ind w:left="938" w:right="24" w:hanging="900"/>
              <w:jc w:val="left"/>
              <w:rPr>
                <w:rFonts w:ascii="宋体" w:hAnsi="宋体" w:cs="宋体" w:eastAsia="宋体" w:hint="default"/>
                <w:sz w:val="18"/>
                <w:szCs w:val="18"/>
              </w:rPr>
            </w:pPr>
            <w:r>
              <w:rPr>
                <w:rFonts w:ascii="宋体" w:hAnsi="宋体" w:cs="宋体" w:eastAsia="宋体" w:hint="default"/>
                <w:sz w:val="18"/>
                <w:szCs w:val="18"/>
              </w:rPr>
              <w:t>合并范围内不计提坏账准备的其 他应收款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14,264,091.52</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30.27</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14,264,091.52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40"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1,209,866.69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051" w:space="2778"/>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33,093,613.77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31,554,881.44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3,583,388.61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1,305,517.01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14,264,091.52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36,677,002.38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47,124,489.97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3,157,385.00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216,509.25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2,062,900.00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103,145.00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1,313,469.60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65,673.48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1,232,207.00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61,610.35</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19,765,961.60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53.89%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1,646,938.08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136,266,733.61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136,266,733.61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113,773,722.07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113,773,722.07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4,385,130.38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4,385,130.38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4,198,732.23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4,198,732.23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140,651,863.99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140,651,863.99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117,972,454.30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117,972,454.30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12,609,177.65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4,704,900.22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17,314,077.87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5,862,394.76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1,204,300.80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7,066,695.56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慧通互联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86,559,712.11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5,836,332.50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92,396,044.61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2,742,437.55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874,868.02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3,617,305.57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6,872,610.00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6,872,610.00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113,773,722.07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22,493,011.54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136,266,733.61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800"/>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5"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中电科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4,198,732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173,626.3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4,372,358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12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1"/>
              <w:jc w:val="both"/>
              <w:rPr>
                <w:rFonts w:ascii="宋体" w:hAnsi="宋体" w:cs="宋体" w:eastAsia="宋体" w:hint="default"/>
                <w:sz w:val="18"/>
                <w:szCs w:val="18"/>
              </w:rPr>
            </w:pPr>
            <w:r>
              <w:rPr>
                <w:rFonts w:ascii="宋体" w:hAnsi="宋体" w:cs="宋体" w:eastAsia="宋体" w:hint="default"/>
                <w:sz w:val="18"/>
                <w:szCs w:val="18"/>
              </w:rPr>
              <w:t>（上海） 公共设施 运营管理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4,198,732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186,398.1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534,682,074.45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421,257,571.80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520,269,489.20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422,405,670.39</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88,511.84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534,682,074.45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421,257,571.80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520,389,489.20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422,494,182.23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186,398.15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-1,267.77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1,056,428.15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1,054,841.00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31,242,826.30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1,053,573.23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14,806.82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12,242,268.34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2,316,129.64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-22,037.62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2,042,577.88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603,674.69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11,904,914.61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3"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5"/>
        <w:ind w:left="3285" w:right="0"/>
        <w:jc w:val="left"/>
        <w:rPr>
          <w:b w:val="0"/>
          <w:bCs w:val="0"/>
        </w:rPr>
      </w:pPr>
      <w:bookmarkStart w:name="_TOC_250000" w:id="12"/>
      <w:r>
        <w:rPr/>
        <w:t>第十二节 </w:t>
      </w:r>
      <w:r>
        <w:rPr>
          <w:spacing w:val="8"/>
        </w:rPr>
        <w:t> </w:t>
      </w:r>
      <w:r>
        <w:rPr/>
        <w:t>备查文件目录</w:t>
      </w:r>
      <w:bookmarkEnd w:id="12"/>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spacing w:line="537" w:lineRule="auto"/>
        <w:ind w:right="0"/>
        <w:jc w:val="left"/>
      </w:pPr>
      <w:r>
        <w:rPr/>
        <w:t>一、载有法定代表人签名的</w:t>
      </w:r>
      <w:r>
        <w:rPr>
          <w:rFonts w:ascii="Times New Roman" w:hAnsi="Times New Roman" w:cs="Times New Roman" w:eastAsia="Times New Roman" w:hint="default"/>
        </w:rPr>
        <w:t>2017</w:t>
      </w:r>
      <w:r>
        <w:rPr/>
        <w:t>年度报告文本；</w:t>
      </w:r>
      <w:r>
        <w:rPr>
          <w:w w:val="100"/>
        </w:rPr>
        <w:t> </w:t>
      </w:r>
      <w:r>
        <w:rPr>
          <w:spacing w:val="-2"/>
        </w:rPr>
        <w:t>二、载有单位负责人、主管会计工作负责人、会计机构负责人签名并盖章的财务报表文本；</w:t>
      </w:r>
      <w:r>
        <w:rPr>
          <w:spacing w:val="-28"/>
        </w:rPr>
        <w:t> </w:t>
      </w:r>
      <w:r>
        <w:rPr>
          <w:spacing w:val="-28"/>
        </w:rPr>
      </w:r>
      <w:r>
        <w:rPr/>
        <w:t>三、载有会计师事务所盖章、注册会计师签名并盖章的审计报告原件；</w:t>
      </w:r>
      <w:r>
        <w:rPr>
          <w:w w:val="100"/>
        </w:rPr>
        <w:t> </w:t>
      </w:r>
      <w:r>
        <w:rPr/>
        <w:t>四、报告期内在中国证监会指定网站上公开披露过的所有公司文件的正本及公告的原稿；</w:t>
      </w:r>
      <w:r>
        <w:rPr>
          <w:w w:val="100"/>
        </w:rPr>
        <w:t> </w:t>
      </w:r>
      <w:r>
        <w:rPr/>
        <w:t>五、其他相关资料；</w:t>
      </w:r>
    </w:p>
    <w:p>
      <w:pPr>
        <w:pStyle w:val="BodyText"/>
        <w:spacing w:line="240" w:lineRule="auto" w:before="88"/>
        <w:ind w:right="0"/>
        <w:jc w:val="left"/>
      </w:pPr>
      <w:r>
        <w:rPr/>
        <w:t>以上备查文件的备置地点：公司证券投资部。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08" w:lineRule="auto"/>
        <w:ind w:left="7693" w:right="0" w:hanging="423"/>
        <w:jc w:val="left"/>
      </w:pPr>
      <w:r>
        <w:rPr>
          <w:spacing w:val="-2"/>
        </w:rPr>
        <w:t>科大国创软件股份有限公司</w:t>
      </w:r>
      <w:r>
        <w:rPr>
          <w:spacing w:val="-82"/>
        </w:rPr>
        <w:t> </w:t>
      </w:r>
      <w:r>
        <w:rPr>
          <w:spacing w:val="-82"/>
        </w:rPr>
      </w:r>
      <w:r>
        <w:rPr/>
        <w:t>法定代表人：董永东</w:t>
      </w:r>
    </w:p>
    <w:p>
      <w:pPr>
        <w:pStyle w:val="BodyText"/>
        <w:spacing w:line="240" w:lineRule="auto" w:before="46"/>
        <w:ind w:left="0" w:right="568"/>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p>
    <w:sectPr>
      <w:pgSz w:w="11910" w:h="16840"/>
      <w:pgMar w:header="748"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855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55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5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855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55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85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55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855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3"/>
    </w:pPr>
    <w:rPr>
      <w:rFonts w:ascii="Microsoft JhengHei" w:hAnsi="Microsoft JhengHei" w:eastAsia="Microsoft JhengHei"/>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2793"/>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3"/>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kdgcsoft.com/" TargetMode="External"/><Relationship Id="rId10" Type="http://schemas.openxmlformats.org/officeDocument/2006/relationships/hyperlink" Target="mailto:zhengquanbu@ustcsoft.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科大国创软件股份有限公司</dc:creator>
  <dc:title>科大国创软件股份有限公司2017年年度报告全文</dc:title>
  <dcterms:created xsi:type="dcterms:W3CDTF">2020-05-03T00:57:53Z</dcterms:created>
  <dcterms:modified xsi:type="dcterms:W3CDTF">2020-05-03T00:57:53Z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2016</vt:lpwstr>
  </property>
  <property fmtid="{D5CDD505-2E9C-101B-9397-08002B2CF9AE}" pid="4" name="LastSaved">
    <vt:filetime>2020-05-02T00:00:00Z</vt:filetime>
  </property>
</Properties>
</file>