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3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09700" cy="15144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1514475"/>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784" w:right="3764" w:firstLine="0"/>
        <w:jc w:val="center"/>
        <w:rPr>
          <w:rFonts w:ascii="宋体" w:hAnsi="宋体" w:cs="宋体" w:eastAsia="宋体" w:hint="default"/>
          <w:sz w:val="36"/>
          <w:szCs w:val="36"/>
        </w:rPr>
      </w:pPr>
      <w:r>
        <w:rPr>
          <w:rFonts w:ascii="宋体" w:hAnsi="宋体" w:cs="宋体" w:eastAsia="宋体" w:hint="default"/>
          <w:b/>
          <w:bCs/>
          <w:sz w:val="36"/>
          <w:szCs w:val="36"/>
        </w:rPr>
        <w:t>科大国创软件股份有限公司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784" w:right="3759" w:firstLine="0"/>
        <w:jc w:val="center"/>
        <w:rPr>
          <w:rFonts w:ascii="Times New Roman" w:hAnsi="Times New Roman" w:cs="Times New Roman" w:eastAsia="Times New Roman" w:hint="default"/>
          <w:sz w:val="22"/>
          <w:szCs w:val="22"/>
        </w:rPr>
      </w:pPr>
      <w:r>
        <w:rPr>
          <w:rFonts w:ascii="Times New Roman"/>
          <w:b/>
          <w:sz w:val="22"/>
        </w:rPr>
        <w:t>2019-32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113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公司负责人董永东、主管会计工作负责人杨武军及会计机构负责人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刘芳声明：保证年度报告中财务报告的真实、准确、完整。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本报告中所涉及对未来发展和经营计划等前瞻性陈述，不构成公司对投资</w:t>
      </w:r>
      <w:r>
        <w:rPr>
          <w:rFonts w:ascii="宋体" w:hAnsi="宋体" w:cs="宋体" w:eastAsia="宋体" w:hint="default"/>
          <w:spacing w:val="2"/>
          <w:sz w:val="28"/>
          <w:szCs w:val="28"/>
        </w:rPr>
      </w:r>
    </w:p>
    <w:p>
      <w:pPr>
        <w:spacing w:line="408" w:lineRule="auto" w:before="0"/>
        <w:ind w:left="153" w:right="1140" w:firstLine="0"/>
        <w:jc w:val="both"/>
        <w:rPr>
          <w:rFonts w:ascii="宋体" w:hAnsi="宋体" w:cs="宋体" w:eastAsia="宋体" w:hint="default"/>
          <w:sz w:val="28"/>
          <w:szCs w:val="28"/>
        </w:rPr>
      </w:pPr>
      <w:r>
        <w:rPr>
          <w:rFonts w:ascii="宋体" w:hAnsi="宋体" w:cs="宋体" w:eastAsia="宋体" w:hint="default"/>
          <w:b/>
          <w:bCs/>
          <w:spacing w:val="2"/>
          <w:sz w:val="28"/>
          <w:szCs w:val="28"/>
        </w:rPr>
        <w:t>者的实质承诺，能否实现取决于市场状况变化等多种因素，存在不确定性，投</w:t>
      </w:r>
      <w:r>
        <w:rPr>
          <w:rFonts w:ascii="宋体" w:hAnsi="宋体" w:cs="宋体" w:eastAsia="宋体" w:hint="default"/>
          <w:b/>
          <w:bCs/>
          <w:w w:val="99"/>
          <w:sz w:val="28"/>
          <w:szCs w:val="28"/>
        </w:rPr>
        <w:t> </w:t>
      </w:r>
      <w:r>
        <w:rPr>
          <w:rFonts w:ascii="宋体" w:hAnsi="宋体" w:cs="宋体" w:eastAsia="宋体" w:hint="default"/>
          <w:b/>
          <w:bCs/>
          <w:spacing w:val="2"/>
          <w:sz w:val="28"/>
          <w:szCs w:val="28"/>
        </w:rPr>
        <w:t>资者及相关人士均应对此保持足够的风险认识，并且应当理解计划、预测与承</w:t>
      </w:r>
      <w:r>
        <w:rPr>
          <w:rFonts w:ascii="宋体" w:hAnsi="宋体" w:cs="宋体" w:eastAsia="宋体" w:hint="default"/>
          <w:b/>
          <w:bCs/>
          <w:w w:val="99"/>
          <w:sz w:val="28"/>
          <w:szCs w:val="28"/>
        </w:rPr>
        <w:t> </w:t>
      </w:r>
      <w:r>
        <w:rPr>
          <w:rFonts w:ascii="宋体" w:hAnsi="宋体" w:cs="宋体" w:eastAsia="宋体" w:hint="default"/>
          <w:b/>
          <w:bCs/>
          <w:sz w:val="28"/>
          <w:szCs w:val="28"/>
        </w:rPr>
        <w:t>诺之间的差异。</w:t>
      </w:r>
      <w:r>
        <w:rPr>
          <w:rFonts w:ascii="宋体" w:hAnsi="宋体" w:cs="宋体" w:eastAsia="宋体" w:hint="default"/>
          <w:sz w:val="28"/>
          <w:szCs w:val="28"/>
        </w:rPr>
      </w:r>
    </w:p>
    <w:p>
      <w:pPr>
        <w:spacing w:line="400" w:lineRule="auto" w:before="162"/>
        <w:ind w:left="153" w:right="1133"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公司在发展过程中，存在市场竞争加剧的风险、季节性波动风险、核心技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术风险、人力资源风险、应收账款余额较大的风险、政策风险等风险因素，敬</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请广大投资者注意投资风险，详细内容见本报告中第四节第九小节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公司未来发</w:t>
      </w:r>
      <w:r>
        <w:rPr>
          <w:rFonts w:ascii="宋体" w:hAnsi="宋体" w:cs="宋体" w:eastAsia="宋体" w:hint="default"/>
          <w:b/>
          <w:bCs/>
          <w:spacing w:val="-135"/>
          <w:sz w:val="28"/>
          <w:szCs w:val="28"/>
        </w:rPr>
        <w:t> </w:t>
      </w:r>
      <w:r>
        <w:rPr>
          <w:rFonts w:ascii="宋体" w:hAnsi="宋体" w:cs="宋体" w:eastAsia="宋体" w:hint="default"/>
          <w:b/>
          <w:bCs/>
          <w:sz w:val="28"/>
          <w:szCs w:val="28"/>
        </w:rPr>
        <w:t>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239,233,684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0.25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37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784" w:right="376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本公司、公司、科大国创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日本科大国创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株式会社科大国创，系公司全资子公司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中电科运营公司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公共设施运营管理有限公司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安徽慧联运科技有限公司，系公司控股子公司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安徽慧通互联物流科技有限公司，系公司控股孙公司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贵州国创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贵州科大国创大数据科技公司，系公司控股孙公司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中科大资产经营有限责任公司，系中科大全资子公司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合肥贵博股权投资合伙企业（有限合伙）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紫煦投资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合肥紫煦投资合伙企业（有限合伙）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保荐机构、国元证券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针对行业定制化需求和特点研发的软件，具有行业特点并应用于特定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行业，如电信行业软件、电力行业软件、金融行业软件、交通行业软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件等</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23" w:right="-9"/>
              <w:jc w:val="left"/>
              <w:rPr>
                <w:rFonts w:ascii="宋体" w:hAnsi="宋体" w:cs="宋体" w:eastAsia="宋体" w:hint="default"/>
                <w:sz w:val="18"/>
                <w:szCs w:val="18"/>
              </w:rPr>
            </w:pPr>
            <w:r>
              <w:rPr>
                <w:rFonts w:ascii="宋体" w:hAnsi="宋体" w:cs="宋体" w:eastAsia="宋体" w:hint="default"/>
                <w:sz w:val="18"/>
                <w:szCs w:val="18"/>
              </w:rPr>
              <w:t>满足客户需求的软、硬件技术方案和实施方案。方案主要包括业务、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24pt;margin-top:-201.698257pt;width:479.3pt;height:594.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3"/>
                          <w:jc w:val="left"/>
                          <w:rPr>
                            <w:rFonts w:ascii="宋体" w:hAnsi="宋体" w:cs="宋体" w:eastAsia="宋体" w:hint="default"/>
                            <w:sz w:val="18"/>
                            <w:szCs w:val="18"/>
                          </w:rPr>
                        </w:pPr>
                        <w:r>
                          <w:rPr>
                            <w:rFonts w:ascii="宋体" w:hAnsi="宋体" w:cs="宋体" w:eastAsia="宋体" w:hint="default"/>
                            <w:spacing w:val="-3"/>
                            <w:sz w:val="18"/>
                            <w:szCs w:val="18"/>
                          </w:rPr>
                          <w:t>需求、系统架构、软件、系统支撑平台、技术选型、设备选型、</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集</w:t>
                        </w:r>
                        <w:r>
                          <w:rPr>
                            <w:rFonts w:ascii="宋体" w:hAnsi="宋体" w:cs="宋体" w:eastAsia="宋体" w:hint="default"/>
                            <w:spacing w:val="-85"/>
                            <w:sz w:val="18"/>
                            <w:szCs w:val="18"/>
                          </w:rPr>
                          <w:t> </w:t>
                        </w:r>
                        <w:r>
                          <w:rPr>
                            <w:rFonts w:ascii="宋体" w:hAnsi="宋体" w:cs="宋体" w:eastAsia="宋体" w:hint="default"/>
                            <w:sz w:val="18"/>
                            <w:szCs w:val="18"/>
                          </w:rPr>
                          <w:t>成、信息安全、实施计划、项目管理等</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一种基于互联网的计算方式，通过这种方式，共享的软硬件资源和信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息可以按需提供给计算机和其他设备。典型的云计算提供商往往提供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通用的网络业务应用，可以通过浏览器等软件或者其他</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服务来访 </w:t>
                        </w:r>
                        <w:r>
                          <w:rPr>
                            <w:rFonts w:ascii="宋体" w:hAnsi="宋体" w:cs="宋体" w:eastAsia="宋体" w:hint="default"/>
                            <w:spacing w:val="-2"/>
                            <w:sz w:val="18"/>
                            <w:szCs w:val="18"/>
                          </w:rPr>
                          <w:t>问，而软件和数据都存储在服务器上。云计算服务通常提供通用的通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过浏览器访问的在线商业应用，软件和数据可存储在数据中心</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是从各种异构、各种类型的数据中发掘有价值的信息，其通常具有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4V</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特点：</w:t>
                        </w:r>
                        <w:r>
                          <w:rPr>
                            <w:rFonts w:ascii="Times New Roman" w:hAnsi="Times New Roman" w:cs="Times New Roman" w:eastAsia="Times New Roman" w:hint="default"/>
                            <w:sz w:val="18"/>
                            <w:szCs w:val="18"/>
                          </w:rPr>
                          <w:t>Volume(</w:t>
                        </w:r>
                        <w:r>
                          <w:rPr>
                            <w:rFonts w:ascii="宋体" w:hAnsi="宋体" w:cs="宋体" w:eastAsia="宋体" w:hint="default"/>
                            <w:sz w:val="18"/>
                            <w:szCs w:val="18"/>
                          </w:rPr>
                          <w:t>数据量大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Velocity(</w:t>
                        </w:r>
                        <w:r>
                          <w:rPr>
                            <w:rFonts w:ascii="宋体" w:hAnsi="宋体" w:cs="宋体" w:eastAsia="宋体" w:hint="default"/>
                            <w:sz w:val="18"/>
                            <w:szCs w:val="18"/>
                          </w:rPr>
                          <w:t>实时性强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Variety(</w:t>
                        </w:r>
                        <w:r>
                          <w:rPr>
                            <w:rFonts w:ascii="宋体" w:hAnsi="宋体" w:cs="宋体" w:eastAsia="宋体" w:hint="default"/>
                            <w:sz w:val="18"/>
                            <w:szCs w:val="18"/>
                          </w:rPr>
                          <w:t>种类多样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Veracity(</w:t>
                        </w:r>
                        <w:r>
                          <w:rPr>
                            <w:rFonts w:ascii="宋体" w:hAnsi="宋体" w:cs="宋体" w:eastAsia="宋体" w:hint="default"/>
                            <w:sz w:val="18"/>
                            <w:szCs w:val="18"/>
                          </w:rPr>
                          <w:t>真实性</w:t>
                        </w:r>
                        <w:r>
                          <w:rPr>
                            <w:rFonts w:ascii="Times New Roman" w:hAnsi="Times New Roman" w:cs="Times New Roman" w:eastAsia="Times New Roman" w:hint="default"/>
                            <w:sz w:val="18"/>
                            <w:szCs w:val="18"/>
                          </w:rPr>
                          <w:t>)</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
                          <w:jc w:val="left"/>
                          <w:rPr>
                            <w:rFonts w:ascii="宋体" w:hAnsi="宋体" w:cs="宋体" w:eastAsia="宋体" w:hint="default"/>
                            <w:sz w:val="18"/>
                            <w:szCs w:val="18"/>
                          </w:rPr>
                        </w:pPr>
                        <w:r>
                          <w:rPr>
                            <w:rFonts w:ascii="宋体" w:hAnsi="宋体" w:cs="宋体" w:eastAsia="宋体" w:hint="default"/>
                            <w:spacing w:val="-1"/>
                            <w:sz w:val="18"/>
                            <w:szCs w:val="18"/>
                          </w:rPr>
                          <w:t>是指通过各种信息传感设备，实时采集任何需要监控、连接、互动的</w:t>
                        </w:r>
                        <w:r>
                          <w:rPr>
                            <w:rFonts w:ascii="宋体" w:hAnsi="宋体" w:cs="宋体" w:eastAsia="宋体" w:hint="default"/>
                            <w:sz w:val="18"/>
                            <w:szCs w:val="18"/>
                          </w:rPr>
                          <w:t> 物体或过程等各种需要的信息，与互联网结合形成的一个巨大网络。 </w:t>
                        </w:r>
                        <w:r>
                          <w:rPr>
                            <w:rFonts w:ascii="宋体" w:hAnsi="宋体" w:cs="宋体" w:eastAsia="宋体" w:hint="default"/>
                            <w:spacing w:val="-5"/>
                            <w:sz w:val="18"/>
                            <w:szCs w:val="18"/>
                          </w:rPr>
                          <w:t>其目的是实现物与物、物与人，所有的物品与网络的连接，方便识别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管理和控制</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英文缩写为</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AI</w:t>
                        </w:r>
                        <w:r>
                          <w:rPr>
                            <w:rFonts w:ascii="宋体" w:hAnsi="宋体" w:cs="宋体" w:eastAsia="宋体" w:hint="default"/>
                            <w:spacing w:val="-4"/>
                            <w:sz w:val="18"/>
                            <w:szCs w:val="18"/>
                          </w:rPr>
                          <w:t>。它是研究、开发用于模拟、延伸和扩展人的智能的理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论、方法、技术及应用系统的一门新的技术科学。人工智能是指能够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像人一样进行感知、认知、决策和执行的人工程序或系统</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电信运营支撑系统（</w:t>
                        </w:r>
                        <w:r>
                          <w:rPr>
                            <w:rFonts w:ascii="Times New Roman" w:hAnsi="Times New Roman" w:cs="Times New Roman" w:eastAsia="Times New Roman" w:hint="default"/>
                            <w:sz w:val="18"/>
                            <w:szCs w:val="18"/>
                          </w:rPr>
                          <w:t>Operation Support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）的缩写，是电信运营 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系统三大主要子系统之一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基础设施即服务</w:t>
                        </w:r>
                        <w:r>
                          <w:rPr>
                            <w:rFonts w:ascii="Times New Roman" w:hAnsi="Times New Roman" w:cs="Times New Roman" w:eastAsia="Times New Roman" w:hint="default"/>
                            <w:sz w:val="18"/>
                            <w:szCs w:val="18"/>
                          </w:rPr>
                          <w:t>(Infrastructureas 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平台即服务（</w:t>
                        </w:r>
                        <w:r>
                          <w:rPr>
                            <w:rFonts w:ascii="Times New Roman" w:hAnsi="Times New Roman" w:cs="Times New Roman" w:eastAsia="Times New Roman" w:hint="default"/>
                            <w:sz w:val="18"/>
                            <w:szCs w:val="18"/>
                          </w:rPr>
                          <w:t>PlatformasaService</w:t>
                        </w:r>
                        <w:r>
                          <w:rPr>
                            <w:rFonts w:ascii="宋体" w:hAnsi="宋体" w:cs="宋体" w:eastAsia="宋体" w:hint="default"/>
                            <w:sz w:val="18"/>
                            <w:szCs w:val="18"/>
                          </w:rPr>
                          <w:t>）的缩写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软件即服务（</w:t>
                        </w: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EDM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企业数据模型（</w:t>
                        </w:r>
                        <w:r>
                          <w:rPr>
                            <w:rFonts w:ascii="Times New Roman" w:hAnsi="Times New Roman" w:cs="Times New Roman" w:eastAsia="Times New Roman" w:hint="default"/>
                            <w:sz w:val="18"/>
                            <w:szCs w:val="18"/>
                          </w:rPr>
                          <w:t>Enterprise Data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Model</w:t>
                        </w:r>
                        <w:r>
                          <w:rPr>
                            <w:rFonts w:ascii="宋体" w:hAnsi="宋体" w:cs="宋体" w:eastAsia="宋体" w:hint="default"/>
                            <w:sz w:val="18"/>
                            <w:szCs w:val="18"/>
                          </w:rPr>
                          <w:t>）的缩写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）的缩写</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电信运营商利用通信技术和信息技术资源，为其他行业信息化提供解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决方案和产品服务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软件定义型网络（</w:t>
                        </w: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Networ</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NFV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网络功能虚拟化（</w:t>
                        </w: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）的缩写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第五代移动通信技术的缩写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BMS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Battery Management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，电池管理系统</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SOC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State Of</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Charge</w:t>
                        </w:r>
                        <w:r>
                          <w:rPr>
                            <w:rFonts w:ascii="宋体" w:hAnsi="宋体" w:cs="宋体" w:eastAsia="宋体" w:hint="default"/>
                            <w:sz w:val="18"/>
                            <w:szCs w:val="18"/>
                          </w:rPr>
                          <w:t>，荷电状态，电池剩余容量与标称容量的比值</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SOF</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State of</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Function</w:t>
                        </w:r>
                        <w:r>
                          <w:rPr>
                            <w:rFonts w:ascii="宋体" w:hAnsi="宋体" w:cs="宋体" w:eastAsia="宋体" w:hint="default"/>
                            <w:sz w:val="18"/>
                            <w:szCs w:val="18"/>
                          </w:rPr>
                          <w:t>，电池的瞬态功率，用来描述蓄电池的最大可用充放 电功率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19" w:lineRule="auto" w:before="44"/>
        <w:ind w:left="513" w:right="1118" w:hanging="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、本报告部分合计数与各加数直接相加之和在尾数上存在差异，这些差异是由于四舍五入所致。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、本报告中关于报告期末公司总股本部分章节存在差异，是因公司发行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36,833,684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股新增股份购买贵博新能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权事项于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日完成资产过户并办理完毕工商变更手续，但上述新增股份于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日在深圳证券</w:t>
      </w:r>
    </w:p>
    <w:p>
      <w:pPr>
        <w:spacing w:line="316" w:lineRule="auto" w:before="0"/>
        <w:ind w:left="51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交易所上市，存在跨报告期情形，导致期末合并会计报表与中国证券登记结算有限责任公司出具的股本总数口径存在暂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时差异，请投资者理解。</w:t>
      </w:r>
    </w:p>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69995pt;margin-top:114.681595pt;width:361.55pt;height:19.75pt;mso-position-horizontal-relative:page;mso-position-vertical-relative:paragraph;z-index:-977848" coordorigin="3447,2294" coordsize="7231,395">
            <v:shape style="position:absolute;left:3447;top:2294;width:7231;height:395" coordorigin="3447,2294" coordsize="7231,395" path="m3447,2688l10678,2688,10678,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300520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GuoChuang Software</w:t>
            </w:r>
            <w:r>
              <w:rPr>
                <w:rFonts w:ascii="Times New Roman"/>
                <w:spacing w:val="-9"/>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53"/>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GuoChuang</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www.kdgcsoft.com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0551-65396760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0551-65396760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0551-65396799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0551-65396799</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zhengquanbu@ustcsoft.com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0"/>
        <w:gridCol w:w="5590"/>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汪玉寿、齐利平、黄冰冰</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胡伟、戚科仁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6"/>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982,146,999.04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607,857,521.79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594,231,453.27</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48,860,741.98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18,374,393.31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56,927,437.17</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32,554,407.38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6,469,478.70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48,825,886.50</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-18,299,281.46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-3,235,178.77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114,707,087.80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2,125,446,097.95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1,263,333,466.91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1,033,861,455.46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1,294,146,017.50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563,244,055.77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527,398,044.19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120,528,241.47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183,806,162.68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186,776,921.19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491,035,673.70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521,813.53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6,324,833.36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13,033,009.84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28,981,085.25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-1,676,652.88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5,587,304.17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13,538,356.45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15,105,399.64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09"/>
        <w:gridCol w:w="1751"/>
        <w:gridCol w:w="1740"/>
        <w:gridCol w:w="1738"/>
        <w:gridCol w:w="1731"/>
      </w:tblGrid>
      <w:tr>
        <w:trPr>
          <w:trHeight w:val="36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-160,234,923.73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-12,070,078.59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-51,067,637.36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205,073,358.22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15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14,806.82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18,779,751.88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12,242,268.34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8,544,293.32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2,423,958.37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2,316,129.64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1,054,841.00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-1,201,524.16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-22,037.62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2,964,976.52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2,042,577.88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1,397,583.65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729,535.33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603,674.69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16,306,334.60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11,904,914.61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8,101,550.67</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73" w:lineRule="auto" w:before="83"/>
        <w:ind w:left="573" w:right="1133"/>
        <w:jc w:val="left"/>
      </w:pPr>
      <w:r>
        <w:rPr/>
        <w:t>（一）主要业务</w:t>
      </w:r>
      <w:r>
        <w:rPr>
          <w:spacing w:val="-103"/>
        </w:rPr>
        <w:t> </w:t>
      </w:r>
      <w:r>
        <w:rPr>
          <w:spacing w:val="-103"/>
        </w:rPr>
      </w:r>
      <w:r>
        <w:rPr>
          <w:spacing w:val="-2"/>
        </w:rPr>
        <w:t>公司是国内领先的行业软件及大数据解决方案服务商，多年来始终坚持以软件技术为核心，持续加强</w:t>
      </w:r>
    </w:p>
    <w:p>
      <w:pPr>
        <w:pStyle w:val="BodyText"/>
        <w:spacing w:line="256" w:lineRule="auto" w:before="7"/>
        <w:ind w:right="1128"/>
        <w:jc w:val="both"/>
      </w:pPr>
      <w:r>
        <w:rPr>
          <w:spacing w:val="-2"/>
        </w:rPr>
        <w:t>软件与实体经济的融合，主要提供行业应用软件、</w:t>
      </w:r>
      <w:r>
        <w:rPr>
          <w:rFonts w:ascii="Times New Roman" w:hAnsi="Times New Roman" w:cs="Times New Roman" w:eastAsia="Times New Roman" w:hint="default"/>
          <w:spacing w:val="-2"/>
        </w:rPr>
        <w:t>IT</w:t>
      </w:r>
      <w:r>
        <w:rPr>
          <w:spacing w:val="-2"/>
        </w:rPr>
        <w:t>解决方案、软件运营平台、智能软件产品等，公司产</w:t>
      </w:r>
      <w:r>
        <w:rPr>
          <w:spacing w:val="-33"/>
        </w:rPr>
        <w:t> </w:t>
      </w:r>
      <w:r>
        <w:rPr>
          <w:spacing w:val="-33"/>
        </w:rPr>
      </w:r>
      <w:r>
        <w:rPr/>
        <w:t>品和服务广泛应用于电信、金融、政府、交通、能源、智能汽车等行业领域用户。</w:t>
      </w:r>
    </w:p>
    <w:p>
      <w:pPr>
        <w:pStyle w:val="BodyText"/>
        <w:spacing w:line="240" w:lineRule="auto" w:before="22"/>
        <w:ind w:left="573" w:right="1133"/>
        <w:jc w:val="left"/>
      </w:pPr>
      <w:r>
        <w:rPr/>
        <w:t>（二）主要产品</w:t>
      </w:r>
    </w:p>
    <w:p>
      <w:pPr>
        <w:pStyle w:val="BodyText"/>
        <w:spacing w:line="256" w:lineRule="auto" w:before="37"/>
        <w:ind w:left="573" w:right="1133"/>
        <w:jc w:val="left"/>
      </w:pPr>
      <w:r>
        <w:rPr>
          <w:rFonts w:ascii="Times New Roman" w:hAnsi="Times New Roman" w:cs="Times New Roman" w:eastAsia="Times New Roman" w:hint="default"/>
        </w:rPr>
        <w:t>1</w:t>
      </w:r>
      <w:r>
        <w:rPr/>
        <w:t>、软件及大数据业务</w:t>
      </w:r>
      <w:r>
        <w:rPr>
          <w:w w:val="100"/>
        </w:rPr>
        <w:t> </w:t>
      </w:r>
      <w:r>
        <w:rPr>
          <w:spacing w:val="-2"/>
        </w:rPr>
        <w:t>面向国内、国际市场，在全球产业升级和国内信息化与智能化需求迅速增长的背景下，公司研发了具</w:t>
      </w:r>
    </w:p>
    <w:p>
      <w:pPr>
        <w:pStyle w:val="BodyText"/>
        <w:spacing w:line="273" w:lineRule="auto" w:before="22"/>
        <w:ind w:right="1126"/>
        <w:jc w:val="both"/>
      </w:pPr>
      <w:r>
        <w:rPr>
          <w:spacing w:val="-2"/>
        </w:rPr>
        <w:t>有自主知识产权的数据集成、应用集成、工作流、云资源管理、大数据处理等核心技术，聚焦于行业应用</w:t>
      </w:r>
      <w:r>
        <w:rPr>
          <w:spacing w:val="-43"/>
        </w:rPr>
        <w:t> </w:t>
      </w:r>
      <w:r>
        <w:rPr>
          <w:spacing w:val="-43"/>
        </w:rPr>
      </w:r>
      <w:r>
        <w:rPr>
          <w:spacing w:val="-2"/>
        </w:rPr>
        <w:t>软件研发与生产，面向电信、金融、政府、交通、能源等行业领域，形成了电信运营支撑系统软件、金融</w:t>
      </w:r>
      <w:r>
        <w:rPr>
          <w:spacing w:val="-48"/>
        </w:rPr>
        <w:t> </w:t>
      </w:r>
      <w:r>
        <w:rPr>
          <w:spacing w:val="-48"/>
        </w:rPr>
      </w:r>
      <w:r>
        <w:rPr/>
        <w:t>资产管理软件、大数据应用平台及解决方案等核心产品。</w:t>
      </w:r>
    </w:p>
    <w:p>
      <w:pPr>
        <w:pStyle w:val="BodyText"/>
        <w:spacing w:line="256" w:lineRule="auto" w:before="7"/>
        <w:ind w:left="573" w:right="1133"/>
        <w:jc w:val="left"/>
      </w:pPr>
      <w:r>
        <w:rPr/>
        <w:t>（</w:t>
      </w:r>
      <w:r>
        <w:rPr>
          <w:rFonts w:ascii="Times New Roman" w:hAnsi="Times New Roman" w:cs="Times New Roman" w:eastAsia="Times New Roman" w:hint="default"/>
        </w:rPr>
        <w:t>1</w:t>
      </w:r>
      <w:r>
        <w:rPr/>
        <w:t>）电信运营支撑系统软件</w:t>
      </w:r>
      <w:r>
        <w:rPr>
          <w:w w:val="100"/>
        </w:rPr>
        <w:t> </w:t>
      </w:r>
      <w:r>
        <w:rPr>
          <w:spacing w:val="-2"/>
        </w:rPr>
        <w:t>电信运营支撑系统主要是为运营商的业务开通激活、投诉与故障处理、网络运营监控等场景提供实时</w:t>
      </w:r>
    </w:p>
    <w:p>
      <w:pPr>
        <w:pStyle w:val="BodyText"/>
        <w:spacing w:line="268" w:lineRule="auto" w:before="23"/>
        <w:ind w:right="1104"/>
        <w:jc w:val="both"/>
      </w:pPr>
      <w:r>
        <w:rPr>
          <w:spacing w:val="-2"/>
        </w:rPr>
        <w:t>的运营保障和分析，从而提升电信运营商的客户服务质量和网络运营效率，助力电信运营商更好的服务于</w:t>
      </w:r>
      <w:r>
        <w:rPr>
          <w:spacing w:val="-42"/>
        </w:rPr>
        <w:t> </w:t>
      </w:r>
      <w:r>
        <w:rPr>
          <w:spacing w:val="-42"/>
        </w:rPr>
      </w:r>
      <w:r>
        <w:rPr>
          <w:spacing w:val="-2"/>
        </w:rPr>
        <w:t>个人客户、家庭客户与集团客户。采用了智能、融合、敏捷的设计理念，利用大数据、人工智能等先进技</w:t>
      </w:r>
      <w:r>
        <w:rPr>
          <w:spacing w:val="-42"/>
        </w:rPr>
        <w:t> </w:t>
      </w:r>
      <w:r>
        <w:rPr>
          <w:spacing w:val="-42"/>
        </w:rPr>
      </w:r>
      <w:r>
        <w:rPr>
          <w:spacing w:val="-7"/>
        </w:rPr>
        <w:t>术与</w:t>
      </w:r>
      <w:r>
        <w:rPr>
          <w:rFonts w:ascii="Times New Roman" w:hAnsi="Times New Roman" w:cs="Times New Roman" w:eastAsia="Times New Roman" w:hint="default"/>
          <w:spacing w:val="-7"/>
        </w:rPr>
        <w:t>SDN/NFV</w:t>
      </w:r>
      <w:r>
        <w:rPr>
          <w:spacing w:val="-7"/>
        </w:rPr>
        <w:t>、</w:t>
      </w:r>
      <w:r>
        <w:rPr>
          <w:rFonts w:ascii="Times New Roman" w:hAnsi="Times New Roman" w:cs="Times New Roman" w:eastAsia="Times New Roman" w:hint="default"/>
          <w:spacing w:val="-7"/>
        </w:rPr>
        <w:t>5G</w:t>
      </w:r>
      <w:r>
        <w:rPr>
          <w:spacing w:val="-7"/>
        </w:rPr>
        <w:t>、物联网等转型方向和领域深度融合，高效、智能和全面支撑宽带业务、移动业务、</w:t>
      </w:r>
      <w:r>
        <w:rPr>
          <w:rFonts w:ascii="Times New Roman" w:hAnsi="Times New Roman" w:cs="Times New Roman" w:eastAsia="Times New Roman" w:hint="default"/>
          <w:spacing w:val="-7"/>
        </w:rPr>
        <w:t>ICT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融合业务等多类电信业务，其功能覆盖了电信运营支撑的服务开通系统、服务保障系统、资源管理系统、</w:t>
      </w:r>
      <w:r>
        <w:rPr>
          <w:spacing w:val="-21"/>
        </w:rPr>
        <w:t> </w:t>
      </w:r>
      <w:r>
        <w:rPr>
          <w:spacing w:val="-21"/>
        </w:rPr>
      </w:r>
      <w:r>
        <w:rPr>
          <w:spacing w:val="-2"/>
        </w:rPr>
        <w:t>客户服务系统、智能网管系统、网络服务管理系统、鹰网系统、电信网络运营分析大数据平台、运维服务</w:t>
      </w:r>
      <w:r>
        <w:rPr>
          <w:spacing w:val="-43"/>
        </w:rPr>
        <w:t> </w:t>
      </w:r>
      <w:r>
        <w:rPr>
          <w:spacing w:val="-43"/>
        </w:rPr>
      </w:r>
      <w:r>
        <w:rPr/>
        <w:t>机器人等业务领域。目前公司已成为中国电信、中国移动和中国联通的运营支撑系统核心供应商。</w:t>
      </w:r>
    </w:p>
    <w:p>
      <w:pPr>
        <w:pStyle w:val="BodyText"/>
        <w:spacing w:line="256" w:lineRule="auto" w:before="12"/>
        <w:ind w:left="573" w:right="0"/>
        <w:jc w:val="left"/>
      </w:pPr>
      <w:r>
        <w:rPr/>
        <w:t>（</w:t>
      </w:r>
      <w:r>
        <w:rPr>
          <w:rFonts w:ascii="Times New Roman" w:hAnsi="Times New Roman" w:cs="Times New Roman" w:eastAsia="Times New Roman" w:hint="default"/>
        </w:rPr>
        <w:t>2</w:t>
      </w:r>
      <w:r>
        <w:rPr/>
        <w:t>）金融资产管理软件</w:t>
      </w:r>
      <w:r>
        <w:rPr>
          <w:w w:val="100"/>
        </w:rPr>
        <w:t> </w:t>
      </w:r>
      <w:r>
        <w:rPr>
          <w:spacing w:val="-5"/>
        </w:rPr>
        <w:t>金融资产管理软件主要是为银行、保险、证券、信托、基金相关资产管理业务，采用云计算、大数据、</w:t>
      </w:r>
    </w:p>
    <w:p>
      <w:pPr>
        <w:pStyle w:val="BodyText"/>
        <w:spacing w:line="273" w:lineRule="auto" w:before="22"/>
        <w:ind w:right="1126"/>
        <w:jc w:val="both"/>
      </w:pPr>
      <w:r>
        <w:rPr>
          <w:spacing w:val="-2"/>
        </w:rPr>
        <w:t>软件优化等领先技术，严格品质管理，为客户保障资产安全、提升投资效益等方面起到有效支撑作用。公</w:t>
      </w:r>
      <w:r>
        <w:rPr>
          <w:spacing w:val="-47"/>
        </w:rPr>
        <w:t> </w:t>
      </w:r>
      <w:r>
        <w:rPr>
          <w:spacing w:val="-47"/>
        </w:rPr>
      </w:r>
      <w:r>
        <w:rPr>
          <w:spacing w:val="-2"/>
        </w:rPr>
        <w:t>司是日本野村综合研究所的重要合作伙伴，同时公司也在积极扩展该软件在国内市场的应用，目前公司已</w:t>
      </w:r>
      <w:r>
        <w:rPr>
          <w:spacing w:val="-44"/>
        </w:rPr>
        <w:t> </w:t>
      </w:r>
      <w:r>
        <w:rPr>
          <w:spacing w:val="-44"/>
        </w:rPr>
      </w:r>
      <w:r>
        <w:rPr>
          <w:spacing w:val="-2"/>
        </w:rPr>
        <w:t>与国元证券、中泰证券、光大银行合肥分行、兴业数字金融服务公司、兴业基金、浦银安盛、长盛基金等</w:t>
      </w:r>
      <w:r>
        <w:rPr>
          <w:spacing w:val="-42"/>
        </w:rPr>
        <w:t> </w:t>
      </w:r>
      <w:r>
        <w:rPr>
          <w:spacing w:val="-42"/>
        </w:rPr>
      </w:r>
      <w:r>
        <w:rPr/>
        <w:t>国内金融机构进行了业务合作。</w:t>
      </w:r>
    </w:p>
    <w:p>
      <w:pPr>
        <w:pStyle w:val="BodyText"/>
        <w:spacing w:line="256" w:lineRule="auto" w:before="7"/>
        <w:ind w:left="573" w:right="1133"/>
        <w:jc w:val="left"/>
      </w:pPr>
      <w:r>
        <w:rPr/>
        <w:t>（</w:t>
      </w:r>
      <w:r>
        <w:rPr>
          <w:rFonts w:ascii="Times New Roman" w:hAnsi="Times New Roman" w:cs="Times New Roman" w:eastAsia="Times New Roman" w:hint="default"/>
        </w:rPr>
        <w:t>3</w:t>
      </w:r>
      <w:r>
        <w:rPr/>
        <w:t>）大数据应用平台及解决方案</w:t>
      </w:r>
      <w:r>
        <w:rPr>
          <w:w w:val="100"/>
        </w:rPr>
        <w:t> </w:t>
      </w:r>
      <w:r>
        <w:rPr>
          <w:spacing w:val="-2"/>
        </w:rPr>
        <w:t>大数据应用平台及解决方案主要应用于政府、交通、能源、教育、医疗等行业领域。采用了分布式计</w:t>
      </w:r>
    </w:p>
    <w:p>
      <w:pPr>
        <w:pStyle w:val="BodyText"/>
        <w:spacing w:line="268" w:lineRule="auto" w:before="22"/>
        <w:ind w:right="1126"/>
        <w:jc w:val="both"/>
      </w:pPr>
      <w:r>
        <w:rPr>
          <w:spacing w:val="-2"/>
        </w:rPr>
        <w:t>算、流式计算、海量存储、数据标签等大数据技术，其功能主要包括大数据采集、大数据预处理、大数据</w:t>
      </w:r>
      <w:r>
        <w:rPr>
          <w:spacing w:val="-42"/>
        </w:rPr>
        <w:t> </w:t>
      </w:r>
      <w:r>
        <w:rPr>
          <w:spacing w:val="-42"/>
        </w:rPr>
      </w:r>
      <w:r>
        <w:rPr>
          <w:spacing w:val="-2"/>
        </w:rPr>
        <w:t>存储及管理、大数据分析及挖掘、大数据可视化，并结合行业业务特征形成面向行业领域的大数据应用解</w:t>
      </w:r>
      <w:r>
        <w:rPr>
          <w:spacing w:val="-42"/>
        </w:rPr>
        <w:t> </w:t>
      </w:r>
      <w:r>
        <w:rPr>
          <w:spacing w:val="-42"/>
        </w:rPr>
      </w:r>
      <w:r>
        <w:rPr>
          <w:spacing w:val="-2"/>
        </w:rPr>
        <w:t>决方案，能够对组织内外的海量数据进行分析及挖掘，并将结果应用于指导组织的管理及决策。目前，公</w:t>
      </w:r>
      <w:r>
        <w:rPr>
          <w:spacing w:val="-47"/>
        </w:rPr>
        <w:t> </w:t>
      </w:r>
      <w:r>
        <w:rPr>
          <w:spacing w:val="-47"/>
        </w:rPr>
      </w:r>
      <w:r>
        <w:rPr/>
        <w:t>司信用大数据平台、数据铁笼、互联网</w:t>
      </w:r>
      <w:r>
        <w:rPr>
          <w:rFonts w:ascii="Times New Roman" w:hAnsi="Times New Roman" w:cs="Times New Roman" w:eastAsia="Times New Roman" w:hint="default"/>
        </w:rPr>
        <w:t>+</w:t>
      </w:r>
      <w:r>
        <w:rPr/>
        <w:t>政务、云数据中心、行政执法与综合治超、智慧电厂、智慧灯杆</w:t>
      </w:r>
      <w:r>
        <w:rPr>
          <w:spacing w:val="-36"/>
        </w:rPr>
        <w:t> </w:t>
      </w:r>
      <w:r>
        <w:rPr>
          <w:spacing w:val="-36"/>
        </w:rPr>
      </w:r>
      <w:r>
        <w:rPr>
          <w:spacing w:val="-2"/>
        </w:rPr>
        <w:t>物联网平台、智慧校园、慢性肾病管理及血透质控大数据平台等已得到广泛应用推广，主要客户有安徽政</w:t>
      </w:r>
      <w:r>
        <w:rPr>
          <w:spacing w:val="-43"/>
        </w:rPr>
        <w:t> </w:t>
      </w:r>
      <w:r>
        <w:rPr>
          <w:spacing w:val="-43"/>
        </w:rPr>
      </w:r>
      <w:r>
        <w:rPr>
          <w:spacing w:val="-2"/>
        </w:rPr>
        <w:t>府办公厅、安徽发改委、安徽经信委、贵阳发改委、安徽检察院、安徽交通、新疆交通、合肥海关、国电</w:t>
      </w:r>
      <w:r>
        <w:rPr>
          <w:spacing w:val="-50"/>
        </w:rPr>
        <w:t> </w:t>
      </w:r>
      <w:r>
        <w:rPr>
          <w:spacing w:val="-50"/>
        </w:rPr>
      </w:r>
      <w:r>
        <w:rPr/>
        <w:t>投、神华集团、江苏电网、南瑞集团、安徽教育厅、北京</w:t>
      </w:r>
      <w:r>
        <w:rPr>
          <w:rFonts w:ascii="Times New Roman" w:hAnsi="Times New Roman" w:cs="Times New Roman" w:eastAsia="Times New Roman" w:hint="default"/>
        </w:rPr>
        <w:t>301</w:t>
      </w:r>
      <w:r>
        <w:rPr/>
        <w:t>医院、瑞慈医疗等。</w:t>
      </w:r>
    </w:p>
    <w:p>
      <w:pPr>
        <w:spacing w:after="0" w:line="268"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1133"/>
        <w:jc w:val="left"/>
      </w:pP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智慧物流云服务平台</w:t>
      </w:r>
      <w:r>
        <w:rPr>
          <w:w w:val="100"/>
        </w:rPr>
        <w:t> </w:t>
      </w:r>
      <w:r>
        <w:rPr/>
        <w:t>互联网</w:t>
      </w:r>
      <w:r>
        <w:rPr>
          <w:rFonts w:ascii="Times New Roman" w:hAnsi="Times New Roman" w:cs="Times New Roman" w:eastAsia="Times New Roman" w:hint="default"/>
        </w:rPr>
        <w:t>+</w:t>
      </w:r>
      <w:r>
        <w:rPr/>
        <w:t>智慧物流云服务平台由控股子公司慧联运运营，利用大数据、云计算、物联网、人工智能等</w:t>
      </w:r>
    </w:p>
    <w:p>
      <w:pPr>
        <w:pStyle w:val="BodyText"/>
        <w:spacing w:line="264" w:lineRule="auto" w:before="5"/>
        <w:ind w:right="1128"/>
        <w:jc w:val="both"/>
      </w:pPr>
      <w:r>
        <w:rPr>
          <w:spacing w:val="-2"/>
        </w:rPr>
        <w:t>新一代信息技术手段与货运物流行业深度融合，围绕车主、物流公司、货主企业等客户对象，大力发展科</w:t>
      </w:r>
      <w:r>
        <w:rPr>
          <w:spacing w:val="-47"/>
        </w:rPr>
        <w:t> </w:t>
      </w:r>
      <w:r>
        <w:rPr>
          <w:spacing w:val="-47"/>
        </w:rPr>
      </w:r>
      <w:r>
        <w:rPr/>
        <w:t>技承运服务、金融数据服务、物流信息化服务，研发推出了科技创新、数据驱动的互联网</w:t>
      </w:r>
      <w:r>
        <w:rPr>
          <w:rFonts w:ascii="Times New Roman" w:hAnsi="Times New Roman" w:cs="Times New Roman" w:eastAsia="Times New Roman" w:hint="default"/>
        </w:rPr>
        <w:t>+</w:t>
      </w:r>
      <w:r>
        <w:rPr/>
        <w:t>智慧物流云服</w:t>
      </w:r>
      <w:r>
        <w:rPr>
          <w:spacing w:val="-34"/>
        </w:rPr>
        <w:t> </w:t>
      </w:r>
      <w:r>
        <w:rPr/>
        <w:t>务平台，致力于用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思维打造智慧物流，推进现代物流业转型升级，实现高质量发展。</w:t>
      </w:r>
    </w:p>
    <w:p>
      <w:pPr>
        <w:pStyle w:val="BodyText"/>
        <w:spacing w:line="256" w:lineRule="auto"/>
        <w:ind w:left="573" w:right="1133"/>
        <w:jc w:val="left"/>
      </w:pPr>
      <w:r>
        <w:rPr>
          <w:rFonts w:ascii="Times New Roman" w:hAnsi="Times New Roman" w:cs="Times New Roman" w:eastAsia="Times New Roman" w:hint="default"/>
        </w:rPr>
        <w:t>3</w:t>
      </w:r>
      <w:r>
        <w:rPr/>
        <w:t>、新能源汽车电池管理系统</w:t>
      </w:r>
      <w:r>
        <w:rPr>
          <w:w w:val="100"/>
        </w:rPr>
        <w:t> </w:t>
      </w:r>
      <w:r>
        <w:rPr>
          <w:spacing w:val="-2"/>
        </w:rPr>
        <w:t>报告期内，公司完成了对贵博新能的重大资产重组。重组后贵博新能成为公司全资子公司，公司新增</w:t>
      </w:r>
    </w:p>
    <w:p>
      <w:pPr>
        <w:pStyle w:val="BodyText"/>
        <w:spacing w:line="273" w:lineRule="auto" w:before="22"/>
        <w:ind w:left="573" w:right="1133" w:hanging="420"/>
        <w:jc w:val="left"/>
      </w:pPr>
      <w:r>
        <w:rPr/>
        <w:t>新能源汽车电池管理系统产品。</w:t>
      </w:r>
      <w:r>
        <w:rPr>
          <w:w w:val="100"/>
        </w:rPr>
        <w:t> </w:t>
      </w:r>
      <w:r>
        <w:rPr>
          <w:spacing w:val="-1"/>
        </w:rPr>
        <w:t>新能源汽车电池管理系统</w:t>
      </w:r>
      <w:r>
        <w:rPr>
          <w:rFonts w:ascii="Times New Roman" w:hAnsi="Times New Roman" w:cs="Times New Roman" w:eastAsia="Times New Roman" w:hint="default"/>
          <w:spacing w:val="-1"/>
        </w:rPr>
        <w:t>(BMS)</w:t>
      </w:r>
      <w:r>
        <w:rPr>
          <w:spacing w:val="-1"/>
        </w:rPr>
        <w:t>主要为新能源汽车提供动力电池的信息采集、数据处理、逻辑控制、</w:t>
      </w:r>
    </w:p>
    <w:p>
      <w:pPr>
        <w:pStyle w:val="BodyText"/>
        <w:spacing w:line="256" w:lineRule="auto"/>
        <w:ind w:right="0"/>
        <w:jc w:val="left"/>
      </w:pPr>
      <w:r>
        <w:rPr/>
        <w:t>故障诊断、电池</w:t>
      </w:r>
      <w:r>
        <w:rPr>
          <w:rFonts w:ascii="Times New Roman" w:hAnsi="Times New Roman" w:cs="Times New Roman" w:eastAsia="Times New Roman" w:hint="default"/>
        </w:rPr>
        <w:t>SOC/SOF</w:t>
      </w:r>
      <w:r>
        <w:rPr/>
        <w:t>状态估算等各种功能，是新能源汽车电池的</w:t>
      </w:r>
      <w:r>
        <w:rPr>
          <w:rFonts w:ascii="Times New Roman" w:hAnsi="Times New Roman" w:cs="Times New Roman" w:eastAsia="Times New Roman" w:hint="default"/>
        </w:rPr>
        <w:t>“</w:t>
      </w:r>
      <w:r>
        <w:rPr/>
        <w:t>智能大脑</w:t>
      </w:r>
      <w:r>
        <w:rPr>
          <w:rFonts w:ascii="Times New Roman" w:hAnsi="Times New Roman" w:cs="Times New Roman" w:eastAsia="Times New Roman" w:hint="default"/>
        </w:rPr>
        <w:t>”</w:t>
      </w:r>
      <w:r>
        <w:rPr/>
        <w:t>和核心部件，智能软件算</w:t>
      </w:r>
      <w:r>
        <w:rPr>
          <w:w w:val="100"/>
        </w:rPr>
        <w:t> </w:t>
      </w:r>
      <w:r>
        <w:rPr>
          <w:spacing w:val="-5"/>
          <w:w w:val="100"/>
        </w:rPr>
        <w:t>法是</w:t>
      </w:r>
      <w:r>
        <w:rPr>
          <w:rFonts w:ascii="Times New Roman" w:hAnsi="Times New Roman" w:cs="Times New Roman" w:eastAsia="Times New Roman" w:hint="default"/>
          <w:spacing w:val="-5"/>
          <w:w w:val="100"/>
        </w:rPr>
        <w:t>BMS</w:t>
      </w:r>
      <w:r>
        <w:rPr>
          <w:spacing w:val="-5"/>
          <w:w w:val="100"/>
        </w:rPr>
        <w:t>产品的关键要素。公司</w:t>
      </w:r>
      <w:r>
        <w:rPr>
          <w:rFonts w:ascii="Times New Roman" w:hAnsi="Times New Roman" w:cs="Times New Roman" w:eastAsia="Times New Roman" w:hint="default"/>
          <w:spacing w:val="-5"/>
          <w:w w:val="100"/>
        </w:rPr>
        <w:t>BMS</w:t>
      </w:r>
      <w:r>
        <w:rPr>
          <w:spacing w:val="-5"/>
          <w:w w:val="100"/>
        </w:rPr>
        <w:t>产品主要面向技术要求更高的新能源纯电动乘用车，具有估算精度高、</w:t>
      </w:r>
      <w:r>
        <w:rPr>
          <w:spacing w:val="-103"/>
          <w:w w:val="100"/>
        </w:rPr>
        <w:t> </w:t>
      </w:r>
      <w:r>
        <w:rPr>
          <w:spacing w:val="-103"/>
          <w:w w:val="100"/>
        </w:rPr>
      </w:r>
      <w:r>
        <w:rPr/>
        <w:t>安全稳定性好、可靠性高、采集精度高、延展性好、</w:t>
      </w:r>
      <w:r>
        <w:rPr>
          <w:rFonts w:ascii="Times New Roman" w:hAnsi="Times New Roman" w:cs="Times New Roman" w:eastAsia="Times New Roman" w:hint="default"/>
        </w:rPr>
        <w:t>HIL</w:t>
      </w:r>
      <w:r>
        <w:rPr/>
        <w:t>测试系统仿真测试等核心优势。目前，公司产品</w:t>
      </w:r>
      <w:r>
        <w:rPr>
          <w:spacing w:val="-55"/>
        </w:rPr>
        <w:t> </w:t>
      </w:r>
      <w:r>
        <w:rPr>
          <w:spacing w:val="-55"/>
        </w:rPr>
      </w:r>
      <w:r>
        <w:rPr/>
        <w:t>最终用户为奇瑞新能源、长春一汽、航天新长征等，是奇瑞新能源的一级供应商。</w:t>
      </w:r>
    </w:p>
    <w:p>
      <w:pPr>
        <w:pStyle w:val="BodyText"/>
        <w:spacing w:line="240" w:lineRule="auto" w:before="22"/>
        <w:ind w:left="573" w:right="1133"/>
        <w:jc w:val="left"/>
      </w:pPr>
      <w:r>
        <w:rPr/>
        <w:t>（三）经营模式</w:t>
      </w:r>
    </w:p>
    <w:p>
      <w:pPr>
        <w:pStyle w:val="BodyText"/>
        <w:spacing w:line="240" w:lineRule="auto" w:before="37"/>
        <w:ind w:left="573" w:right="1133"/>
        <w:jc w:val="left"/>
      </w:pPr>
      <w:r>
        <w:rPr>
          <w:rFonts w:ascii="Times New Roman" w:hAnsi="Times New Roman" w:cs="Times New Roman" w:eastAsia="Times New Roman" w:hint="default"/>
        </w:rPr>
        <w:t>1</w:t>
      </w:r>
      <w:r>
        <w:rPr/>
        <w:t>、盈利模式</w:t>
      </w:r>
    </w:p>
    <w:p>
      <w:pPr>
        <w:pStyle w:val="BodyText"/>
        <w:spacing w:line="256" w:lineRule="auto" w:before="21"/>
        <w:ind w:left="573" w:right="1133"/>
        <w:jc w:val="left"/>
      </w:pPr>
      <w:r>
        <w:rPr/>
        <w:t>（</w:t>
      </w:r>
      <w:r>
        <w:rPr>
          <w:rFonts w:ascii="Times New Roman" w:hAnsi="Times New Roman" w:cs="Times New Roman" w:eastAsia="Times New Roman" w:hint="default"/>
        </w:rPr>
        <w:t>1</w:t>
      </w:r>
      <w:r>
        <w:rPr/>
        <w:t>）按客户需求承接项目建设模式</w:t>
      </w:r>
      <w:r>
        <w:rPr>
          <w:w w:val="100"/>
        </w:rPr>
        <w:t> </w:t>
      </w:r>
      <w:r>
        <w:rPr>
          <w:spacing w:val="-2"/>
        </w:rPr>
        <w:t>即依据客户需求，公司基于自主研发的软件产品和解决方案，满足客户项目需求进而获得收入。该种</w:t>
      </w:r>
    </w:p>
    <w:p>
      <w:pPr>
        <w:pStyle w:val="BodyText"/>
        <w:spacing w:line="273" w:lineRule="auto" w:before="22"/>
        <w:ind w:right="1126"/>
        <w:jc w:val="both"/>
      </w:pPr>
      <w:r>
        <w:rPr>
          <w:spacing w:val="-2"/>
        </w:rPr>
        <w:t>模式，公司根据业务及技术复杂程度、规模大小并参照市场竞争情况等因素定价。公司软件及大数据业务</w:t>
      </w:r>
      <w:r>
        <w:rPr>
          <w:spacing w:val="-44"/>
        </w:rPr>
        <w:t> </w:t>
      </w:r>
      <w:r>
        <w:rPr>
          <w:spacing w:val="-44"/>
        </w:rPr>
      </w:r>
      <w:r>
        <w:rPr/>
        <w:t>以该种模式为主。</w:t>
      </w:r>
    </w:p>
    <w:p>
      <w:pPr>
        <w:pStyle w:val="BodyText"/>
        <w:spacing w:line="256" w:lineRule="auto" w:before="7"/>
        <w:ind w:left="573" w:right="1133"/>
        <w:jc w:val="left"/>
      </w:pPr>
      <w:r>
        <w:rPr/>
        <w:t>（</w:t>
      </w:r>
      <w:r>
        <w:rPr>
          <w:rFonts w:ascii="Times New Roman" w:hAnsi="Times New Roman" w:cs="Times New Roman" w:eastAsia="Times New Roman" w:hint="default"/>
        </w:rPr>
        <w:t>2</w:t>
      </w:r>
      <w:r>
        <w:rPr/>
        <w:t>）软件服务运营模式</w:t>
      </w:r>
      <w:r>
        <w:rPr>
          <w:w w:val="100"/>
        </w:rPr>
        <w:t> </w:t>
      </w:r>
      <w:r>
        <w:rPr>
          <w:spacing w:val="-2"/>
        </w:rPr>
        <w:t>即企业依据用户或面向市场需求，自行建设和维护信息系统或服务平台，通过用户购买服务或收取服</w:t>
      </w:r>
    </w:p>
    <w:p>
      <w:pPr>
        <w:pStyle w:val="BodyText"/>
        <w:spacing w:line="240" w:lineRule="auto" w:before="22"/>
        <w:ind w:right="0"/>
        <w:jc w:val="both"/>
      </w:pPr>
      <w:r>
        <w:rPr/>
        <w:t>务交易佣金等方式获利。目前，这种盈利模式主要应用于公司的互联网</w:t>
      </w:r>
      <w:r>
        <w:rPr>
          <w:rFonts w:ascii="Times New Roman" w:hAnsi="Times New Roman" w:cs="Times New Roman" w:eastAsia="Times New Roman" w:hint="default"/>
        </w:rPr>
        <w:t>+</w:t>
      </w:r>
      <w:r>
        <w:rPr/>
        <w:t>智慧物流云服务平台。</w:t>
      </w:r>
    </w:p>
    <w:p>
      <w:pPr>
        <w:pStyle w:val="BodyText"/>
        <w:spacing w:line="256" w:lineRule="auto" w:before="21"/>
        <w:ind w:left="573" w:right="1133"/>
        <w:jc w:val="left"/>
      </w:pPr>
      <w:r>
        <w:rPr/>
        <w:t>（</w:t>
      </w:r>
      <w:r>
        <w:rPr>
          <w:rFonts w:ascii="Times New Roman" w:hAnsi="Times New Roman" w:cs="Times New Roman" w:eastAsia="Times New Roman" w:hint="default"/>
        </w:rPr>
        <w:t>3</w:t>
      </w:r>
      <w:r>
        <w:rPr/>
        <w:t>）产品模式</w:t>
      </w:r>
      <w:r>
        <w:rPr>
          <w:w w:val="100"/>
        </w:rPr>
        <w:t> </w:t>
      </w:r>
      <w:r>
        <w:rPr>
          <w:spacing w:val="-2"/>
        </w:rPr>
        <w:t>即企业依据不同客户或市场需求，依托自主研发的智能软件产品或软硬一体化产品，满足不同类型的</w:t>
      </w:r>
    </w:p>
    <w:p>
      <w:pPr>
        <w:pStyle w:val="BodyText"/>
        <w:spacing w:line="240" w:lineRule="auto" w:before="22"/>
        <w:ind w:right="0"/>
        <w:jc w:val="both"/>
      </w:pPr>
      <w:r>
        <w:rPr/>
        <w:t>客户需求实现盈利。目前，公司智能软件产品业务以该种模式为主。</w:t>
      </w:r>
    </w:p>
    <w:p>
      <w:pPr>
        <w:pStyle w:val="BodyText"/>
        <w:spacing w:line="256" w:lineRule="auto" w:before="37"/>
        <w:ind w:left="573" w:right="1133"/>
        <w:jc w:val="left"/>
      </w:pPr>
      <w:r>
        <w:rPr>
          <w:rFonts w:ascii="Times New Roman" w:hAnsi="Times New Roman" w:cs="Times New Roman" w:eastAsia="Times New Roman" w:hint="default"/>
        </w:rPr>
        <w:t>2</w:t>
      </w:r>
      <w:r>
        <w:rPr/>
        <w:t>、采购模式</w:t>
      </w:r>
      <w:r>
        <w:rPr>
          <w:w w:val="100"/>
        </w:rPr>
        <w:t> </w:t>
      </w:r>
      <w:r>
        <w:rPr>
          <w:spacing w:val="-2"/>
        </w:rPr>
        <w:t>公司业务所需的主要原材料一方面是用于软件研发、解决方案或提供专业技术服务所需的服务器、终</w:t>
      </w:r>
    </w:p>
    <w:p>
      <w:pPr>
        <w:pStyle w:val="BodyText"/>
        <w:spacing w:line="261" w:lineRule="auto" w:before="22"/>
        <w:ind w:right="1126"/>
        <w:jc w:val="both"/>
      </w:pPr>
      <w:r>
        <w:rPr>
          <w:spacing w:val="-2"/>
        </w:rPr>
        <w:t>端设备和系统软件等，由于该等原材料更新速度较快，价格波动较大，公司根据行业惯例采取</w:t>
      </w:r>
      <w:r>
        <w:rPr>
          <w:rFonts w:ascii="Times New Roman" w:hAnsi="Times New Roman" w:cs="Times New Roman" w:eastAsia="Times New Roman" w:hint="default"/>
          <w:spacing w:val="-2"/>
        </w:rPr>
        <w:t>“</w:t>
      </w:r>
      <w:r>
        <w:rPr>
          <w:spacing w:val="-2"/>
        </w:rPr>
        <w:t>零库存</w:t>
      </w:r>
      <w:r>
        <w:rPr>
          <w:rFonts w:ascii="Times New Roman" w:hAnsi="Times New Roman" w:cs="Times New Roman" w:eastAsia="Times New Roman" w:hint="default"/>
          <w:spacing w:val="-2"/>
        </w:rPr>
        <w:t>”</w:t>
      </w:r>
      <w:r>
        <w:rPr>
          <w:spacing w:val="-2"/>
        </w:rPr>
        <w:t>管</w:t>
      </w:r>
      <w:r>
        <w:rPr>
          <w:spacing w:val="-18"/>
        </w:rPr>
        <w:t> </w:t>
      </w:r>
      <w:r>
        <w:rPr>
          <w:spacing w:val="-2"/>
        </w:rPr>
        <w:t>理；另一方面是根据产品的技术标准及销售订单需求采购的分离器、芯片、电阻电容、</w:t>
      </w:r>
      <w:r>
        <w:rPr>
          <w:rFonts w:ascii="Times New Roman" w:hAnsi="Times New Roman" w:cs="Times New Roman" w:eastAsia="Times New Roman" w:hint="default"/>
          <w:spacing w:val="-2"/>
        </w:rPr>
        <w:t>PCB</w:t>
      </w:r>
      <w:r>
        <w:rPr>
          <w:spacing w:val="-2"/>
        </w:rPr>
        <w:t>线路板、接插</w:t>
      </w:r>
      <w:r>
        <w:rPr>
          <w:spacing w:val="-18"/>
        </w:rPr>
        <w:t> </w:t>
      </w:r>
      <w:r>
        <w:rPr>
          <w:spacing w:val="-18"/>
        </w:rPr>
      </w:r>
      <w:r>
        <w:rPr>
          <w:spacing w:val="-2"/>
        </w:rPr>
        <w:t>件和结构件等，由采购部门根据计划经营部门的生产计划制定原材料采购订单；上述原材料由公司根据项</w:t>
      </w:r>
      <w:r>
        <w:rPr>
          <w:spacing w:val="-43"/>
        </w:rPr>
        <w:t> </w:t>
      </w:r>
      <w:r>
        <w:rPr>
          <w:spacing w:val="-43"/>
        </w:rPr>
      </w:r>
      <w:r>
        <w:rPr/>
        <w:t>目实施的需要或采购订单要求进行采购。</w:t>
      </w:r>
    </w:p>
    <w:p>
      <w:pPr>
        <w:pStyle w:val="BodyText"/>
        <w:spacing w:line="256" w:lineRule="auto" w:before="18"/>
        <w:ind w:left="573" w:right="1133"/>
        <w:jc w:val="left"/>
      </w:pPr>
      <w:r>
        <w:rPr>
          <w:rFonts w:ascii="Times New Roman" w:hAnsi="Times New Roman" w:cs="Times New Roman" w:eastAsia="Times New Roman" w:hint="default"/>
        </w:rPr>
        <w:t>3</w:t>
      </w:r>
      <w:r>
        <w:rPr/>
        <w:t>、研发模式</w:t>
      </w:r>
      <w:r>
        <w:rPr>
          <w:w w:val="100"/>
        </w:rPr>
        <w:t> </w:t>
      </w:r>
      <w:r>
        <w:rPr>
          <w:spacing w:val="-2"/>
        </w:rPr>
        <w:t>公司坚持</w:t>
      </w:r>
      <w:r>
        <w:rPr>
          <w:rFonts w:ascii="Times New Roman" w:hAnsi="Times New Roman" w:cs="Times New Roman" w:eastAsia="Times New Roman" w:hint="default"/>
          <w:spacing w:val="-2"/>
        </w:rPr>
        <w:t>“</w:t>
      </w:r>
      <w:r>
        <w:rPr>
          <w:spacing w:val="-2"/>
        </w:rPr>
        <w:t>融合国际经验，坚持自主创新</w:t>
      </w:r>
      <w:r>
        <w:rPr>
          <w:rFonts w:ascii="Times New Roman" w:hAnsi="Times New Roman" w:cs="Times New Roman" w:eastAsia="Times New Roman" w:hint="default"/>
          <w:spacing w:val="-2"/>
        </w:rPr>
        <w:t>”</w:t>
      </w:r>
      <w:r>
        <w:rPr>
          <w:spacing w:val="-2"/>
        </w:rPr>
        <w:t>，深刻理解与把握公司所处市场环境与行业背景，以市场为</w:t>
      </w:r>
    </w:p>
    <w:p>
      <w:pPr>
        <w:pStyle w:val="BodyText"/>
        <w:spacing w:line="273" w:lineRule="auto" w:before="5"/>
        <w:ind w:left="573" w:right="0" w:hanging="420"/>
        <w:jc w:val="left"/>
      </w:pPr>
      <w:r>
        <w:rPr/>
        <w:t>导向，利用新一代信息技术，产学研用相结合，进行产品研发。</w:t>
      </w:r>
      <w:r>
        <w:rPr>
          <w:w w:val="100"/>
        </w:rPr>
        <w:t> </w:t>
      </w:r>
      <w:r>
        <w:rPr>
          <w:spacing w:val="-5"/>
        </w:rPr>
        <w:t>为实现不同行业软件敏捷开发，降低成本，快速响应客户需求，减少开发风险，经过不断沉淀和积累，</w:t>
      </w:r>
    </w:p>
    <w:p>
      <w:pPr>
        <w:pStyle w:val="BodyText"/>
        <w:spacing w:line="273" w:lineRule="auto" w:before="7"/>
        <w:ind w:right="1126"/>
        <w:jc w:val="both"/>
      </w:pPr>
      <w:r>
        <w:rPr>
          <w:spacing w:val="-2"/>
        </w:rPr>
        <w:t>自主研发了公司软件基础开发平台。基于该平台，基础技术框架解决行业软件开发共性的技术问题。该平</w:t>
      </w:r>
      <w:r>
        <w:rPr>
          <w:spacing w:val="-43"/>
        </w:rPr>
        <w:t> </w:t>
      </w:r>
      <w:r>
        <w:rPr>
          <w:spacing w:val="-43"/>
        </w:rPr>
      </w:r>
      <w:r>
        <w:rPr>
          <w:spacing w:val="-2"/>
        </w:rPr>
        <w:t>台的业务流程和业务规则、统一门户等组件直接面向业务开发人员或客户，使其无需关心技术实现，更关</w:t>
      </w:r>
      <w:r>
        <w:rPr>
          <w:spacing w:val="-43"/>
        </w:rPr>
        <w:t> </w:t>
      </w:r>
      <w:r>
        <w:rPr>
          <w:spacing w:val="-43"/>
        </w:rPr>
      </w:r>
      <w:r>
        <w:rPr/>
        <w:t>注业务需求和业务流程，进而快速构建满足行业客户需求的软件产品。</w:t>
      </w:r>
    </w:p>
    <w:p>
      <w:pPr>
        <w:pStyle w:val="BodyText"/>
        <w:spacing w:line="273" w:lineRule="auto" w:before="7"/>
        <w:ind w:left="573" w:right="1133"/>
        <w:jc w:val="left"/>
      </w:pPr>
      <w:r>
        <w:rPr/>
        <w:t>（四）公司所处行业分析</w:t>
      </w:r>
      <w:r>
        <w:rPr>
          <w:w w:val="100"/>
        </w:rPr>
        <w:t> </w:t>
      </w:r>
      <w:r>
        <w:rPr/>
        <w:t>公司所处行业为软件行业，按照中国证监会《上市公司行业分类指引》，所处行业为</w:t>
      </w:r>
      <w:r>
        <w:rPr>
          <w:rFonts w:ascii="Times New Roman" w:hAnsi="Times New Roman" w:cs="Times New Roman" w:eastAsia="Times New Roman" w:hint="default"/>
        </w:rPr>
        <w:t>“</w:t>
      </w:r>
      <w:r>
        <w:rPr/>
        <w:t>信息传输、软</w:t>
      </w:r>
    </w:p>
    <w:p>
      <w:pPr>
        <w:pStyle w:val="BodyText"/>
        <w:spacing w:line="256" w:lineRule="auto"/>
        <w:ind w:left="573" w:right="1133" w:hanging="420"/>
        <w:jc w:val="left"/>
        <w:rPr>
          <w:rFonts w:ascii="Times New Roman" w:hAnsi="Times New Roman" w:cs="Times New Roman" w:eastAsia="Times New Roman" w:hint="default"/>
        </w:rPr>
      </w:pPr>
      <w:r>
        <w:rPr/>
        <w:t>件和信息技术服务业</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，编码为</w:t>
      </w:r>
      <w:r>
        <w:rPr>
          <w:rFonts w:ascii="Times New Roman" w:hAnsi="Times New Roman" w:cs="Times New Roman" w:eastAsia="Times New Roman" w:hint="default"/>
        </w:rPr>
        <w:t>“I65”</w:t>
      </w:r>
      <w:r>
        <w:rPr/>
        <w:t>。</w:t>
      </w:r>
      <w:r>
        <w:rPr>
          <w:w w:val="100"/>
        </w:rPr>
        <w:t> </w:t>
      </w:r>
      <w:r>
        <w:rPr>
          <w:spacing w:val="-2"/>
        </w:rPr>
        <w:t>信息产业是决定</w:t>
      </w:r>
      <w:r>
        <w:rPr>
          <w:rFonts w:ascii="Times New Roman" w:hAnsi="Times New Roman" w:cs="Times New Roman" w:eastAsia="Times New Roman" w:hint="default"/>
          <w:spacing w:val="-2"/>
        </w:rPr>
        <w:t>21</w:t>
      </w:r>
      <w:r>
        <w:rPr>
          <w:spacing w:val="-2"/>
        </w:rPr>
        <w:t>世纪国际竞争地位的先导型和战略性产业，是国民经济的支柱产业之一，软件与</w:t>
      </w:r>
      <w:r>
        <w:rPr>
          <w:rFonts w:ascii="Times New Roman" w:hAnsi="Times New Roman" w:cs="Times New Roman" w:eastAsia="Times New Roman" w:hint="default"/>
          <w:spacing w:val="-2"/>
        </w:rPr>
        <w:t>IT</w:t>
      </w:r>
      <w:r>
        <w:rPr>
          <w:rFonts w:ascii="Times New Roman" w:hAnsi="Times New Roman" w:cs="Times New Roman" w:eastAsia="Times New Roman" w:hint="default"/>
        </w:rPr>
      </w:r>
    </w:p>
    <w:p>
      <w:pPr>
        <w:pStyle w:val="BodyText"/>
        <w:spacing w:line="256" w:lineRule="auto" w:before="5"/>
        <w:ind w:right="1125"/>
        <w:jc w:val="both"/>
      </w:pPr>
      <w:r>
        <w:rPr>
          <w:spacing w:val="-7"/>
        </w:rPr>
        <w:t>服务产业是信息产业的核心，是国家提高自主创新能力取得突破的关键领域。根据工信部公布的数据，</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年我国软件和信息技术服务业完成软件业务收入</w:t>
      </w:r>
      <w:r>
        <w:rPr>
          <w:rFonts w:ascii="Times New Roman" w:hAnsi="Times New Roman" w:cs="Times New Roman" w:eastAsia="Times New Roman" w:hint="default"/>
        </w:rPr>
        <w:t>63,061</w:t>
      </w:r>
      <w:r>
        <w:rPr/>
        <w:t>亿元，同比增长</w:t>
      </w:r>
      <w:r>
        <w:rPr>
          <w:rFonts w:ascii="Times New Roman" w:hAnsi="Times New Roman" w:cs="Times New Roman" w:eastAsia="Times New Roman" w:hint="default"/>
        </w:rPr>
        <w:t>14.2%</w:t>
      </w:r>
      <w:r>
        <w:rPr/>
        <w:t>。</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right="1104" w:firstLine="420"/>
        <w:jc w:val="both"/>
      </w:pP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时期是我国全面建成小康社会决胜阶段，全球新一轮科技革命和产业变革持续深入，国内经</w:t>
      </w:r>
      <w:r>
        <w:rPr>
          <w:w w:val="100"/>
        </w:rPr>
        <w:t> </w:t>
      </w:r>
      <w:r>
        <w:rPr>
          <w:spacing w:val="-2"/>
        </w:rPr>
        <w:t>济发展方式加快转变，软件和信息技术服务业迎来更大发展机遇。国家工信部出台了《软件和信息技术服</w:t>
      </w:r>
      <w:r>
        <w:rPr>
          <w:spacing w:val="-44"/>
        </w:rPr>
        <w:t> </w:t>
      </w:r>
      <w:r>
        <w:rPr>
          <w:spacing w:val="-44"/>
        </w:rPr>
      </w:r>
      <w:r>
        <w:rPr>
          <w:spacing w:val="-4"/>
        </w:rPr>
        <w:t>务业发展规划（</w:t>
      </w:r>
      <w:r>
        <w:rPr>
          <w:rFonts w:ascii="Times New Roman" w:hAnsi="Times New Roman" w:cs="Times New Roman" w:eastAsia="Times New Roman" w:hint="default"/>
          <w:spacing w:val="-4"/>
        </w:rPr>
        <w:t>2016-2020</w:t>
      </w:r>
      <w:r>
        <w:rPr>
          <w:spacing w:val="-4"/>
        </w:rPr>
        <w:t>年）》，规划以产业由大变强和支撑国家战略为出发点，以创新发展和融合发展 </w:t>
      </w:r>
      <w:r>
        <w:rPr>
          <w:spacing w:val="-2"/>
        </w:rPr>
        <w:t>为主线，着力突破核心技术，积极培育新兴业态，持续深化融合应用，加快构建具有国际竞争优势的产业</w:t>
      </w:r>
      <w:r>
        <w:rPr>
          <w:spacing w:val="-47"/>
        </w:rPr>
        <w:t> </w:t>
      </w:r>
      <w:r>
        <w:rPr>
          <w:spacing w:val="-47"/>
        </w:rPr>
      </w:r>
      <w:r>
        <w:rPr>
          <w:spacing w:val="-2"/>
        </w:rPr>
        <w:t>生态体系，加速催生和释放创新红利、数据红利和模式红利，实现产业发展新跨越，全力支撑制造强国和</w:t>
      </w:r>
      <w:r>
        <w:rPr>
          <w:spacing w:val="-50"/>
        </w:rPr>
        <w:t> </w:t>
      </w:r>
      <w:r>
        <w:rPr>
          <w:spacing w:val="-50"/>
        </w:rPr>
      </w:r>
      <w:r>
        <w:rPr/>
        <w:t>网络强国建设为指导思想。提出到</w:t>
      </w:r>
      <w:r>
        <w:rPr>
          <w:rFonts w:ascii="Times New Roman" w:hAnsi="Times New Roman" w:cs="Times New Roman" w:eastAsia="Times New Roman" w:hint="default"/>
        </w:rPr>
        <w:t>2020</w:t>
      </w:r>
      <w:r>
        <w:rPr/>
        <w:t>年，软件和信息技术服务业业务收入突破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以上，占信息产业比重超过</w:t>
      </w:r>
      <w:r>
        <w:rPr>
          <w:rFonts w:ascii="Times New Roman" w:hAnsi="Times New Roman" w:cs="Times New Roman" w:eastAsia="Times New Roman" w:hint="default"/>
        </w:rPr>
        <w:t>30%</w:t>
      </w:r>
      <w:r>
        <w:rPr/>
        <w:t>，其中信息技术服务收入占业务收入比重达到</w:t>
      </w:r>
      <w:r>
        <w:rPr>
          <w:rFonts w:ascii="Times New Roman" w:hAnsi="Times New Roman" w:cs="Times New Roman" w:eastAsia="Times New Roman" w:hint="default"/>
        </w:rPr>
        <w:t>55%</w:t>
      </w:r>
      <w:r>
        <w:rPr/>
        <w:t>，信息安全产品收入达</w:t>
      </w:r>
      <w:r>
        <w:rPr>
          <w:spacing w:val="-52"/>
        </w:rPr>
        <w:t> </w:t>
      </w:r>
      <w:r>
        <w:rPr>
          <w:spacing w:val="-1"/>
        </w:rPr>
        <w:t>到</w:t>
      </w:r>
      <w:r>
        <w:rPr>
          <w:rFonts w:ascii="Times New Roman" w:hAnsi="Times New Roman" w:cs="Times New Roman" w:eastAsia="Times New Roman" w:hint="default"/>
          <w:spacing w:val="-1"/>
        </w:rPr>
        <w:t>2000</w:t>
      </w:r>
      <w:r>
        <w:rPr>
          <w:spacing w:val="-1"/>
        </w:rPr>
        <w:t>亿元，年均增长</w:t>
      </w:r>
      <w:r>
        <w:rPr>
          <w:rFonts w:ascii="Times New Roman" w:hAnsi="Times New Roman" w:cs="Times New Roman" w:eastAsia="Times New Roman" w:hint="default"/>
          <w:spacing w:val="-1"/>
        </w:rPr>
        <w:t>20%</w:t>
      </w:r>
      <w:r>
        <w:rPr>
          <w:spacing w:val="-1"/>
        </w:rPr>
        <w:t>以上，软件出口超过</w:t>
      </w:r>
      <w:r>
        <w:rPr>
          <w:rFonts w:ascii="Times New Roman" w:hAnsi="Times New Roman" w:cs="Times New Roman" w:eastAsia="Times New Roman" w:hint="default"/>
          <w:spacing w:val="-1"/>
        </w:rPr>
        <w:t>680</w:t>
      </w:r>
      <w:r>
        <w:rPr>
          <w:spacing w:val="-1"/>
        </w:rPr>
        <w:t>亿美元，软件从业人员达到</w:t>
      </w:r>
      <w:r>
        <w:rPr>
          <w:rFonts w:ascii="Times New Roman" w:hAnsi="Times New Roman" w:cs="Times New Roman" w:eastAsia="Times New Roman" w:hint="default"/>
          <w:spacing w:val="-1"/>
        </w:rPr>
        <w:t>900</w:t>
      </w:r>
      <w:r>
        <w:rPr>
          <w:spacing w:val="-1"/>
        </w:rPr>
        <w:t>万人。人工智能、虚拟</w:t>
      </w:r>
      <w:r>
        <w:rPr>
          <w:spacing w:val="-48"/>
        </w:rPr>
        <w:t> </w:t>
      </w:r>
      <w:r>
        <w:rPr>
          <w:spacing w:val="-48"/>
        </w:rPr>
      </w:r>
      <w:r>
        <w:rPr>
          <w:spacing w:val="-2"/>
        </w:rPr>
        <w:t>现实、区块链等领域创新达到国际先进水平，云计算、大数据、移动互联网、物联网、信息安全等领域的</w:t>
      </w:r>
      <w:r>
        <w:rPr>
          <w:spacing w:val="-42"/>
        </w:rPr>
        <w:t> </w:t>
      </w:r>
      <w:r>
        <w:rPr>
          <w:spacing w:val="-42"/>
        </w:rPr>
      </w:r>
      <w:r>
        <w:rPr/>
        <w:t>创新发展向更高层次跃升，重点领域标准化取得显著进展，国际标准话语权进一步提升。此外，突出</w:t>
      </w:r>
      <w:r>
        <w:rPr>
          <w:rFonts w:ascii="Times New Roman" w:hAnsi="Times New Roman" w:cs="Times New Roman" w:eastAsia="Times New Roman" w:hint="default"/>
        </w:rPr>
        <w:t>“</w:t>
      </w:r>
      <w:r>
        <w:rPr/>
        <w:t>软</w:t>
      </w:r>
      <w:r>
        <w:rPr>
          <w:spacing w:val="-12"/>
        </w:rPr>
        <w:t> </w:t>
      </w:r>
      <w:r>
        <w:rPr/>
        <w:t>件定义</w:t>
      </w:r>
      <w:r>
        <w:rPr>
          <w:rFonts w:ascii="Times New Roman" w:hAnsi="Times New Roman" w:cs="Times New Roman" w:eastAsia="Times New Roman" w:hint="default"/>
        </w:rPr>
        <w:t>”</w:t>
      </w:r>
      <w:r>
        <w:rPr/>
        <w:t>，一方面，数据驱动信息技术产业变革，加速新一代信息技术的跨界融合和创新发展，通过软件</w:t>
      </w:r>
      <w:r>
        <w:rPr>
          <w:spacing w:val="-18"/>
        </w:rPr>
        <w:t> </w:t>
      </w:r>
      <w:r>
        <w:rPr>
          <w:spacing w:val="-18"/>
        </w:rPr>
      </w:r>
      <w:r>
        <w:rPr>
          <w:spacing w:val="-2"/>
        </w:rPr>
        <w:t>定义硬件、软件定义存储、软件定义网络、软件定义系统等，带来更多的新产品、服务和模式创新，催生</w:t>
      </w:r>
      <w:r>
        <w:rPr>
          <w:spacing w:val="-42"/>
        </w:rPr>
        <w:t> </w:t>
      </w:r>
      <w:r>
        <w:rPr>
          <w:spacing w:val="-42"/>
        </w:rPr>
      </w:r>
      <w:r>
        <w:rPr>
          <w:spacing w:val="-2"/>
        </w:rPr>
        <w:t>新的业态和经济增长点，推动数据成为战略资产；另一方面，</w:t>
      </w:r>
      <w:r>
        <w:rPr>
          <w:rFonts w:ascii="Times New Roman" w:hAnsi="Times New Roman" w:cs="Times New Roman" w:eastAsia="Times New Roman" w:hint="default"/>
          <w:spacing w:val="-2"/>
        </w:rPr>
        <w:t>“</w:t>
      </w:r>
      <w:r>
        <w:rPr>
          <w:spacing w:val="-2"/>
        </w:rPr>
        <w:t>软件定义</w:t>
      </w:r>
      <w:r>
        <w:rPr>
          <w:rFonts w:ascii="Times New Roman" w:hAnsi="Times New Roman" w:cs="Times New Roman" w:eastAsia="Times New Roman" w:hint="default"/>
          <w:spacing w:val="-2"/>
        </w:rPr>
        <w:t>”</w:t>
      </w:r>
      <w:r>
        <w:rPr>
          <w:spacing w:val="-2"/>
        </w:rPr>
        <w:t>加速各行业领域的融合创新和转</w:t>
      </w:r>
      <w:r>
        <w:rPr>
          <w:spacing w:val="-17"/>
        </w:rPr>
        <w:t> </w:t>
      </w:r>
      <w:r>
        <w:rPr>
          <w:spacing w:val="-17"/>
        </w:rPr>
      </w:r>
      <w:r>
        <w:rPr>
          <w:spacing w:val="-2"/>
        </w:rPr>
        <w:t>型升级。由此可见，软件与信息技术服务业将继续保持蓬勃发展，公司正处于充满机遇的发展黄金时期。</w:t>
      </w:r>
      <w:r>
        <w:rPr>
          <w:spacing w:val="-21"/>
        </w:rPr>
        <w:t> </w:t>
      </w:r>
      <w:r>
        <w:rPr>
          <w:spacing w:val="-21"/>
        </w:rPr>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期间，公司将围绕主营业务，增强创新管理思想，持续推进智能软件在重点行业领域融合创新应</w:t>
      </w:r>
      <w:r>
        <w:rPr>
          <w:spacing w:val="-19"/>
        </w:rPr>
        <w:t> </w:t>
      </w:r>
      <w:r>
        <w:rPr>
          <w:spacing w:val="-19"/>
        </w:rPr>
      </w:r>
      <w:r>
        <w:rPr/>
        <w:t>用，深化公司经营管理战略和资本管理战略，以内生增长和外延增长相结合，促进公司高速发展。</w:t>
      </w:r>
    </w:p>
    <w:p>
      <w:pPr>
        <w:pStyle w:val="BodyText"/>
        <w:spacing w:line="273" w:lineRule="auto" w:before="16"/>
        <w:ind w:left="573" w:right="1133"/>
        <w:jc w:val="left"/>
      </w:pPr>
      <w:r>
        <w:rPr/>
        <w:t>（五）客户所处行业的发展情况</w:t>
      </w:r>
      <w:r>
        <w:rPr>
          <w:w w:val="100"/>
        </w:rPr>
        <w:t> </w:t>
      </w:r>
      <w:r>
        <w:rPr>
          <w:spacing w:val="-2"/>
        </w:rPr>
        <w:t>党的十九大报告提出，推动互联网、大数据、人工智能和实体经济深度融合，建设数字中国、智慧社</w:t>
      </w:r>
    </w:p>
    <w:p>
      <w:pPr>
        <w:pStyle w:val="BodyText"/>
        <w:spacing w:line="266" w:lineRule="auto" w:before="7"/>
        <w:ind w:right="1104"/>
        <w:jc w:val="both"/>
      </w:pPr>
      <w:r>
        <w:rPr>
          <w:spacing w:val="-2"/>
        </w:rPr>
        <w:t>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月，中央政治局第二次集体学习时，习近平总书记强调，加快建设数字中国，构建以数据为</w:t>
      </w:r>
      <w:r>
        <w:rPr>
          <w:spacing w:val="-38"/>
        </w:rPr>
        <w:t> </w:t>
      </w:r>
      <w:r>
        <w:rPr>
          <w:spacing w:val="-38"/>
        </w:rPr>
      </w:r>
      <w:r>
        <w:rPr/>
        <w:t>关键要素的数字经济，推动实体经济和数字经济融合发展。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日，全国网络安全和信息化工作</w:t>
      </w:r>
      <w:r>
        <w:rPr>
          <w:spacing w:val="-26"/>
        </w:rPr>
        <w:t> </w:t>
      </w:r>
      <w:r>
        <w:rPr>
          <w:spacing w:val="-26"/>
        </w:rPr>
      </w:r>
      <w:r>
        <w:rPr>
          <w:spacing w:val="-2"/>
        </w:rPr>
        <w:t>会议上，习近平总书记指出，要发展数字经济，加快推动数字产业化，依靠信息技术创新驱动，不断催生</w:t>
      </w:r>
      <w:r>
        <w:rPr>
          <w:spacing w:val="-43"/>
        </w:rPr>
        <w:t> </w:t>
      </w:r>
      <w:r>
        <w:rPr>
          <w:spacing w:val="-43"/>
        </w:rPr>
      </w:r>
      <w:r>
        <w:rPr>
          <w:spacing w:val="-2"/>
        </w:rPr>
        <w:t>新产业新业态新模式，用新动能推动新发展。要推动产业数字化，利用互联网新技术新应用对传统产业进</w:t>
      </w:r>
      <w:r>
        <w:rPr>
          <w:spacing w:val="-44"/>
        </w:rPr>
        <w:t> </w:t>
      </w:r>
      <w:r>
        <w:rPr>
          <w:spacing w:val="-44"/>
        </w:rPr>
      </w:r>
      <w:r>
        <w:rPr>
          <w:spacing w:val="-2"/>
        </w:rPr>
        <w:t>行全方位、全角度、全链条的改造，提高全要素生产率，释放数字对经济发展的放大、叠加、倍增作用。</w:t>
      </w:r>
      <w:r>
        <w:rPr>
          <w:spacing w:val="-21"/>
        </w:rPr>
        <w:t> </w:t>
      </w:r>
      <w:r>
        <w:rPr>
          <w:spacing w:val="-21"/>
        </w:rPr>
      </w:r>
      <w:r>
        <w:rPr>
          <w:spacing w:val="-2"/>
        </w:rPr>
        <w:t>要推动互联网、大数据、人工智能和实体经济深度融合，加快制造业、农业、服务业的数字化、网络化、</w:t>
      </w:r>
      <w:r>
        <w:rPr>
          <w:spacing w:val="-22"/>
        </w:rPr>
        <w:t> </w:t>
      </w:r>
      <w:r>
        <w:rPr>
          <w:spacing w:val="-22"/>
        </w:rPr>
      </w:r>
      <w:r>
        <w:rPr/>
        <w:t>智能化。</w:t>
      </w:r>
    </w:p>
    <w:p>
      <w:pPr>
        <w:pStyle w:val="BodyText"/>
        <w:spacing w:line="273" w:lineRule="auto" w:before="14"/>
        <w:ind w:right="1126" w:firstLine="420"/>
        <w:jc w:val="both"/>
      </w:pPr>
      <w:r>
        <w:rPr>
          <w:spacing w:val="-2"/>
        </w:rPr>
        <w:t>为发展新经济培育新动能，公司积极应用大数据、云计算、物联网、人工智能等新一代信息技术，持</w:t>
      </w:r>
      <w:r>
        <w:rPr>
          <w:w w:val="100"/>
        </w:rPr>
        <w:t> </w:t>
      </w:r>
      <w:r>
        <w:rPr>
          <w:spacing w:val="-2"/>
        </w:rPr>
        <w:t>续加强与实体经济的融合，为电信、金融、政府、交通、能源、智能汽车等行业领域客户提供优质的行业</w:t>
      </w:r>
      <w:r>
        <w:rPr>
          <w:spacing w:val="-42"/>
        </w:rPr>
        <w:t> </w:t>
      </w:r>
      <w:r>
        <w:rPr>
          <w:spacing w:val="-42"/>
        </w:rPr>
      </w:r>
      <w:r>
        <w:rPr/>
        <w:t>软件及大数据综合解决方案、运营服务和智能软件产品。</w:t>
      </w:r>
    </w:p>
    <w:p>
      <w:pPr>
        <w:pStyle w:val="BodyText"/>
        <w:spacing w:line="261" w:lineRule="auto" w:before="7"/>
        <w:ind w:right="1126" w:firstLine="420"/>
        <w:jc w:val="both"/>
      </w:pPr>
      <w:r>
        <w:rPr>
          <w:spacing w:val="-2"/>
        </w:rPr>
        <w:t>电信行业是技术密集性行业，是国民经济的基础行业、战略行业和先导性行业，是我国信息化程度和</w:t>
      </w:r>
      <w:r>
        <w:rPr>
          <w:w w:val="100"/>
        </w:rPr>
        <w:t> </w:t>
      </w:r>
      <w:r>
        <w:rPr>
          <w:spacing w:val="-2"/>
        </w:rPr>
        <w:t>信息化技术水平最高的行业之一。在政策方面，以涵盖电信业的信息通讯行业为例，</w:t>
      </w:r>
      <w:r>
        <w:rPr>
          <w:rFonts w:ascii="Times New Roman" w:hAnsi="Times New Roman" w:cs="Times New Roman" w:eastAsia="Times New Roman" w:hint="default"/>
          <w:spacing w:val="-2"/>
        </w:rPr>
        <w:t>2016</w:t>
      </w:r>
      <w:r>
        <w:rPr>
          <w:spacing w:val="-2"/>
        </w:rPr>
        <w:t>年底，国家工信</w:t>
      </w:r>
      <w:r>
        <w:rPr>
          <w:spacing w:val="-39"/>
        </w:rPr>
        <w:t> </w:t>
      </w:r>
      <w:r>
        <w:rPr>
          <w:spacing w:val="-39"/>
        </w:rPr>
      </w:r>
      <w:r>
        <w:rPr>
          <w:spacing w:val="-2"/>
        </w:rPr>
        <w:t>部印发了《信息通信行业发展规划（</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2020</w:t>
      </w:r>
      <w:r>
        <w:rPr>
          <w:spacing w:val="-2"/>
        </w:rPr>
        <w:t>年）》，最大的亮点是针对信息通信行业内涵扩大和结构</w:t>
      </w:r>
      <w:r>
        <w:rPr>
          <w:spacing w:val="-35"/>
        </w:rPr>
        <w:t> </w:t>
      </w:r>
      <w:r>
        <w:rPr>
          <w:spacing w:val="-35"/>
        </w:rPr>
      </w:r>
      <w:r>
        <w:rPr/>
        <w:t>变迁的新情况，全面对接国家发展新理念和相关战略与规划体系，提出</w:t>
      </w:r>
      <w:r>
        <w:rPr>
          <w:rFonts w:ascii="Times New Roman" w:hAnsi="Times New Roman" w:cs="Times New Roman" w:eastAsia="Times New Roman" w:hint="default"/>
        </w:rPr>
        <w:t>“</w:t>
      </w:r>
      <w:r>
        <w:rPr/>
        <w:t>以深入推进信息通信业与经济社</w:t>
      </w:r>
      <w:r>
        <w:rPr>
          <w:spacing w:val="-13"/>
        </w:rPr>
        <w:t> </w:t>
      </w:r>
      <w:r>
        <w:rPr>
          <w:spacing w:val="-13"/>
        </w:rPr>
      </w:r>
      <w:r>
        <w:rPr/>
        <w:t>会各行业各领域的融合发展为主线</w:t>
      </w:r>
      <w:r>
        <w:rPr>
          <w:rFonts w:ascii="Times New Roman" w:hAnsi="Times New Roman" w:cs="Times New Roman" w:eastAsia="Times New Roman" w:hint="default"/>
        </w:rPr>
        <w:t>”</w:t>
      </w:r>
      <w:r>
        <w:rPr/>
        <w:t>的行业发展新思路，并特别提出了</w:t>
      </w:r>
      <w:r>
        <w:rPr>
          <w:rFonts w:ascii="Times New Roman" w:hAnsi="Times New Roman" w:cs="Times New Roman" w:eastAsia="Times New Roman" w:hint="default"/>
        </w:rPr>
        <w:t>19</w:t>
      </w:r>
      <w:r>
        <w:rPr/>
        <w:t>个量化发展目标。从规划中有关</w:t>
      </w:r>
      <w:r>
        <w:rPr>
          <w:spacing w:val="-13"/>
        </w:rPr>
        <w:t> </w:t>
      </w:r>
      <w:r>
        <w:rPr>
          <w:spacing w:val="-13"/>
        </w:rPr>
      </w:r>
      <w:r>
        <w:rPr/>
        <w:t>行业地位的描述看，信息通信行业是</w:t>
      </w:r>
      <w:r>
        <w:rPr>
          <w:rFonts w:ascii="Times New Roman" w:hAnsi="Times New Roman" w:cs="Times New Roman" w:eastAsia="Times New Roman" w:hint="default"/>
        </w:rPr>
        <w:t>“</w:t>
      </w:r>
      <w:r>
        <w:rPr/>
        <w:t>构建国家信息基础设施，提供网络和信息服务，全面支撑经济社会</w:t>
      </w:r>
      <w:r>
        <w:rPr>
          <w:spacing w:val="-16"/>
        </w:rPr>
        <w:t> </w:t>
      </w:r>
      <w:r>
        <w:rPr>
          <w:spacing w:val="-16"/>
        </w:rPr>
      </w:r>
      <w:r>
        <w:rPr/>
        <w:t>发展的战略性、基础性和先导性行业</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相比，行业地位继续巩固。近年来，随着</w:t>
      </w:r>
      <w:r>
        <w:rPr>
          <w:rFonts w:ascii="Times New Roman" w:hAnsi="Times New Roman" w:cs="Times New Roman" w:eastAsia="Times New Roman" w:hint="default"/>
        </w:rPr>
        <w:t>4G</w:t>
      </w:r>
      <w:r>
        <w:rPr/>
        <w:t>、移动互</w:t>
      </w:r>
      <w:r>
        <w:rPr>
          <w:spacing w:val="-36"/>
        </w:rPr>
        <w:t> </w:t>
      </w:r>
      <w:r>
        <w:rPr>
          <w:spacing w:val="-2"/>
        </w:rPr>
        <w:t>联网、</w:t>
      </w:r>
      <w:r>
        <w:rPr>
          <w:rFonts w:ascii="Times New Roman" w:hAnsi="Times New Roman" w:cs="Times New Roman" w:eastAsia="Times New Roman" w:hint="default"/>
          <w:spacing w:val="-2"/>
        </w:rPr>
        <w:t>ICT</w:t>
      </w:r>
      <w:r>
        <w:rPr>
          <w:spacing w:val="-2"/>
        </w:rPr>
        <w:t>、云计算、大数据、</w:t>
      </w:r>
      <w:r>
        <w:rPr>
          <w:rFonts w:ascii="Times New Roman" w:hAnsi="Times New Roman" w:cs="Times New Roman" w:eastAsia="Times New Roman" w:hint="default"/>
          <w:spacing w:val="-2"/>
        </w:rPr>
        <w:t>5G</w:t>
      </w:r>
      <w:r>
        <w:rPr>
          <w:spacing w:val="-2"/>
        </w:rPr>
        <w:t>等新一代信息技术的不断发展，国内电信行业运营支撑的信息化建设在</w:t>
      </w:r>
      <w:r>
        <w:rPr>
          <w:spacing w:val="-9"/>
        </w:rPr>
        <w:t> </w:t>
      </w:r>
      <w:r>
        <w:rPr>
          <w:spacing w:val="-9"/>
        </w:rPr>
      </w:r>
      <w:r>
        <w:rPr>
          <w:spacing w:val="-2"/>
        </w:rPr>
        <w:t>管理理念、标准和研发、规划和建设、应用和管控等多个方面都取得了长足的进步，运营支撑系统在各电</w:t>
      </w:r>
      <w:r>
        <w:rPr>
          <w:spacing w:val="-47"/>
        </w:rPr>
        <w:t> </w:t>
      </w:r>
      <w:r>
        <w:rPr>
          <w:spacing w:val="-47"/>
        </w:rPr>
      </w:r>
      <w:r>
        <w:rPr/>
        <w:t>信运营商运营中扮演越来越重要的角色，发挥并创造更多的价值。</w:t>
      </w:r>
    </w:p>
    <w:p>
      <w:pPr>
        <w:pStyle w:val="BodyText"/>
        <w:spacing w:line="266" w:lineRule="auto" w:before="18"/>
        <w:ind w:right="1104" w:firstLine="420"/>
        <w:jc w:val="both"/>
      </w:pPr>
      <w:r>
        <w:rPr>
          <w:spacing w:val="-2"/>
        </w:rPr>
        <w:t>金融行业作为现代经济的核心，是国民经济各行业中信息化应用最密集、应用水平最高的行业之一。</w:t>
      </w:r>
      <w:r>
        <w:rPr>
          <w:w w:val="100"/>
        </w:rPr>
        <w:t> </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月，中国人民银行印发了《中国金融业信息技术</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发展规划》，明确提出了</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金融业</w:t>
      </w:r>
      <w:r>
        <w:rPr>
          <w:spacing w:val="-48"/>
        </w:rPr>
        <w:t> </w:t>
      </w:r>
      <w:r>
        <w:rPr>
          <w:spacing w:val="-48"/>
        </w:rPr>
      </w:r>
      <w:r>
        <w:rPr>
          <w:spacing w:val="-2"/>
        </w:rPr>
        <w:t>信息技术工作的指导思想、基本原则、发展目标、重点任务和保障措施，确立了</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期间金融业信息</w:t>
      </w:r>
      <w:r>
        <w:rPr>
          <w:spacing w:val="-18"/>
        </w:rPr>
        <w:t> </w:t>
      </w:r>
      <w:r>
        <w:rPr>
          <w:spacing w:val="-18"/>
        </w:rPr>
      </w:r>
      <w:r>
        <w:rPr>
          <w:spacing w:val="-2"/>
        </w:rPr>
        <w:t>技术工作的发展目标，主要包括：金融信息基础设施达到国际领先水平、信息技术持续驱动金融创新、金</w:t>
      </w:r>
      <w:r>
        <w:rPr>
          <w:spacing w:val="-47"/>
        </w:rPr>
        <w:t> </w:t>
      </w:r>
      <w:r>
        <w:rPr>
          <w:spacing w:val="-47"/>
        </w:rPr>
      </w:r>
      <w:r>
        <w:rPr>
          <w:spacing w:val="-2"/>
        </w:rPr>
        <w:t>融业标准化战略全面深化实施、金融网络安全保障体系更加完善、金融信息技术治理能力显著提升。随着</w:t>
      </w:r>
      <w:r>
        <w:rPr>
          <w:spacing w:val="-44"/>
        </w:rPr>
        <w:t> </w:t>
      </w:r>
      <w:r>
        <w:rPr>
          <w:spacing w:val="-44"/>
        </w:rPr>
      </w:r>
      <w:r>
        <w:rPr>
          <w:spacing w:val="-2"/>
        </w:rPr>
        <w:t>大数据、云计算、人工智能等新兴技术的不断发展，以金融科技为代表的金融创新蓬勃发展，正推动着金</w:t>
      </w:r>
    </w:p>
    <w:p>
      <w:pPr>
        <w:spacing w:after="0" w:line="26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33" w:hanging="420"/>
        <w:jc w:val="left"/>
      </w:pPr>
      <w:r>
        <w:rPr/>
        <w:t>融行业进一步快速发展和变革。</w:t>
      </w:r>
      <w:r>
        <w:rPr>
          <w:w w:val="100"/>
        </w:rPr>
        <w:t> </w:t>
      </w:r>
      <w:r>
        <w:rPr>
          <w:spacing w:val="-2"/>
        </w:rPr>
        <w:t>政府领域承担了国民经济各重要领域的行业监管、社会管理和公共服务等职能。随着加快推动政府职</w:t>
      </w:r>
    </w:p>
    <w:p>
      <w:pPr>
        <w:pStyle w:val="BodyText"/>
        <w:spacing w:line="266" w:lineRule="auto" w:before="7"/>
        <w:ind w:right="0"/>
        <w:jc w:val="left"/>
      </w:pPr>
      <w:r>
        <w:rPr/>
        <w:t>能转变、全面深化改革的不断推进，政务信息化聚焦于</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改革创新、纵横联动协同治理、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政务服务</w:t>
      </w:r>
      <w:r>
        <w:rPr>
          <w:rFonts w:ascii="Times New Roman" w:hAnsi="Times New Roman" w:cs="Times New Roman" w:eastAsia="Times New Roman" w:hint="default"/>
          <w:spacing w:val="-4"/>
        </w:rPr>
        <w:t>”</w:t>
      </w:r>
      <w:r>
        <w:rPr>
          <w:spacing w:val="-4"/>
        </w:rPr>
        <w:t>、促进创新创业等任务，推动政务信息化建设迈入</w:t>
      </w:r>
      <w:r>
        <w:rPr>
          <w:rFonts w:ascii="Times New Roman" w:hAnsi="Times New Roman" w:cs="Times New Roman" w:eastAsia="Times New Roman" w:hint="default"/>
          <w:spacing w:val="-4"/>
        </w:rPr>
        <w:t>“</w:t>
      </w:r>
      <w:r>
        <w:rPr>
          <w:spacing w:val="-4"/>
        </w:rPr>
        <w:t>集约整合、全面互联、协同共治、共享开放、</w:t>
      </w:r>
      <w:r>
        <w:rPr>
          <w:spacing w:val="-29"/>
        </w:rPr>
        <w:t> </w:t>
      </w:r>
      <w:r>
        <w:rPr>
          <w:spacing w:val="-29"/>
        </w:rPr>
      </w:r>
      <w:r>
        <w:rPr/>
        <w:t>安全可信</w:t>
      </w:r>
      <w:r>
        <w:rPr>
          <w:rFonts w:ascii="Times New Roman" w:hAnsi="Times New Roman" w:cs="Times New Roman" w:eastAsia="Times New Roman" w:hint="default"/>
        </w:rPr>
        <w:t>”</w:t>
      </w:r>
      <w:r>
        <w:rPr/>
        <w:t>的新阶段。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月，国家发改委印发了《</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国家政务信息化工程建设规划》，提出按</w:t>
      </w:r>
      <w:r>
        <w:rPr>
          <w:spacing w:val="-101"/>
        </w:rPr>
        <w:t> </w:t>
      </w:r>
      <w:r>
        <w:rPr>
          <w:spacing w:val="-101"/>
        </w:rPr>
      </w:r>
      <w:r>
        <w:rPr/>
        <w:t>照</w:t>
      </w:r>
      <w:r>
        <w:rPr>
          <w:rFonts w:ascii="Times New Roman" w:hAnsi="Times New Roman" w:cs="Times New Roman" w:eastAsia="Times New Roman" w:hint="default"/>
        </w:rPr>
        <w:t>“</w:t>
      </w:r>
      <w:r>
        <w:rPr/>
        <w:t>大平台、大数据、大系统</w:t>
      </w:r>
      <w:r>
        <w:rPr>
          <w:rFonts w:ascii="Times New Roman" w:hAnsi="Times New Roman" w:cs="Times New Roman" w:eastAsia="Times New Roman" w:hint="default"/>
        </w:rPr>
        <w:t>”</w:t>
      </w:r>
      <w:r>
        <w:rPr/>
        <w:t>总体框架，重点建设三大任务：构建一体化政务数据平台、共建共享国家基</w:t>
      </w:r>
      <w:r>
        <w:rPr>
          <w:w w:val="100"/>
        </w:rPr>
        <w:t> </w:t>
      </w:r>
      <w:r>
        <w:rPr>
          <w:spacing w:val="-2"/>
        </w:rPr>
        <w:t>础信息资源、协同共建纵横联动业务系统，涵盖了国家电子政务网络、国家政务数据中心、国家数据共享</w:t>
      </w:r>
      <w:r>
        <w:rPr>
          <w:spacing w:val="-50"/>
        </w:rPr>
        <w:t> </w:t>
      </w:r>
      <w:r>
        <w:rPr>
          <w:spacing w:val="-50"/>
        </w:rPr>
      </w:r>
      <w:r>
        <w:rPr>
          <w:spacing w:val="-2"/>
        </w:rPr>
        <w:t>交换工程、国家公共数据开放网站、人口基础信息库、法人单位基础信息库、自然资源和地理空间基础信</w:t>
      </w:r>
      <w:r>
        <w:rPr>
          <w:spacing w:val="-50"/>
        </w:rPr>
        <w:t> </w:t>
      </w:r>
      <w:r>
        <w:rPr>
          <w:spacing w:val="-50"/>
        </w:rPr>
      </w:r>
      <w:r>
        <w:rPr>
          <w:spacing w:val="-2"/>
        </w:rPr>
        <w:t>息库、社会信用信息库、党的执政能力信息化工程、民主法治信息化工程、综合调控信息化工程、市场监</w:t>
      </w:r>
      <w:r>
        <w:rPr>
          <w:spacing w:val="-42"/>
        </w:rPr>
        <w:t> </w:t>
      </w:r>
      <w:r>
        <w:rPr>
          <w:spacing w:val="-42"/>
        </w:rPr>
      </w:r>
      <w:r>
        <w:rPr>
          <w:spacing w:val="-5"/>
        </w:rPr>
        <w:t>管信息化工程、公共服务信息化工程、公共安全信息化工程等多项国家级重点项目，构建形成大平台共享、 </w:t>
      </w:r>
      <w:r>
        <w:rPr>
          <w:spacing w:val="-5"/>
        </w:rPr>
      </w:r>
      <w:r>
        <w:rPr>
          <w:spacing w:val="-2"/>
        </w:rPr>
        <w:t>大数据慧治、大系统共治的顶层架构。依托上述政务信息化的建设目标以及行业发展趋势，公司在政府领</w:t>
      </w:r>
      <w:r>
        <w:rPr>
          <w:spacing w:val="-43"/>
        </w:rPr>
        <w:t> </w:t>
      </w:r>
      <w:r>
        <w:rPr>
          <w:spacing w:val="-43"/>
        </w:rPr>
      </w:r>
      <w:r>
        <w:rPr/>
        <w:t>域将大有可为。</w:t>
      </w:r>
    </w:p>
    <w:p>
      <w:pPr>
        <w:pStyle w:val="BodyText"/>
        <w:spacing w:line="264" w:lineRule="auto" w:before="14"/>
        <w:ind w:right="0" w:firstLine="420"/>
        <w:jc w:val="left"/>
      </w:pPr>
      <w:r>
        <w:rPr/>
        <w:t>在交通行业，交通运输在加快转变发展方式，发展现代交通运输业，推进现代信息技术在交通运输领</w:t>
      </w:r>
      <w:r>
        <w:rPr>
          <w:w w:val="100"/>
        </w:rPr>
        <w:t> </w:t>
      </w:r>
      <w:r>
        <w:rPr>
          <w:spacing w:val="-8"/>
        </w:rPr>
        <w:t>域的应用方面需求迫切。根据交通运输部印发的《</w:t>
      </w:r>
      <w:r>
        <w:rPr>
          <w:rFonts w:ascii="Times New Roman" w:hAnsi="Times New Roman" w:cs="Times New Roman" w:eastAsia="Times New Roman" w:hint="default"/>
          <w:spacing w:val="-8"/>
        </w:rPr>
        <w:t>“</w:t>
      </w:r>
      <w:r>
        <w:rPr>
          <w:spacing w:val="-8"/>
        </w:rPr>
        <w:t>十三五</w:t>
      </w:r>
      <w:r>
        <w:rPr>
          <w:rFonts w:ascii="Times New Roman" w:hAnsi="Times New Roman" w:cs="Times New Roman" w:eastAsia="Times New Roman" w:hint="default"/>
          <w:spacing w:val="-8"/>
        </w:rPr>
        <w:t>”</w:t>
      </w:r>
      <w:r>
        <w:rPr>
          <w:spacing w:val="-8"/>
        </w:rPr>
        <w:t>现代综合交通运输体系发展规划》，明确实施</w:t>
      </w:r>
      <w:r>
        <w:rPr>
          <w:rFonts w:ascii="Times New Roman" w:hAnsi="Times New Roman" w:cs="Times New Roman" w:eastAsia="Times New Roman" w:hint="default"/>
          <w:spacing w:val="-8"/>
        </w:rPr>
        <w:t>“</w:t>
      </w:r>
      <w:r>
        <w:rPr>
          <w:spacing w:val="-8"/>
        </w:rPr>
        <w:t>互</w:t>
      </w:r>
      <w:r>
        <w:rPr>
          <w:spacing w:val="-27"/>
        </w:rPr>
        <w:t> </w:t>
      </w:r>
      <w:r>
        <w:rPr>
          <w:spacing w:val="-2"/>
        </w:rPr>
        <w:t>联网</w:t>
      </w:r>
      <w:r>
        <w:rPr>
          <w:rFonts w:ascii="Times New Roman" w:hAnsi="Times New Roman" w:cs="Times New Roman" w:eastAsia="Times New Roman" w:hint="default"/>
          <w:spacing w:val="-2"/>
        </w:rPr>
        <w:t>+”</w:t>
      </w:r>
      <w:r>
        <w:rPr>
          <w:spacing w:val="-2"/>
        </w:rPr>
        <w:t>便捷交通、高效物流行动计划。将信息化智能化发展贯穿于交通建设、运行、服务、监管等全链条</w:t>
      </w:r>
      <w:r>
        <w:rPr>
          <w:spacing w:val="-45"/>
        </w:rPr>
        <w:t> </w:t>
      </w:r>
      <w:r>
        <w:rPr>
          <w:spacing w:val="-45"/>
        </w:rPr>
      </w:r>
      <w:r>
        <w:rPr>
          <w:spacing w:val="-2"/>
        </w:rPr>
        <w:t>各环节，推动云计算、大数据、物联网、移动互联网、智能控制等技术与交通运输深度融合，实现基础设</w:t>
      </w:r>
      <w:r>
        <w:rPr>
          <w:spacing w:val="-43"/>
        </w:rPr>
        <w:t> </w:t>
      </w:r>
      <w:r>
        <w:rPr>
          <w:spacing w:val="-43"/>
        </w:rPr>
      </w:r>
      <w:r>
        <w:rPr>
          <w:spacing w:val="-5"/>
        </w:rPr>
        <w:t>施和载运工具数字化、网络化，运营运行智能化。利用信息平台集聚要素，驱动生产组织和管理方式转变，</w:t>
      </w:r>
      <w:r>
        <w:rPr>
          <w:spacing w:val="-8"/>
        </w:rPr>
        <w:t> </w:t>
      </w:r>
      <w:r>
        <w:rPr>
          <w:spacing w:val="-8"/>
        </w:rPr>
      </w:r>
      <w:r>
        <w:rPr/>
        <w:t>全面提升运输效率和服务品质。同时，根据交通运输部印发的《交通运输信息化</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发展规划》，提</w:t>
      </w:r>
      <w:r>
        <w:rPr>
          <w:w w:val="100"/>
        </w:rPr>
        <w:t> </w:t>
      </w:r>
      <w:r>
        <w:rPr/>
        <w:t>出到</w:t>
      </w:r>
      <w:r>
        <w:rPr>
          <w:rFonts w:ascii="Times New Roman" w:hAnsi="Times New Roman" w:cs="Times New Roman" w:eastAsia="Times New Roman" w:hint="default"/>
        </w:rPr>
        <w:t>2020</w:t>
      </w:r>
      <w:r>
        <w:rPr/>
        <w:t>年，部省两级信息共享和数据开放水平大幅提升，行业主要业务领域运用大数据能力显著提高，</w:t>
      </w:r>
      <w:r>
        <w:rPr>
          <w:w w:val="100"/>
        </w:rPr>
        <w:t> </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促进行业转型升级取得新突破，交通运输信息服务政企合作模式基本形成，行业网络信息安全</w:t>
      </w:r>
      <w:r>
        <w:rPr>
          <w:spacing w:val="-20"/>
        </w:rPr>
        <w:t> </w:t>
      </w:r>
      <w:r>
        <w:rPr>
          <w:spacing w:val="-20"/>
        </w:rPr>
      </w:r>
      <w:r>
        <w:rPr/>
        <w:t>保障能力显著增强，信息化发展环境进一步优化，信息化在引领综合交通运输发展、保障国家战略实施、</w:t>
      </w:r>
      <w:r>
        <w:rPr>
          <w:w w:val="100"/>
        </w:rPr>
        <w:t> </w:t>
      </w:r>
      <w:r>
        <w:rPr>
          <w:spacing w:val="-2"/>
        </w:rPr>
        <w:t>促进行业治理体系和治理能力现代化方面发挥重要作用。信息化作为实现智慧交通的重要载体和手段，公</w:t>
      </w:r>
      <w:r>
        <w:rPr>
          <w:spacing w:val="-43"/>
        </w:rPr>
        <w:t> </w:t>
      </w:r>
      <w:r>
        <w:rPr>
          <w:spacing w:val="-43"/>
        </w:rPr>
      </w:r>
      <w:r>
        <w:rPr/>
        <w:t>司将运用大数据、云计算、物联网、人工智能等新一代信息技术积极参与推进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高效物流、推动</w:t>
      </w:r>
      <w:r>
        <w:rPr>
          <w:spacing w:val="-15"/>
        </w:rPr>
        <w:t> </w:t>
      </w:r>
      <w:r>
        <w:rPr>
          <w:spacing w:val="-15"/>
        </w:rPr>
      </w:r>
      <w:r>
        <w:rPr>
          <w:spacing w:val="-2"/>
        </w:rPr>
        <w:t>公共数据资源共享开放、提高行业协同执法能力、强化政务管理服务效能、统筹交通运输数据中心建设等</w:t>
      </w:r>
      <w:r>
        <w:rPr>
          <w:spacing w:val="-42"/>
        </w:rPr>
        <w:t> </w:t>
      </w:r>
      <w:r>
        <w:rPr>
          <w:spacing w:val="-42"/>
        </w:rPr>
      </w:r>
      <w:r>
        <w:rPr/>
        <w:t>多项任务中，促进行业发展。公司相关行业应用软件应用于交通领域以及慧联运的互联网</w:t>
      </w:r>
      <w:r>
        <w:rPr>
          <w:rFonts w:ascii="Times New Roman" w:hAnsi="Times New Roman" w:cs="Times New Roman" w:eastAsia="Times New Roman" w:hint="default"/>
        </w:rPr>
        <w:t>+</w:t>
      </w:r>
      <w:r>
        <w:rPr/>
        <w:t>智慧物流云服</w:t>
      </w:r>
      <w:r>
        <w:rPr>
          <w:spacing w:val="-34"/>
        </w:rPr>
        <w:t> </w:t>
      </w:r>
      <w:r>
        <w:rPr/>
        <w:t>务平台将受益于上述行业发展政策，未来发展前景广阔。</w:t>
      </w:r>
    </w:p>
    <w:p>
      <w:pPr>
        <w:pStyle w:val="BodyText"/>
        <w:spacing w:line="273" w:lineRule="auto" w:before="16"/>
        <w:ind w:right="1104" w:firstLine="420"/>
        <w:jc w:val="both"/>
      </w:pPr>
      <w:r>
        <w:rPr>
          <w:spacing w:val="-2"/>
        </w:rPr>
        <w:t>电力行业是国民经济和社会发展的基础产业。电力行业是信息技术应用较早和水平较高的行业之一，</w:t>
      </w:r>
      <w:r>
        <w:rPr>
          <w:w w:val="100"/>
        </w:rPr>
        <w:t> </w:t>
      </w:r>
      <w:r>
        <w:rPr>
          <w:spacing w:val="-2"/>
        </w:rPr>
        <w:t>电力系统的规划设计、基建、发电、输电、供电等各环节均有信息技术的应用。随着电力行业精细化管理</w:t>
      </w:r>
      <w:r>
        <w:rPr>
          <w:spacing w:val="-43"/>
        </w:rPr>
        <w:t> </w:t>
      </w:r>
      <w:r>
        <w:rPr>
          <w:spacing w:val="-43"/>
        </w:rPr>
      </w:r>
      <w:r>
        <w:rPr>
          <w:spacing w:val="-2"/>
        </w:rPr>
        <w:t>需求的提升，企业信息化越来越成为电力企业精确掌控发电、输电、变电、配电和用电领域的价值链条的</w:t>
      </w:r>
      <w:r>
        <w:rPr>
          <w:spacing w:val="-44"/>
        </w:rPr>
        <w:t> </w:t>
      </w:r>
      <w:r>
        <w:rPr>
          <w:spacing w:val="-44"/>
        </w:rPr>
      </w:r>
      <w:r>
        <w:rPr/>
        <w:t>必要手段和有效工具。</w:t>
      </w:r>
    </w:p>
    <w:p>
      <w:pPr>
        <w:pStyle w:val="BodyText"/>
        <w:spacing w:line="273" w:lineRule="auto" w:before="7"/>
        <w:ind w:right="1126" w:firstLine="420"/>
        <w:jc w:val="both"/>
      </w:pPr>
      <w:r>
        <w:rPr>
          <w:spacing w:val="-2"/>
        </w:rPr>
        <w:t>汽车产业是国民经济重要的战略性、支柱性产业，随着新一轮科技革命和产业变革蓬勃兴起，智能汽</w:t>
      </w:r>
      <w:r>
        <w:rPr>
          <w:w w:val="100"/>
        </w:rPr>
        <w:t> </w:t>
      </w:r>
      <w:r>
        <w:rPr>
          <w:spacing w:val="-2"/>
        </w:rPr>
        <w:t>车已成为汽车产业发展的战略方向。发展智能汽车不仅是解决汽车社会面临的交通安全、道路拥堵、能源</w:t>
      </w:r>
      <w:r>
        <w:rPr>
          <w:spacing w:val="-43"/>
        </w:rPr>
        <w:t> </w:t>
      </w:r>
      <w:r>
        <w:rPr>
          <w:spacing w:val="-43"/>
        </w:rPr>
      </w:r>
      <w:r>
        <w:rPr>
          <w:spacing w:val="-2"/>
        </w:rPr>
        <w:t>消耗、环境污染等问题的重要手段，更是深化供给侧结构性改革、实施创新驱动发展战略、建成现代化强</w:t>
      </w:r>
      <w:r>
        <w:rPr>
          <w:spacing w:val="-50"/>
        </w:rPr>
        <w:t> </w:t>
      </w:r>
      <w:r>
        <w:rPr>
          <w:spacing w:val="-50"/>
        </w:rPr>
      </w:r>
      <w:r>
        <w:rPr>
          <w:spacing w:val="2"/>
        </w:rPr>
        <w:t>国的重要支撑。为此国家陆续出台了《中国制造</w:t>
      </w:r>
      <w:r>
        <w:rPr>
          <w:rFonts w:ascii="Times New Roman" w:hAnsi="Times New Roman" w:cs="Times New Roman" w:eastAsia="Times New Roman" w:hint="default"/>
          <w:spacing w:val="2"/>
        </w:rPr>
        <w:t>2025</w:t>
      </w:r>
      <w:r>
        <w:rPr>
          <w:spacing w:val="2"/>
        </w:rPr>
        <w:t>》、《促进新一代人工智能产业发展三年行动计划</w:t>
      </w:r>
    </w:p>
    <w:p>
      <w:pPr>
        <w:pStyle w:val="BodyText"/>
        <w:spacing w:line="261" w:lineRule="auto"/>
        <w:ind w:right="1126"/>
        <w:jc w:val="both"/>
      </w:pPr>
      <w:r>
        <w:rPr>
          <w:spacing w:val="-2"/>
        </w:rPr>
        <w:t>（</w:t>
      </w:r>
      <w:r>
        <w:rPr>
          <w:rFonts w:ascii="Times New Roman" w:hAnsi="Times New Roman" w:cs="Times New Roman" w:eastAsia="Times New Roman" w:hint="default"/>
          <w:spacing w:val="-2"/>
        </w:rPr>
        <w:t>2018-2020</w:t>
      </w:r>
      <w:r>
        <w:rPr>
          <w:spacing w:val="-2"/>
        </w:rPr>
        <w:t>年）》、《智能汽车创新发展战略》</w:t>
      </w:r>
      <w:r>
        <w:rPr>
          <w:rFonts w:ascii="Times New Roman" w:hAnsi="Times New Roman" w:cs="Times New Roman" w:eastAsia="Times New Roman" w:hint="default"/>
          <w:spacing w:val="-2"/>
        </w:rPr>
        <w:t>(</w:t>
      </w:r>
      <w:r>
        <w:rPr>
          <w:spacing w:val="-2"/>
        </w:rPr>
        <w:t>征求意见稿</w:t>
      </w:r>
      <w:r>
        <w:rPr>
          <w:rFonts w:ascii="Times New Roman" w:hAnsi="Times New Roman" w:cs="Times New Roman" w:eastAsia="Times New Roman" w:hint="default"/>
          <w:spacing w:val="-2"/>
        </w:rPr>
        <w:t>)</w:t>
      </w:r>
      <w:r>
        <w:rPr>
          <w:spacing w:val="-2"/>
        </w:rPr>
        <w:t>等多个重磅政策，明确支持智能汽车产业的</w:t>
      </w:r>
      <w:r>
        <w:rPr>
          <w:spacing w:val="-34"/>
        </w:rPr>
        <w:t> </w:t>
      </w:r>
      <w:r>
        <w:rPr>
          <w:spacing w:val="-34"/>
        </w:rPr>
      </w:r>
      <w:r>
        <w:rPr/>
        <w:t>发展，推动汽车与先进制造、信息通信、互联网、大数据、人工智能深度融合，汽车行业往</w:t>
      </w:r>
      <w:r>
        <w:rPr>
          <w:rFonts w:ascii="Times New Roman" w:hAnsi="Times New Roman" w:cs="Times New Roman" w:eastAsia="Times New Roman" w:hint="default"/>
        </w:rPr>
        <w:t>“</w:t>
      </w:r>
      <w:r>
        <w:rPr/>
        <w:t>电动化、智</w:t>
      </w:r>
      <w:r>
        <w:rPr>
          <w:spacing w:val="-12"/>
        </w:rPr>
        <w:t> </w:t>
      </w:r>
      <w:r>
        <w:rPr>
          <w:spacing w:val="-12"/>
        </w:rPr>
      </w:r>
      <w:r>
        <w:rPr/>
        <w:t>能化、网联化、共享化</w:t>
      </w:r>
      <w:r>
        <w:rPr>
          <w:rFonts w:ascii="Times New Roman" w:hAnsi="Times New Roman" w:cs="Times New Roman" w:eastAsia="Times New Roman" w:hint="default"/>
        </w:rPr>
        <w:t>”</w:t>
      </w:r>
      <w:r>
        <w:rPr/>
        <w:t>方向发展的趋势愈发显著，未来智能汽车对智能软件的要求越来越高。而传统新</w:t>
      </w:r>
      <w:r>
        <w:rPr>
          <w:spacing w:val="-16"/>
        </w:rPr>
        <w:t> </w:t>
      </w:r>
      <w:r>
        <w:rPr>
          <w:spacing w:val="-16"/>
        </w:rPr>
      </w:r>
      <w:r>
        <w:rPr>
          <w:spacing w:val="-1"/>
        </w:rPr>
        <w:t>能源汽车制造企业很难独自完成</w:t>
      </w:r>
      <w:r>
        <w:rPr>
          <w:rFonts w:ascii="Times New Roman" w:hAnsi="Times New Roman" w:cs="Times New Roman" w:eastAsia="Times New Roman" w:hint="default"/>
          <w:spacing w:val="-1"/>
        </w:rPr>
        <w:t>“</w:t>
      </w:r>
      <w:r>
        <w:rPr>
          <w:spacing w:val="-1"/>
        </w:rPr>
        <w:t>智能化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网联化</w:t>
      </w:r>
      <w:r>
        <w:rPr>
          <w:rFonts w:ascii="Times New Roman" w:hAnsi="Times New Roman" w:cs="Times New Roman" w:eastAsia="Times New Roman" w:hint="default"/>
          <w:spacing w:val="-1"/>
        </w:rPr>
        <w:t>”</w:t>
      </w:r>
      <w:r>
        <w:rPr>
          <w:spacing w:val="-1"/>
        </w:rPr>
        <w:t>所需的数据采集、大数据分析、云计算和信息通信等</w:t>
      </w:r>
      <w:r>
        <w:rPr>
          <w:spacing w:val="-43"/>
        </w:rPr>
        <w:t> </w:t>
      </w:r>
      <w:r>
        <w:rPr>
          <w:spacing w:val="-43"/>
        </w:rPr>
      </w:r>
      <w:r>
        <w:rPr>
          <w:spacing w:val="-2"/>
        </w:rPr>
        <w:t>技术研发，需要与具有丰富行业经验的相关智能软件开发企业进行合作，新能源汽车企业与智能软件企业</w:t>
      </w:r>
      <w:r>
        <w:rPr>
          <w:spacing w:val="-44"/>
        </w:rPr>
        <w:t> </w:t>
      </w:r>
      <w:r>
        <w:rPr>
          <w:spacing w:val="-44"/>
        </w:rPr>
      </w:r>
      <w:r>
        <w:rPr>
          <w:spacing w:val="-2"/>
        </w:rPr>
        <w:t>正在实现竞合交融发展。为此公司通过并购重组贵博新能积极布局智能汽车的智能软件，推动智能电动汽</w:t>
      </w:r>
      <w:r>
        <w:rPr>
          <w:spacing w:val="-43"/>
        </w:rPr>
        <w:t> </w:t>
      </w:r>
      <w:r>
        <w:rPr>
          <w:spacing w:val="-43"/>
        </w:rPr>
      </w:r>
      <w:r>
        <w:rPr/>
        <w:t>车产业发展。</w:t>
      </w:r>
    </w:p>
    <w:p>
      <w:pPr>
        <w:spacing w:after="0" w:line="261"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6736"/>
      </w:tblGrid>
      <w:tr>
        <w:trPr>
          <w:trHeight w:val="187"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6"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68"/>
              <w:jc w:val="left"/>
              <w:rPr>
                <w:rFonts w:ascii="宋体" w:hAnsi="宋体" w:cs="宋体" w:eastAsia="宋体" w:hint="default"/>
                <w:sz w:val="18"/>
                <w:szCs w:val="18"/>
              </w:rPr>
            </w:pPr>
            <w:r>
              <w:rPr>
                <w:rFonts w:ascii="宋体" w:hAnsi="宋体" w:cs="宋体" w:eastAsia="宋体" w:hint="default"/>
                <w:sz w:val="18"/>
                <w:szCs w:val="18"/>
              </w:rPr>
              <w:t>股权资产较上期增长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646.97%</w:t>
            </w:r>
            <w:r>
              <w:rPr>
                <w:rFonts w:ascii="宋体" w:hAnsi="宋体" w:cs="宋体" w:eastAsia="宋体" w:hint="default"/>
                <w:sz w:val="18"/>
                <w:szCs w:val="18"/>
              </w:rPr>
              <w:t>，主要系对外投资增加及权益法核算的长期股权投资收 益增长所致</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736" w:type="dxa"/>
            <w:vMerge/>
            <w:tcBorders>
              <w:left w:val="single" w:sz="10" w:space="0" w:color="D2D2D2"/>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6" w:type="dxa"/>
            <w:vMerge/>
            <w:tcBorders>
              <w:left w:val="single" w:sz="10" w:space="0" w:color="D2D2D2"/>
              <w:bottom w:val="single" w:sz="4" w:space="0" w:color="000000"/>
              <w:right w:val="single" w:sz="4" w:space="0" w:color="000000"/>
            </w:tcBorders>
          </w:tcPr>
          <w:p>
            <w:pPr/>
          </w:p>
        </w:tc>
      </w:tr>
      <w:tr>
        <w:trPr>
          <w:trHeight w:val="16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6"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固定资产期末余额较期初余额增长</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56.80%</w:t>
            </w:r>
            <w:r>
              <w:rPr>
                <w:rFonts w:ascii="宋体" w:hAnsi="宋体" w:cs="宋体" w:eastAsia="宋体" w:hint="default"/>
                <w:spacing w:val="-2"/>
                <w:sz w:val="18"/>
                <w:szCs w:val="18"/>
              </w:rPr>
              <w:t>，主要系本期并购重组贵博新能及西安、重</w:t>
            </w:r>
            <w:r>
              <w:rPr>
                <w:rFonts w:ascii="宋体" w:hAnsi="宋体" w:cs="宋体" w:eastAsia="宋体" w:hint="default"/>
                <w:sz w:val="18"/>
                <w:szCs w:val="18"/>
              </w:rPr>
              <w:t> 庆等营销服务中心投入使用所致</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736" w:type="dxa"/>
            <w:vMerge/>
            <w:tcBorders>
              <w:left w:val="single" w:sz="10" w:space="0" w:color="D2D2D2"/>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6" w:type="dxa"/>
            <w:vMerge/>
            <w:tcBorders>
              <w:left w:val="single" w:sz="10" w:space="0" w:color="D2D2D2"/>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无形资产期末余额较期初余额增长较大，主要系本期并购重组贵博新能所致</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商誉期末余额系本期并购重组贵博新能所致</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长期应收款期末余额系本期新增分期收款结算方式的项目款所致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预付款项期末余额较期初余额增长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54.93%</w:t>
            </w:r>
            <w:r>
              <w:rPr>
                <w:rFonts w:ascii="宋体" w:hAnsi="宋体" w:cs="宋体" w:eastAsia="宋体" w:hint="default"/>
                <w:sz w:val="18"/>
                <w:szCs w:val="18"/>
              </w:rPr>
              <w:t>，主要系预付供应商款项增加所致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递延所得税资产期末余额较期初余额增长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73.92%</w:t>
            </w:r>
            <w:r>
              <w:rPr>
                <w:rFonts w:ascii="宋体" w:hAnsi="宋体" w:cs="宋体" w:eastAsia="宋体" w:hint="default"/>
                <w:spacing w:val="-3"/>
                <w:sz w:val="18"/>
                <w:szCs w:val="18"/>
              </w:rPr>
              <w:t>，主要系本期末递延收益确认的可抵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扣暂时性差异增长所致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其他非流动资产期末余额较期初余额增长较大，主要系本期预付工程款及设备款所致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长期待摊费用期末余额较期初余额增长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107.83%</w:t>
            </w:r>
            <w:r>
              <w:rPr>
                <w:rFonts w:ascii="宋体" w:hAnsi="宋体" w:cs="宋体" w:eastAsia="宋体" w:hint="default"/>
                <w:sz w:val="18"/>
                <w:szCs w:val="18"/>
              </w:rPr>
              <w:t>，主要系本期并购重组贵博新能所致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3"/>
        <w:gridCol w:w="1059"/>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2,038.84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派驻管理人 </w:t>
            </w:r>
            <w:r>
              <w:rPr>
                <w:rFonts w:ascii="宋体" w:hAnsi="宋体" w:cs="宋体" w:eastAsia="宋体" w:hint="default"/>
                <w:spacing w:val="-12"/>
                <w:sz w:val="18"/>
                <w:szCs w:val="18"/>
              </w:rPr>
              <w:t>员，定期召开</w:t>
            </w:r>
            <w:r>
              <w:rPr>
                <w:rFonts w:ascii="宋体" w:hAnsi="宋体" w:cs="宋体" w:eastAsia="宋体" w:hint="default"/>
                <w:sz w:val="18"/>
                <w:szCs w:val="18"/>
              </w:rPr>
              <w:t> </w:t>
            </w:r>
            <w:r>
              <w:rPr>
                <w:rFonts w:ascii="宋体" w:hAnsi="宋体" w:cs="宋体" w:eastAsia="宋体" w:hint="default"/>
                <w:spacing w:val="-12"/>
                <w:sz w:val="18"/>
                <w:szCs w:val="18"/>
              </w:rPr>
              <w:t>经营会议，建</w:t>
            </w:r>
            <w:r>
              <w:rPr>
                <w:rFonts w:ascii="宋体" w:hAnsi="宋体" w:cs="宋体" w:eastAsia="宋体" w:hint="default"/>
                <w:sz w:val="18"/>
                <w:szCs w:val="18"/>
              </w:rPr>
              <w:t> 立完善管理 制度等</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 净利润</w:t>
            </w:r>
          </w:p>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0.34%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53"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73" w:lineRule="auto" w:before="94"/>
        <w:ind w:right="1126" w:firstLine="420"/>
        <w:jc w:val="both"/>
      </w:pPr>
      <w:r>
        <w:rPr>
          <w:spacing w:val="-2"/>
        </w:rPr>
        <w:t>公司是国内领先的行业软件及大数据解决方案服务商。经过十多年的发展，目前公司行业经验、技术</w:t>
      </w:r>
      <w:r>
        <w:rPr>
          <w:w w:val="100"/>
        </w:rPr>
        <w:t> </w:t>
      </w:r>
      <w:r>
        <w:rPr>
          <w:spacing w:val="-2"/>
        </w:rPr>
        <w:t>创新和客户持续经营能力等多方面具有优势，形成了公司核心竞争力。报告期内，公司核心竞争力未发生</w:t>
      </w:r>
      <w:r>
        <w:rPr>
          <w:spacing w:val="-43"/>
        </w:rPr>
        <w:t> </w:t>
      </w:r>
      <w:r>
        <w:rPr>
          <w:spacing w:val="-43"/>
        </w:rPr>
      </w:r>
      <w:r>
        <w:rPr/>
        <w:t>重大变化。</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1133"/>
        <w:jc w:val="left"/>
      </w:pPr>
      <w:r>
        <w:rPr>
          <w:rFonts w:ascii="Times New Roman" w:hAnsi="Times New Roman" w:cs="Times New Roman" w:eastAsia="Times New Roman" w:hint="default"/>
        </w:rPr>
        <w:t>1</w:t>
      </w:r>
      <w:r>
        <w:rPr/>
        <w:t>、行业经验优势</w:t>
      </w:r>
      <w:r>
        <w:rPr>
          <w:w w:val="100"/>
        </w:rPr>
        <w:t> </w:t>
      </w:r>
      <w:r>
        <w:rPr>
          <w:spacing w:val="-3"/>
        </w:rPr>
        <w:t>公司坚持创新引领，围绕电信、金融、政府、交通、能源、智能汽车等重点行业领域精耕细作，专注</w:t>
      </w:r>
    </w:p>
    <w:p>
      <w:pPr>
        <w:pStyle w:val="BodyText"/>
        <w:spacing w:line="273" w:lineRule="auto" w:before="22"/>
        <w:ind w:right="0"/>
        <w:jc w:val="left"/>
      </w:pPr>
      <w:r>
        <w:rPr>
          <w:spacing w:val="-2"/>
        </w:rPr>
        <w:t>行业业务研究，深刻理解行业用户信息化需求及经营理念，对各行业领域信息化发展趋势具有前瞻性。公</w:t>
      </w:r>
      <w:r>
        <w:rPr>
          <w:spacing w:val="-43"/>
        </w:rPr>
        <w:t> </w:t>
      </w:r>
      <w:r>
        <w:rPr>
          <w:spacing w:val="-43"/>
        </w:rPr>
      </w:r>
      <w:r>
        <w:rPr>
          <w:spacing w:val="-5"/>
        </w:rPr>
        <w:t>司同步应用新一代信息技术和国际领先的软件开发理念，与丰富的行业经验相结合，为客户提供技术创新、 </w:t>
      </w:r>
      <w:r>
        <w:rPr>
          <w:spacing w:val="-5"/>
        </w:rPr>
      </w:r>
      <w:r>
        <w:rPr/>
        <w:t>业务创新、管理创新的软件与信息服务标准或规范。</w:t>
      </w:r>
    </w:p>
    <w:p>
      <w:pPr>
        <w:pStyle w:val="BodyText"/>
        <w:spacing w:line="259" w:lineRule="auto" w:before="7"/>
        <w:ind w:right="1126" w:firstLine="420"/>
        <w:jc w:val="both"/>
      </w:pPr>
      <w:r>
        <w:rPr>
          <w:spacing w:val="2"/>
        </w:rPr>
        <w:t>公司在电信行业作为牵头单位编制了中国电信集团</w:t>
      </w:r>
      <w:r>
        <w:rPr>
          <w:rFonts w:ascii="Times New Roman" w:hAnsi="Times New Roman" w:cs="Times New Roman" w:eastAsia="Times New Roman" w:hint="default"/>
          <w:spacing w:val="2"/>
        </w:rPr>
        <w:t>OSS2.8</w:t>
      </w:r>
      <w:r>
        <w:rPr>
          <w:spacing w:val="2"/>
        </w:rPr>
        <w:t>、智能网管等业务规范，参加了中国电信</w:t>
      </w:r>
      <w:r>
        <w:rPr>
          <w:w w:val="100"/>
        </w:rPr>
        <w:t> </w:t>
      </w:r>
      <w:r>
        <w:rPr>
          <w:rFonts w:ascii="Times New Roman" w:hAnsi="Times New Roman" w:cs="Times New Roman" w:eastAsia="Times New Roman" w:hint="default"/>
          <w:spacing w:val="-1"/>
        </w:rPr>
        <w:t>OSS2.0</w:t>
      </w:r>
      <w:r>
        <w:rPr>
          <w:spacing w:val="-1"/>
        </w:rPr>
        <w:t>、</w:t>
      </w:r>
      <w:r>
        <w:rPr>
          <w:rFonts w:ascii="Times New Roman" w:hAnsi="Times New Roman" w:cs="Times New Roman" w:eastAsia="Times New Roman" w:hint="default"/>
          <w:spacing w:val="-1"/>
        </w:rPr>
        <w:t>OSS2.5</w:t>
      </w:r>
      <w:r>
        <w:rPr>
          <w:spacing w:val="-1"/>
        </w:rPr>
        <w:t>、</w:t>
      </w:r>
      <w:r>
        <w:rPr>
          <w:rFonts w:ascii="Times New Roman" w:hAnsi="Times New Roman" w:cs="Times New Roman" w:eastAsia="Times New Roman" w:hint="default"/>
          <w:spacing w:val="-1"/>
        </w:rPr>
        <w:t>OSS</w:t>
      </w:r>
      <w:r>
        <w:rPr>
          <w:spacing w:val="-1"/>
        </w:rPr>
        <w:t>服务目录、企业数据模型</w:t>
      </w:r>
      <w:r>
        <w:rPr>
          <w:rFonts w:ascii="Times New Roman" w:hAnsi="Times New Roman" w:cs="Times New Roman" w:eastAsia="Times New Roman" w:hint="default"/>
          <w:spacing w:val="-1"/>
        </w:rPr>
        <w:t>EDM3.5</w:t>
      </w:r>
      <w:r>
        <w:rPr>
          <w:spacing w:val="-1"/>
        </w:rPr>
        <w:t>、企业信息化战略</w:t>
      </w:r>
      <w:r>
        <w:rPr>
          <w:rFonts w:ascii="Times New Roman" w:hAnsi="Times New Roman" w:cs="Times New Roman" w:eastAsia="Times New Roman" w:hint="default"/>
          <w:spacing w:val="-1"/>
        </w:rPr>
        <w:t>ITSP3.0</w:t>
      </w:r>
      <w:r>
        <w:rPr>
          <w:spacing w:val="-1"/>
        </w:rPr>
        <w:t>以及中国联通</w:t>
      </w:r>
      <w:r>
        <w:rPr>
          <w:rFonts w:ascii="Times New Roman" w:hAnsi="Times New Roman" w:cs="Times New Roman" w:eastAsia="Times New Roman" w:hint="default"/>
          <w:spacing w:val="-1"/>
        </w:rPr>
        <w:t>U</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cloud</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3"/>
        </w:rPr>
        <w:t>规范体系、中国电信</w:t>
      </w:r>
      <w:r>
        <w:rPr>
          <w:rFonts w:ascii="Times New Roman" w:hAnsi="Times New Roman" w:cs="Times New Roman" w:eastAsia="Times New Roman" w:hint="default"/>
          <w:spacing w:val="-3"/>
        </w:rPr>
        <w:t>5G</w:t>
      </w:r>
      <w:r>
        <w:rPr>
          <w:spacing w:val="-3"/>
        </w:rPr>
        <w:t>业务开通激活接口规范等编写工作；开展了</w:t>
      </w:r>
      <w:r>
        <w:rPr>
          <w:rFonts w:ascii="Times New Roman" w:hAnsi="Times New Roman" w:cs="Times New Roman" w:eastAsia="Times New Roman" w:hint="default"/>
          <w:spacing w:val="-3"/>
        </w:rPr>
        <w:t>OSS</w:t>
      </w:r>
      <w:r>
        <w:rPr>
          <w:spacing w:val="-3"/>
        </w:rPr>
        <w:t>服务开通激活、服务质量保障、资</w:t>
      </w:r>
      <w:r>
        <w:rPr>
          <w:spacing w:val="-8"/>
        </w:rPr>
        <w:t> </w:t>
      </w:r>
      <w:r>
        <w:rPr>
          <w:spacing w:val="-8"/>
        </w:rPr>
      </w:r>
      <w:r>
        <w:rPr>
          <w:spacing w:val="-3"/>
        </w:rPr>
        <w:t>源管理、</w:t>
      </w:r>
      <w:r>
        <w:rPr>
          <w:rFonts w:ascii="Times New Roman" w:hAnsi="Times New Roman" w:cs="Times New Roman" w:eastAsia="Times New Roman" w:hint="default"/>
          <w:spacing w:val="-3"/>
        </w:rPr>
        <w:t>4G</w:t>
      </w:r>
      <w:r>
        <w:rPr>
          <w:spacing w:val="-3"/>
        </w:rPr>
        <w:t>转租转售、客户服务支撑等产品标准化工作。公司在能源行业主持编写了中国大唐集团、国家</w:t>
      </w:r>
      <w:r>
        <w:rPr>
          <w:spacing w:val="-45"/>
        </w:rPr>
        <w:t> </w:t>
      </w:r>
      <w:r>
        <w:rPr>
          <w:spacing w:val="-45"/>
        </w:rPr>
      </w:r>
      <w:r>
        <w:rPr>
          <w:spacing w:val="-2"/>
        </w:rPr>
        <w:t>电力投资集团信息资源规划以及集团数据标准；开展了发电企业的数据实时采集、全网监控、分析等方面</w:t>
      </w:r>
      <w:r>
        <w:rPr>
          <w:spacing w:val="-44"/>
        </w:rPr>
        <w:t> </w:t>
      </w:r>
      <w:r>
        <w:rPr>
          <w:spacing w:val="-44"/>
        </w:rPr>
      </w:r>
      <w:r>
        <w:rPr/>
        <w:t>的数据标准工作。在交通行业开展互联网</w:t>
      </w:r>
      <w:r>
        <w:rPr>
          <w:rFonts w:ascii="Times New Roman" w:hAnsi="Times New Roman" w:cs="Times New Roman" w:eastAsia="Times New Roman" w:hint="default"/>
        </w:rPr>
        <w:t>+</w:t>
      </w:r>
      <w:r>
        <w:rPr/>
        <w:t>智慧物流、交通数据中心、交通大数据等标准体系研究，编制</w:t>
      </w:r>
      <w:r>
        <w:rPr>
          <w:spacing w:val="-36"/>
        </w:rPr>
        <w:t> </w:t>
      </w:r>
      <w:r>
        <w:rPr>
          <w:spacing w:val="-36"/>
        </w:rPr>
      </w:r>
      <w:r>
        <w:rPr>
          <w:spacing w:val="2"/>
        </w:rPr>
        <w:t>了完整的省级交通数据中心规划与标准体系等；在智能电动汽车领域构建了较为先进的</w:t>
      </w:r>
      <w:r>
        <w:rPr>
          <w:rFonts w:ascii="Times New Roman" w:hAnsi="Times New Roman" w:cs="Times New Roman" w:eastAsia="Times New Roman" w:hint="default"/>
          <w:spacing w:val="2"/>
        </w:rPr>
        <w:t>BMS</w:t>
      </w:r>
      <w:r>
        <w:rPr>
          <w:spacing w:val="2"/>
        </w:rPr>
        <w:t>技术研发平</w:t>
      </w:r>
      <w:r>
        <w:rPr>
          <w:spacing w:val="-39"/>
        </w:rPr>
        <w:t> </w:t>
      </w:r>
      <w:r>
        <w:rPr/>
        <w:t>台，承担了安徽省科技攻关项目</w:t>
      </w:r>
      <w:r>
        <w:rPr>
          <w:rFonts w:ascii="Times New Roman" w:hAnsi="Times New Roman" w:cs="Times New Roman" w:eastAsia="Times New Roman" w:hint="default"/>
        </w:rPr>
        <w:t>“</w:t>
      </w:r>
      <w:r>
        <w:rPr/>
        <w:t>基于大数据的智能电池管理系统</w:t>
      </w:r>
      <w:r>
        <w:rPr>
          <w:rFonts w:ascii="Times New Roman" w:hAnsi="Times New Roman" w:cs="Times New Roman" w:eastAsia="Times New Roman" w:hint="default"/>
        </w:rPr>
        <w:t>”</w:t>
      </w:r>
      <w:r>
        <w:rPr/>
        <w:t>等国家和省级科技项目。</w:t>
      </w:r>
    </w:p>
    <w:p>
      <w:pPr>
        <w:pStyle w:val="BodyText"/>
        <w:spacing w:line="256" w:lineRule="auto" w:before="2"/>
        <w:ind w:left="573" w:right="1133"/>
        <w:jc w:val="left"/>
      </w:pPr>
      <w:r>
        <w:rPr>
          <w:rFonts w:ascii="Times New Roman" w:hAnsi="Times New Roman" w:cs="Times New Roman" w:eastAsia="Times New Roman" w:hint="default"/>
        </w:rPr>
        <w:t>2</w:t>
      </w:r>
      <w:r>
        <w:rPr/>
        <w:t>、技术创新优势</w:t>
      </w:r>
      <w:r>
        <w:rPr>
          <w:w w:val="100"/>
        </w:rPr>
        <w:t> </w:t>
      </w:r>
      <w:r>
        <w:rPr>
          <w:spacing w:val="-2"/>
        </w:rPr>
        <w:t>公司以行业应用为导向，以创新驱动企业发展，建设政产学研用金相结合的产业创新体系，加强软件</w:t>
      </w:r>
    </w:p>
    <w:p>
      <w:pPr>
        <w:pStyle w:val="BodyText"/>
        <w:spacing w:line="273" w:lineRule="auto" w:before="22"/>
        <w:ind w:right="1133"/>
        <w:jc w:val="left"/>
      </w:pPr>
      <w:r>
        <w:rPr>
          <w:spacing w:val="-2"/>
        </w:rPr>
        <w:t>与重点行业领域的融合应用，研发关键应用软件和行业解决方案，在云计算、大数据、物联网、人工智能</w:t>
      </w:r>
      <w:r>
        <w:rPr>
          <w:spacing w:val="-43"/>
        </w:rPr>
        <w:t> </w:t>
      </w:r>
      <w:r>
        <w:rPr>
          <w:spacing w:val="-43"/>
        </w:rPr>
      </w:r>
      <w:r>
        <w:rPr/>
        <w:t>等领域积极拓展新业态和新经营模式。</w:t>
      </w:r>
    </w:p>
    <w:p>
      <w:pPr>
        <w:pStyle w:val="BodyText"/>
        <w:spacing w:line="266" w:lineRule="auto" w:before="7"/>
        <w:ind w:right="1104" w:firstLine="420"/>
        <w:jc w:val="both"/>
      </w:pPr>
      <w:r>
        <w:rPr>
          <w:spacing w:val="-2"/>
        </w:rPr>
        <w:t>公司坚持走创新与发展并重的研发路线，注重技术的积累与创新，密切跟踪行业内的技术发展趋势。</w:t>
      </w:r>
      <w:r>
        <w:rPr>
          <w:w w:val="100"/>
        </w:rPr>
        <w:t> </w:t>
      </w:r>
      <w:r>
        <w:rPr>
          <w:spacing w:val="-2"/>
        </w:rPr>
        <w:t>公司拥有自主知识产权的数据集成、应用集成、工作流、云资源管理、大数据处理、新能源汽车电池管理</w:t>
      </w:r>
      <w:r>
        <w:rPr>
          <w:spacing w:val="-43"/>
        </w:rPr>
        <w:t> </w:t>
      </w:r>
      <w:r>
        <w:rPr>
          <w:spacing w:val="-43"/>
        </w:rPr>
      </w:r>
      <w:r>
        <w:rPr>
          <w:spacing w:val="-7"/>
        </w:rPr>
        <w:t>与控制等核心技术，拥有基础软件开发平台、大数据技术平台、云资源管理平台、智慧物流云平台、以</w:t>
      </w:r>
      <w:r>
        <w:rPr>
          <w:rFonts w:ascii="Times New Roman" w:hAnsi="Times New Roman" w:cs="Times New Roman" w:eastAsia="Times New Roman" w:hint="default"/>
          <w:spacing w:val="-7"/>
        </w:rPr>
        <w:t>BMS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为核心的动力总成系统等核心技术平台，奠定了公司领先的技术竞争力。</w:t>
      </w:r>
    </w:p>
    <w:p>
      <w:pPr>
        <w:pStyle w:val="BodyText"/>
        <w:spacing w:line="264" w:lineRule="auto" w:before="14"/>
        <w:ind w:right="1104" w:firstLine="420"/>
        <w:jc w:val="both"/>
      </w:pPr>
      <w:r>
        <w:rPr>
          <w:spacing w:val="-2"/>
        </w:rPr>
        <w:t>公司与中国科学技术大学在</w:t>
      </w:r>
      <w:r>
        <w:rPr>
          <w:rFonts w:ascii="Times New Roman" w:hAnsi="Times New Roman" w:cs="Times New Roman" w:eastAsia="Times New Roman" w:hint="default"/>
          <w:spacing w:val="-2"/>
        </w:rPr>
        <w:t>“</w:t>
      </w:r>
      <w:r>
        <w:rPr>
          <w:spacing w:val="-2"/>
        </w:rPr>
        <w:t>中国科大</w:t>
      </w:r>
      <w:r>
        <w:rPr>
          <w:rFonts w:ascii="Times New Roman" w:hAnsi="Times New Roman" w:cs="Times New Roman" w:eastAsia="Times New Roman" w:hint="default"/>
          <w:spacing w:val="-2"/>
        </w:rPr>
        <w:t>——</w:t>
      </w:r>
      <w:r>
        <w:rPr>
          <w:spacing w:val="-2"/>
        </w:rPr>
        <w:t>国创高可信软件工程中心</w:t>
      </w:r>
      <w:r>
        <w:rPr>
          <w:rFonts w:ascii="Times New Roman" w:hAnsi="Times New Roman" w:cs="Times New Roman" w:eastAsia="Times New Roman" w:hint="default"/>
          <w:spacing w:val="-2"/>
        </w:rPr>
        <w:t>”</w:t>
      </w:r>
      <w:r>
        <w:rPr>
          <w:spacing w:val="-2"/>
        </w:rPr>
        <w:t>的基础上，共同设立了安徽中科</w:t>
      </w:r>
      <w:r>
        <w:rPr>
          <w:w w:val="100"/>
        </w:rPr>
        <w:t> </w:t>
      </w:r>
      <w:r>
        <w:rPr>
          <w:spacing w:val="-2"/>
        </w:rPr>
        <w:t>国创高可信软件有限公司，开展国际领先的安全嵌入式操作系统、程序分析及验证工具、可信编译器以及</w:t>
      </w:r>
      <w:r>
        <w:rPr>
          <w:spacing w:val="-46"/>
        </w:rPr>
        <w:t> </w:t>
      </w:r>
      <w:r>
        <w:rPr>
          <w:spacing w:val="-46"/>
        </w:rPr>
      </w:r>
      <w:r>
        <w:rPr>
          <w:spacing w:val="-2"/>
        </w:rPr>
        <w:t>定理证明器等理论研究和技术开发；共建安徽大数据应用协同创新中心，开展大数据采集、大数据存储、</w:t>
      </w:r>
      <w:r>
        <w:rPr>
          <w:spacing w:val="-21"/>
        </w:rPr>
        <w:t> </w:t>
      </w:r>
      <w:r>
        <w:rPr>
          <w:spacing w:val="-21"/>
        </w:rPr>
      </w:r>
      <w:r>
        <w:rPr/>
        <w:t>大数据共享、大数据挖掘与分析等关键共性技术研发和科技成果的产业化。公司</w:t>
      </w:r>
      <w:r>
        <w:rPr>
          <w:rFonts w:ascii="Times New Roman" w:hAnsi="Times New Roman" w:cs="Times New Roman" w:eastAsia="Times New Roman" w:hint="default"/>
        </w:rPr>
        <w:t>“</w:t>
      </w:r>
      <w:r>
        <w:rPr/>
        <w:t>安徽省信用大数据平台</w:t>
      </w:r>
      <w:r>
        <w:rPr>
          <w:spacing w:val="-12"/>
        </w:rPr>
        <w:t> </w:t>
      </w:r>
      <w:r>
        <w:rPr>
          <w:spacing w:val="-12"/>
        </w:rPr>
      </w:r>
      <w:r>
        <w:rPr/>
        <w:t>建设项目</w:t>
      </w:r>
      <w:r>
        <w:rPr>
          <w:rFonts w:ascii="Times New Roman" w:hAnsi="Times New Roman" w:cs="Times New Roman" w:eastAsia="Times New Roman" w:hint="default"/>
        </w:rPr>
        <w:t>”</w:t>
      </w:r>
      <w:r>
        <w:rPr/>
        <w:t>被国家发改委列为</w:t>
      </w:r>
      <w:r>
        <w:rPr>
          <w:rFonts w:ascii="Times New Roman" w:hAnsi="Times New Roman" w:cs="Times New Roman" w:eastAsia="Times New Roman" w:hint="default"/>
        </w:rPr>
        <w:t>2018</w:t>
      </w:r>
      <w:r>
        <w:rPr/>
        <w:t>年数字经济试点重大工程，标志着公司大数据解决方案能力已进入国家</w:t>
      </w:r>
      <w:r>
        <w:rPr>
          <w:spacing w:val="-17"/>
        </w:rPr>
        <w:t> </w:t>
      </w:r>
      <w:r>
        <w:rPr>
          <w:spacing w:val="-17"/>
        </w:rPr>
      </w:r>
      <w:r>
        <w:rPr/>
        <w:t>队。</w:t>
      </w:r>
    </w:p>
    <w:p>
      <w:pPr>
        <w:pStyle w:val="BodyText"/>
        <w:spacing w:line="256" w:lineRule="auto" w:before="16"/>
        <w:ind w:right="1126" w:firstLine="420"/>
        <w:jc w:val="both"/>
      </w:pPr>
      <w:r>
        <w:rPr>
          <w:spacing w:val="-3"/>
        </w:rPr>
        <w:t>报告期内，公司获得了</w:t>
      </w:r>
      <w:r>
        <w:rPr>
          <w:rFonts w:ascii="Times New Roman" w:hAnsi="Times New Roman" w:cs="Times New Roman" w:eastAsia="Times New Roman" w:hint="default"/>
          <w:spacing w:val="-3"/>
        </w:rPr>
        <w:t>“</w:t>
      </w:r>
      <w:r>
        <w:rPr>
          <w:spacing w:val="-3"/>
        </w:rPr>
        <w:t>将</w:t>
      </w:r>
      <w:r>
        <w:rPr>
          <w:rFonts w:ascii="Times New Roman" w:hAnsi="Times New Roman" w:cs="Times New Roman" w:eastAsia="Times New Roman" w:hint="default"/>
          <w:spacing w:val="-3"/>
        </w:rPr>
        <w:t>Web</w:t>
      </w:r>
      <w:r>
        <w:rPr>
          <w:spacing w:val="-3"/>
        </w:rPr>
        <w:t>页面集成作为服务进行注册和监控方法</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一种电池管理系统多通道唤</w:t>
      </w:r>
      <w:r>
        <w:rPr>
          <w:w w:val="100"/>
        </w:rPr>
        <w:t> </w:t>
      </w:r>
      <w:r>
        <w:rPr/>
        <w:t>醒电路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中科国创</w:t>
      </w:r>
      <w:r>
        <w:rPr>
          <w:rFonts w:ascii="Times New Roman" w:hAnsi="Times New Roman" w:cs="Times New Roman" w:eastAsia="Times New Roman" w:hint="default"/>
        </w:rPr>
        <w:t>Bugfinder</w:t>
      </w:r>
      <w:r>
        <w:rPr/>
        <w:t>缺陷检测工具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科大国创企业级信息集成平台软件</w:t>
      </w:r>
      <w:r>
        <w:rPr>
          <w:spacing w:val="-36"/>
        </w:rPr>
        <w:t> </w:t>
      </w:r>
      <w:r>
        <w:rPr>
          <w:rFonts w:ascii="Times New Roman" w:hAnsi="Times New Roman" w:cs="Times New Roman" w:eastAsia="Times New Roman" w:hint="default"/>
          <w:spacing w:val="-3"/>
        </w:rPr>
        <w:t>V2.0”</w:t>
      </w:r>
      <w:r>
        <w:rPr>
          <w:spacing w:val="-3"/>
        </w:rPr>
        <w:t>、</w:t>
      </w:r>
      <w:r>
        <w:rPr>
          <w:rFonts w:ascii="Times New Roman" w:hAnsi="Times New Roman" w:cs="Times New Roman" w:eastAsia="Times New Roman" w:hint="default"/>
          <w:spacing w:val="-3"/>
        </w:rPr>
        <w:t>“</w:t>
      </w:r>
      <w:r>
        <w:rPr>
          <w:spacing w:val="-3"/>
        </w:rPr>
        <w:t>科大国创交通</w:t>
      </w:r>
      <w:r>
        <w:rPr>
          <w:w w:val="100"/>
        </w:rPr>
        <w:t> </w:t>
      </w:r>
      <w:r>
        <w:rPr/>
        <w:t>综合信息平台系统 </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科大国创数据采集交换平台</w:t>
      </w:r>
      <w:r>
        <w:rPr>
          <w:spacing w:val="-62"/>
        </w:rPr>
        <w:t> </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贵博符合最新快充一致性国标软件</w:t>
      </w:r>
      <w:r>
        <w:rPr>
          <w:rFonts w:ascii="Times New Roman" w:hAnsi="Times New Roman" w:cs="Times New Roman" w:eastAsia="Times New Roman" w:hint="default"/>
        </w:rPr>
        <w:t>V1.0”</w:t>
      </w:r>
      <w:r>
        <w:rPr>
          <w:rFonts w:ascii="Times New Roman" w:hAnsi="Times New Roman" w:cs="Times New Roman" w:eastAsia="Times New Roman" w:hint="default"/>
          <w:w w:val="100"/>
        </w:rPr>
        <w:t> </w:t>
      </w:r>
      <w:r>
        <w:rPr/>
        <w:t>等一百余项专利和软件著作权；截至报告期末，公司累计获得三百余项专利和软件著作权。</w:t>
      </w:r>
    </w:p>
    <w:p>
      <w:pPr>
        <w:pStyle w:val="BodyText"/>
        <w:spacing w:line="256" w:lineRule="auto" w:before="22"/>
        <w:ind w:left="573" w:right="1133"/>
        <w:jc w:val="left"/>
      </w:pPr>
      <w:r>
        <w:rPr>
          <w:rFonts w:ascii="Times New Roman" w:hAnsi="Times New Roman" w:cs="Times New Roman" w:eastAsia="Times New Roman" w:hint="default"/>
        </w:rPr>
        <w:t>3</w:t>
      </w:r>
      <w:r>
        <w:rPr/>
        <w:t>、客户持续经营能力</w:t>
      </w:r>
      <w:r>
        <w:rPr>
          <w:w w:val="100"/>
        </w:rPr>
        <w:t> </w:t>
      </w:r>
      <w:r>
        <w:rPr>
          <w:spacing w:val="-2"/>
        </w:rPr>
        <w:t>公司自成立以来，始终坚持以核心技术、优质服务以及高品质的产品和解决方案实现客户持续经营能</w:t>
      </w:r>
    </w:p>
    <w:p>
      <w:pPr>
        <w:pStyle w:val="BodyText"/>
        <w:spacing w:line="261" w:lineRule="auto" w:before="22"/>
        <w:ind w:right="1126"/>
        <w:jc w:val="both"/>
      </w:pPr>
      <w:r>
        <w:rPr>
          <w:spacing w:val="-2"/>
        </w:rPr>
        <w:t>力。公司核心技术是拓展新客户、深耕老客户的保障，</w:t>
      </w:r>
      <w:r>
        <w:rPr>
          <w:rFonts w:ascii="Times New Roman" w:hAnsi="Times New Roman" w:cs="Times New Roman" w:eastAsia="Times New Roman" w:hint="default"/>
          <w:spacing w:val="-2"/>
        </w:rPr>
        <w:t>“</w:t>
      </w:r>
      <w:r>
        <w:rPr>
          <w:spacing w:val="-2"/>
        </w:rPr>
        <w:t>紧贴用户需求</w:t>
      </w:r>
      <w:r>
        <w:rPr>
          <w:rFonts w:ascii="Times New Roman" w:hAnsi="Times New Roman" w:cs="Times New Roman" w:eastAsia="Times New Roman" w:hint="default"/>
          <w:spacing w:val="-2"/>
        </w:rPr>
        <w:t>”</w:t>
      </w:r>
      <w:r>
        <w:rPr>
          <w:spacing w:val="-2"/>
        </w:rPr>
        <w:t>的服务策略是增强客户黏性并持续</w:t>
      </w:r>
      <w:r>
        <w:rPr>
          <w:spacing w:val="-17"/>
        </w:rPr>
        <w:t> </w:t>
      </w:r>
      <w:r>
        <w:rPr>
          <w:spacing w:val="-17"/>
        </w:rPr>
      </w:r>
      <w:r>
        <w:rPr>
          <w:spacing w:val="-2"/>
        </w:rPr>
        <w:t>创造客户需求的关键，高品质的产品和解决方案是赢得品牌影响力和行业客户的核心。公司现已形成自主</w:t>
      </w:r>
      <w:r>
        <w:rPr>
          <w:spacing w:val="-43"/>
        </w:rPr>
        <w:t> </w:t>
      </w:r>
      <w:r>
        <w:rPr>
          <w:spacing w:val="-43"/>
        </w:rPr>
      </w:r>
      <w:r>
        <w:rPr/>
        <w:t>特色的客户经营路径：突破重点客户</w:t>
      </w:r>
      <w:r>
        <w:rPr>
          <w:rFonts w:ascii="Times New Roman" w:hAnsi="Times New Roman" w:cs="Times New Roman" w:eastAsia="Times New Roman" w:hint="default"/>
        </w:rPr>
        <w:t>--</w:t>
      </w:r>
      <w:r>
        <w:rPr/>
        <w:t>树立行业标杆</w:t>
      </w:r>
      <w:r>
        <w:rPr>
          <w:rFonts w:ascii="Times New Roman" w:hAnsi="Times New Roman" w:cs="Times New Roman" w:eastAsia="Times New Roman" w:hint="default"/>
        </w:rPr>
        <w:t>--</w:t>
      </w:r>
      <w:r>
        <w:rPr/>
        <w:t>形成行业竞争优势</w:t>
      </w:r>
      <w:r>
        <w:rPr>
          <w:rFonts w:ascii="Times New Roman" w:hAnsi="Times New Roman" w:cs="Times New Roman" w:eastAsia="Times New Roman" w:hint="default"/>
        </w:rPr>
        <w:t>--</w:t>
      </w:r>
      <w:r>
        <w:rPr/>
        <w:t>获得行业全面影响力</w:t>
      </w:r>
      <w:r>
        <w:rPr>
          <w:rFonts w:ascii="Times New Roman" w:hAnsi="Times New Roman" w:cs="Times New Roman" w:eastAsia="Times New Roman" w:hint="default"/>
        </w:rPr>
        <w:t>--</w:t>
      </w:r>
      <w:r>
        <w:rPr/>
        <w:t>深度经营</w:t>
      </w:r>
      <w:r>
        <w:rPr>
          <w:spacing w:val="-61"/>
        </w:rPr>
        <w:t> </w:t>
      </w:r>
      <w:r>
        <w:rPr>
          <w:spacing w:val="-61"/>
        </w:rPr>
      </w:r>
      <w:r>
        <w:rPr/>
        <w:t>行业优质客户</w:t>
      </w:r>
      <w:r>
        <w:rPr>
          <w:rFonts w:ascii="Times New Roman" w:hAnsi="Times New Roman" w:cs="Times New Roman" w:eastAsia="Times New Roman" w:hint="default"/>
        </w:rPr>
        <w:t>--</w:t>
      </w:r>
      <w:r>
        <w:rPr/>
        <w:t>与客户共同成长发展。</w:t>
      </w:r>
    </w:p>
    <w:p>
      <w:pPr>
        <w:pStyle w:val="BodyText"/>
        <w:spacing w:line="273" w:lineRule="auto"/>
        <w:ind w:right="0" w:firstLine="420"/>
        <w:jc w:val="left"/>
      </w:pPr>
      <w:r>
        <w:rPr/>
        <w:t>经过十多年的经营，公司已拥有一批信息化需求大、实力雄厚、信誉良好、业务关系持续稳定的优质</w:t>
      </w:r>
      <w:r>
        <w:rPr>
          <w:w w:val="100"/>
        </w:rPr>
        <w:t> </w:t>
      </w:r>
      <w:r>
        <w:rPr>
          <w:spacing w:val="-5"/>
        </w:rPr>
        <w:t>客户，包括电信行业的中国电信、中国移动和中国联通；能源行业的国家电投集团、神华集团、华润电力、</w:t>
      </w:r>
      <w:r>
        <w:rPr>
          <w:spacing w:val="-7"/>
        </w:rPr>
        <w:t> </w:t>
      </w:r>
      <w:r>
        <w:rPr>
          <w:spacing w:val="-7"/>
        </w:rPr>
      </w:r>
      <w:r>
        <w:rPr>
          <w:spacing w:val="-2"/>
        </w:rPr>
        <w:t>大唐集团、皖能电力、江苏方天和南瑞集团等；交通行业的安徽交通、新疆交通等；政府领域的安徽省政</w:t>
      </w:r>
      <w:r>
        <w:rPr>
          <w:spacing w:val="-43"/>
        </w:rPr>
        <w:t> </w:t>
      </w:r>
      <w:r>
        <w:rPr>
          <w:spacing w:val="-43"/>
        </w:rPr>
      </w:r>
      <w:r>
        <w:rPr/>
        <w:t>府办公厅、安徽省教育厅、安徽省发改委、安徽省经信委、贵阳市发改委、安徽省检察院、合肥海关等；</w:t>
      </w:r>
      <w:r>
        <w:rPr>
          <w:w w:val="100"/>
        </w:rPr>
        <w:t> </w:t>
      </w:r>
      <w:r>
        <w:rPr>
          <w:spacing w:val="-5"/>
        </w:rPr>
        <w:t>国际客户包括野村综合研究所、富士施乐、电通国际等世界知名企业；智能电动汽车行业包括奇瑞新能源、</w:t>
      </w:r>
      <w:r>
        <w:rPr>
          <w:spacing w:val="-4"/>
        </w:rPr>
        <w:t> </w:t>
      </w:r>
      <w:r>
        <w:rPr>
          <w:spacing w:val="-4"/>
        </w:rPr>
      </w:r>
      <w:r>
        <w:rPr>
          <w:spacing w:val="-2"/>
        </w:rPr>
        <w:t>长春一汽、航天新长征等。公司与优质客户的共同发展推动了公司创新能力的不断提升和服务能力的不断</w:t>
      </w:r>
      <w:r>
        <w:rPr>
          <w:spacing w:val="-43"/>
        </w:rPr>
        <w:t> </w:t>
      </w:r>
      <w:r>
        <w:rPr>
          <w:spacing w:val="-43"/>
        </w:rPr>
      </w:r>
      <w:r>
        <w:rPr/>
        <w:t>提高，同时为公司未来持续的发展奠定了坚实的基础。</w:t>
      </w:r>
    </w:p>
    <w:p>
      <w:pPr>
        <w:spacing w:after="0" w:line="27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0" w:firstLine="420"/>
        <w:jc w:val="left"/>
      </w:pPr>
      <w:r>
        <w:rPr>
          <w:spacing w:val="-5"/>
        </w:rPr>
        <w:t>报告期内，公司坚持以内生发展和外延扩张相结合、市场与研发双轮驱动、项目制和产品化共同推进、</w:t>
      </w:r>
      <w:r>
        <w:rPr>
          <w:w w:val="100"/>
        </w:rPr>
        <w:t> </w:t>
      </w:r>
      <w:r>
        <w:rPr>
          <w:spacing w:val="-2"/>
        </w:rPr>
        <w:t>创新引领和行业精耕细作相融合、团队高素质和工作高效率相协同为总体思路，始终围绕公司软件及大数</w:t>
      </w:r>
      <w:r>
        <w:rPr>
          <w:spacing w:val="-44"/>
        </w:rPr>
        <w:t> </w:t>
      </w:r>
      <w:r>
        <w:rPr>
          <w:spacing w:val="-44"/>
        </w:rPr>
      </w:r>
      <w:r>
        <w:rPr>
          <w:spacing w:val="-3"/>
        </w:rPr>
        <w:t>据、互联网</w:t>
      </w:r>
      <w:r>
        <w:rPr>
          <w:rFonts w:ascii="Times New Roman" w:hAnsi="Times New Roman" w:cs="Times New Roman" w:eastAsia="Times New Roman" w:hint="default"/>
          <w:spacing w:val="-3"/>
        </w:rPr>
        <w:t>+</w:t>
      </w:r>
      <w:r>
        <w:rPr>
          <w:spacing w:val="-3"/>
        </w:rPr>
        <w:t>、人工智能三大业务板块，坚定贯彻智慧</w:t>
      </w:r>
      <w:r>
        <w:rPr>
          <w:rFonts w:ascii="Times New Roman" w:hAnsi="Times New Roman" w:cs="Times New Roman" w:eastAsia="Times New Roman" w:hint="default"/>
          <w:spacing w:val="-3"/>
        </w:rPr>
        <w:t>+</w:t>
      </w:r>
      <w:r>
        <w:rPr>
          <w:spacing w:val="-3"/>
        </w:rPr>
        <w:t>、创新驱动发展、智能软件引领三大战略，以年度</w:t>
      </w:r>
      <w:r>
        <w:rPr>
          <w:spacing w:val="-30"/>
        </w:rPr>
        <w:t> </w:t>
      </w:r>
      <w:r>
        <w:rPr>
          <w:spacing w:val="-30"/>
        </w:rPr>
      </w:r>
      <w:r>
        <w:rPr/>
        <w:t>经营目标为抓手，重点推进了以下几方面工作：</w:t>
      </w:r>
    </w:p>
    <w:p>
      <w:pPr>
        <w:pStyle w:val="BodyText"/>
        <w:spacing w:line="259" w:lineRule="auto" w:before="14"/>
        <w:ind w:left="573" w:right="4273"/>
        <w:jc w:val="left"/>
      </w:pPr>
      <w:r>
        <w:rPr>
          <w:rFonts w:ascii="Times New Roman" w:hAnsi="Times New Roman" w:cs="Times New Roman" w:eastAsia="Times New Roman" w:hint="default"/>
        </w:rPr>
        <w:t>A</w:t>
      </w:r>
      <w:r>
        <w:rPr/>
        <w:t>、内生业务发展方面</w:t>
      </w:r>
      <w:r>
        <w:rPr>
          <w:w w:val="100"/>
        </w:rPr>
        <w:t> </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spacing w:val="-2"/>
        </w:rPr>
        <w:t>市场与研发双轮驱动，各业务领域快速发展</w:t>
      </w:r>
    </w:p>
    <w:p>
      <w:pPr>
        <w:pStyle w:val="BodyText"/>
        <w:spacing w:line="240" w:lineRule="auto" w:before="2"/>
        <w:ind w:left="573" w:right="1133"/>
        <w:jc w:val="left"/>
      </w:pPr>
      <w:r>
        <w:rPr/>
        <w:t>报告期内，公司坚持市场与研发双轮驱动的经营思路，各业务领域快速发展：</w:t>
      </w:r>
    </w:p>
    <w:p>
      <w:pPr>
        <w:pStyle w:val="BodyText"/>
        <w:spacing w:line="256" w:lineRule="auto" w:before="37"/>
        <w:ind w:left="573" w:right="1133"/>
        <w:jc w:val="left"/>
      </w:pPr>
      <w:r>
        <w:rPr>
          <w:rFonts w:ascii="Times New Roman" w:hAnsi="Times New Roman" w:cs="Times New Roman" w:eastAsia="Times New Roman" w:hint="default"/>
        </w:rPr>
        <w:t>1</w:t>
      </w:r>
      <w:r>
        <w:rPr/>
        <w:t>、软件及大数据</w:t>
      </w:r>
      <w:r>
        <w:rPr>
          <w:w w:val="100"/>
        </w:rPr>
        <w:t> </w:t>
      </w:r>
      <w:r>
        <w:rPr>
          <w:spacing w:val="-2"/>
        </w:rPr>
        <w:t>报告期内，软件及大数据业务板块坚持运营商业务、智慧城市业务和国际业务三驾马车齐头并进，为</w:t>
      </w:r>
    </w:p>
    <w:p>
      <w:pPr>
        <w:pStyle w:val="BodyText"/>
        <w:spacing w:line="273" w:lineRule="auto" w:before="22"/>
        <w:ind w:left="573" w:right="0" w:hanging="420"/>
        <w:jc w:val="left"/>
      </w:pPr>
      <w:r>
        <w:rPr/>
        <w:t>公司经营发展奠定坚实的基础。</w:t>
      </w:r>
      <w:r>
        <w:rPr>
          <w:w w:val="100"/>
        </w:rPr>
        <w:t> </w:t>
      </w:r>
      <w:r>
        <w:rPr>
          <w:spacing w:val="-4"/>
        </w:rPr>
        <w:t>运营商业务继续围绕中国电信、中国移动和中国联通三大核心客户，在优势产品新一代</w:t>
      </w:r>
      <w:r>
        <w:rPr>
          <w:rFonts w:ascii="Times New Roman" w:hAnsi="Times New Roman" w:cs="Times New Roman" w:eastAsia="Times New Roman" w:hint="default"/>
          <w:spacing w:val="-4"/>
        </w:rPr>
        <w:t>OSS</w:t>
      </w:r>
      <w:r>
        <w:rPr>
          <w:spacing w:val="-4"/>
        </w:rPr>
        <w:t>的基础上，</w:t>
      </w:r>
    </w:p>
    <w:p>
      <w:pPr>
        <w:pStyle w:val="BodyText"/>
        <w:spacing w:line="266" w:lineRule="auto"/>
        <w:ind w:right="0"/>
        <w:jc w:val="left"/>
      </w:pPr>
      <w:r>
        <w:rPr>
          <w:spacing w:val="-5"/>
        </w:rPr>
        <w:t>整合客服、网管、小创大脑等现有产品体系，积极探索</w:t>
      </w:r>
      <w:r>
        <w:rPr>
          <w:rFonts w:ascii="Times New Roman" w:hAnsi="Times New Roman" w:cs="Times New Roman" w:eastAsia="Times New Roman" w:hint="default"/>
          <w:spacing w:val="-5"/>
        </w:rPr>
        <w:t>5G</w:t>
      </w:r>
      <w:r>
        <w:rPr>
          <w:spacing w:val="-5"/>
        </w:rPr>
        <w:t>、数字化转型、下一代网络重构、人工智能应用、</w:t>
      </w:r>
      <w:r>
        <w:rPr>
          <w:spacing w:val="-49"/>
        </w:rPr>
        <w:t> </w:t>
      </w:r>
      <w:r>
        <w:rPr>
          <w:spacing w:val="-49"/>
        </w:rPr>
      </w:r>
      <w:r>
        <w:rPr>
          <w:spacing w:val="-4"/>
        </w:rPr>
        <w:t>物联网等重点技术方向，加速研发国际</w:t>
      </w:r>
      <w:r>
        <w:rPr>
          <w:rFonts w:ascii="Times New Roman" w:hAnsi="Times New Roman" w:cs="Times New Roman" w:eastAsia="Times New Roman" w:hint="default"/>
          <w:spacing w:val="-4"/>
        </w:rPr>
        <w:t>OSS</w:t>
      </w:r>
      <w:r>
        <w:rPr>
          <w:spacing w:val="-4"/>
        </w:rPr>
        <w:t>，持续加强产品创新能力，整体业务保持稳定增长。报告期内，</w:t>
      </w:r>
      <w:r>
        <w:rPr>
          <w:spacing w:val="-16"/>
        </w:rPr>
        <w:t> </w:t>
      </w:r>
      <w:r>
        <w:rPr>
          <w:spacing w:val="-16"/>
        </w:rPr>
      </w:r>
      <w:r>
        <w:rPr>
          <w:spacing w:val="-2"/>
        </w:rPr>
        <w:t>运营商业务在持续为客户做好原有系统升级推广运营的基础上，新增联通总部新客服、电信集团股权管理</w:t>
      </w:r>
      <w:r>
        <w:rPr>
          <w:spacing w:val="-43"/>
        </w:rPr>
        <w:t> </w:t>
      </w:r>
      <w:r>
        <w:rPr>
          <w:spacing w:val="-43"/>
        </w:rPr>
      </w:r>
      <w:r>
        <w:rPr>
          <w:spacing w:val="-2"/>
        </w:rPr>
        <w:t>系统、辽宁移动政企支撑服务平台等多个重点项目；截至报告期末，公司运营商业务产品已广泛应用于三</w:t>
      </w:r>
      <w:r>
        <w:rPr>
          <w:spacing w:val="-44"/>
        </w:rPr>
        <w:t> </w:t>
      </w:r>
      <w:r>
        <w:rPr>
          <w:spacing w:val="-44"/>
        </w:rPr>
      </w:r>
      <w:r>
        <w:rPr>
          <w:spacing w:val="-2"/>
        </w:rPr>
        <w:t>大运营商集团总部及下属七十余家省级公司，以及中国电信国际公司、中移物联网有限公司、中移在线服</w:t>
      </w:r>
      <w:r>
        <w:rPr>
          <w:spacing w:val="-43"/>
        </w:rPr>
        <w:t> </w:t>
      </w:r>
      <w:r>
        <w:rPr>
          <w:spacing w:val="-43"/>
        </w:rPr>
      </w:r>
      <w:r>
        <w:rPr/>
        <w:t>务有限公司、联通智能语音客服运营中心等多家运营商下属专业子公司。</w:t>
      </w:r>
    </w:p>
    <w:p>
      <w:pPr>
        <w:pStyle w:val="BodyText"/>
        <w:spacing w:line="271" w:lineRule="auto" w:before="14"/>
        <w:ind w:right="1104" w:firstLine="420"/>
        <w:jc w:val="both"/>
      </w:pPr>
      <w:r>
        <w:rPr>
          <w:spacing w:val="-2"/>
        </w:rPr>
        <w:t>智慧城市业务持续加强大数据、云计算、物联网、人工智能等新一代信息技术与实体经济的融合，不</w:t>
      </w:r>
      <w:r>
        <w:rPr>
          <w:w w:val="100"/>
        </w:rPr>
        <w:t> </w:t>
      </w:r>
      <w:r>
        <w:rPr>
          <w:spacing w:val="-2"/>
        </w:rPr>
        <w:t>断推进智能应用软件的研发，提升了现有信用大数据平台、互联网政务、云计算数据中心、智能交通、智</w:t>
      </w:r>
      <w:r>
        <w:rPr>
          <w:spacing w:val="-43"/>
        </w:rPr>
        <w:t> </w:t>
      </w:r>
      <w:r>
        <w:rPr>
          <w:spacing w:val="-43"/>
        </w:rPr>
      </w:r>
      <w:r>
        <w:rPr>
          <w:spacing w:val="-2"/>
        </w:rPr>
        <w:t>慧电厂、智慧灯杆等优势产品或解决方案。依托上述优势产品或解决方案，报告期内，公司智慧城市业务</w:t>
      </w:r>
      <w:r>
        <w:rPr>
          <w:spacing w:val="-50"/>
        </w:rPr>
        <w:t> </w:t>
      </w:r>
      <w:r>
        <w:rPr>
          <w:spacing w:val="-50"/>
        </w:rPr>
      </w:r>
      <w:r>
        <w:rPr>
          <w:spacing w:val="-2"/>
        </w:rPr>
        <w:t>在深耕安徽市场的同时，先后承担了新疆交通运输信息指挥平台项目、海南自贸区（港）物流监管服务系</w:t>
      </w:r>
      <w:r>
        <w:rPr>
          <w:spacing w:val="-47"/>
        </w:rPr>
        <w:t> </w:t>
      </w:r>
      <w:r>
        <w:rPr>
          <w:spacing w:val="-47"/>
        </w:rPr>
      </w:r>
      <w:r>
        <w:rPr/>
        <w:t>统项目、互联网</w:t>
      </w:r>
      <w:r>
        <w:rPr>
          <w:rFonts w:ascii="Times New Roman" w:hAnsi="Times New Roman" w:cs="Times New Roman" w:eastAsia="Times New Roman" w:hint="default"/>
        </w:rPr>
        <w:t>+</w:t>
      </w:r>
      <w:r>
        <w:rPr/>
        <w:t>智能督办考核平台、智慧生活圈、合肥通、神皖庐江电厂智慧安全管理系统等多个重点</w:t>
      </w:r>
      <w:r>
        <w:rPr>
          <w:spacing w:val="-37"/>
        </w:rPr>
        <w:t> </w:t>
      </w:r>
      <w:r>
        <w:rPr>
          <w:spacing w:val="-37"/>
        </w:rPr>
      </w:r>
      <w:r>
        <w:rPr>
          <w:spacing w:val="-2"/>
        </w:rPr>
        <w:t>项目，重点突破了贵州、新疆、海南等省级客户以及海关、能源等重点领域，加快推进了在政府、能源、</w:t>
      </w:r>
      <w:r>
        <w:rPr>
          <w:spacing w:val="-21"/>
        </w:rPr>
        <w:t> </w:t>
      </w:r>
      <w:r>
        <w:rPr>
          <w:spacing w:val="-21"/>
        </w:rPr>
      </w:r>
      <w:r>
        <w:rPr/>
        <w:t>交通、教育等行业领域的应用扩展，公司行业影响力不断提升。</w:t>
      </w:r>
    </w:p>
    <w:p>
      <w:pPr>
        <w:pStyle w:val="BodyText"/>
        <w:spacing w:line="273" w:lineRule="auto" w:before="10"/>
        <w:ind w:right="0" w:firstLine="420"/>
        <w:jc w:val="left"/>
      </w:pPr>
      <w:r>
        <w:rPr/>
        <w:t>国际业务继续积极推进大客户战略，不断拓展和提升日本野村综合研究所、富士施乐、电通国际情报</w:t>
      </w:r>
      <w:r>
        <w:rPr>
          <w:w w:val="100"/>
        </w:rPr>
        <w:t> </w:t>
      </w:r>
      <w:r>
        <w:rPr>
          <w:spacing w:val="-2"/>
        </w:rPr>
        <w:t>服务株式会社、日本电子计算株式会社、京瓷信息、日立制作所、江苏方天、国电南瑞等国内外知名企业</w:t>
      </w:r>
      <w:r>
        <w:rPr>
          <w:spacing w:val="-43"/>
        </w:rPr>
        <w:t> </w:t>
      </w:r>
      <w:r>
        <w:rPr>
          <w:spacing w:val="-43"/>
        </w:rPr>
      </w:r>
      <w:r>
        <w:rPr>
          <w:spacing w:val="-5"/>
        </w:rPr>
        <w:t>的软件开发业务合作。同时，继续发挥中日市场联动效应，拓展国际优秀解决方案在国内行业的创新应用，</w:t>
      </w:r>
      <w:r>
        <w:rPr>
          <w:spacing w:val="-6"/>
        </w:rPr>
        <w:t> </w:t>
      </w:r>
      <w:r>
        <w:rPr>
          <w:spacing w:val="-6"/>
        </w:rPr>
      </w:r>
      <w:r>
        <w:rPr>
          <w:spacing w:val="-2"/>
        </w:rPr>
        <w:t>报告期内，公司金融资产管理等金融业务软件在现有国元证券、兴业数字金融公司、浦银安盛、长盛基金</w:t>
      </w:r>
      <w:r>
        <w:rPr>
          <w:spacing w:val="-47"/>
        </w:rPr>
        <w:t> </w:t>
      </w:r>
      <w:r>
        <w:rPr>
          <w:spacing w:val="-47"/>
        </w:rPr>
      </w:r>
      <w:r>
        <w:rPr>
          <w:spacing w:val="-2"/>
        </w:rPr>
        <w:t>等国内客户保持稳定增长的同时，新开拓了中泰证券、华安证券等国内金融客户；慢性肾病管理及质控平</w:t>
      </w:r>
      <w:r>
        <w:rPr>
          <w:spacing w:val="-43"/>
        </w:rPr>
        <w:t> </w:t>
      </w:r>
      <w:r>
        <w:rPr>
          <w:spacing w:val="-43"/>
        </w:rPr>
      </w:r>
      <w:r>
        <w:rPr>
          <w:spacing w:val="-2"/>
        </w:rPr>
        <w:t>台新增了中山大学附属第五医院、杏泰医疗、瑞慈医疗、湖南湘雅三院等医疗机构，截至报告期末，慢性</w:t>
      </w:r>
      <w:r>
        <w:rPr>
          <w:spacing w:val="-43"/>
        </w:rPr>
        <w:t> </w:t>
      </w:r>
      <w:r>
        <w:rPr>
          <w:spacing w:val="-43"/>
        </w:rPr>
      </w:r>
      <w:r>
        <w:rPr/>
        <w:t>肾病管理及质控平台已广泛应用全国多个省市超</w:t>
      </w:r>
      <w:r>
        <w:rPr>
          <w:rFonts w:ascii="Times New Roman" w:hAnsi="Times New Roman" w:cs="Times New Roman" w:eastAsia="Times New Roman" w:hint="default"/>
        </w:rPr>
        <w:t>70</w:t>
      </w:r>
      <w:r>
        <w:rPr/>
        <w:t>家医疗机构。</w:t>
      </w:r>
    </w:p>
    <w:p>
      <w:pPr>
        <w:pStyle w:val="BodyText"/>
        <w:spacing w:line="256" w:lineRule="auto"/>
        <w:ind w:left="573" w:right="1133"/>
        <w:jc w:val="left"/>
      </w:pP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智慧物流云服务平台</w:t>
      </w:r>
      <w:r>
        <w:rPr>
          <w:w w:val="100"/>
        </w:rPr>
        <w:t> </w:t>
      </w:r>
      <w:r>
        <w:rPr>
          <w:spacing w:val="-2"/>
        </w:rPr>
        <w:t>报告期内，控股子公司慧联运继续秉持</w:t>
      </w:r>
      <w:r>
        <w:rPr>
          <w:rFonts w:ascii="Times New Roman" w:hAnsi="Times New Roman" w:cs="Times New Roman" w:eastAsia="Times New Roman" w:hint="default"/>
          <w:spacing w:val="-2"/>
        </w:rPr>
        <w:t>“</w:t>
      </w:r>
      <w:r>
        <w:rPr>
          <w:spacing w:val="-2"/>
        </w:rPr>
        <w:t>智慧联接运输，数据驱动物流</w:t>
      </w:r>
      <w:r>
        <w:rPr>
          <w:rFonts w:ascii="Times New Roman" w:hAnsi="Times New Roman" w:cs="Times New Roman" w:eastAsia="Times New Roman" w:hint="default"/>
          <w:spacing w:val="-2"/>
        </w:rPr>
        <w:t>”</w:t>
      </w:r>
      <w:r>
        <w:rPr>
          <w:spacing w:val="-2"/>
        </w:rPr>
        <w:t>的理念，围绕科技承运服务、</w:t>
      </w:r>
    </w:p>
    <w:p>
      <w:pPr>
        <w:pStyle w:val="BodyText"/>
        <w:spacing w:line="261" w:lineRule="auto" w:before="5"/>
        <w:ind w:right="1125"/>
        <w:jc w:val="both"/>
      </w:pPr>
      <w:r>
        <w:rPr>
          <w:spacing w:val="-2"/>
        </w:rPr>
        <w:t>金融数据服务、物流信息化服务三大业务加大研发投入，加强运力网、智能网、协同网</w:t>
      </w:r>
      <w:r>
        <w:rPr>
          <w:rFonts w:ascii="Times New Roman" w:hAnsi="Times New Roman" w:cs="Times New Roman" w:eastAsia="Times New Roman" w:hint="default"/>
          <w:spacing w:val="-2"/>
        </w:rPr>
        <w:t>“</w:t>
      </w:r>
      <w:r>
        <w:rPr>
          <w:spacing w:val="-2"/>
        </w:rPr>
        <w:t>三网合一</w:t>
      </w:r>
      <w:r>
        <w:rPr>
          <w:rFonts w:ascii="Times New Roman" w:hAnsi="Times New Roman" w:cs="Times New Roman" w:eastAsia="Times New Roman" w:hint="default"/>
          <w:spacing w:val="-2"/>
        </w:rPr>
        <w:t>”</w:t>
      </w:r>
      <w:r>
        <w:rPr>
          <w:spacing w:val="-2"/>
        </w:rPr>
        <w:t>核心竞</w:t>
      </w:r>
      <w:r>
        <w:rPr>
          <w:spacing w:val="-18"/>
        </w:rPr>
        <w:t> </w:t>
      </w:r>
      <w:r>
        <w:rPr>
          <w:spacing w:val="-18"/>
        </w:rPr>
      </w:r>
      <w:r>
        <w:rPr/>
        <w:t>争力建设，持续完善专业化、标准化、智能化的互联网</w:t>
      </w:r>
      <w:r>
        <w:rPr>
          <w:rFonts w:ascii="Times New Roman" w:hAnsi="Times New Roman" w:cs="Times New Roman" w:eastAsia="Times New Roman" w:hint="default"/>
        </w:rPr>
        <w:t>+</w:t>
      </w:r>
      <w:r>
        <w:rPr/>
        <w:t>智慧物流云服务平台，服务于大型企业客户，成</w:t>
      </w:r>
      <w:r>
        <w:rPr>
          <w:spacing w:val="-35"/>
        </w:rPr>
        <w:t> </w:t>
      </w:r>
      <w:r>
        <w:rPr>
          <w:spacing w:val="-35"/>
        </w:rPr>
      </w:r>
      <w:r>
        <w:rPr>
          <w:spacing w:val="-2"/>
        </w:rPr>
        <w:t>功与华源医药、远大住工等大客户建立了合作关系；同时，基于物流供应链，依托大数据、人工智能等先</w:t>
      </w:r>
      <w:r>
        <w:rPr>
          <w:spacing w:val="-43"/>
        </w:rPr>
        <w:t> </w:t>
      </w:r>
      <w:r>
        <w:rPr>
          <w:spacing w:val="-43"/>
        </w:rPr>
      </w:r>
      <w:r>
        <w:rPr/>
        <w:t>进技术，不断完善物流信用体系建设，持续推进金融数据服务，推动现代物流业高质量发展。</w:t>
      </w:r>
    </w:p>
    <w:p>
      <w:pPr>
        <w:pStyle w:val="BodyText"/>
        <w:spacing w:line="240" w:lineRule="auto" w:before="18"/>
        <w:ind w:left="573" w:right="1133"/>
        <w:jc w:val="left"/>
      </w:pPr>
      <w:r>
        <w:rPr>
          <w:rFonts w:ascii="Times New Roman" w:hAnsi="Times New Roman" w:cs="Times New Roman" w:eastAsia="Times New Roman" w:hint="default"/>
        </w:rPr>
        <w:t>3</w:t>
      </w:r>
      <w:r>
        <w:rPr/>
        <w:t>、高可信软件</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firstLine="420"/>
        <w:jc w:val="both"/>
      </w:pPr>
      <w:r>
        <w:rPr>
          <w:spacing w:val="-2"/>
        </w:rPr>
        <w:t>报告期内，公司继续坚持国际领先的高可信软件的研发，控股子公司中科国创持续加大研发投入，深</w:t>
      </w:r>
      <w:r>
        <w:rPr>
          <w:w w:val="100"/>
        </w:rPr>
        <w:t> </w:t>
      </w:r>
      <w:r>
        <w:rPr/>
        <w:t>入推进高可信软件程序分析工具和验证工具的研发，构建了安全</w:t>
      </w:r>
      <w:r>
        <w:rPr>
          <w:rFonts w:ascii="Times New Roman" w:hAnsi="Times New Roman" w:cs="Times New Roman" w:eastAsia="Times New Roman" w:hint="default"/>
        </w:rPr>
        <w:t>C</w:t>
      </w:r>
      <w:r>
        <w:rPr/>
        <w:t>语言程序验证器的产品化原型，实现了</w:t>
      </w:r>
      <w:r>
        <w:rPr>
          <w:spacing w:val="-61"/>
        </w:rPr>
        <w:t> </w:t>
      </w:r>
      <w:r>
        <w:rPr>
          <w:spacing w:val="-61"/>
        </w:rPr>
      </w:r>
      <w:r>
        <w:rPr/>
        <w:t>验证器的基本设计功能、算法级的</w:t>
      </w:r>
      <w:r>
        <w:rPr>
          <w:rFonts w:ascii="Times New Roman" w:hAnsi="Times New Roman" w:cs="Times New Roman" w:eastAsia="Times New Roman" w:hint="default"/>
        </w:rPr>
        <w:t>C</w:t>
      </w:r>
      <w:r>
        <w:rPr/>
        <w:t>语言程序验证等多项技术突破，并拓展了高可信软件程序分析工具试</w:t>
      </w:r>
      <w:r>
        <w:rPr>
          <w:spacing w:val="-61"/>
        </w:rPr>
        <w:t> </w:t>
      </w:r>
      <w:r>
        <w:rPr>
          <w:spacing w:val="-61"/>
        </w:rPr>
      </w:r>
      <w:r>
        <w:rPr/>
        <w:t>点应用范围，获得了</w:t>
      </w:r>
      <w:r>
        <w:rPr>
          <w:rFonts w:ascii="Times New Roman" w:hAnsi="Times New Roman" w:cs="Times New Roman" w:eastAsia="Times New Roman" w:hint="default"/>
        </w:rPr>
        <w:t>“</w:t>
      </w:r>
      <w:r>
        <w:rPr/>
        <w:t>中科国创</w:t>
      </w:r>
      <w:r>
        <w:rPr>
          <w:rFonts w:ascii="Times New Roman" w:hAnsi="Times New Roman" w:cs="Times New Roman" w:eastAsia="Times New Roman" w:hint="default"/>
        </w:rPr>
        <w:t>Bugfinder</w:t>
      </w:r>
      <w:r>
        <w:rPr/>
        <w:t>缺陷检测工具</w:t>
      </w:r>
      <w:r>
        <w:rPr>
          <w:rFonts w:ascii="Times New Roman" w:hAnsi="Times New Roman" w:cs="Times New Roman" w:eastAsia="Times New Roman" w:hint="default"/>
        </w:rPr>
        <w:t>”</w:t>
      </w:r>
      <w:r>
        <w:rPr/>
        <w:t>等</w:t>
      </w:r>
      <w:r>
        <w:rPr>
          <w:rFonts w:ascii="Times New Roman" w:hAnsi="Times New Roman" w:cs="Times New Roman" w:eastAsia="Times New Roman" w:hint="default"/>
        </w:rPr>
        <w:t>5</w:t>
      </w:r>
      <w:r>
        <w:rPr/>
        <w:t>项计算机软件著作权登记，为未来市场化应用</w:t>
      </w:r>
      <w:r>
        <w:rPr>
          <w:spacing w:val="-16"/>
        </w:rPr>
        <w:t> </w:t>
      </w:r>
      <w:r>
        <w:rPr>
          <w:spacing w:val="-16"/>
        </w:rPr>
      </w:r>
      <w:r>
        <w:rPr/>
        <w:t>奠定了坚实的基础。</w:t>
      </w:r>
    </w:p>
    <w:p>
      <w:pPr>
        <w:pStyle w:val="BodyText"/>
        <w:spacing w:line="273" w:lineRule="auto" w:before="18"/>
        <w:ind w:left="573" w:right="1133"/>
        <w:jc w:val="left"/>
      </w:pPr>
      <w:r>
        <w:rPr/>
        <w:t>（二）重点项目不断突破，产品化进程持续加速</w:t>
      </w:r>
      <w:r>
        <w:rPr>
          <w:w w:val="100"/>
        </w:rPr>
        <w:t> </w:t>
      </w:r>
      <w:r>
        <w:rPr>
          <w:spacing w:val="-2"/>
        </w:rPr>
        <w:t>报告期内，公司依托行业经验、技术创新、客户持续经营能力等核心优势，结合公司业务特点，项目</w:t>
      </w:r>
    </w:p>
    <w:p>
      <w:pPr>
        <w:pStyle w:val="BodyText"/>
        <w:spacing w:line="273" w:lineRule="auto" w:before="7"/>
        <w:ind w:left="573" w:right="1133" w:hanging="420"/>
        <w:jc w:val="left"/>
      </w:pPr>
      <w:r>
        <w:rPr/>
        <w:t>制和产品化共同推进。</w:t>
      </w:r>
      <w:r>
        <w:rPr>
          <w:w w:val="100"/>
        </w:rPr>
        <w:t> </w:t>
      </w:r>
      <w:r>
        <w:rPr>
          <w:spacing w:val="-2"/>
        </w:rPr>
        <w:t>报告期内，公司软件及大数据业务不断加强电信运营支撑系统软件、金融资产管理软件、大数据应用</w:t>
      </w:r>
    </w:p>
    <w:p>
      <w:pPr>
        <w:pStyle w:val="BodyText"/>
        <w:spacing w:line="261" w:lineRule="auto" w:before="7"/>
        <w:ind w:right="1126"/>
        <w:jc w:val="both"/>
      </w:pPr>
      <w:r>
        <w:rPr>
          <w:spacing w:val="-2"/>
        </w:rPr>
        <w:t>平台及解决方案等核心产品的研发，不断提炼产品化水平，并加强在电信、能源、金融、交通、政府等行</w:t>
      </w:r>
      <w:r>
        <w:rPr>
          <w:spacing w:val="-42"/>
        </w:rPr>
        <w:t> </w:t>
      </w:r>
      <w:r>
        <w:rPr>
          <w:spacing w:val="-42"/>
        </w:rPr>
      </w:r>
      <w:r>
        <w:rPr/>
        <w:t>业领域的应用，打造了一批典型示范项目。如公司基于运营商客服产品承接的</w:t>
      </w:r>
      <w:r>
        <w:rPr>
          <w:rFonts w:ascii="Times New Roman" w:hAnsi="Times New Roman" w:cs="Times New Roman" w:eastAsia="Times New Roman" w:hint="default"/>
        </w:rPr>
        <w:t>“</w:t>
      </w:r>
      <w:r>
        <w:rPr/>
        <w:t>中国联通总部新客服研发</w:t>
      </w:r>
      <w:r>
        <w:rPr>
          <w:spacing w:val="-13"/>
        </w:rPr>
        <w:t> </w:t>
      </w:r>
      <w:r>
        <w:rPr>
          <w:spacing w:val="-13"/>
        </w:rPr>
      </w:r>
      <w:r>
        <w:rPr/>
        <w:t>项目</w:t>
      </w:r>
      <w:r>
        <w:rPr>
          <w:rFonts w:ascii="Times New Roman" w:hAnsi="Times New Roman" w:cs="Times New Roman" w:eastAsia="Times New Roman" w:hint="default"/>
        </w:rPr>
        <w:t>”</w:t>
      </w:r>
      <w:r>
        <w:rPr/>
        <w:t>成功实现集团对各省分公司客服服务和运营的集中监控以及客服人员的统一管理调度，是联通集团</w:t>
      </w:r>
      <w:r>
        <w:rPr>
          <w:spacing w:val="-17"/>
        </w:rPr>
        <w:t> </w:t>
      </w:r>
      <w:r>
        <w:rPr>
          <w:spacing w:val="-17"/>
        </w:rPr>
      </w:r>
      <w:r>
        <w:rPr>
          <w:spacing w:val="-2"/>
        </w:rPr>
        <w:t>集约化一级系统的再次突破；公司执法系统产品广泛应用于安徽交通、新疆交通、安徽食药监、合肥海关</w:t>
      </w:r>
      <w:r>
        <w:rPr>
          <w:spacing w:val="-47"/>
        </w:rPr>
        <w:t> </w:t>
      </w:r>
      <w:r>
        <w:rPr>
          <w:spacing w:val="-47"/>
        </w:rPr>
      </w:r>
      <w:r>
        <w:rPr>
          <w:spacing w:val="-2"/>
        </w:rPr>
        <w:t>等，并在合肥海关</w:t>
      </w:r>
      <w:r>
        <w:rPr>
          <w:rFonts w:ascii="Times New Roman" w:hAnsi="Times New Roman" w:cs="Times New Roman" w:eastAsia="Times New Roman" w:hint="default"/>
          <w:spacing w:val="-2"/>
        </w:rPr>
        <w:t>ERP</w:t>
      </w:r>
      <w:r>
        <w:rPr>
          <w:spacing w:val="-2"/>
        </w:rPr>
        <w:t>联网辅助执法系统中帮助海关实现精准监管、全程监管、智能监管和定制服务、实</w:t>
      </w:r>
      <w:r>
        <w:rPr>
          <w:spacing w:val="-6"/>
        </w:rPr>
        <w:t> </w:t>
      </w:r>
      <w:r>
        <w:rPr>
          <w:spacing w:val="-6"/>
        </w:rPr>
      </w:r>
      <w:r>
        <w:rPr>
          <w:spacing w:val="-2"/>
        </w:rPr>
        <w:t>时服务；公司信用大数据平台产品是国家发改委</w:t>
      </w:r>
      <w:r>
        <w:rPr>
          <w:rFonts w:ascii="Times New Roman" w:hAnsi="Times New Roman" w:cs="Times New Roman" w:eastAsia="Times New Roman" w:hint="default"/>
          <w:spacing w:val="-2"/>
        </w:rPr>
        <w:t>2018</w:t>
      </w:r>
      <w:r>
        <w:rPr>
          <w:spacing w:val="-2"/>
        </w:rPr>
        <w:t>年数字经济试点重大工程，已在安徽省及多个地市广</w:t>
      </w:r>
      <w:r>
        <w:rPr>
          <w:spacing w:val="-47"/>
        </w:rPr>
        <w:t> </w:t>
      </w:r>
      <w:r>
        <w:rPr>
          <w:spacing w:val="-47"/>
        </w:rPr>
      </w:r>
      <w:r>
        <w:rPr/>
        <w:t>泛应用，高效实现了市场主体监管的针对性和精准性，为全社会提供公共信用信息的便捷窗口。</w:t>
      </w:r>
    </w:p>
    <w:p>
      <w:pPr>
        <w:pStyle w:val="BodyText"/>
        <w:spacing w:line="264" w:lineRule="auto" w:before="18"/>
        <w:ind w:right="1082" w:firstLine="420"/>
        <w:jc w:val="both"/>
      </w:pPr>
      <w:r>
        <w:rPr>
          <w:spacing w:val="-2"/>
        </w:rPr>
        <w:t>同时，报告期内，公司继续推进国际领先的高可信软件产品研发，拓展了高可信软件程序分析工具试</w:t>
      </w:r>
      <w:r>
        <w:rPr>
          <w:w w:val="100"/>
        </w:rPr>
        <w:t> </w:t>
      </w:r>
      <w:r>
        <w:rPr>
          <w:spacing w:val="-2"/>
        </w:rPr>
        <w:t>点应用范围；还通过外延并购重组了贵博新能，将以软件算法为核心的智能</w:t>
      </w:r>
      <w:r>
        <w:rPr>
          <w:rFonts w:ascii="Times New Roman" w:hAnsi="Times New Roman" w:cs="Times New Roman" w:eastAsia="Times New Roman" w:hint="default"/>
          <w:spacing w:val="-2"/>
        </w:rPr>
        <w:t>BMS</w:t>
      </w:r>
      <w:r>
        <w:rPr>
          <w:spacing w:val="-2"/>
        </w:rPr>
        <w:t>产品纳入公司产品体系，</w:t>
      </w:r>
      <w:r>
        <w:rPr>
          <w:spacing w:val="-21"/>
        </w:rPr>
        <w:t> </w:t>
      </w:r>
      <w:r>
        <w:rPr>
          <w:spacing w:val="-21"/>
        </w:rPr>
      </w:r>
      <w:r>
        <w:rPr/>
        <w:t>不断优化、健全公司的产品体系。</w:t>
      </w:r>
    </w:p>
    <w:p>
      <w:pPr>
        <w:pStyle w:val="BodyText"/>
        <w:spacing w:line="273" w:lineRule="auto" w:before="16"/>
        <w:ind w:left="573" w:right="1133"/>
        <w:jc w:val="left"/>
      </w:pPr>
      <w:r>
        <w:rPr/>
        <w:t>（三）创新引领，围绕行业精耕细作</w:t>
      </w:r>
      <w:r>
        <w:rPr>
          <w:w w:val="100"/>
        </w:rPr>
        <w:t> </w:t>
      </w:r>
      <w:r>
        <w:rPr>
          <w:spacing w:val="-2"/>
        </w:rPr>
        <w:t>报告期内，公司坚持创新引领，持续提升自主创新能力，围绕运营商、智慧城市、金融等行业领域精</w:t>
      </w:r>
    </w:p>
    <w:p>
      <w:pPr>
        <w:pStyle w:val="BodyText"/>
        <w:spacing w:line="256" w:lineRule="auto" w:before="7"/>
        <w:ind w:right="1125"/>
        <w:jc w:val="both"/>
      </w:pPr>
      <w:r>
        <w:rPr>
          <w:spacing w:val="-4"/>
        </w:rPr>
        <w:t>耕细作，不断提高公司产品或服务的附加价值和市场竞争力。报告期内，公司先后获得了</w:t>
      </w:r>
      <w:r>
        <w:rPr>
          <w:rFonts w:ascii="Times New Roman" w:hAnsi="Times New Roman" w:cs="Times New Roman" w:eastAsia="Times New Roman" w:hint="default"/>
          <w:spacing w:val="-4"/>
        </w:rPr>
        <w:t>“</w:t>
      </w:r>
      <w:r>
        <w:rPr>
          <w:spacing w:val="-4"/>
        </w:rPr>
        <w:t>将</w:t>
      </w:r>
      <w:r>
        <w:rPr>
          <w:rFonts w:ascii="Times New Roman" w:hAnsi="Times New Roman" w:cs="Times New Roman" w:eastAsia="Times New Roman" w:hint="default"/>
          <w:spacing w:val="-4"/>
        </w:rPr>
        <w:t>Web</w:t>
      </w:r>
      <w:r>
        <w:rPr>
          <w:spacing w:val="-4"/>
        </w:rPr>
        <w:t>页面集成</w:t>
      </w:r>
      <w:r>
        <w:rPr>
          <w:spacing w:val="-13"/>
        </w:rPr>
        <w:t> </w:t>
      </w:r>
      <w:r>
        <w:rPr>
          <w:spacing w:val="-13"/>
        </w:rPr>
      </w:r>
      <w:r>
        <w:rPr>
          <w:spacing w:val="-1"/>
        </w:rPr>
        <w:t>作为服务进行注册和监控方法</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中科国创</w:t>
      </w:r>
      <w:r>
        <w:rPr>
          <w:rFonts w:ascii="Times New Roman" w:hAnsi="Times New Roman" w:cs="Times New Roman" w:eastAsia="Times New Roman" w:hint="default"/>
          <w:spacing w:val="-1"/>
        </w:rPr>
        <w:t>Bugfinder</w:t>
      </w:r>
      <w:r>
        <w:rPr>
          <w:spacing w:val="-1"/>
        </w:rPr>
        <w:t>缺陷检测工具</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科大国创企业级信息集成平台软件</w:t>
      </w:r>
      <w:r>
        <w:rPr>
          <w:spacing w:val="-50"/>
        </w:rPr>
        <w:t> </w:t>
      </w:r>
      <w:r>
        <w:rPr>
          <w:spacing w:val="-50"/>
        </w:rPr>
      </w:r>
      <w:r>
        <w:rPr>
          <w:rFonts w:ascii="Times New Roman" w:hAnsi="Times New Roman" w:cs="Times New Roman" w:eastAsia="Times New Roman" w:hint="default"/>
          <w:spacing w:val="-3"/>
        </w:rPr>
        <w:t>V2.0”</w:t>
      </w:r>
      <w:r>
        <w:rPr>
          <w:spacing w:val="-3"/>
        </w:rPr>
        <w:t>、</w:t>
      </w:r>
      <w:r>
        <w:rPr>
          <w:rFonts w:ascii="Times New Roman" w:hAnsi="Times New Roman" w:cs="Times New Roman" w:eastAsia="Times New Roman" w:hint="default"/>
          <w:spacing w:val="-3"/>
        </w:rPr>
        <w:t>“</w:t>
      </w:r>
      <w:r>
        <w:rPr>
          <w:spacing w:val="-3"/>
        </w:rPr>
        <w:t>科大国创智慧管廊入廊管理系统 </w:t>
      </w:r>
      <w:r>
        <w:rPr>
          <w:rFonts w:ascii="Times New Roman" w:hAnsi="Times New Roman" w:cs="Times New Roman" w:eastAsia="Times New Roman" w:hint="default"/>
          <w:spacing w:val="-3"/>
        </w:rPr>
        <w:t>V1.0”</w:t>
      </w:r>
      <w:r>
        <w:rPr>
          <w:spacing w:val="-3"/>
        </w:rPr>
        <w:t>、</w:t>
      </w:r>
      <w:r>
        <w:rPr>
          <w:rFonts w:ascii="Times New Roman" w:hAnsi="Times New Roman" w:cs="Times New Roman" w:eastAsia="Times New Roman" w:hint="default"/>
          <w:spacing w:val="-3"/>
        </w:rPr>
        <w:t>“</w:t>
      </w:r>
      <w:r>
        <w:rPr>
          <w:spacing w:val="-3"/>
        </w:rPr>
        <w:t>科大国创交通综合信息平台系统 </w:t>
      </w:r>
      <w:r>
        <w:rPr>
          <w:rFonts w:ascii="Times New Roman" w:hAnsi="Times New Roman" w:cs="Times New Roman" w:eastAsia="Times New Roman" w:hint="default"/>
          <w:spacing w:val="-4"/>
        </w:rPr>
        <w:t>V1.0”</w:t>
      </w:r>
      <w:r>
        <w:rPr>
          <w:spacing w:val="-4"/>
        </w:rPr>
        <w:t>、</w:t>
      </w:r>
      <w:r>
        <w:rPr>
          <w:rFonts w:ascii="Times New Roman" w:hAnsi="Times New Roman" w:cs="Times New Roman" w:eastAsia="Times New Roman" w:hint="default"/>
          <w:spacing w:val="-4"/>
        </w:rPr>
        <w:t>“</w:t>
      </w:r>
      <w:r>
        <w:rPr>
          <w:spacing w:val="-4"/>
        </w:rPr>
        <w:t>科大国创数据</w:t>
      </w:r>
      <w:r>
        <w:rPr>
          <w:spacing w:val="-80"/>
        </w:rPr>
        <w:t> </w:t>
      </w:r>
      <w:r>
        <w:rPr>
          <w:spacing w:val="-80"/>
        </w:rPr>
      </w:r>
      <w:r>
        <w:rPr/>
        <w:t>采集交换平台</w:t>
      </w:r>
      <w:r>
        <w:rPr>
          <w:spacing w:val="-16"/>
        </w:rPr>
        <w:t> </w:t>
      </w:r>
      <w:r>
        <w:rPr>
          <w:rFonts w:ascii="Times New Roman" w:hAnsi="Times New Roman" w:cs="Times New Roman" w:eastAsia="Times New Roman" w:hint="default"/>
        </w:rPr>
        <w:t>V1.0”</w:t>
      </w:r>
      <w:r>
        <w:rPr/>
        <w:t>等一百余项发明专利和软件著作权，公司多个创新产品和解决方案获得了行业和客户</w:t>
      </w:r>
      <w:r>
        <w:rPr>
          <w:spacing w:val="-103"/>
        </w:rPr>
        <w:t> </w:t>
      </w:r>
      <w:r>
        <w:rPr>
          <w:spacing w:val="-103"/>
        </w:rPr>
      </w:r>
      <w:r>
        <w:rPr>
          <w:spacing w:val="-2"/>
        </w:rPr>
        <w:t>的高度认可，其中信用大数据平台产品荣获国家发改委</w:t>
      </w:r>
      <w:r>
        <w:rPr>
          <w:rFonts w:ascii="Times New Roman" w:hAnsi="Times New Roman" w:cs="Times New Roman" w:eastAsia="Times New Roman" w:hint="default"/>
          <w:spacing w:val="-2"/>
        </w:rPr>
        <w:t>2018</w:t>
      </w:r>
      <w:r>
        <w:rPr>
          <w:spacing w:val="-2"/>
        </w:rPr>
        <w:t>年数字经济试点重大工程、数据铁笼产品被国</w:t>
      </w:r>
      <w:r>
        <w:rPr>
          <w:spacing w:val="-39"/>
        </w:rPr>
        <w:t> </w:t>
      </w:r>
      <w:r>
        <w:rPr>
          <w:spacing w:val="-39"/>
        </w:rPr>
      </w:r>
      <w:r>
        <w:rPr>
          <w:spacing w:val="-2"/>
        </w:rPr>
        <w:t>家工信部列为</w:t>
      </w:r>
      <w:r>
        <w:rPr>
          <w:rFonts w:ascii="Times New Roman" w:hAnsi="Times New Roman" w:cs="Times New Roman" w:eastAsia="Times New Roman" w:hint="default"/>
          <w:spacing w:val="-2"/>
        </w:rPr>
        <w:t>“2017</w:t>
      </w:r>
      <w:r>
        <w:rPr>
          <w:spacing w:val="-2"/>
        </w:rPr>
        <w:t>大数据优秀产品和应用解决方案案例</w:t>
      </w:r>
      <w:r>
        <w:rPr>
          <w:rFonts w:ascii="Times New Roman" w:hAnsi="Times New Roman" w:cs="Times New Roman" w:eastAsia="Times New Roman" w:hint="default"/>
          <w:spacing w:val="-2"/>
        </w:rPr>
        <w:t>”</w:t>
      </w:r>
      <w:r>
        <w:rPr>
          <w:spacing w:val="-2"/>
        </w:rPr>
        <w:t>。上述各领域的持续创新促进了报告期公司各业</w:t>
      </w:r>
      <w:r>
        <w:rPr>
          <w:spacing w:val="-17"/>
        </w:rPr>
        <w:t> </w:t>
      </w:r>
      <w:r>
        <w:rPr>
          <w:spacing w:val="-17"/>
        </w:rPr>
      </w:r>
      <w:r>
        <w:rPr/>
        <w:t>务领域收入规模持续增长。</w:t>
      </w:r>
    </w:p>
    <w:p>
      <w:pPr>
        <w:pStyle w:val="BodyText"/>
        <w:spacing w:line="273" w:lineRule="auto" w:before="22"/>
        <w:ind w:left="573" w:right="1133"/>
        <w:jc w:val="left"/>
      </w:pPr>
      <w:r>
        <w:rPr/>
        <w:t>（四）努力提升经营团队能力水平，治理水平再上台阶</w:t>
      </w:r>
      <w:r>
        <w:rPr>
          <w:w w:val="100"/>
        </w:rPr>
        <w:t> </w:t>
      </w:r>
      <w:r>
        <w:rPr/>
        <w:t>报告期内，公司坚持团队高素质和工作高效率相协同的人才思路，深入贯彻</w:t>
      </w:r>
      <w:r>
        <w:rPr>
          <w:rFonts w:ascii="Times New Roman" w:hAnsi="Times New Roman" w:cs="Times New Roman" w:eastAsia="Times New Roman" w:hint="default"/>
        </w:rPr>
        <w:t>“</w:t>
      </w:r>
      <w:r>
        <w:rPr/>
        <w:t>高质量、高效率、高待</w:t>
      </w:r>
    </w:p>
    <w:p>
      <w:pPr>
        <w:pStyle w:val="BodyText"/>
        <w:spacing w:line="266" w:lineRule="auto"/>
        <w:ind w:right="1128"/>
        <w:jc w:val="both"/>
      </w:pPr>
      <w:r>
        <w:rPr/>
        <w:t>遇</w:t>
      </w:r>
      <w:r>
        <w:rPr>
          <w:rFonts w:ascii="Times New Roman" w:hAnsi="Times New Roman" w:cs="Times New Roman" w:eastAsia="Times New Roman" w:hint="default"/>
        </w:rPr>
        <w:t>”</w:t>
      </w:r>
      <w:r>
        <w:rPr/>
        <w:t>策略，以奋斗者为本，通过持续优化人才结构、推进预算为核心的财务管控、试点实施目标管理与绩</w:t>
      </w:r>
      <w:r>
        <w:rPr>
          <w:spacing w:val="-18"/>
        </w:rPr>
        <w:t> </w:t>
      </w:r>
      <w:r>
        <w:rPr>
          <w:spacing w:val="-18"/>
        </w:rPr>
      </w:r>
      <w:r>
        <w:rPr>
          <w:spacing w:val="2"/>
        </w:rPr>
        <w:t>效薪酬激励一体化建设和事业合伙人机制等措施，为后续公司持续提升经营团队能力水平奠定了一定基</w:t>
      </w:r>
      <w:r>
        <w:rPr>
          <w:spacing w:val="-30"/>
        </w:rPr>
        <w:t> </w:t>
      </w:r>
      <w:r>
        <w:rPr>
          <w:spacing w:val="-30"/>
        </w:rPr>
      </w:r>
      <w:r>
        <w:rPr>
          <w:spacing w:val="-2"/>
        </w:rPr>
        <w:t>础。此外，公司持续按照上市公司监管要求积极推进完善内控建设、信息披露、投资者关系和三会运作等</w:t>
      </w:r>
      <w:r>
        <w:rPr>
          <w:spacing w:val="-47"/>
        </w:rPr>
        <w:t> </w:t>
      </w:r>
      <w:r>
        <w:rPr>
          <w:spacing w:val="-47"/>
        </w:rPr>
      </w:r>
      <w:r>
        <w:rPr/>
        <w:t>工作，不断提升公司治理水平。</w:t>
      </w:r>
    </w:p>
    <w:p>
      <w:pPr>
        <w:pStyle w:val="BodyText"/>
        <w:spacing w:line="256" w:lineRule="auto" w:before="14"/>
        <w:ind w:left="573" w:right="1133" w:firstLine="2"/>
        <w:jc w:val="left"/>
      </w:pPr>
      <w:r>
        <w:rPr>
          <w:rFonts w:ascii="Times New Roman" w:hAnsi="Times New Roman" w:cs="Times New Roman" w:eastAsia="Times New Roman" w:hint="default"/>
        </w:rPr>
        <w:t>B</w:t>
      </w:r>
      <w:r>
        <w:rPr/>
        <w:t>、外延扩张方面</w:t>
      </w:r>
      <w:r>
        <w:rPr>
          <w:w w:val="100"/>
        </w:rPr>
        <w:t> </w:t>
      </w:r>
      <w:r>
        <w:rPr>
          <w:spacing w:val="-3"/>
        </w:rPr>
        <w:t>报告期内，公司依据发展战略，围绕自身核心业务，以增强公司中长期战略竞争能力为目的，积极在</w:t>
      </w:r>
    </w:p>
    <w:p>
      <w:pPr>
        <w:pStyle w:val="BodyText"/>
        <w:spacing w:line="273" w:lineRule="auto" w:before="22"/>
        <w:ind w:right="1126"/>
        <w:jc w:val="both"/>
      </w:pPr>
      <w:r>
        <w:rPr>
          <w:spacing w:val="-2"/>
        </w:rPr>
        <w:t>智能终端、智能软件、大数据产品和运营以及具有国际领先技术的相关业务等领域寻求战略扩张机遇，主</w:t>
      </w:r>
      <w:r>
        <w:rPr>
          <w:spacing w:val="-44"/>
        </w:rPr>
        <w:t> </w:t>
      </w:r>
      <w:r>
        <w:rPr>
          <w:spacing w:val="-44"/>
        </w:rPr>
      </w:r>
      <w:r>
        <w:rPr/>
        <w:t>要开展了以下工作：</w:t>
      </w:r>
    </w:p>
    <w:p>
      <w:pPr>
        <w:pStyle w:val="BodyText"/>
        <w:spacing w:line="273" w:lineRule="auto" w:before="7"/>
        <w:ind w:left="573" w:right="1133"/>
        <w:jc w:val="left"/>
      </w:pPr>
      <w:r>
        <w:rPr/>
        <w:t>（一）重大资产重组顺利完成，积极布局智能汽车软件</w:t>
      </w:r>
      <w:r>
        <w:rPr>
          <w:w w:val="100"/>
        </w:rPr>
        <w:t> </w:t>
      </w:r>
      <w:r>
        <w:rPr>
          <w:spacing w:val="-1"/>
        </w:rPr>
        <w:t>为进一步推进公司</w:t>
      </w:r>
      <w:r>
        <w:rPr>
          <w:rFonts w:ascii="Times New Roman" w:hAnsi="Times New Roman" w:cs="Times New Roman" w:eastAsia="Times New Roman" w:hint="default"/>
          <w:spacing w:val="-1"/>
        </w:rPr>
        <w:t>“</w:t>
      </w:r>
      <w:r>
        <w:rPr>
          <w:spacing w:val="-1"/>
        </w:rPr>
        <w:t>智能软件引领战略</w:t>
      </w:r>
      <w:r>
        <w:rPr>
          <w:rFonts w:ascii="Times New Roman" w:hAnsi="Times New Roman" w:cs="Times New Roman" w:eastAsia="Times New Roman" w:hint="default"/>
          <w:spacing w:val="-1"/>
        </w:rPr>
        <w:t>”</w:t>
      </w:r>
      <w:r>
        <w:rPr>
          <w:spacing w:val="-1"/>
        </w:rPr>
        <w:t>落地，抓住我国新能源汽车行业</w:t>
      </w:r>
      <w:r>
        <w:rPr>
          <w:rFonts w:ascii="Times New Roman" w:hAnsi="Times New Roman" w:cs="Times New Roman" w:eastAsia="Times New Roman" w:hint="default"/>
          <w:spacing w:val="-1"/>
        </w:rPr>
        <w:t>“</w:t>
      </w:r>
      <w:r>
        <w:rPr>
          <w:spacing w:val="-1"/>
        </w:rPr>
        <w:t>智能网联化</w:t>
      </w:r>
      <w:r>
        <w:rPr>
          <w:rFonts w:ascii="Times New Roman" w:hAnsi="Times New Roman" w:cs="Times New Roman" w:eastAsia="Times New Roman" w:hint="default"/>
          <w:spacing w:val="-1"/>
        </w:rPr>
        <w:t>”</w:t>
      </w:r>
      <w:r>
        <w:rPr>
          <w:spacing w:val="-1"/>
        </w:rPr>
        <w:t>发展带来的市场</w:t>
      </w:r>
    </w:p>
    <w:p>
      <w:pPr>
        <w:pStyle w:val="BodyText"/>
        <w:spacing w:line="273" w:lineRule="auto"/>
        <w:ind w:right="1126"/>
        <w:jc w:val="both"/>
      </w:pPr>
      <w:r>
        <w:rPr>
          <w:spacing w:val="-2"/>
        </w:rPr>
        <w:t>机遇，报告期内，公司成功实施了与贵博新能的重大资产重组事项，通过外延扩张快速切入新能源汽车领</w:t>
      </w:r>
      <w:r>
        <w:rPr>
          <w:spacing w:val="-44"/>
        </w:rPr>
        <w:t> </w:t>
      </w:r>
      <w:r>
        <w:rPr>
          <w:spacing w:val="-44"/>
        </w:rPr>
      </w:r>
      <w:r>
        <w:rPr/>
        <w:t>域，并以此为契机积极布局智能软件在智能电动汽车领域的应用。</w:t>
      </w:r>
    </w:p>
    <w:p>
      <w:pPr>
        <w:pStyle w:val="BodyText"/>
        <w:spacing w:line="273" w:lineRule="auto" w:before="7"/>
        <w:ind w:left="573" w:right="1133"/>
        <w:jc w:val="left"/>
      </w:pPr>
      <w:r>
        <w:rPr/>
        <w:t>（二）围绕核心业务开展对外投资，业务协同效应不断显现</w:t>
      </w:r>
      <w:r>
        <w:rPr>
          <w:w w:val="100"/>
        </w:rPr>
        <w:t> </w:t>
      </w:r>
      <w:r>
        <w:rPr>
          <w:spacing w:val="-2"/>
        </w:rPr>
        <w:t>报告期内，公司紧密围绕主营业务方向，参股投资了誉存科技、国仪量子。</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誉存科技致力于用前沿的大数据和人工智能技术，深度挖掘数据价值，为金融机构和政府监管部门提</w:t>
      </w:r>
      <w:r>
        <w:rPr>
          <w:w w:val="100"/>
        </w:rPr>
        <w:t> </w:t>
      </w:r>
      <w:r>
        <w:rPr>
          <w:spacing w:val="-2"/>
        </w:rPr>
        <w:t>供大数据智能风险管理及普惠金融解决方案。公司战略投资誉存科技，将充分发挥誉存科技在大数据产品</w:t>
      </w:r>
      <w:r>
        <w:rPr>
          <w:spacing w:val="-42"/>
        </w:rPr>
        <w:t> </w:t>
      </w:r>
      <w:r>
        <w:rPr>
          <w:spacing w:val="-42"/>
        </w:rPr>
      </w:r>
      <w:r>
        <w:rPr/>
        <w:t>领域的优势与公司在大数据采集、存储、管理、分析以及在多行业领域应用优势的有效协同。</w:t>
      </w:r>
    </w:p>
    <w:p>
      <w:pPr>
        <w:pStyle w:val="BodyText"/>
        <w:spacing w:line="273" w:lineRule="auto" w:before="7"/>
        <w:ind w:right="1126" w:firstLine="420"/>
        <w:jc w:val="both"/>
      </w:pPr>
      <w:r>
        <w:rPr>
          <w:spacing w:val="-2"/>
        </w:rPr>
        <w:t>国仪量子是一家以量子精密测量、量子计算为核心技术的高科技企业，拥有国际领先的科学装置平台</w:t>
      </w:r>
      <w:r>
        <w:rPr>
          <w:w w:val="100"/>
        </w:rPr>
        <w:t> </w:t>
      </w:r>
      <w:r>
        <w:rPr>
          <w:spacing w:val="-2"/>
        </w:rPr>
        <w:t>和更高精度、更高分辨率的量子传感器等技术及产品。公司战略投资国仪量子，一方面发挥国仪量子的量</w:t>
      </w:r>
      <w:r>
        <w:rPr>
          <w:spacing w:val="-42"/>
        </w:rPr>
        <w:t> </w:t>
      </w:r>
      <w:r>
        <w:rPr>
          <w:spacing w:val="-42"/>
        </w:rPr>
      </w:r>
      <w:r>
        <w:rPr>
          <w:spacing w:val="-2"/>
        </w:rPr>
        <w:t>子精密测量、量子计算技术与公司大数据、人工智能、高可信软件等信息技术的相互支撑，促进双方在高</w:t>
      </w:r>
      <w:r>
        <w:rPr>
          <w:spacing w:val="-50"/>
        </w:rPr>
        <w:t> </w:t>
      </w:r>
      <w:r>
        <w:rPr>
          <w:spacing w:val="-50"/>
        </w:rPr>
      </w:r>
      <w:r>
        <w:rPr>
          <w:spacing w:val="-2"/>
        </w:rPr>
        <w:t>端精密仪器领域的系统软件及高可信软件等方面的研发合作；另一方面发挥公司在多行业领域的应用优势</w:t>
      </w:r>
      <w:r>
        <w:rPr>
          <w:spacing w:val="-44"/>
        </w:rPr>
        <w:t> </w:t>
      </w:r>
      <w:r>
        <w:rPr>
          <w:spacing w:val="-44"/>
        </w:rPr>
      </w:r>
      <w:r>
        <w:rPr>
          <w:spacing w:val="-2"/>
        </w:rPr>
        <w:t>与国仪量子产品技术领先优势开展市场推广，实现互利共赢，有利于提升公司的综合竞争力，符合公司战</w:t>
      </w:r>
      <w:r>
        <w:rPr>
          <w:spacing w:val="-44"/>
        </w:rPr>
        <w:t> </w:t>
      </w:r>
      <w:r>
        <w:rPr>
          <w:spacing w:val="-44"/>
        </w:rPr>
      </w:r>
      <w:r>
        <w:rPr/>
        <w:t>略布局。</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697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3" w:right="13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3" w:right="15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3" w:right="11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39"/>
        <w:ind w:left="153"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1"/>
        <w:ind w:left="153" w:right="166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9"/>
        <w:gridCol w:w="1008"/>
        <w:gridCol w:w="1013"/>
        <w:gridCol w:w="1010"/>
        <w:gridCol w:w="1003"/>
        <w:gridCol w:w="1006"/>
        <w:gridCol w:w="1001"/>
        <w:gridCol w:w="1004"/>
      </w:tblGrid>
      <w:tr>
        <w:trPr>
          <w:trHeight w:val="207"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120,528,241.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183,806,162.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186,776,921.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491,035,673.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112,341,024.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157,654,780.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100,800,517.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237,061,199.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vMerge/>
            <w:tcBorders>
              <w:left w:val="single" w:sz="10" w:space="0" w:color="D2D2D2"/>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521,813.53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6,324,833.36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13,033,009.8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28,981,085.2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-7,511,600.5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12,160,741.1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-13,803,192.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27,528,445.0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line="357" w:lineRule="auto" w:before="49"/>
        <w:ind w:left="513" w:right="0" w:hanging="36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2"/>
          <w:sz w:val="18"/>
          <w:szCs w:val="18"/>
        </w:rPr>
        <w:t>公司客户主要为电信运营商、电力企业等国有大中型企业以及政府部门、事业单位，上述客户均执行严格的预算管理制</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307" w:lineRule="auto" w:before="44"/>
        <w:ind w:left="153" w:right="1043" w:firstLine="0"/>
        <w:jc w:val="both"/>
        <w:rPr>
          <w:rFonts w:ascii="宋体" w:hAnsi="宋体" w:cs="宋体" w:eastAsia="宋体" w:hint="default"/>
          <w:sz w:val="18"/>
          <w:szCs w:val="18"/>
        </w:rPr>
      </w:pPr>
      <w:r>
        <w:rPr>
          <w:rFonts w:ascii="宋体" w:hAnsi="宋体" w:cs="宋体" w:eastAsia="宋体" w:hint="default"/>
          <w:spacing w:val="-2"/>
          <w:sz w:val="18"/>
          <w:szCs w:val="18"/>
        </w:rPr>
        <w:t>度和采购审批制度。受上述客户项目立项、审批、实施进度安排及资金预算管理的影响，通常来说，公司营业收入及相应销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售回款主要集中在下半年。由于公司的人力成本、差旅费用和研发投入等支出在年度内发生较为均衡，从而导致公司净利润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的季节性波动明显，上半年净利润一般明显少于下半年。由上表可知，公司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年度下半年的营业收入占全年营业收入的</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Times New Roman" w:hAnsi="Times New Roman" w:cs="Times New Roman" w:eastAsia="Times New Roman" w:hint="default"/>
          <w:sz w:val="18"/>
          <w:szCs w:val="18"/>
        </w:rPr>
        <w:t>69.01%</w:t>
      </w:r>
      <w:r>
        <w:rPr>
          <w:rFonts w:ascii="宋体" w:hAnsi="宋体" w:cs="宋体" w:eastAsia="宋体" w:hint="default"/>
          <w:sz w:val="18"/>
          <w:szCs w:val="18"/>
        </w:rPr>
        <w:t>，下半年归属于上市公司股东的净利润占全年归属于上市公司股东的净利润的</w:t>
      </w:r>
      <w:r>
        <w:rPr>
          <w:rFonts w:ascii="Times New Roman" w:hAnsi="Times New Roman" w:cs="Times New Roman" w:eastAsia="Times New Roman" w:hint="default"/>
          <w:sz w:val="18"/>
          <w:szCs w:val="18"/>
        </w:rPr>
        <w:t>85.99%</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年度下半年的营业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收入占全年营业收入的</w:t>
      </w:r>
      <w:r>
        <w:rPr>
          <w:rFonts w:ascii="Times New Roman" w:hAnsi="Times New Roman" w:cs="Times New Roman" w:eastAsia="Times New Roman" w:hint="default"/>
          <w:sz w:val="18"/>
          <w:szCs w:val="18"/>
        </w:rPr>
        <w:t>55.58%</w:t>
      </w:r>
      <w:r>
        <w:rPr>
          <w:rFonts w:ascii="宋体" w:hAnsi="宋体" w:cs="宋体" w:eastAsia="宋体" w:hint="default"/>
          <w:sz w:val="18"/>
          <w:szCs w:val="18"/>
        </w:rPr>
        <w:t>，下半年归属于上市公司股东的净利润占全年归属于上市公司股东的净利润的</w:t>
      </w:r>
      <w:r>
        <w:rPr>
          <w:rFonts w:ascii="Times New Roman" w:hAnsi="Times New Roman" w:cs="Times New Roman" w:eastAsia="Times New Roman" w:hint="default"/>
          <w:sz w:val="18"/>
          <w:szCs w:val="18"/>
        </w:rPr>
        <w:t>74.70%</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宋体" w:hAnsi="宋体" w:cs="宋体" w:eastAsia="宋体" w:hint="default"/>
          <w:spacing w:val="-2"/>
          <w:sz w:val="18"/>
          <w:szCs w:val="18"/>
        </w:rPr>
        <w:t>年度公司业务季节性较</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年度更加明显主要是公司业务规模处于发展期，业绩受部分项目实施进度影响，同时</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年第三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季度终止了股权激励计划相关摊销费用影响了当期业绩。公司业绩季节性波动会给公司资金使用、融资安排等经营活动造成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较大影响，同时也会导致公司收入、经营性现金流等财务指标在各季度间出现较大的波动，公司业绩存在季节性波动的风险。</w:t>
      </w:r>
    </w:p>
    <w:p>
      <w:pPr>
        <w:spacing w:before="67"/>
        <w:ind w:left="153" w:right="0" w:firstLine="0"/>
        <w:jc w:val="both"/>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982,146,999.04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607,857,521.79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61.58%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软件与信息技术服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982,146,999.04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607,857,521.79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61.58%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软件及大数据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行业应用软件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452,193,376.49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348,801,888.75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29.64%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261,799,942.70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220,059,708.48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信息技术服务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18,497,354.60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16,741,606.48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10.49%</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2"/>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 云服务平台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249,656,325.25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22,254,318.08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1,021.83%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不含 港澳台</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912,021,766.84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544,325,731.17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67.55%</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3"/>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含港澳 台</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70,125,232.20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63,531,790.62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8" w:lineRule="auto" w:before="44"/>
        <w:ind w:left="153" w:right="5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6"/>
        <w:ind w:left="153" w:right="583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5"/>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0"/>
        <w:gridCol w:w="1275"/>
        <w:gridCol w:w="1419"/>
        <w:gridCol w:w="1073"/>
        <w:gridCol w:w="1367"/>
        <w:gridCol w:w="1367"/>
        <w:gridCol w:w="1373"/>
      </w:tblGrid>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8"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51"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9"/>
        <w:gridCol w:w="1073"/>
        <w:gridCol w:w="1366"/>
        <w:gridCol w:w="1368"/>
        <w:gridCol w:w="1371"/>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256,759,960.67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115,758,514.32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34.04%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249,656,325.25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229,365,340.60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1,431.76%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248,023,116.81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178,621,870.92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能源、金融等其他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227,707,596.32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140,418,666.24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软件及大数据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732,490,673.79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434,799,051.48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其中：行业应用软件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452,193,376.49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196,774,121.64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261,799,942.70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229,224,237.92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
              <w:jc w:val="right"/>
              <w:rPr>
                <w:rFonts w:ascii="宋体" w:hAnsi="宋体" w:cs="宋体" w:eastAsia="宋体" w:hint="default"/>
                <w:sz w:val="18"/>
                <w:szCs w:val="18"/>
              </w:rPr>
            </w:pPr>
            <w:r>
              <w:rPr>
                <w:rFonts w:ascii="宋体" w:hAnsi="宋体" w:cs="宋体" w:eastAsia="宋体" w:hint="default"/>
                <w:sz w:val="18"/>
                <w:szCs w:val="18"/>
              </w:rPr>
              <w:t>信息技术服务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18,497,354.60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8,800,691.92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68.58%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-16.40%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 服务平台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249,656,325.25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229,365,340.60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1,431.76%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不含 港澳台</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912,021,766.84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624,121,069.32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含港澳台</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70,125,232.20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40,043,322.76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500,084,612.20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232,656,051.87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144,417,226.45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108,221,353.44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19,662,553.43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17,056,320.17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500,084,612.20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232,656,051.87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114.95%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144,417,226.45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108,221,353.44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33.45%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19,662,553.43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17,056,320.17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15.28%</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270,719,271.60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217,682,063.63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144,417,226.45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108,221,353.44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19,662,553.43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17,056,320.17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 流云服务平台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229,365,340.60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14,973,988.24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1,431.76%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64" w:lineRule="auto" w:before="83"/>
        <w:ind w:right="1126" w:firstLine="420"/>
        <w:jc w:val="both"/>
      </w:pPr>
      <w:r>
        <w:rPr>
          <w:spacing w:val="-2"/>
        </w:rPr>
        <w:t>报告期内，公司新增纳入合并范围的子公司变化情况如下：新设控股子公司安徽科大国创软件科技有</w:t>
      </w:r>
      <w:r>
        <w:rPr>
          <w:w w:val="100"/>
        </w:rPr>
        <w:t> </w:t>
      </w:r>
      <w:r>
        <w:rPr>
          <w:spacing w:val="-2"/>
        </w:rPr>
        <w:t>限公司，公司出资占其注册资本的</w:t>
      </w:r>
      <w:r>
        <w:rPr>
          <w:rFonts w:ascii="Times New Roman" w:hAnsi="Times New Roman" w:cs="Times New Roman" w:eastAsia="Times New Roman" w:hint="default"/>
          <w:spacing w:val="-2"/>
        </w:rPr>
        <w:t>80%</w:t>
      </w:r>
      <w:r>
        <w:rPr>
          <w:spacing w:val="-2"/>
        </w:rPr>
        <w:t>；公司全资子公司云网科技新设全资子公司贵州科大国创大数据科</w:t>
      </w:r>
      <w:r>
        <w:rPr>
          <w:spacing w:val="-5"/>
        </w:rPr>
        <w:t> </w:t>
      </w:r>
      <w:r>
        <w:rPr>
          <w:spacing w:val="-5"/>
        </w:rPr>
      </w:r>
      <w:r>
        <w:rPr/>
        <w:t>技有限公司，公司通过云网科技间接控制其</w:t>
      </w:r>
      <w:r>
        <w:rPr>
          <w:rFonts w:ascii="Times New Roman" w:hAnsi="Times New Roman" w:cs="Times New Roman" w:eastAsia="Times New Roman" w:hint="default"/>
        </w:rPr>
        <w:t>100%</w:t>
      </w:r>
      <w:r>
        <w:rPr/>
        <w:t>的股权。</w:t>
      </w:r>
    </w:p>
    <w:p>
      <w:pPr>
        <w:pStyle w:val="BodyText"/>
        <w:spacing w:line="256" w:lineRule="auto"/>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日，公司发行股份购买贵博新能</w:t>
      </w:r>
      <w:r>
        <w:rPr>
          <w:rFonts w:ascii="Times New Roman" w:hAnsi="Times New Roman" w:cs="Times New Roman" w:eastAsia="Times New Roman" w:hint="default"/>
          <w:spacing w:val="-4"/>
        </w:rPr>
        <w:t>100%</w:t>
      </w:r>
      <w:r>
        <w:rPr>
          <w:spacing w:val="-4"/>
        </w:rPr>
        <w:t>股权事项完成资产过户，贵博新能成为公司全资子</w:t>
      </w:r>
      <w:r>
        <w:rPr>
          <w:w w:val="100"/>
        </w:rPr>
        <w:t> </w:t>
      </w:r>
      <w:r>
        <w:rPr>
          <w:spacing w:val="-2"/>
        </w:rPr>
        <w:t>公司，根据企业会计准则规定，贵博新能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日资产负债表纳入公司合并范围，</w:t>
      </w:r>
      <w:r>
        <w:rPr>
          <w:rFonts w:ascii="Times New Roman" w:hAnsi="Times New Roman" w:cs="Times New Roman" w:eastAsia="Times New Roman" w:hint="default"/>
          <w:spacing w:val="-2"/>
        </w:rPr>
        <w:t>2018</w:t>
      </w:r>
      <w:r>
        <w:rPr>
          <w:spacing w:val="-2"/>
        </w:rPr>
        <w:t>年度利润表</w:t>
      </w:r>
      <w:r>
        <w:rPr>
          <w:spacing w:val="-35"/>
        </w:rPr>
        <w:t> </w:t>
      </w:r>
      <w:r>
        <w:rPr>
          <w:spacing w:val="-35"/>
        </w:rPr>
      </w:r>
      <w:r>
        <w:rPr/>
        <w:t>和现金流量表不纳入合并范围。</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4" w:lineRule="auto" w:before="83"/>
        <w:ind w:right="1126" w:firstLine="420"/>
        <w:jc w:val="both"/>
      </w:pPr>
      <w:r>
        <w:rPr>
          <w:spacing w:val="-2"/>
        </w:rPr>
        <w:t>报告期内，公司完成了并购贵博新能的重大资产重组事项，贵博新能成为公司全资子公司，公司新增</w:t>
      </w:r>
      <w:r>
        <w:rPr>
          <w:w w:val="100"/>
        </w:rPr>
        <w:t> </w:t>
      </w:r>
      <w:r>
        <w:rPr>
          <w:spacing w:val="-2"/>
        </w:rPr>
        <w:t>了新能源汽车电池管理系统产品。鉴于公司与贵博新能重组事项于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月底完成资产过户，按规定其</w:t>
      </w:r>
      <w:r>
        <w:rPr>
          <w:spacing w:val="-37"/>
        </w:rPr>
        <w:t> </w:t>
      </w:r>
      <w:r>
        <w:rPr>
          <w:spacing w:val="-37"/>
        </w:rPr>
      </w:r>
      <w:r>
        <w:rPr>
          <w:rFonts w:ascii="Times New Roman" w:hAnsi="Times New Roman" w:cs="Times New Roman" w:eastAsia="Times New Roman" w:hint="default"/>
        </w:rPr>
        <w:t>2018</w:t>
      </w:r>
      <w:r>
        <w:rPr/>
        <w:t>年度业绩无法纳入公司利润表，故报告期内新增产品或服务对公司</w:t>
      </w:r>
      <w:r>
        <w:rPr>
          <w:rFonts w:ascii="Times New Roman" w:hAnsi="Times New Roman" w:cs="Times New Roman" w:eastAsia="Times New Roman" w:hint="default"/>
        </w:rPr>
        <w:t>2018</w:t>
      </w:r>
      <w:r>
        <w:rPr/>
        <w:t>年经营及业绩无重大影响。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386,512,975.78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39.35%</w:t>
            </w:r>
          </w:p>
        </w:tc>
      </w:tr>
      <w:tr>
        <w:trPr>
          <w:trHeight w:val="714"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102,624,647.27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100,088,524.84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99,220,186.63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53,307,561.83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31,272,055.21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386,512,975.78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184,871,774.75</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38.29%</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123,734,736.46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22,053,774.68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20,802,275.73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9,862,068.96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184,871,774.75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28" w:lineRule="auto" w:before="117"/>
        <w:ind w:left="15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报告期公司第五大供应商中电科（上海）公共设施运营管理有限公司，是公司参股公司，公司董事许广德担任其公司董事。 除此之外，公司与其他主要供应商不存在关联关系。</w:t>
      </w:r>
    </w:p>
    <w:p>
      <w:pPr>
        <w:spacing w:line="240" w:lineRule="auto" w:before="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9"/>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74,345,798.36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56,880,442.24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30.71%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主要系公司加大市场开拓力度所致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49.75pt;margin-top:371.569977pt;width:59.55pt;height:17.650pt;mso-position-horizontal-relative:page;mso-position-vertical-relative:page;z-index:-977824" coordorigin="6995,7431" coordsize="1191,353">
            <v:shape style="position:absolute;left:6995;top:7431;width:1191;height:353" coordorigin="6995,7431" coordsize="1191,353" path="m6995,7784l8186,7784,8186,7431,6995,7431,6995,778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69,667,965.10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54,055,262.81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1,753,112.22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-993,096.61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主要系本期利息支出增长较大所致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134,627,976.63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129,986,615.70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399"/>
        <w:gridCol w:w="4451"/>
        <w:gridCol w:w="1213"/>
        <w:gridCol w:w="2504"/>
      </w:tblGrid>
      <w:tr>
        <w:trPr>
          <w:trHeight w:val="432" w:hRule="exact"/>
        </w:trPr>
        <w:tc>
          <w:tcPr>
            <w:tcW w:w="1399"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51"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拟达目标</w:t>
            </w:r>
            <w:r>
              <w:rPr>
                <w:rFonts w:ascii="宋体" w:hAnsi="宋体" w:cs="宋体" w:eastAsia="宋体" w:hint="default"/>
                <w:sz w:val="18"/>
                <w:szCs w:val="18"/>
              </w:rPr>
            </w:r>
          </w:p>
        </w:tc>
        <w:tc>
          <w:tcPr>
            <w:tcW w:w="1213"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b/>
                <w:bCs/>
                <w:sz w:val="18"/>
                <w:szCs w:val="18"/>
              </w:rPr>
              <w:t>研发进度</w:t>
            </w:r>
            <w:r>
              <w:rPr>
                <w:rFonts w:ascii="宋体" w:hAnsi="宋体" w:cs="宋体" w:eastAsia="宋体" w:hint="default"/>
                <w:sz w:val="18"/>
                <w:szCs w:val="18"/>
              </w:rPr>
            </w:r>
          </w:p>
        </w:tc>
        <w:tc>
          <w:tcPr>
            <w:tcW w:w="2504" w:type="dxa"/>
            <w:tcBorders>
              <w:top w:val="single" w:sz="8" w:space="0" w:color="000000"/>
              <w:left w:val="single" w:sz="8" w:space="0" w:color="000000"/>
              <w:bottom w:val="single" w:sz="8" w:space="0" w:color="000000"/>
              <w:right w:val="single" w:sz="8" w:space="0" w:color="000000"/>
            </w:tcBorders>
            <w:shd w:val="clear" w:color="auto" w:fill="F1F1F1"/>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b/>
                <w:bCs/>
                <w:sz w:val="18"/>
                <w:szCs w:val="18"/>
              </w:rPr>
              <w:t>预计对公司未来发展的影响</w:t>
            </w:r>
            <w:r>
              <w:rPr>
                <w:rFonts w:ascii="宋体" w:hAnsi="宋体" w:cs="宋体" w:eastAsia="宋体" w:hint="default"/>
                <w:sz w:val="18"/>
                <w:szCs w:val="18"/>
              </w:rPr>
            </w:r>
          </w:p>
        </w:tc>
      </w:tr>
      <w:tr>
        <w:trPr>
          <w:trHeight w:val="1681"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331" w:right="55" w:hanging="269"/>
              <w:jc w:val="left"/>
              <w:rPr>
                <w:rFonts w:ascii="宋体" w:hAnsi="宋体" w:cs="宋体" w:eastAsia="宋体" w:hint="default"/>
                <w:sz w:val="18"/>
                <w:szCs w:val="18"/>
              </w:rPr>
            </w:pPr>
            <w:r>
              <w:rPr>
                <w:rFonts w:ascii="宋体" w:hAnsi="宋体" w:cs="宋体" w:eastAsia="宋体" w:hint="default"/>
                <w:sz w:val="18"/>
                <w:szCs w:val="18"/>
              </w:rPr>
              <w:t>新一代电信运营 支撑系统</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8"/>
              <w:ind w:left="2" w:right="-3"/>
              <w:jc w:val="both"/>
              <w:rPr>
                <w:rFonts w:ascii="宋体" w:hAnsi="宋体" w:cs="宋体" w:eastAsia="宋体" w:hint="default"/>
                <w:sz w:val="18"/>
                <w:szCs w:val="18"/>
              </w:rPr>
            </w:pPr>
            <w:r>
              <w:rPr>
                <w:rFonts w:ascii="宋体" w:hAnsi="宋体" w:cs="宋体" w:eastAsia="宋体" w:hint="default"/>
                <w:spacing w:val="-3"/>
                <w:sz w:val="18"/>
                <w:szCs w:val="18"/>
              </w:rPr>
              <w:t>项目采用分层化、组件化、松耦合、可配置、易运营的设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计思路，使用大数据、云计算、移动互联等新技术，满足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电信运营商提升网络运营管理水平、提高客户服务能力和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企业竞争力的需求，为运营商规模发展、高效运营、提升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客户满意度提供有力支撑</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丰富公司电信运营支撑系统产 </w:t>
            </w:r>
            <w:r>
              <w:rPr>
                <w:rFonts w:ascii="宋体" w:hAnsi="宋体" w:cs="宋体" w:eastAsia="宋体" w:hint="default"/>
                <w:spacing w:val="-3"/>
                <w:sz w:val="18"/>
                <w:szCs w:val="18"/>
              </w:rPr>
              <w:t>品线和技术水平，获得在行业内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的领先竞争力，提升公司在细分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市场的领导地位</w:t>
            </w:r>
          </w:p>
        </w:tc>
      </w:tr>
      <w:tr>
        <w:trPr>
          <w:trHeight w:val="1368"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42" w:right="55" w:hanging="180"/>
              <w:jc w:val="left"/>
              <w:rPr>
                <w:rFonts w:ascii="宋体" w:hAnsi="宋体" w:cs="宋体" w:eastAsia="宋体" w:hint="default"/>
                <w:sz w:val="18"/>
                <w:szCs w:val="18"/>
              </w:rPr>
            </w:pPr>
            <w:r>
              <w:rPr>
                <w:rFonts w:ascii="宋体" w:hAnsi="宋体" w:cs="宋体" w:eastAsia="宋体" w:hint="default"/>
                <w:sz w:val="18"/>
                <w:szCs w:val="18"/>
              </w:rPr>
              <w:t>大数据驱动的智 能应用软件</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0"/>
              <w:jc w:val="both"/>
              <w:rPr>
                <w:rFonts w:ascii="宋体" w:hAnsi="宋体" w:cs="宋体" w:eastAsia="宋体" w:hint="default"/>
                <w:sz w:val="18"/>
                <w:szCs w:val="18"/>
              </w:rPr>
            </w:pPr>
            <w:r>
              <w:rPr>
                <w:rFonts w:ascii="宋体" w:hAnsi="宋体" w:cs="宋体" w:eastAsia="宋体" w:hint="default"/>
                <w:spacing w:val="-3"/>
                <w:sz w:val="18"/>
                <w:szCs w:val="18"/>
              </w:rPr>
              <w:t>运用大数据采集、存储、分析、挖掘、机器学习、知识获</w:t>
            </w:r>
            <w:r>
              <w:rPr>
                <w:rFonts w:ascii="宋体" w:hAnsi="宋体" w:cs="宋体" w:eastAsia="宋体" w:hint="default"/>
                <w:sz w:val="18"/>
                <w:szCs w:val="18"/>
              </w:rPr>
              <w:t> </w:t>
            </w:r>
            <w:r>
              <w:rPr>
                <w:rFonts w:ascii="宋体" w:hAnsi="宋体" w:cs="宋体" w:eastAsia="宋体" w:hint="default"/>
                <w:spacing w:val="-4"/>
                <w:sz w:val="18"/>
                <w:szCs w:val="18"/>
              </w:rPr>
              <w:t>取、自适应、模式识别等技术，为电信、能源、交通、金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融、政府等行业或领域用户提供大数据平台、分析决策软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件、智能应用软件</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2" w:firstLine="55"/>
              <w:jc w:val="both"/>
              <w:rPr>
                <w:rFonts w:ascii="宋体" w:hAnsi="宋体" w:cs="宋体" w:eastAsia="宋体" w:hint="default"/>
                <w:sz w:val="18"/>
                <w:szCs w:val="18"/>
              </w:rPr>
            </w:pPr>
            <w:r>
              <w:rPr>
                <w:rFonts w:ascii="宋体" w:hAnsi="宋体" w:cs="宋体" w:eastAsia="宋体" w:hint="default"/>
                <w:sz w:val="18"/>
                <w:szCs w:val="18"/>
              </w:rPr>
              <w:t>主要功能模块 </w:t>
            </w:r>
            <w:r>
              <w:rPr>
                <w:rFonts w:ascii="宋体" w:hAnsi="宋体" w:cs="宋体" w:eastAsia="宋体" w:hint="default"/>
                <w:spacing w:val="-10"/>
                <w:sz w:val="18"/>
                <w:szCs w:val="18"/>
              </w:rPr>
              <w:t>已实现，部分配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套模块研发中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占领人工智能时代智能软件的 </w:t>
            </w:r>
            <w:r>
              <w:rPr>
                <w:rFonts w:ascii="宋体" w:hAnsi="宋体" w:cs="宋体" w:eastAsia="宋体" w:hint="default"/>
                <w:spacing w:val="-3"/>
                <w:sz w:val="18"/>
                <w:szCs w:val="18"/>
              </w:rPr>
              <w:t>制高点，使公司成为智能应用软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件领域的领导者</w:t>
            </w:r>
          </w:p>
        </w:tc>
      </w:tr>
      <w:tr>
        <w:trPr>
          <w:trHeight w:val="1680"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511" w:right="55" w:hanging="449"/>
              <w:jc w:val="left"/>
              <w:rPr>
                <w:rFonts w:ascii="宋体" w:hAnsi="宋体" w:cs="宋体" w:eastAsia="宋体" w:hint="default"/>
                <w:sz w:val="18"/>
                <w:szCs w:val="18"/>
              </w:rPr>
            </w:pPr>
            <w:r>
              <w:rPr>
                <w:rFonts w:ascii="宋体" w:hAnsi="宋体" w:cs="宋体" w:eastAsia="宋体" w:hint="default"/>
                <w:sz w:val="18"/>
                <w:szCs w:val="18"/>
              </w:rPr>
              <w:t>智慧物流云服务 平台</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58"/>
              <w:ind w:left="2" w:right="-3"/>
              <w:jc w:val="left"/>
              <w:rPr>
                <w:rFonts w:ascii="宋体" w:hAnsi="宋体" w:cs="宋体" w:eastAsia="宋体" w:hint="default"/>
                <w:sz w:val="18"/>
                <w:szCs w:val="18"/>
              </w:rPr>
            </w:pPr>
            <w:r>
              <w:rPr>
                <w:rFonts w:ascii="宋体" w:hAnsi="宋体" w:cs="宋体" w:eastAsia="宋体" w:hint="default"/>
                <w:sz w:val="18"/>
                <w:szCs w:val="18"/>
              </w:rPr>
              <w:t>项目采用大数据、云计算、人工智能等新一代信息技术 </w:t>
            </w:r>
            <w:r>
              <w:rPr>
                <w:rFonts w:ascii="宋体" w:hAnsi="宋体" w:cs="宋体" w:eastAsia="宋体" w:hint="default"/>
                <w:spacing w:val="-3"/>
                <w:sz w:val="18"/>
                <w:szCs w:val="18"/>
              </w:rPr>
              <w:t>实现信息技术、物流供应链与金融深度融合发展，充分发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运力网、智能网、协同网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的三网核心竞争力，构建完</w:t>
            </w:r>
            <w:r>
              <w:rPr>
                <w:rFonts w:ascii="宋体" w:hAnsi="宋体" w:cs="宋体" w:eastAsia="宋体" w:hint="default"/>
                <w:sz w:val="18"/>
                <w:szCs w:val="18"/>
              </w:rPr>
              <w:t> 整的科技物流服务生态链，为托运方和承运方提供</w:t>
            </w:r>
            <w:r>
              <w:rPr>
                <w:rFonts w:ascii="Times New Roman" w:hAnsi="Times New Roman" w:cs="Times New Roman" w:eastAsia="Times New Roman" w:hint="default"/>
                <w:sz w:val="18"/>
                <w:szCs w:val="18"/>
              </w:rPr>
              <w:t>“</w:t>
            </w:r>
            <w:r>
              <w:rPr>
                <w:rFonts w:ascii="宋体" w:hAnsi="宋体" w:cs="宋体" w:eastAsia="宋体" w:hint="default"/>
                <w:sz w:val="18"/>
                <w:szCs w:val="18"/>
              </w:rPr>
              <w:t>科技 承运服务</w:t>
            </w:r>
            <w:r>
              <w:rPr>
                <w:rFonts w:ascii="Times New Roman" w:hAnsi="Times New Roman" w:cs="Times New Roman" w:eastAsia="Times New Roman" w:hint="default"/>
                <w:sz w:val="18"/>
                <w:szCs w:val="18"/>
              </w:rPr>
              <w:t>+</w:t>
            </w:r>
            <w:r>
              <w:rPr>
                <w:rFonts w:ascii="宋体" w:hAnsi="宋体" w:cs="宋体" w:eastAsia="宋体" w:hint="default"/>
                <w:sz w:val="18"/>
                <w:szCs w:val="18"/>
              </w:rPr>
              <w:t>金融数据服务</w:t>
            </w:r>
            <w:r>
              <w:rPr>
                <w:rFonts w:ascii="Times New Roman" w:hAnsi="Times New Roman" w:cs="Times New Roman" w:eastAsia="Times New Roman" w:hint="default"/>
                <w:sz w:val="18"/>
                <w:szCs w:val="18"/>
              </w:rPr>
              <w:t>+</w:t>
            </w:r>
            <w:r>
              <w:rPr>
                <w:rFonts w:ascii="宋体" w:hAnsi="宋体" w:cs="宋体" w:eastAsia="宋体" w:hint="default"/>
                <w:sz w:val="18"/>
                <w:szCs w:val="18"/>
              </w:rPr>
              <w:t>物流信息化服务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的综合服务</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2" w:hanging="131"/>
              <w:jc w:val="left"/>
              <w:rPr>
                <w:rFonts w:ascii="宋体" w:hAnsi="宋体" w:cs="宋体" w:eastAsia="宋体" w:hint="default"/>
                <w:sz w:val="18"/>
                <w:szCs w:val="18"/>
              </w:rPr>
            </w:pPr>
            <w:r>
              <w:rPr>
                <w:rFonts w:ascii="宋体" w:hAnsi="宋体" w:cs="宋体" w:eastAsia="宋体" w:hint="default"/>
                <w:sz w:val="18"/>
                <w:szCs w:val="18"/>
              </w:rPr>
              <w:t>，基本功能已实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现，新增模块研</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开展以平台为业务载体的互联 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智慧物流业务，通过平台运 </w:t>
            </w:r>
            <w:r>
              <w:rPr>
                <w:rFonts w:ascii="宋体" w:hAnsi="宋体" w:cs="宋体" w:eastAsia="宋体" w:hint="default"/>
                <w:spacing w:val="-3"/>
                <w:sz w:val="18"/>
                <w:szCs w:val="18"/>
              </w:rPr>
              <w:t>营服务，实现公司收入的快速增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w:t>
            </w:r>
          </w:p>
        </w:tc>
      </w:tr>
      <w:tr>
        <w:trPr>
          <w:trHeight w:val="1368"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高可信软件</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58"/>
              <w:ind w:left="2" w:right="-3"/>
              <w:jc w:val="both"/>
              <w:rPr>
                <w:rFonts w:ascii="宋体" w:hAnsi="宋体" w:cs="宋体" w:eastAsia="宋体" w:hint="default"/>
                <w:sz w:val="18"/>
                <w:szCs w:val="18"/>
              </w:rPr>
            </w:pPr>
            <w:r>
              <w:rPr>
                <w:rFonts w:ascii="宋体" w:hAnsi="宋体" w:cs="宋体" w:eastAsia="宋体" w:hint="default"/>
                <w:spacing w:val="-3"/>
                <w:sz w:val="18"/>
                <w:szCs w:val="18"/>
              </w:rPr>
              <w:t>以形式程序验证和人工智能技术为主要方法，研究提高软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件可信度的理论和技术，开展</w:t>
            </w:r>
            <w:r>
              <w:rPr>
                <w:rFonts w:ascii="Times New Roman" w:hAnsi="Times New Roman" w:cs="Times New Roman" w:eastAsia="Times New Roman" w:hint="default"/>
                <w:sz w:val="18"/>
                <w:szCs w:val="18"/>
              </w:rPr>
              <w:t>C</w:t>
            </w:r>
            <w:r>
              <w:rPr>
                <w:rFonts w:ascii="宋体" w:hAnsi="宋体" w:cs="宋体" w:eastAsia="宋体" w:hint="default"/>
                <w:sz w:val="18"/>
                <w:szCs w:val="18"/>
              </w:rPr>
              <w:t>程序的分析与验证、嵌入 </w:t>
            </w:r>
            <w:r>
              <w:rPr>
                <w:rFonts w:ascii="宋体" w:hAnsi="宋体" w:cs="宋体" w:eastAsia="宋体" w:hint="default"/>
                <w:spacing w:val="-3"/>
                <w:sz w:val="18"/>
                <w:szCs w:val="18"/>
              </w:rPr>
              <w:t>式软件、系统软件的验证、关键领域智能软件的研发，实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现高可信软件智能验证</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2" w:hanging="3"/>
              <w:jc w:val="center"/>
              <w:rPr>
                <w:rFonts w:ascii="宋体" w:hAnsi="宋体" w:cs="宋体" w:eastAsia="宋体" w:hint="default"/>
                <w:sz w:val="18"/>
                <w:szCs w:val="18"/>
              </w:rPr>
            </w:pPr>
            <w:r>
              <w:rPr>
                <w:rFonts w:ascii="宋体" w:hAnsi="宋体" w:cs="宋体" w:eastAsia="宋体" w:hint="default"/>
                <w:sz w:val="18"/>
                <w:szCs w:val="18"/>
              </w:rPr>
              <w:t>程序分析工具 </w:t>
            </w:r>
            <w:r>
              <w:rPr>
                <w:rFonts w:ascii="宋体" w:hAnsi="宋体" w:cs="宋体" w:eastAsia="宋体" w:hint="default"/>
                <w:spacing w:val="-10"/>
                <w:sz w:val="18"/>
                <w:szCs w:val="18"/>
              </w:rPr>
              <w:t>基本完成，验证</w:t>
            </w:r>
            <w:r>
              <w:rPr>
                <w:rFonts w:ascii="宋体" w:hAnsi="宋体" w:cs="宋体" w:eastAsia="宋体" w:hint="default"/>
                <w:sz w:val="18"/>
                <w:szCs w:val="18"/>
              </w:rPr>
              <w:t> 工具研发中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致力于高可信软件集成开发平 </w:t>
            </w:r>
            <w:r>
              <w:rPr>
                <w:rFonts w:ascii="宋体" w:hAnsi="宋体" w:cs="宋体" w:eastAsia="宋体" w:hint="default"/>
                <w:spacing w:val="-3"/>
                <w:sz w:val="18"/>
                <w:szCs w:val="18"/>
              </w:rPr>
              <w:t>台及验证工具的研发，在人工智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能、航天、核电、军事、医疗等</w:t>
            </w:r>
            <w:r>
              <w:rPr>
                <w:rFonts w:ascii="宋体" w:hAnsi="宋体" w:cs="宋体" w:eastAsia="宋体" w:hint="default"/>
                <w:sz w:val="18"/>
                <w:szCs w:val="18"/>
              </w:rPr>
              <w:t> 领域开展软件验证</w:t>
            </w:r>
          </w:p>
        </w:tc>
      </w:tr>
      <w:tr>
        <w:trPr>
          <w:trHeight w:val="1993" w:hRule="exact"/>
        </w:trPr>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8"/>
              <w:ind w:left="62" w:right="55"/>
              <w:jc w:val="center"/>
              <w:rPr>
                <w:rFonts w:ascii="宋体" w:hAnsi="宋体" w:cs="宋体" w:eastAsia="宋体" w:hint="default"/>
                <w:sz w:val="18"/>
                <w:szCs w:val="18"/>
              </w:rPr>
            </w:pPr>
            <w:r>
              <w:rPr>
                <w:rFonts w:ascii="宋体" w:hAnsi="宋体" w:cs="宋体" w:eastAsia="宋体" w:hint="default"/>
                <w:sz w:val="18"/>
                <w:szCs w:val="18"/>
              </w:rPr>
              <w:t>基于大数据和人 工智能的行业应 用云平台</w:t>
            </w:r>
          </w:p>
        </w:tc>
        <w:tc>
          <w:tcPr>
            <w:tcW w:w="445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58"/>
              <w:ind w:left="2" w:right="-34"/>
              <w:jc w:val="left"/>
              <w:rPr>
                <w:rFonts w:ascii="宋体" w:hAnsi="宋体" w:cs="宋体" w:eastAsia="宋体" w:hint="default"/>
                <w:sz w:val="18"/>
                <w:szCs w:val="18"/>
              </w:rPr>
            </w:pPr>
            <w:r>
              <w:rPr>
                <w:rFonts w:ascii="宋体" w:hAnsi="宋体" w:cs="宋体" w:eastAsia="宋体" w:hint="default"/>
                <w:sz w:val="18"/>
                <w:szCs w:val="18"/>
              </w:rPr>
              <w:t>项目基于大数据、人工智能等核心技术，在</w:t>
            </w:r>
            <w:r>
              <w:rPr>
                <w:rFonts w:ascii="Times New Roman" w:hAnsi="Times New Roman" w:cs="Times New Roman" w:eastAsia="Times New Roman" w:hint="default"/>
                <w:sz w:val="18"/>
                <w:szCs w:val="18"/>
              </w:rPr>
              <w:t>IaaS</w:t>
            </w:r>
            <w:r>
              <w:rPr>
                <w:rFonts w:ascii="宋体" w:hAnsi="宋体" w:cs="宋体" w:eastAsia="宋体" w:hint="default"/>
                <w:sz w:val="18"/>
                <w:szCs w:val="18"/>
              </w:rPr>
              <w:t>、</w:t>
            </w:r>
            <w:r>
              <w:rPr>
                <w:rFonts w:ascii="Times New Roman" w:hAnsi="Times New Roman" w:cs="Times New Roman" w:eastAsia="Times New Roman" w:hint="default"/>
                <w:sz w:val="18"/>
                <w:szCs w:val="18"/>
              </w:rPr>
              <w:t>PaaS</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云计算架构基础之上，研究和开发在电信、能源、交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通、金融、政府等行业的云化应用，通过计算资源整合 </w:t>
            </w:r>
            <w:r>
              <w:rPr>
                <w:rFonts w:ascii="宋体" w:hAnsi="宋体" w:cs="宋体" w:eastAsia="宋体" w:hint="default"/>
                <w:spacing w:val="-3"/>
                <w:sz w:val="18"/>
                <w:szCs w:val="18"/>
              </w:rPr>
              <w:t>人工智能算法研究、大数据训练学习等手段，不断提升行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业应用能力的智能水平，并以</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方式开放共享，打造数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字经济体系下的行业应用创新云</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8"/>
              <w:ind w:left="57" w:right="51" w:firstLine="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IaaS</w:t>
            </w:r>
            <w:r>
              <w:rPr>
                <w:rFonts w:ascii="宋体" w:hAnsi="宋体" w:cs="宋体" w:eastAsia="宋体" w:hint="default"/>
                <w:sz w:val="18"/>
                <w:szCs w:val="18"/>
              </w:rPr>
              <w:t>平台已基 本完成，</w:t>
            </w:r>
            <w:r>
              <w:rPr>
                <w:rFonts w:ascii="Times New Roman" w:hAnsi="Times New Roman" w:cs="Times New Roman" w:eastAsia="Times New Roman" w:hint="default"/>
                <w:sz w:val="18"/>
                <w:szCs w:val="18"/>
              </w:rPr>
              <w:t>PaaS</w:t>
            </w:r>
          </w:p>
          <w:p>
            <w:pPr>
              <w:pStyle w:val="TableParagraph"/>
              <w:spacing w:line="240" w:lineRule="auto" w:before="13"/>
              <w:ind w:left="-12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平台研发中</w:t>
            </w:r>
          </w:p>
        </w:tc>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运用新一代信息技术与实体经 </w:t>
            </w:r>
            <w:r>
              <w:rPr>
                <w:rFonts w:ascii="宋体" w:hAnsi="宋体" w:cs="宋体" w:eastAsia="宋体" w:hint="default"/>
                <w:spacing w:val="-3"/>
                <w:sz w:val="18"/>
                <w:szCs w:val="18"/>
              </w:rPr>
              <w:t>济融合，通过开放共享提升公司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产品开发效率，加速推进在电 </w:t>
            </w:r>
            <w:r>
              <w:rPr>
                <w:rFonts w:ascii="宋体" w:hAnsi="宋体" w:cs="宋体" w:eastAsia="宋体" w:hint="default"/>
                <w:spacing w:val="-3"/>
                <w:sz w:val="18"/>
                <w:szCs w:val="18"/>
              </w:rPr>
              <w:t>信、能源、交通、金融、政府等</w:t>
            </w:r>
            <w:r>
              <w:rPr>
                <w:rFonts w:ascii="宋体" w:hAnsi="宋体" w:cs="宋体" w:eastAsia="宋体" w:hint="default"/>
                <w:sz w:val="18"/>
                <w:szCs w:val="18"/>
              </w:rPr>
              <w:t> </w:t>
            </w:r>
            <w:r>
              <w:rPr>
                <w:rFonts w:ascii="宋体" w:hAnsi="宋体" w:cs="宋体" w:eastAsia="宋体" w:hint="default"/>
                <w:spacing w:val="-3"/>
                <w:sz w:val="18"/>
                <w:szCs w:val="18"/>
              </w:rPr>
              <w:t>行业的云化应用，推动数字经济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的高质量发展</w:t>
            </w:r>
          </w:p>
        </w:tc>
      </w:tr>
    </w:tbl>
    <w:p>
      <w:pPr>
        <w:spacing w:before="49"/>
        <w:ind w:left="153" w:right="1133" w:firstLine="0"/>
        <w:jc w:val="left"/>
        <w:rPr>
          <w:rFonts w:ascii="宋体" w:hAnsi="宋体" w:cs="宋体" w:eastAsia="宋体" w:hint="default"/>
          <w:sz w:val="18"/>
          <w:szCs w:val="18"/>
        </w:rPr>
      </w:pPr>
      <w:r>
        <w:rPr/>
        <w:pict>
          <v:group style="position:absolute;margin-left:349.75pt;margin-top:-65.908272pt;width:59.55pt;height:17.650pt;mso-position-horizontal-relative:page;mso-position-vertical-relative:paragraph;z-index:-977800" coordorigin="6995,-1318" coordsize="1191,353">
            <v:shape style="position:absolute;left:6995;top:-1318;width:1191;height:353" coordorigin="6995,-1318" coordsize="1191,353" path="m6995,-965l8186,-965,8186,-1318,6995,-1318,6995,-965xe" filled="true" fillcolor="#ffffff" stroked="false">
              <v:path arrowok="t"/>
              <v:fill type="solid"/>
            </v:shape>
            <w10:wrap type="none"/>
          </v:group>
        </w:pict>
      </w: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31.23%</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135,586,595.40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131,128,241.63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81,496,766.71</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13.71%</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1,141,625.93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19" w:lineRule="auto"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年公司研发投入总额持续增加，较上期增加投入</w:t>
      </w:r>
      <w:r>
        <w:rPr>
          <w:rFonts w:ascii="Times New Roman" w:hAnsi="Times New Roman" w:cs="Times New Roman" w:eastAsia="Times New Roman" w:hint="default"/>
          <w:spacing w:val="-1"/>
          <w:sz w:val="18"/>
          <w:szCs w:val="18"/>
        </w:rPr>
        <w:t>445.84</w:t>
      </w:r>
      <w:r>
        <w:rPr>
          <w:rFonts w:ascii="宋体" w:hAnsi="宋体" w:cs="宋体" w:eastAsia="宋体" w:hint="default"/>
          <w:spacing w:val="-1"/>
          <w:sz w:val="18"/>
          <w:szCs w:val="18"/>
        </w:rPr>
        <w:t>万元；研发投入总额占营业收入的比重较上年同期有所下降，主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要系报告期营业收入增长幅度较大所致。上述研发人员数量及占比不包含贵博新能相关人员。</w:t>
      </w:r>
    </w:p>
    <w:p>
      <w:pPr>
        <w:spacing w:before="58"/>
        <w:ind w:left="153" w:right="1133"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21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智慧物流云服务平台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47" w:right="0"/>
              <w:jc w:val="left"/>
              <w:rPr>
                <w:rFonts w:ascii="Times New Roman" w:hAnsi="Times New Roman" w:cs="Times New Roman" w:eastAsia="Times New Roman" w:hint="default"/>
                <w:sz w:val="18"/>
                <w:szCs w:val="18"/>
              </w:rPr>
            </w:pPr>
            <w:r>
              <w:rPr>
                <w:rFonts w:ascii="Times New Roman"/>
                <w:sz w:val="18"/>
              </w:rPr>
              <w:t>958,618.77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项目采用大数据、云计算、人 工智能等新一代信息技术，实 现信息技术、物流供应链与金 </w:t>
            </w:r>
            <w:r>
              <w:rPr>
                <w:rFonts w:ascii="宋体" w:hAnsi="宋体" w:cs="宋体" w:eastAsia="宋体" w:hint="default"/>
                <w:spacing w:val="-7"/>
                <w:w w:val="100"/>
                <w:sz w:val="18"/>
                <w:szCs w:val="18"/>
              </w:rPr>
              <w:t>融深度融合发展，充分发挥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运</w:t>
            </w:r>
            <w:r>
              <w:rPr>
                <w:rFonts w:ascii="宋体" w:hAnsi="宋体" w:cs="宋体" w:eastAsia="宋体" w:hint="default"/>
                <w:spacing w:val="-79"/>
                <w:w w:val="100"/>
                <w:sz w:val="18"/>
                <w:szCs w:val="18"/>
              </w:rPr>
              <w:t> </w:t>
            </w:r>
            <w:r>
              <w:rPr>
                <w:rFonts w:ascii="宋体" w:hAnsi="宋体" w:cs="宋体" w:eastAsia="宋体" w:hint="default"/>
                <w:spacing w:val="-6"/>
                <w:sz w:val="18"/>
                <w:szCs w:val="18"/>
              </w:rPr>
              <w:t>力网、智能网、协同网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的三网</w:t>
            </w:r>
            <w:r>
              <w:rPr>
                <w:rFonts w:ascii="宋体" w:hAnsi="宋体" w:cs="宋体" w:eastAsia="宋体" w:hint="default"/>
                <w:sz w:val="18"/>
                <w:szCs w:val="18"/>
              </w:rPr>
              <w:t> 核心竞争力，构建完整的科技</w:t>
            </w:r>
            <w:r>
              <w:rPr>
                <w:rFonts w:ascii="宋体" w:hAnsi="宋体" w:cs="宋体" w:eastAsia="宋体" w:hint="default"/>
                <w:sz w:val="18"/>
                <w:szCs w:val="18"/>
              </w:rPr>
              <w:t> 物流服务生态链，为托运方和 承运方提供</w:t>
            </w:r>
            <w:r>
              <w:rPr>
                <w:rFonts w:ascii="Times New Roman" w:hAnsi="Times New Roman" w:cs="Times New Roman" w:eastAsia="Times New Roman" w:hint="default"/>
                <w:sz w:val="18"/>
                <w:szCs w:val="18"/>
              </w:rPr>
              <w:t>“</w:t>
            </w:r>
            <w:r>
              <w:rPr>
                <w:rFonts w:ascii="宋体" w:hAnsi="宋体" w:cs="宋体" w:eastAsia="宋体" w:hint="default"/>
                <w:sz w:val="18"/>
                <w:szCs w:val="18"/>
              </w:rPr>
              <w:t>科技承运服务</w:t>
            </w:r>
            <w:r>
              <w:rPr>
                <w:rFonts w:ascii="Times New Roman" w:hAnsi="Times New Roman" w:cs="Times New Roman" w:eastAsia="Times New Roman" w:hint="default"/>
                <w:sz w:val="18"/>
                <w:szCs w:val="18"/>
              </w:rPr>
              <w:t>+ </w:t>
            </w:r>
            <w:r>
              <w:rPr>
                <w:rFonts w:ascii="宋体" w:hAnsi="宋体" w:cs="宋体" w:eastAsia="宋体" w:hint="default"/>
                <w:sz w:val="18"/>
                <w:szCs w:val="18"/>
              </w:rPr>
              <w:t>金融数据服务</w:t>
            </w:r>
            <w:r>
              <w:rPr>
                <w:rFonts w:ascii="Times New Roman" w:hAnsi="Times New Roman" w:cs="Times New Roman" w:eastAsia="Times New Roman" w:hint="default"/>
                <w:sz w:val="18"/>
                <w:szCs w:val="18"/>
              </w:rPr>
              <w:t>+</w:t>
            </w:r>
            <w:r>
              <w:rPr>
                <w:rFonts w:ascii="宋体" w:hAnsi="宋体" w:cs="宋体" w:eastAsia="宋体" w:hint="default"/>
                <w:sz w:val="18"/>
                <w:szCs w:val="18"/>
              </w:rPr>
              <w:t>物流信息化服 务</w:t>
            </w:r>
            <w:r>
              <w:rPr>
                <w:rFonts w:ascii="Times New Roman" w:hAnsi="Times New Roman" w:cs="Times New Roman" w:eastAsia="Times New Roman" w:hint="default"/>
                <w:sz w:val="18"/>
                <w:szCs w:val="18"/>
              </w:rPr>
              <w:t>”</w:t>
            </w:r>
            <w:r>
              <w:rPr>
                <w:rFonts w:ascii="宋体" w:hAnsi="宋体" w:cs="宋体" w:eastAsia="宋体" w:hint="default"/>
                <w:sz w:val="18"/>
                <w:szCs w:val="18"/>
              </w:rPr>
              <w:t>的综合服务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2"/>
              <w:jc w:val="left"/>
              <w:rPr>
                <w:rFonts w:ascii="宋体" w:hAnsi="宋体" w:cs="宋体" w:eastAsia="宋体" w:hint="default"/>
                <w:sz w:val="18"/>
                <w:szCs w:val="18"/>
              </w:rPr>
            </w:pPr>
            <w:r>
              <w:rPr>
                <w:rFonts w:ascii="宋体" w:hAnsi="宋体" w:cs="宋体" w:eastAsia="宋体" w:hint="default"/>
                <w:sz w:val="18"/>
                <w:szCs w:val="18"/>
              </w:rPr>
              <w:t>基本功能已实现，并已上线运 行</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1,013,196,551.77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655,083,554.27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54.67%</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1,031,495,833.23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658,318,733.04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56.69%</w:t>
            </w:r>
          </w:p>
        </w:tc>
      </w:tr>
      <w:tr>
        <w:trPr>
          <w:trHeight w:val="716"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-18,299,281.46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-3,235,178.77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-465.63%</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6,267,064.66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7,969,491.42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-21.36%</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37,510,567.53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43,149,333.23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-13.07%</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-31,243,502.87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-35,179,841.81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11.19%</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172,153,790.00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42.31%</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241,863,438.77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194,368,410.41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3,136,561.23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-22,214,620.41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36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-47,869,577.95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-60,480,650.19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1157" w:firstLine="0"/>
        <w:jc w:val="both"/>
        <w:rPr>
          <w:rFonts w:ascii="宋体" w:hAnsi="宋体" w:cs="宋体" w:eastAsia="宋体" w:hint="default"/>
          <w:sz w:val="18"/>
          <w:szCs w:val="18"/>
        </w:rPr>
      </w:pPr>
      <w:r>
        <w:rPr>
          <w:rFonts w:ascii="宋体" w:hAnsi="宋体" w:cs="宋体" w:eastAsia="宋体" w:hint="default"/>
          <w:sz w:val="18"/>
          <w:szCs w:val="18"/>
        </w:rPr>
        <w:t>经营活动产生的现金流量净额本期为</w:t>
      </w:r>
      <w:r>
        <w:rPr>
          <w:rFonts w:ascii="Times New Roman" w:hAnsi="Times New Roman" w:cs="Times New Roman" w:eastAsia="Times New Roman" w:hint="default"/>
          <w:sz w:val="18"/>
          <w:szCs w:val="18"/>
        </w:rPr>
        <w:t>-1,829.93</w:t>
      </w:r>
      <w:r>
        <w:rPr>
          <w:rFonts w:ascii="宋体" w:hAnsi="宋体" w:cs="宋体" w:eastAsia="宋体" w:hint="default"/>
          <w:sz w:val="18"/>
          <w:szCs w:val="18"/>
        </w:rPr>
        <w:t>万元，较上期有所下降，主要系报告期内公司互联网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智慧物流云服务平台缩 短了交易结算款结算周期所致。筹资活动产生的现金流量净额为</w:t>
      </w:r>
      <w:r>
        <w:rPr>
          <w:rFonts w:ascii="Times New Roman" w:hAnsi="Times New Roman" w:cs="Times New Roman" w:eastAsia="Times New Roman" w:hint="default"/>
          <w:sz w:val="18"/>
          <w:szCs w:val="18"/>
        </w:rPr>
        <w:t>313.66</w:t>
      </w:r>
      <w:r>
        <w:rPr>
          <w:rFonts w:ascii="宋体" w:hAnsi="宋体" w:cs="宋体" w:eastAsia="宋体" w:hint="default"/>
          <w:sz w:val="18"/>
          <w:szCs w:val="18"/>
        </w:rPr>
        <w:t>万元，较上年增长了</w:t>
      </w:r>
      <w:r>
        <w:rPr>
          <w:rFonts w:ascii="Times New Roman" w:hAnsi="Times New Roman" w:cs="Times New Roman" w:eastAsia="Times New Roman" w:hint="default"/>
          <w:sz w:val="18"/>
          <w:szCs w:val="18"/>
        </w:rPr>
        <w:t>114.12%</w:t>
      </w:r>
      <w:r>
        <w:rPr>
          <w:rFonts w:ascii="宋体" w:hAnsi="宋体" w:cs="宋体" w:eastAsia="宋体" w:hint="default"/>
          <w:sz w:val="18"/>
          <w:szCs w:val="18"/>
        </w:rPr>
        <w:t>，主要系资金周转需要 增加借款所致。</w:t>
      </w:r>
    </w:p>
    <w:p>
      <w:pPr>
        <w:spacing w:before="72"/>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19" w:lineRule="auto"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报告期内，公司经营活动产生的现金净流量与本年度净利润存在较大差异，主要系公司互联网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智慧物流云服务平台缩短了</w:t>
      </w:r>
      <w:r>
        <w:rPr>
          <w:rFonts w:ascii="宋体" w:hAnsi="宋体" w:cs="宋体" w:eastAsia="宋体" w:hint="default"/>
          <w:spacing w:val="-42"/>
          <w:sz w:val="18"/>
          <w:szCs w:val="18"/>
        </w:rPr>
        <w:t> </w:t>
      </w:r>
      <w:r>
        <w:rPr>
          <w:rFonts w:ascii="宋体" w:hAnsi="宋体" w:cs="宋体" w:eastAsia="宋体" w:hint="default"/>
          <w:sz w:val="18"/>
          <w:szCs w:val="18"/>
        </w:rPr>
        <w:t>交易结算款结算周期以及部分已确认收入的</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解决方案业务未达到结算条件所致。</w:t>
      </w:r>
    </w:p>
    <w:p>
      <w:pPr>
        <w:spacing w:line="240" w:lineRule="auto" w:before="3"/>
        <w:rPr>
          <w:rFonts w:ascii="宋体" w:hAnsi="宋体" w:cs="宋体" w:eastAsia="宋体" w:hint="default"/>
          <w:sz w:val="19"/>
          <w:szCs w:val="19"/>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8"/>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38"/>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4,094,640.12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2"/>
              <w:jc w:val="both"/>
              <w:rPr>
                <w:rFonts w:ascii="宋体" w:hAnsi="宋体" w:cs="宋体" w:eastAsia="宋体" w:hint="default"/>
                <w:sz w:val="18"/>
                <w:szCs w:val="18"/>
              </w:rPr>
            </w:pPr>
            <w:r>
              <w:rPr>
                <w:rFonts w:ascii="宋体" w:hAnsi="宋体" w:cs="宋体" w:eastAsia="宋体" w:hint="default"/>
                <w:sz w:val="18"/>
                <w:szCs w:val="18"/>
              </w:rPr>
              <w:t>主要系银行理财产品收益 及权益法核算的长期股权 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8,988,068.67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18.85%</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2"/>
              <w:jc w:val="left"/>
              <w:rPr>
                <w:rFonts w:ascii="宋体" w:hAnsi="宋体" w:cs="宋体" w:eastAsia="宋体" w:hint="default"/>
                <w:sz w:val="18"/>
                <w:szCs w:val="18"/>
              </w:rPr>
            </w:pPr>
            <w:r>
              <w:rPr>
                <w:rFonts w:ascii="宋体" w:hAnsi="宋体" w:cs="宋体" w:eastAsia="宋体" w:hint="default"/>
                <w:sz w:val="18"/>
                <w:szCs w:val="18"/>
              </w:rPr>
              <w:t>期末应收票据及应收款项 余额相应计提的坏账准备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2,854.36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1,205,062.28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主要系对外捐赠支出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20,351,061.86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42.67%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主要系政府补助及递延收 益摊销转入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84"/>
        <w:gridCol w:w="1044"/>
        <w:gridCol w:w="1224"/>
        <w:gridCol w:w="103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8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27"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2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3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22" w:right="60"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4"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044"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103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466,171,723.91</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21.93%</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507,759,919.19</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40.19%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-18.26%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主要系并购重组贵博新能导致公司 总资产增长较高</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vMerge/>
            <w:tcBorders>
              <w:left w:val="single" w:sz="9" w:space="0" w:color="D2D2D2"/>
              <w:right w:val="single" w:sz="4" w:space="0" w:color="000000"/>
            </w:tcBorders>
          </w:tcPr>
          <w:p>
            <w:pPr/>
          </w:p>
        </w:tc>
        <w:tc>
          <w:tcPr>
            <w:tcW w:w="1044"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426,833,898.16</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20.08%</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371,380,793.14</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-9.32%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主要系并购重组贵博新能导致公司 总资产增长较高</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vMerge/>
            <w:tcBorders>
              <w:left w:val="single" w:sz="9" w:space="0" w:color="D2D2D2"/>
              <w:right w:val="single" w:sz="4" w:space="0" w:color="000000"/>
            </w:tcBorders>
          </w:tcPr>
          <w:p>
            <w:pPr/>
          </w:p>
        </w:tc>
        <w:tc>
          <w:tcPr>
            <w:tcW w:w="1044"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146,855,492.89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6.91%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152,625,218.81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84"/>
        <w:gridCol w:w="1044"/>
        <w:gridCol w:w="1224"/>
        <w:gridCol w:w="1034"/>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10,255,812.13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4,385,130.38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59,348,070.30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37,848,375.96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8.93%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169,000,000.00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27.23%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主要系并购重组贵博新能所致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2441"/>
        <w:gridCol w:w="3468"/>
        <w:gridCol w:w="3750"/>
      </w:tblGrid>
      <w:tr>
        <w:trPr>
          <w:trHeight w:val="414" w:hRule="exact"/>
        </w:trPr>
        <w:tc>
          <w:tcPr>
            <w:tcW w:w="2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4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7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2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4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1,100,000.00</w:t>
            </w:r>
          </w:p>
        </w:tc>
        <w:tc>
          <w:tcPr>
            <w:tcW w:w="37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用于银行借款质押的定期存款</w:t>
            </w:r>
          </w:p>
        </w:tc>
      </w:tr>
      <w:tr>
        <w:trPr>
          <w:trHeight w:val="346" w:hRule="exact"/>
        </w:trPr>
        <w:tc>
          <w:tcPr>
            <w:tcW w:w="2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20,502,619.66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用于开具银行承兑汇票和保函</w:t>
            </w:r>
          </w:p>
        </w:tc>
      </w:tr>
      <w:tr>
        <w:trPr>
          <w:trHeight w:val="348" w:hRule="exact"/>
        </w:trPr>
        <w:tc>
          <w:tcPr>
            <w:tcW w:w="2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29,174,460.00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质押用于开具银行承兑汇票</w:t>
            </w:r>
          </w:p>
        </w:tc>
      </w:tr>
      <w:tr>
        <w:trPr>
          <w:trHeight w:val="348" w:hRule="exact"/>
        </w:trPr>
        <w:tc>
          <w:tcPr>
            <w:tcW w:w="2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6,720,025.42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抵押用于取得银行贷款</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717,700,000.00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8" w:right="53"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安徽贵 博新能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新能源 汽车电 池管理 系统技 术及相 关产品</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691,000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4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3" w:right="62"/>
              <w:jc w:val="both"/>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tc>
      </w:tr>
    </w:tbl>
    <w:p>
      <w:pPr>
        <w:spacing w:after="0" w:line="32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1299"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的研发 </w:t>
            </w:r>
            <w:r>
              <w:rPr>
                <w:rFonts w:ascii="宋体" w:hAnsi="宋体" w:cs="宋体" w:eastAsia="宋体" w:hint="default"/>
                <w:spacing w:val="-22"/>
                <w:sz w:val="18"/>
                <w:szCs w:val="18"/>
              </w:rPr>
              <w:t>生产、销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售和技 术服务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pict>
          <v:group style="position:absolute;margin-left:126.379997pt;margin-top:-113.160355pt;width:32.5500pt;height:64.5pt;mso-position-horizontal-relative:page;mso-position-vertical-relative:paragraph;z-index:-977776" coordorigin="2528,-2263" coordsize="651,1290">
            <v:shape style="position:absolute;left:2528;top:-2263;width:651;height:1290" coordorigin="2528,-2263" coordsize="651,1290" path="m2528,-974l3178,-974,3178,-2263,2528,-2263,2528,-974xe" filled="true" fillcolor="#ffffff" stroked="false">
              <v:path arrowok="t"/>
              <v:fill type="solid"/>
            </v:shape>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4,343.74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18,762.71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4,343.74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18,762.71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32.46%</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797.29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8"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实际募集资金金额、资金到账时间：经中国证券监督管理委员会《关于核准科大国创软件股份有限公司首次公开发行</w:t>
            </w:r>
            <w:r>
              <w:rPr>
                <w:rFonts w:ascii="宋体" w:hAnsi="宋体" w:cs="宋体" w:eastAsia="宋体" w:hint="default"/>
                <w:sz w:val="18"/>
                <w:szCs w:val="18"/>
              </w:rPr>
              <w:t> </w:t>
            </w:r>
            <w:r>
              <w:rPr>
                <w:rFonts w:ascii="宋体" w:hAnsi="宋体" w:cs="宋体" w:eastAsia="宋体" w:hint="default"/>
                <w:spacing w:val="-5"/>
                <w:sz w:val="18"/>
                <w:szCs w:val="18"/>
              </w:rPr>
              <w:t>股票的批复》（证监许可</w:t>
            </w:r>
            <w:r>
              <w:rPr>
                <w:rFonts w:ascii="Times New Roman" w:hAnsi="Times New Roman" w:cs="Times New Roman" w:eastAsia="Times New Roman" w:hint="default"/>
                <w:spacing w:val="-5"/>
                <w:sz w:val="18"/>
                <w:szCs w:val="18"/>
              </w:rPr>
              <w:t>[2016]1302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号文）核准，并经深圳证券交易所批准，公司由主承销商国元证券采用网下向配售对</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象询价配售与网上向社会公众投资者定价发行相结合的方式，向社会公开发行人民币普通股（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 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万元，扣除发行费用人民币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万元，实际募集资金净额为人民币</w:t>
            </w:r>
          </w:p>
          <w:p>
            <w:pPr>
              <w:pStyle w:val="TableParagraph"/>
              <w:spacing w:line="240" w:lineRule="auto" w:before="7"/>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19,560.00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万元。以上募集资金已于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日到位，上述资金到位情况业经华普天健会计师事务所会验字</w:t>
            </w:r>
            <w:r>
              <w:rPr>
                <w:rFonts w:ascii="Times New Roman" w:hAnsi="Times New Roman" w:cs="Times New Roman" w:eastAsia="Times New Roman" w:hint="default"/>
                <w:sz w:val="18"/>
                <w:szCs w:val="18"/>
              </w:rPr>
              <w:t>[2016]3985</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号《验资报告》验证。②</w:t>
            </w:r>
            <w:r>
              <w:rPr>
                <w:rFonts w:ascii="宋体" w:hAnsi="宋体" w:cs="宋体" w:eastAsia="宋体" w:hint="default"/>
                <w:spacing w:val="-2"/>
                <w:sz w:val="18"/>
                <w:szCs w:val="18"/>
              </w:rPr>
              <w:t> </w:t>
            </w:r>
            <w:r>
              <w:rPr>
                <w:rFonts w:ascii="宋体" w:hAnsi="宋体" w:cs="宋体" w:eastAsia="宋体" w:hint="default"/>
                <w:sz w:val="18"/>
                <w:szCs w:val="18"/>
              </w:rPr>
              <w:t>募集资金使用及结余情况：</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4,343.74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18,762.71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万元，募集资金专用账户累计收到利息收入（扣除银行手续费）</w:t>
            </w:r>
            <w:r>
              <w:rPr>
                <w:rFonts w:ascii="Times New Roman" w:hAnsi="Times New Roman" w:cs="Times New Roman" w:eastAsia="Times New Roman" w:hint="default"/>
                <w:sz w:val="18"/>
                <w:szCs w:val="18"/>
              </w:rPr>
              <w:t>374.21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募集资金专用账户余额合计为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万元（包括尚未使</w:t>
            </w:r>
            <w:r>
              <w:rPr>
                <w:rFonts w:ascii="宋体" w:hAnsi="宋体" w:cs="宋体" w:eastAsia="宋体" w:hint="default"/>
                <w:spacing w:val="-3"/>
                <w:sz w:val="18"/>
                <w:szCs w:val="18"/>
              </w:rPr>
              <w:t>用</w:t>
            </w:r>
            <w:r>
              <w:rPr>
                <w:rFonts w:ascii="宋体" w:hAnsi="宋体" w:cs="宋体" w:eastAsia="宋体" w:hint="default"/>
                <w:sz w:val="18"/>
                <w:szCs w:val="18"/>
              </w:rPr>
              <w:t>的利息扣除银行手续费等的净额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1135" w:firstLine="0"/>
        <w:jc w:val="right"/>
        <w:rPr>
          <w:rFonts w:ascii="宋体" w:hAnsi="宋体" w:cs="宋体" w:eastAsia="宋体" w:hint="default"/>
          <w:sz w:val="18"/>
          <w:szCs w:val="18"/>
        </w:rPr>
      </w:pPr>
      <w:r>
        <w:rPr/>
        <w:pict>
          <v:shape style="position:absolute;margin-left:56.424pt;margin-top:-535.048279pt;width:479.4pt;height:627.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913"/>
                    <w:gridCol w:w="723"/>
                    <w:gridCol w:w="720"/>
                    <w:gridCol w:w="722"/>
                    <w:gridCol w:w="720"/>
                    <w:gridCol w:w="720"/>
                    <w:gridCol w:w="722"/>
                    <w:gridCol w:w="723"/>
                    <w:gridCol w:w="720"/>
                    <w:gridCol w:w="723"/>
                    <w:gridCol w:w="722"/>
                    <w:gridCol w:w="722"/>
                  </w:tblGrid>
                  <w:tr>
                    <w:trPr>
                      <w:trHeight w:val="1649"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58"/>
                          <w:jc w:val="left"/>
                          <w:rPr>
                            <w:rFonts w:ascii="宋体" w:hAnsi="宋体" w:cs="宋体" w:eastAsia="宋体" w:hint="default"/>
                            <w:sz w:val="18"/>
                            <w:szCs w:val="18"/>
                          </w:rPr>
                        </w:pPr>
                        <w:r>
                          <w:rPr>
                            <w:rFonts w:ascii="宋体" w:hAnsi="宋体" w:cs="宋体" w:eastAsia="宋体" w:hint="default"/>
                            <w:sz w:val="18"/>
                            <w:szCs w:val="18"/>
                          </w:rPr>
                          <w:t>新一代电信运营支 撑系统建设项目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1,523.38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1,523.38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电力企业一体化管 控软件建设项目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企业级信息集成平 台建设项目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大数据驱动的智能 应用软件项目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1,827.51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5,552.71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87.44%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营销与服务网络建 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补充公司流动资金 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19,560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19,560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4,343.74</w:t>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18,762.7</w:t>
                        </w:r>
                      </w:p>
                      <w:p>
                        <w:pPr>
                          <w:pStyle w:val="TableParagraph"/>
                          <w:spacing w:line="240" w:lineRule="auto" w:before="102"/>
                          <w:ind w:right="12"/>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1,523.38</w:t>
                        </w:r>
                      </w:p>
                    </w:tc>
                    <w:tc>
                      <w:tcPr>
                        <w:tcW w:w="723"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1,523.38</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3"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4,343.74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18,762.7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1,523.38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1,523.38</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w:t>
                        </w:r>
                        <w:r>
                          <w:rPr>
                            <w:rFonts w:ascii="宋体" w:hAnsi="宋体" w:cs="宋体" w:eastAsia="宋体" w:hint="default"/>
                            <w:spacing w:val="-87"/>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新一代电信</w:t>
                        </w:r>
                        <w:r>
                          <w:rPr>
                            <w:rFonts w:ascii="宋体" w:hAnsi="宋体" w:cs="宋体" w:eastAsia="宋体" w:hint="default"/>
                            <w:spacing w:val="2"/>
                            <w:sz w:val="18"/>
                            <w:szCs w:val="18"/>
                          </w:rPr>
                          <w:t>运</w:t>
                        </w:r>
                        <w:r>
                          <w:rPr>
                            <w:rFonts w:ascii="宋体" w:hAnsi="宋体" w:cs="宋体" w:eastAsia="宋体" w:hint="default"/>
                            <w:sz w:val="18"/>
                            <w:szCs w:val="18"/>
                          </w:rPr>
                          <w:t>营支撑系统建设项目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实现效益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完成率</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23</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未达到计划进度主要系该项目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月方达到预定可使用状态，尚处在投产初期所致。</w:t>
                        </w:r>
                      </w:p>
                    </w:tc>
                  </w:tr>
                  <w:tr>
                    <w:trPr>
                      <w:trHeight w:val="986"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日召开了第二届董事会第十三次会议、于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日召开了</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年第一次临时股东大会，会议审议通过了《关于变更部分募集资金用途的议案》，主要内容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电力企业一体化管控软件建设项目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年立项</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35pt;height:669.9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23"/>
                    <w:gridCol w:w="7216"/>
                  </w:tblGrid>
                  <w:tr>
                    <w:trPr>
                      <w:trHeight w:val="5355" w:hRule="exact"/>
                    </w:trPr>
                    <w:tc>
                      <w:tcPr>
                        <w:tcW w:w="163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312" w:lineRule="auto" w:before="8"/>
                          <w:ind w:left="23" w:right="18"/>
                          <w:jc w:val="left"/>
                          <w:rPr>
                            <w:rFonts w:ascii="宋体" w:hAnsi="宋体" w:cs="宋体" w:eastAsia="宋体" w:hint="default"/>
                            <w:sz w:val="18"/>
                            <w:szCs w:val="18"/>
                          </w:rPr>
                        </w:pPr>
                        <w:r>
                          <w:rPr>
                            <w:rFonts w:ascii="宋体" w:hAnsi="宋体" w:cs="宋体" w:eastAsia="宋体" w:hint="default"/>
                            <w:spacing w:val="-1"/>
                            <w:sz w:val="18"/>
                            <w:szCs w:val="18"/>
                          </w:rPr>
                          <w:t>原计划通过建设场地、购买设备、搭建研发平台等分别升级开发电力企业一体化管控软件和</w:t>
                        </w:r>
                        <w:r>
                          <w:rPr>
                            <w:rFonts w:ascii="宋体" w:hAnsi="宋体" w:cs="宋体" w:eastAsia="宋体" w:hint="default"/>
                            <w:sz w:val="18"/>
                            <w:szCs w:val="18"/>
                          </w:rPr>
                          <w:t> </w:t>
                        </w:r>
                        <w:r>
                          <w:rPr>
                            <w:rFonts w:ascii="宋体" w:hAnsi="宋体" w:cs="宋体" w:eastAsia="宋体" w:hint="default"/>
                            <w:spacing w:val="-2"/>
                            <w:sz w:val="18"/>
                            <w:szCs w:val="18"/>
                          </w:rPr>
                          <w:t>企业级信息集成平台。然而随着公司业务的发展，为满足日常经营需要，公司利用现有资源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开展了部分升级开发工作，相关成果已经基本达到上述项目的技术开发要求。近年来大数据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云计算、人工智能、工业智能化、互联网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等逐步成为行业发展方向，为抢占机遇，发挥优 </w:t>
                        </w:r>
                        <w:r>
                          <w:rPr>
                            <w:rFonts w:ascii="宋体" w:hAnsi="宋体" w:cs="宋体" w:eastAsia="宋体" w:hint="default"/>
                            <w:spacing w:val="-1"/>
                            <w:sz w:val="18"/>
                            <w:szCs w:val="18"/>
                          </w:rPr>
                          <w:t>势，公司计划建设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大数据驱动的智能应用软件项目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，该项目利用大数据的技术手段，对组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织（企业）内外海量的数据进行分析处理，挖掘出这些海量数据蕴含的价值，从而指导组织</w:t>
                        </w:r>
                        <w:r>
                          <w:rPr>
                            <w:rFonts w:ascii="宋体" w:hAnsi="宋体" w:cs="宋体" w:eastAsia="宋体" w:hint="default"/>
                            <w:sz w:val="18"/>
                            <w:szCs w:val="18"/>
                          </w:rPr>
                          <w:t> </w:t>
                        </w:r>
                        <w:r>
                          <w:rPr>
                            <w:rFonts w:ascii="宋体" w:hAnsi="宋体" w:cs="宋体" w:eastAsia="宋体" w:hint="default"/>
                            <w:spacing w:val="-1"/>
                            <w:sz w:val="18"/>
                            <w:szCs w:val="18"/>
                          </w:rPr>
                          <w:t>进行决策、管理、优化流程，对企业进行生产、销售、经营、服务改进、管理等。项目的实</w:t>
                        </w:r>
                        <w:r>
                          <w:rPr>
                            <w:rFonts w:ascii="宋体" w:hAnsi="宋体" w:cs="宋体" w:eastAsia="宋体" w:hint="default"/>
                            <w:sz w:val="18"/>
                            <w:szCs w:val="18"/>
                          </w:rPr>
                          <w:t> </w:t>
                        </w:r>
                        <w:r>
                          <w:rPr>
                            <w:rFonts w:ascii="宋体" w:hAnsi="宋体" w:cs="宋体" w:eastAsia="宋体" w:hint="default"/>
                            <w:spacing w:val="-4"/>
                            <w:sz w:val="18"/>
                            <w:szCs w:val="18"/>
                          </w:rPr>
                          <w:t>施地点为公司自有土地，土地使用权证号为合高新国用（</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）第 </w:t>
                        </w: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号，实施主体为公司</w:t>
                        </w:r>
                      </w:p>
                      <w:p>
                        <w:pPr>
                          <w:pStyle w:val="TableParagraph"/>
                          <w:spacing w:line="307"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项目计划建设期限为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个月。该项目已经合肥高新技术产业开发区经济贸易局备案，并出 </w:t>
                        </w:r>
                        <w:r>
                          <w:rPr>
                            <w:rFonts w:ascii="宋体" w:hAnsi="宋体" w:cs="宋体" w:eastAsia="宋体" w:hint="default"/>
                            <w:spacing w:val="-3"/>
                            <w:sz w:val="18"/>
                            <w:szCs w:val="18"/>
                          </w:rPr>
                          <w:t>具了《关于科大国创软件股份有限公司大数据驱动的智能应用软件项目备案的通知》（合高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经贸</w:t>
                        </w:r>
                        <w:r>
                          <w:rPr>
                            <w:rFonts w:ascii="Times New Roman" w:hAnsi="Times New Roman" w:cs="Times New Roman" w:eastAsia="Times New Roman" w:hint="default"/>
                            <w:spacing w:val="-1"/>
                            <w:sz w:val="18"/>
                            <w:szCs w:val="18"/>
                          </w:rPr>
                          <w:t>[2017]40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号）。项目建成后，将为电信、能源、交通、金融、政府等行业或领域提供有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效智能应用软件，提高用户应用新一代信息技术的能力，提升公司业务收入及盈利水平，提</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
                            <w:sz w:val="18"/>
                            <w:szCs w:val="18"/>
                          </w:rPr>
                          <w:t>高募集资金使用效率，实现股东利益最大化，经济效益和社会效益明显。综上，为提高募集</w:t>
                        </w:r>
                        <w:r>
                          <w:rPr>
                            <w:rFonts w:ascii="宋体" w:hAnsi="宋体" w:cs="宋体" w:eastAsia="宋体" w:hint="default"/>
                            <w:sz w:val="18"/>
                            <w:szCs w:val="18"/>
                          </w:rPr>
                          <w:t> 资金使用效率，节约资源，实现股东利益最大化，公司经审慎研究，决定终止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电力企业一 体化管控软件建设项目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 募集资金共计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万元及其利息变更用途用于建设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 具体内容详见公司在巨潮资讯网上披露的相关公告。</w:t>
                        </w:r>
                      </w:p>
                    </w:tc>
                  </w:tr>
                  <w:tr>
                    <w:trPr>
                      <w:trHeight w:val="401" w:hRule="exact"/>
                    </w:trPr>
                    <w:tc>
                      <w:tcPr>
                        <w:tcW w:w="163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3"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3" w:type="dxa"/>
                        <w:vMerge/>
                        <w:tcBorders>
                          <w:left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截至报告期末，尚未使用的募集资金存放于募集资金专用账户中。</w:t>
                        </w: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13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84001pt;margin-top:-344.01828pt;width:479.35pt;height:620.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27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大数据驱动 的智能应用 软件项目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 一体化管控 软件建设项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 级信息集成 平台建设项 目</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1,827.51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5,552.71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87.44%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1,827.51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5,552.71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95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日召开了第二届董事会第十三次会议、于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w:t>
                        </w:r>
                      </w:p>
                      <w:p>
                        <w:pPr>
                          <w:pStyle w:val="TableParagraph"/>
                          <w:spacing w:line="309" w:lineRule="auto" w:before="60"/>
                          <w:ind w:left="23" w:right="17"/>
                          <w:jc w:val="left"/>
                          <w:rPr>
                            <w:rFonts w:ascii="宋体" w:hAnsi="宋体" w:cs="宋体" w:eastAsia="宋体" w:hint="default"/>
                            <w:sz w:val="18"/>
                            <w:szCs w:val="18"/>
                          </w:rPr>
                        </w:pPr>
                        <w:r>
                          <w:rPr>
                            <w:rFonts w:ascii="宋体" w:hAnsi="宋体" w:cs="宋体" w:eastAsia="宋体" w:hint="default"/>
                            <w:sz w:val="18"/>
                            <w:szCs w:val="18"/>
                          </w:rPr>
                          <w:t>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年第一次临时股东大会，会议审议通过了《关于变更部分募集资金用途的 </w:t>
                        </w:r>
                        <w:r>
                          <w:rPr>
                            <w:rFonts w:ascii="宋体" w:hAnsi="宋体" w:cs="宋体" w:eastAsia="宋体" w:hint="default"/>
                            <w:spacing w:val="-3"/>
                            <w:w w:val="100"/>
                            <w:sz w:val="18"/>
                            <w:szCs w:val="18"/>
                          </w:rPr>
                          <w:t>议案》，主要内容是：</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电力企业一体化管控软件建设项目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企业级信息集成平台建</w:t>
                        </w:r>
                        <w:r>
                          <w:rPr>
                            <w:rFonts w:ascii="宋体" w:hAnsi="宋体" w:cs="宋体" w:eastAsia="宋体" w:hint="default"/>
                            <w:spacing w:val="-67"/>
                            <w:w w:val="100"/>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年立项，原计划通过建设场地、购买设备、搭建研发平台等分别升级 </w:t>
                        </w:r>
                        <w:r>
                          <w:rPr>
                            <w:rFonts w:ascii="宋体" w:hAnsi="宋体" w:cs="宋体" w:eastAsia="宋体" w:hint="default"/>
                            <w:spacing w:val="-1"/>
                            <w:sz w:val="18"/>
                            <w:szCs w:val="18"/>
                          </w:rPr>
                          <w:t>开发电力企业一体化管控软件和企业级信息集成平台。然而随着公司业务的发展，为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满足日常经营需要，公司利用现有资源开展了部分升级开发工作，相关成果已经基本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达到上述项目的技术开发要求。近年来大数据、云计算、人工智能、工业智能化、互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等逐步成为行业发展方向，为抢占机遇，发挥优势，公司计划建设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大数据驱动</w:t>
                        </w:r>
                        <w:r>
                          <w:rPr>
                            <w:rFonts w:ascii="宋体" w:hAnsi="宋体" w:cs="宋体" w:eastAsia="宋体" w:hint="default"/>
                            <w:spacing w:val="-75"/>
                            <w:sz w:val="18"/>
                            <w:szCs w:val="18"/>
                          </w:rPr>
                          <w:t> </w:t>
                        </w:r>
                        <w:r>
                          <w:rPr>
                            <w:rFonts w:ascii="宋体" w:hAnsi="宋体" w:cs="宋体" w:eastAsia="宋体" w:hint="default"/>
                            <w:sz w:val="18"/>
                            <w:szCs w:val="18"/>
                          </w:rPr>
                          <w:t>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，该项目利用大数据的技术手段，对组织（企业）内外海量的 </w:t>
                        </w:r>
                        <w:r>
                          <w:rPr>
                            <w:rFonts w:ascii="宋体" w:hAnsi="宋体" w:cs="宋体" w:eastAsia="宋体" w:hint="default"/>
                            <w:spacing w:val="-3"/>
                            <w:sz w:val="18"/>
                            <w:szCs w:val="18"/>
                          </w:rPr>
                          <w:t>数据进行分析处理，挖掘出这些海量数据蕴含的价值，从而指导组织进行决策、管理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优化流程，对企业进行生产、销售、经营、服务改进、管理等。项目的实施地点为公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司自有土地，土地使用权证号为合高新国用（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号，实施主体为公司，项</w:t>
                        </w:r>
                      </w:p>
                      <w:p>
                        <w:pPr>
                          <w:pStyle w:val="TableParagraph"/>
                          <w:spacing w:line="309"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目计划建设期限为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个月。该项目已经合肥高新技术产业开发区经济贸易局备案， </w:t>
                        </w:r>
                        <w:r>
                          <w:rPr>
                            <w:rFonts w:ascii="宋体" w:hAnsi="宋体" w:cs="宋体" w:eastAsia="宋体" w:hint="default"/>
                            <w:spacing w:val="-1"/>
                            <w:sz w:val="18"/>
                            <w:szCs w:val="18"/>
                          </w:rPr>
                          <w:t>并出具了《关于科大国创软件股份有限公司大数据驱动的智能应用软件项目备案的通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知》（合高经贸</w:t>
                        </w:r>
                        <w:r>
                          <w:rPr>
                            <w:rFonts w:ascii="Times New Roman" w:hAnsi="Times New Roman" w:cs="Times New Roman" w:eastAsia="Times New Roman" w:hint="default"/>
                            <w:spacing w:val="-7"/>
                            <w:sz w:val="18"/>
                            <w:szCs w:val="18"/>
                          </w:rPr>
                          <w:t>[2017]40</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号）。项目建成后，将为电信、能源、交通、金融、政府等行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业或领域提供有效智能应用软件，提高用户应用新一代信息技术的能力，提升公司业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务收入及盈利水平，提高募集资金使用效率，实现股东利益最大化，经济效益和社会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效益明显。综上，为提高募集资金使用效率，节约资源，实现股东利益最大化，公司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w w:val="100"/>
                            <w:sz w:val="18"/>
                            <w:szCs w:val="18"/>
                          </w:rPr>
                          <w:t>经审慎研究，决定终止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电力企业一体化管控软件建设项目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企业级信息集成平台建</w:t>
                        </w:r>
                        <w:r>
                          <w:rPr>
                            <w:rFonts w:ascii="宋体" w:hAnsi="宋体" w:cs="宋体" w:eastAsia="宋体" w:hint="default"/>
                            <w:spacing w:val="-54"/>
                            <w:w w:val="100"/>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的相关建设内容，并将未投入的募集资金共计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万元及其利息变更用</w:t>
                        </w:r>
                      </w:p>
                      <w:p>
                        <w:pPr>
                          <w:pStyle w:val="TableParagraph"/>
                          <w:spacing w:line="300"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。具体内容详见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 潮资讯网上披露的相关公告。</w:t>
                        </w:r>
                      </w:p>
                    </w:tc>
                  </w:tr>
                  <w:tr>
                    <w:trPr>
                      <w:trHeight w:val="71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5"/>
        <w:gridCol w:w="991"/>
        <w:gridCol w:w="994"/>
        <w:gridCol w:w="991"/>
        <w:gridCol w:w="1133"/>
        <w:gridCol w:w="1135"/>
        <w:gridCol w:w="1097"/>
        <w:gridCol w:w="1044"/>
        <w:gridCol w:w="1047"/>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苏州科大国 创信息技术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软件与信息 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77,780,693.54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59,730,363.23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55,271,973.64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5,830,047.38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5,492,924.13</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安徽科大国 创云网科技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软件与信息 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176,429,237.1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155,823,170.0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202,598,564.8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33,252,250.9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32,731,027.8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安徽慧联运 科技有限公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 慧物流云服 务平台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231,283,621.2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11,792,709.26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249,656,325.2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6,681,062.35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5,994,567.58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正在进行吸收合并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尚未生产经营</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贵州科大国创大数据科技有限公司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尚未生产经营</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报告期内实现净利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万元，无重大 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本期实现净利润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万元，未纳入 合并报表</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300" w:lineRule="auto" w:before="115"/>
        <w:ind w:left="153" w:right="1131" w:firstLine="0"/>
        <w:jc w:val="both"/>
        <w:rPr>
          <w:rFonts w:ascii="宋体" w:hAnsi="宋体" w:cs="宋体" w:eastAsia="宋体" w:hint="default"/>
          <w:sz w:val="18"/>
          <w:szCs w:val="18"/>
        </w:rPr>
      </w:pPr>
      <w:r>
        <w:rPr>
          <w:rFonts w:ascii="宋体" w:hAnsi="宋体" w:cs="宋体" w:eastAsia="宋体" w:hint="default"/>
          <w:sz w:val="18"/>
          <w:szCs w:val="18"/>
        </w:rPr>
        <w:t>报告期内，苏州国创实现净利润</w:t>
      </w:r>
      <w:r>
        <w:rPr>
          <w:rFonts w:ascii="Times New Roman" w:hAnsi="Times New Roman" w:cs="Times New Roman" w:eastAsia="Times New Roman" w:hint="default"/>
          <w:sz w:val="18"/>
          <w:szCs w:val="18"/>
        </w:rPr>
        <w:t>549.29</w:t>
      </w:r>
      <w:r>
        <w:rPr>
          <w:rFonts w:ascii="宋体" w:hAnsi="宋体" w:cs="宋体" w:eastAsia="宋体" w:hint="default"/>
          <w:sz w:val="18"/>
          <w:szCs w:val="18"/>
        </w:rPr>
        <w:t>万元，较上年同期增长</w:t>
      </w:r>
      <w:r>
        <w:rPr>
          <w:rFonts w:ascii="Times New Roman" w:hAnsi="Times New Roman" w:cs="Times New Roman" w:eastAsia="Times New Roman" w:hint="default"/>
          <w:sz w:val="18"/>
          <w:szCs w:val="18"/>
        </w:rPr>
        <w:t>3,886.80%</w:t>
      </w:r>
      <w:r>
        <w:rPr>
          <w:rFonts w:ascii="宋体" w:hAnsi="宋体" w:cs="宋体" w:eastAsia="宋体" w:hint="default"/>
          <w:sz w:val="18"/>
          <w:szCs w:val="18"/>
        </w:rPr>
        <w:t>，主要系软件及大数据业务持续增加所致；慧联运 实现净利润</w:t>
      </w:r>
      <w:r>
        <w:rPr>
          <w:rFonts w:ascii="Times New Roman" w:hAnsi="Times New Roman" w:cs="Times New Roman" w:eastAsia="Times New Roman" w:hint="default"/>
          <w:sz w:val="18"/>
          <w:szCs w:val="18"/>
        </w:rPr>
        <w:t>599.46</w:t>
      </w:r>
      <w:r>
        <w:rPr>
          <w:rFonts w:ascii="宋体" w:hAnsi="宋体" w:cs="宋体" w:eastAsia="宋体" w:hint="default"/>
          <w:sz w:val="18"/>
          <w:szCs w:val="18"/>
        </w:rPr>
        <w:t>万元，较上年同期增长</w:t>
      </w:r>
      <w:r>
        <w:rPr>
          <w:rFonts w:ascii="Times New Roman" w:hAnsi="Times New Roman" w:cs="Times New Roman" w:eastAsia="Times New Roman" w:hint="default"/>
          <w:sz w:val="18"/>
          <w:szCs w:val="18"/>
        </w:rPr>
        <w:t>172.80%</w:t>
      </w:r>
      <w:r>
        <w:rPr>
          <w:rFonts w:ascii="宋体" w:hAnsi="宋体" w:cs="宋体" w:eastAsia="宋体" w:hint="default"/>
          <w:sz w:val="18"/>
          <w:szCs w:val="18"/>
        </w:rPr>
        <w:t>，主要系报告期内慧联运围绕科技承运服务、金融数据服务、物流信息化 </w:t>
      </w:r>
      <w:r>
        <w:rPr>
          <w:rFonts w:ascii="宋体" w:hAnsi="宋体" w:cs="宋体" w:eastAsia="宋体" w:hint="default"/>
          <w:spacing w:val="-2"/>
          <w:sz w:val="18"/>
          <w:szCs w:val="18"/>
        </w:rPr>
        <w:t>服务三大业务加大研发投入，加强运力网、智能网、协同网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三网合一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核心竞争力建设，持续完善专业化、标准化、智能化</w:t>
      </w:r>
    </w:p>
    <w:p>
      <w:pPr>
        <w:spacing w:after="0" w:line="300"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的互联网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智慧物流云服务平台，积极进行大客户营销，互联网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智慧物流云服务平台业务持续发展所致。</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left="573" w:right="1133"/>
        <w:jc w:val="left"/>
      </w:pPr>
      <w:r>
        <w:rPr/>
        <w:t>（一）行业格局和趋势</w:t>
      </w:r>
      <w:r>
        <w:rPr>
          <w:w w:val="100"/>
        </w:rPr>
        <w:t> </w:t>
      </w:r>
      <w:r>
        <w:rPr>
          <w:spacing w:val="-2"/>
        </w:rPr>
        <w:t>公司发展历程与信息技术创新紧密结合，与国家信息化进程共同成长。在国家新的战略发展时期，新</w:t>
      </w:r>
    </w:p>
    <w:p>
      <w:pPr>
        <w:pStyle w:val="BodyText"/>
        <w:spacing w:line="256" w:lineRule="auto" w:before="7"/>
        <w:ind w:right="0"/>
        <w:jc w:val="left"/>
      </w:pPr>
      <w:r>
        <w:rPr>
          <w:spacing w:val="-2"/>
        </w:rPr>
        <w:t>一代信息技术带来新机遇。未来</w:t>
      </w:r>
      <w:r>
        <w:rPr>
          <w:rFonts w:ascii="Times New Roman" w:hAnsi="Times New Roman" w:cs="Times New Roman" w:eastAsia="Times New Roman" w:hint="default"/>
          <w:spacing w:val="-2"/>
        </w:rPr>
        <w:t>5</w:t>
      </w:r>
      <w:r>
        <w:rPr>
          <w:spacing w:val="-2"/>
        </w:rPr>
        <w:t>到</w:t>
      </w:r>
      <w:r>
        <w:rPr>
          <w:rFonts w:ascii="Times New Roman" w:hAnsi="Times New Roman" w:cs="Times New Roman" w:eastAsia="Times New Roman" w:hint="default"/>
          <w:spacing w:val="-2"/>
        </w:rPr>
        <w:t>10</w:t>
      </w:r>
      <w:r>
        <w:rPr>
          <w:spacing w:val="-2"/>
        </w:rPr>
        <w:t>年，全球新一轮科技革命和产业变革将群体迸发，物联网、云计算、</w:t>
      </w:r>
      <w:r>
        <w:rPr>
          <w:spacing w:val="-39"/>
        </w:rPr>
        <w:t> </w:t>
      </w:r>
      <w:r>
        <w:rPr>
          <w:spacing w:val="-39"/>
        </w:rPr>
      </w:r>
      <w:r>
        <w:rPr/>
        <w:t>大数据、人工智能等技术广泛渗透于经济社会各个领域，信息经济将持续繁荣昌盛。</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w:t>
      </w:r>
      <w:r>
        <w:rPr>
          <w:w w:val="100"/>
        </w:rPr>
        <w:t> </w:t>
      </w:r>
      <w:r>
        <w:rPr>
          <w:spacing w:val="-4"/>
        </w:rPr>
        <w:t>全面建成小康社会的决胜阶段，新一代信息技术将是我国成为世界经济领导者的重要战略机遇之一，《</w:t>
      </w:r>
      <w:r>
        <w:rPr>
          <w:rFonts w:ascii="Times New Roman" w:hAnsi="Times New Roman" w:cs="Times New Roman" w:eastAsia="Times New Roman" w:hint="default"/>
          <w:spacing w:val="-4"/>
        </w:rPr>
        <w:t>“</w:t>
      </w:r>
      <w:r>
        <w:rPr>
          <w:spacing w:val="-4"/>
        </w:rPr>
        <w:t>十</w:t>
      </w:r>
      <w:r>
        <w:rPr>
          <w:spacing w:val="-40"/>
        </w:rPr>
        <w:t> </w:t>
      </w:r>
      <w:r>
        <w:rPr>
          <w:spacing w:val="-4"/>
        </w:rPr>
        <w:t>三五</w:t>
      </w:r>
      <w:r>
        <w:rPr>
          <w:rFonts w:ascii="Times New Roman" w:hAnsi="Times New Roman" w:cs="Times New Roman" w:eastAsia="Times New Roman" w:hint="default"/>
          <w:spacing w:val="-4"/>
        </w:rPr>
        <w:t>”</w:t>
      </w:r>
      <w:r>
        <w:rPr>
          <w:spacing w:val="-4"/>
        </w:rPr>
        <w:t>国家战略性新兴产业发展规划》和《</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国家信息化规划》提出信息经济全面发展，信息基础设</w:t>
      </w:r>
      <w:r>
        <w:rPr>
          <w:spacing w:val="-21"/>
        </w:rPr>
        <w:t> </w:t>
      </w:r>
      <w:r>
        <w:rPr>
          <w:spacing w:val="-21"/>
        </w:rPr>
      </w:r>
      <w:r>
        <w:rPr/>
        <w:t>施达到全球领先水平，到</w:t>
      </w:r>
      <w:r>
        <w:rPr>
          <w:rFonts w:ascii="Times New Roman" w:hAnsi="Times New Roman" w:cs="Times New Roman" w:eastAsia="Times New Roman" w:hint="default"/>
        </w:rPr>
        <w:t>2020</w:t>
      </w:r>
      <w:r>
        <w:rPr/>
        <w:t>年，实现新一代信息技术产业总产值超过</w:t>
      </w:r>
      <w:r>
        <w:rPr>
          <w:rFonts w:ascii="Times New Roman" w:hAnsi="Times New Roman" w:cs="Times New Roman" w:eastAsia="Times New Roman" w:hint="default"/>
        </w:rPr>
        <w:t>12</w:t>
      </w:r>
      <w:r>
        <w:rPr/>
        <w:t>万亿的宏大目标。</w:t>
      </w:r>
    </w:p>
    <w:p>
      <w:pPr>
        <w:pStyle w:val="BodyText"/>
        <w:spacing w:line="256" w:lineRule="auto" w:before="5"/>
        <w:ind w:right="1128" w:firstLine="420"/>
        <w:jc w:val="both"/>
      </w:pPr>
      <w:r>
        <w:rPr>
          <w:spacing w:val="-3"/>
        </w:rPr>
        <w:t>国家工信部《软件和信息技术服务业发展规划（</w:t>
      </w:r>
      <w:r>
        <w:rPr>
          <w:rFonts w:ascii="Times New Roman" w:hAnsi="Times New Roman" w:cs="Times New Roman" w:eastAsia="Times New Roman" w:hint="default"/>
          <w:spacing w:val="-3"/>
        </w:rPr>
        <w:t>2016-2020</w:t>
      </w:r>
      <w:r>
        <w:rPr>
          <w:spacing w:val="-3"/>
        </w:rPr>
        <w:t>年）》提出，到</w:t>
      </w:r>
      <w:r>
        <w:rPr>
          <w:rFonts w:ascii="Times New Roman" w:hAnsi="Times New Roman" w:cs="Times New Roman" w:eastAsia="Times New Roman" w:hint="default"/>
          <w:spacing w:val="-3"/>
        </w:rPr>
        <w:t>2020</w:t>
      </w:r>
      <w:r>
        <w:rPr>
          <w:spacing w:val="-3"/>
        </w:rPr>
        <w:t>年，软件和信息技术服</w:t>
      </w:r>
      <w:r>
        <w:rPr>
          <w:w w:val="100"/>
        </w:rPr>
        <w:t> </w:t>
      </w:r>
      <w:r>
        <w:rPr>
          <w:spacing w:val="-3"/>
        </w:rPr>
        <w:t>务业业务收入突破</w:t>
      </w:r>
      <w:r>
        <w:rPr>
          <w:rFonts w:ascii="Times New Roman" w:hAnsi="Times New Roman" w:cs="Times New Roman" w:eastAsia="Times New Roman" w:hint="default"/>
          <w:spacing w:val="-3"/>
        </w:rPr>
        <w:t>8</w:t>
      </w:r>
      <w:r>
        <w:rPr>
          <w:spacing w:val="-3"/>
        </w:rPr>
        <w:t>万亿元，年均增长</w:t>
      </w:r>
      <w:r>
        <w:rPr>
          <w:rFonts w:ascii="Times New Roman" w:hAnsi="Times New Roman" w:cs="Times New Roman" w:eastAsia="Times New Roman" w:hint="default"/>
          <w:spacing w:val="-3"/>
        </w:rPr>
        <w:t>13%</w:t>
      </w:r>
      <w:r>
        <w:rPr>
          <w:spacing w:val="-3"/>
        </w:rPr>
        <w:t>以上。信息安全产品收入达到</w:t>
      </w:r>
      <w:r>
        <w:rPr>
          <w:rFonts w:ascii="Times New Roman" w:hAnsi="Times New Roman" w:cs="Times New Roman" w:eastAsia="Times New Roman" w:hint="default"/>
          <w:spacing w:val="-3"/>
        </w:rPr>
        <w:t>2000</w:t>
      </w:r>
      <w:r>
        <w:rPr>
          <w:spacing w:val="-3"/>
        </w:rPr>
        <w:t>亿元，年均增长</w:t>
      </w:r>
      <w:r>
        <w:rPr>
          <w:rFonts w:ascii="Times New Roman" w:hAnsi="Times New Roman" w:cs="Times New Roman" w:eastAsia="Times New Roman" w:hint="default"/>
          <w:spacing w:val="-3"/>
        </w:rPr>
        <w:t>20%</w:t>
      </w:r>
      <w:r>
        <w:rPr>
          <w:spacing w:val="-3"/>
        </w:rPr>
        <w:t>以上。软</w:t>
      </w:r>
      <w:r>
        <w:rPr>
          <w:spacing w:val="-20"/>
        </w:rPr>
        <w:t> </w:t>
      </w:r>
      <w:r>
        <w:rPr>
          <w:spacing w:val="-20"/>
        </w:rPr>
      </w:r>
      <w:r>
        <w:rPr/>
        <w:t>件出口超过</w:t>
      </w:r>
      <w:r>
        <w:rPr>
          <w:rFonts w:ascii="Times New Roman" w:hAnsi="Times New Roman" w:cs="Times New Roman" w:eastAsia="Times New Roman" w:hint="default"/>
        </w:rPr>
        <w:t>680</w:t>
      </w:r>
      <w:r>
        <w:rPr/>
        <w:t>亿美元。软件从业人员达到</w:t>
      </w:r>
      <w:r>
        <w:rPr>
          <w:rFonts w:ascii="Times New Roman" w:hAnsi="Times New Roman" w:cs="Times New Roman" w:eastAsia="Times New Roman" w:hint="default"/>
        </w:rPr>
        <w:t>900</w:t>
      </w:r>
      <w:r>
        <w:rPr/>
        <w:t>万人。</w:t>
      </w:r>
    </w:p>
    <w:p>
      <w:pPr>
        <w:pStyle w:val="BodyText"/>
        <w:spacing w:line="256" w:lineRule="auto" w:before="5"/>
        <w:ind w:right="0" w:firstLine="420"/>
        <w:jc w:val="left"/>
      </w:pPr>
      <w:r>
        <w:rPr/>
        <w:t>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时期，以数据为驱动的</w:t>
      </w:r>
      <w:r>
        <w:rPr>
          <w:rFonts w:ascii="Times New Roman" w:hAnsi="Times New Roman" w:cs="Times New Roman" w:eastAsia="Times New Roman" w:hint="default"/>
        </w:rPr>
        <w:t>“</w:t>
      </w:r>
      <w:r>
        <w:rPr/>
        <w:t>软件定义</w:t>
      </w:r>
      <w:r>
        <w:rPr>
          <w:rFonts w:ascii="Times New Roman" w:hAnsi="Times New Roman" w:cs="Times New Roman" w:eastAsia="Times New Roman" w:hint="default"/>
        </w:rPr>
        <w:t>”</w:t>
      </w:r>
      <w:r>
        <w:rPr/>
        <w:t>成为软件和信息技术服务业发展的突出特征。软件和信</w:t>
      </w:r>
      <w:r>
        <w:rPr>
          <w:w w:val="100"/>
        </w:rPr>
        <w:t> </w:t>
      </w:r>
      <w:r>
        <w:rPr>
          <w:spacing w:val="-2"/>
        </w:rPr>
        <w:t>息技术服务业加快向网络化、平台化、服务化、智能化、生态化演进，以</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模式</w:t>
      </w:r>
      <w:r>
        <w:rPr>
          <w:rFonts w:ascii="Times New Roman" w:hAnsi="Times New Roman" w:cs="Times New Roman" w:eastAsia="Times New Roman" w:hint="default"/>
          <w:spacing w:val="-2"/>
        </w:rPr>
        <w:t>+</w:t>
      </w:r>
      <w:r>
        <w:rPr>
          <w:spacing w:val="-2"/>
        </w:rPr>
        <w:t>生态</w:t>
      </w:r>
      <w:r>
        <w:rPr>
          <w:rFonts w:ascii="Times New Roman" w:hAnsi="Times New Roman" w:cs="Times New Roman" w:eastAsia="Times New Roman" w:hint="default"/>
          <w:spacing w:val="-2"/>
        </w:rPr>
        <w:t>”</w:t>
      </w:r>
      <w:r>
        <w:rPr>
          <w:spacing w:val="-2"/>
        </w:rPr>
        <w:t>为核心的协同</w:t>
      </w:r>
      <w:r>
        <w:rPr>
          <w:spacing w:val="-48"/>
        </w:rPr>
        <w:t> </w:t>
      </w:r>
      <w:r>
        <w:rPr>
          <w:spacing w:val="-48"/>
        </w:rPr>
      </w:r>
      <w:r>
        <w:rPr/>
        <w:t>创新持续深化产业变革。</w:t>
      </w:r>
      <w:r>
        <w:rPr>
          <w:spacing w:val="-61"/>
        </w:rPr>
        <w:t> </w:t>
      </w:r>
      <w:r>
        <w:rPr>
          <w:spacing w:val="-5"/>
        </w:rPr>
        <w:t>以</w:t>
      </w:r>
      <w:r>
        <w:rPr>
          <w:rFonts w:ascii="Times New Roman" w:hAnsi="Times New Roman" w:cs="Times New Roman" w:eastAsia="Times New Roman" w:hint="default"/>
          <w:spacing w:val="-5"/>
        </w:rPr>
        <w:t>“</w:t>
      </w:r>
      <w:r>
        <w:rPr>
          <w:spacing w:val="-5"/>
        </w:rPr>
        <w:t>软件定义</w:t>
      </w:r>
      <w:r>
        <w:rPr>
          <w:rFonts w:ascii="Times New Roman" w:hAnsi="Times New Roman" w:cs="Times New Roman" w:eastAsia="Times New Roman" w:hint="default"/>
          <w:spacing w:val="-5"/>
        </w:rPr>
        <w:t>”</w:t>
      </w:r>
      <w:r>
        <w:rPr>
          <w:spacing w:val="-5"/>
        </w:rPr>
        <w:t>为特征的融合应用开启信息经济新图景，网络为平台、软件为载体、</w:t>
      </w:r>
      <w:r>
        <w:rPr>
          <w:spacing w:val="-76"/>
        </w:rPr>
        <w:t> </w:t>
      </w:r>
      <w:r>
        <w:rPr>
          <w:spacing w:val="-76"/>
        </w:rPr>
      </w:r>
      <w:r>
        <w:rPr/>
        <w:t>数据为要素、云计算为方法和途径成为融合应用的显著特征。</w:t>
      </w:r>
    </w:p>
    <w:p>
      <w:pPr>
        <w:pStyle w:val="BodyText"/>
        <w:spacing w:line="268" w:lineRule="auto" w:before="22"/>
        <w:ind w:right="1104" w:firstLine="420"/>
        <w:jc w:val="both"/>
      </w:pPr>
      <w:r>
        <w:rPr>
          <w:spacing w:val="-2"/>
        </w:rPr>
        <w:t>在技术创新方面，基础软件协同创新将取得突破，形成若干具有竞争力的平台解决方案并规模应用；</w:t>
      </w:r>
      <w:r>
        <w:rPr>
          <w:w w:val="100"/>
        </w:rPr>
        <w:t> </w:t>
      </w:r>
      <w:r>
        <w:rPr>
          <w:spacing w:val="-2"/>
        </w:rPr>
        <w:t>人工智能、虚拟现实、区块链等领域创新将达到国际先进水平；云计算、大数据、移动互联网、物联网、</w:t>
      </w:r>
      <w:r>
        <w:rPr>
          <w:spacing w:val="-21"/>
        </w:rPr>
        <w:t> </w:t>
      </w:r>
      <w:r>
        <w:rPr>
          <w:spacing w:val="-21"/>
        </w:rPr>
      </w:r>
      <w:r>
        <w:rPr>
          <w:spacing w:val="-2"/>
        </w:rPr>
        <w:t>信息安全等领域的创新发展向更高层次跃升。在企业培育方面，以收入百亿级企业达</w:t>
      </w:r>
      <w:r>
        <w:rPr>
          <w:rFonts w:ascii="Times New Roman" w:hAnsi="Times New Roman" w:cs="Times New Roman" w:eastAsia="Times New Roman" w:hint="default"/>
          <w:spacing w:val="-2"/>
        </w:rPr>
        <w:t>20</w:t>
      </w:r>
      <w:r>
        <w:rPr>
          <w:spacing w:val="-2"/>
        </w:rPr>
        <w:t>家以上，产生</w:t>
      </w:r>
      <w:r>
        <w:rPr>
          <w:rFonts w:ascii="Times New Roman" w:hAnsi="Times New Roman" w:cs="Times New Roman" w:eastAsia="Times New Roman" w:hint="default"/>
          <w:spacing w:val="-2"/>
        </w:rPr>
        <w:t>5</w:t>
      </w:r>
      <w:r>
        <w:rPr>
          <w:spacing w:val="-2"/>
        </w:rPr>
        <w:t>到</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4"/>
        </w:rPr>
        <w:t> </w:t>
      </w:r>
      <w:r>
        <w:rPr/>
        <w:t>家收入千亿级企业。产业收入超千亿元的城市达</w:t>
      </w:r>
      <w:r>
        <w:rPr>
          <w:rFonts w:ascii="Times New Roman" w:hAnsi="Times New Roman" w:cs="Times New Roman" w:eastAsia="Times New Roman" w:hint="default"/>
        </w:rPr>
        <w:t>20</w:t>
      </w:r>
      <w:r>
        <w:rPr/>
        <w:t>个以上。</w:t>
      </w:r>
    </w:p>
    <w:p>
      <w:pPr>
        <w:pStyle w:val="BodyText"/>
        <w:spacing w:line="273" w:lineRule="auto"/>
        <w:ind w:left="573" w:right="1133"/>
        <w:jc w:val="left"/>
      </w:pPr>
      <w:r>
        <w:rPr/>
        <w:t>（二）公司发展战略</w:t>
      </w:r>
      <w:r>
        <w:rPr>
          <w:w w:val="100"/>
        </w:rPr>
        <w:t> </w:t>
      </w:r>
      <w:r>
        <w:rPr>
          <w:spacing w:val="-3"/>
        </w:rPr>
        <w:t>围绕公司主营业务，应用大数据、物联网、人工智能、</w:t>
      </w:r>
      <w:r>
        <w:rPr>
          <w:rFonts w:ascii="Times New Roman" w:hAnsi="Times New Roman" w:cs="Times New Roman" w:eastAsia="Times New Roman" w:hint="default"/>
          <w:spacing w:val="-3"/>
        </w:rPr>
        <w:t>5G</w:t>
      </w:r>
      <w:r>
        <w:rPr>
          <w:spacing w:val="-3"/>
        </w:rPr>
        <w:t>等新一代信息技术，向客户提供领先的产品</w:t>
      </w:r>
    </w:p>
    <w:p>
      <w:pPr>
        <w:pStyle w:val="BodyText"/>
        <w:spacing w:line="256" w:lineRule="auto"/>
        <w:ind w:right="1133"/>
        <w:jc w:val="left"/>
      </w:pPr>
      <w:r>
        <w:rPr>
          <w:spacing w:val="-3"/>
        </w:rPr>
        <w:t>与服务。针对公司布局的软件及大数据、互联网</w:t>
      </w:r>
      <w:r>
        <w:rPr>
          <w:rFonts w:ascii="Times New Roman" w:hAnsi="Times New Roman" w:cs="Times New Roman" w:eastAsia="Times New Roman" w:hint="default"/>
          <w:spacing w:val="-3"/>
        </w:rPr>
        <w:t>+</w:t>
      </w:r>
      <w:r>
        <w:rPr>
          <w:spacing w:val="-3"/>
        </w:rPr>
        <w:t>、人工智能三大业务板块，坚定贯彻智慧</w:t>
      </w:r>
      <w:r>
        <w:rPr>
          <w:rFonts w:ascii="Times New Roman" w:hAnsi="Times New Roman" w:cs="Times New Roman" w:eastAsia="Times New Roman" w:hint="default"/>
          <w:spacing w:val="-3"/>
        </w:rPr>
        <w:t>+</w:t>
      </w:r>
      <w:r>
        <w:rPr>
          <w:spacing w:val="-3"/>
        </w:rPr>
        <w:t>、创新驱动发</w:t>
      </w:r>
      <w:r>
        <w:rPr>
          <w:spacing w:val="-28"/>
        </w:rPr>
        <w:t> </w:t>
      </w:r>
      <w:r>
        <w:rPr>
          <w:spacing w:val="-28"/>
        </w:rPr>
      </w:r>
      <w:r>
        <w:rPr/>
        <w:t>展、智能软件引领三大战略。</w:t>
      </w:r>
    </w:p>
    <w:p>
      <w:pPr>
        <w:pStyle w:val="BodyText"/>
        <w:spacing w:line="256" w:lineRule="auto" w:before="22"/>
        <w:ind w:left="573" w:right="1133"/>
        <w:jc w:val="left"/>
      </w:pPr>
      <w:r>
        <w:rPr>
          <w:rFonts w:ascii="Times New Roman" w:hAnsi="Times New Roman" w:cs="Times New Roman" w:eastAsia="Times New Roman" w:hint="default"/>
        </w:rPr>
        <w:t>1</w:t>
      </w:r>
      <w:r>
        <w:rPr/>
        <w:t>、智慧</w:t>
      </w:r>
      <w:r>
        <w:rPr>
          <w:rFonts w:ascii="Times New Roman" w:hAnsi="Times New Roman" w:cs="Times New Roman" w:eastAsia="Times New Roman" w:hint="default"/>
        </w:rPr>
        <w:t>+</w:t>
      </w:r>
      <w:r>
        <w:rPr/>
        <w:t>战略</w:t>
      </w:r>
      <w:r>
        <w:rPr>
          <w:w w:val="100"/>
        </w:rPr>
        <w:t> </w:t>
      </w:r>
      <w:r>
        <w:rPr>
          <w:spacing w:val="-2"/>
        </w:rPr>
        <w:t>坚持行业软件及大数据为基础的发展战略。行业软件业务是公司成长和壮大的基础，拥有完整的产品</w:t>
      </w:r>
    </w:p>
    <w:p>
      <w:pPr>
        <w:pStyle w:val="BodyText"/>
        <w:spacing w:line="273" w:lineRule="auto" w:before="22"/>
        <w:ind w:right="1128"/>
        <w:jc w:val="both"/>
      </w:pPr>
      <w:r>
        <w:rPr>
          <w:spacing w:val="-2"/>
        </w:rPr>
        <w:t>线、成熟的技术团队、丰富的行业经验、良好的品牌口碑和优质的行业客户。公司将自主核心技术与前瞻</w:t>
      </w:r>
      <w:r>
        <w:rPr>
          <w:spacing w:val="-47"/>
        </w:rPr>
        <w:t> </w:t>
      </w:r>
      <w:r>
        <w:rPr>
          <w:spacing w:val="-47"/>
        </w:rPr>
      </w:r>
      <w:r>
        <w:rPr>
          <w:spacing w:val="-2"/>
        </w:rPr>
        <w:t>性业务需求紧密结合，立足电信、能源、金融、交通、政府等公司具有广泛竞争优势的行业，兼顾公司现</w:t>
      </w:r>
      <w:r>
        <w:rPr>
          <w:spacing w:val="-45"/>
        </w:rPr>
        <w:t> </w:t>
      </w:r>
      <w:r>
        <w:rPr>
          <w:spacing w:val="-45"/>
        </w:rPr>
      </w:r>
      <w:r>
        <w:rPr>
          <w:spacing w:val="-2"/>
        </w:rPr>
        <w:t>有产品及服务可快速复制的行业，精耕细作，敏捷打造行业软件产品，发展大数据应用新业态，积极把握</w:t>
      </w:r>
      <w:r>
        <w:rPr>
          <w:spacing w:val="-47"/>
        </w:rPr>
        <w:t> </w:t>
      </w:r>
      <w:r>
        <w:rPr>
          <w:spacing w:val="-47"/>
        </w:rPr>
      </w:r>
      <w:r>
        <w:rPr/>
        <w:t>大数据运营与服务业务的开展，为公司新技术、新产品发展奠定基础。</w:t>
      </w:r>
    </w:p>
    <w:p>
      <w:pPr>
        <w:pStyle w:val="BodyText"/>
        <w:spacing w:line="256" w:lineRule="auto" w:before="7"/>
        <w:ind w:left="573" w:right="1133"/>
        <w:jc w:val="left"/>
      </w:pPr>
      <w:r>
        <w:rPr>
          <w:rFonts w:ascii="Times New Roman" w:hAnsi="Times New Roman" w:cs="Times New Roman" w:eastAsia="Times New Roman" w:hint="default"/>
        </w:rPr>
        <w:t>2</w:t>
      </w:r>
      <w:r>
        <w:rPr/>
        <w:t>、业务创新驱动发展战略</w:t>
      </w:r>
      <w:r>
        <w:rPr>
          <w:w w:val="100"/>
        </w:rPr>
        <w:t> </w:t>
      </w:r>
      <w:r>
        <w:rPr>
          <w:spacing w:val="-2"/>
        </w:rPr>
        <w:t>坚持业务创新为驱动发展战略。创新是公司发展的核心，是公司发展的加速器。要深入实施创新驱动</w:t>
      </w:r>
    </w:p>
    <w:p>
      <w:pPr>
        <w:pStyle w:val="BodyText"/>
        <w:spacing w:line="273" w:lineRule="auto" w:before="22"/>
        <w:ind w:right="1128"/>
        <w:jc w:val="both"/>
      </w:pPr>
      <w:r>
        <w:rPr>
          <w:spacing w:val="-2"/>
        </w:rPr>
        <w:t>发展战略，大力推进技术创新、业务模式创新和管理创新。聚焦突破核心关键技术，进一步提高自主创新</w:t>
      </w:r>
      <w:r>
        <w:rPr>
          <w:spacing w:val="-50"/>
        </w:rPr>
        <w:t> </w:t>
      </w:r>
      <w:r>
        <w:rPr>
          <w:spacing w:val="-50"/>
        </w:rPr>
      </w:r>
      <w:r>
        <w:rPr>
          <w:spacing w:val="-2"/>
        </w:rPr>
        <w:t>能力，全面提升产品和服务的附加价值和市场竞争力。勇于开拓创新业务模式，运用互联网思维，推进互</w:t>
      </w:r>
      <w:r>
        <w:rPr>
          <w:spacing w:val="-47"/>
        </w:rPr>
        <w:t> </w:t>
      </w:r>
      <w:r>
        <w:rPr>
          <w:spacing w:val="-47"/>
        </w:rPr>
      </w:r>
      <w:r>
        <w:rPr/>
        <w:t>联网业务几何级数增长。</w:t>
      </w:r>
    </w:p>
    <w:p>
      <w:pPr>
        <w:pStyle w:val="BodyText"/>
        <w:spacing w:line="256" w:lineRule="auto" w:before="7"/>
        <w:ind w:right="1128" w:firstLine="420"/>
        <w:jc w:val="both"/>
        <w:rPr>
          <w:rFonts w:ascii="Times New Roman" w:hAnsi="Times New Roman" w:cs="Times New Roman" w:eastAsia="Times New Roman" w:hint="default"/>
        </w:rPr>
      </w:pPr>
      <w:r>
        <w:rPr>
          <w:spacing w:val="-2"/>
        </w:rPr>
        <w:t>在</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业务板块，在现有互联网</w:t>
      </w:r>
      <w:r>
        <w:rPr>
          <w:rFonts w:ascii="Times New Roman" w:hAnsi="Times New Roman" w:cs="Times New Roman" w:eastAsia="Times New Roman" w:hint="default"/>
          <w:spacing w:val="-2"/>
        </w:rPr>
        <w:t>+</w:t>
      </w:r>
      <w:r>
        <w:rPr>
          <w:spacing w:val="-2"/>
        </w:rPr>
        <w:t>智慧物流云服务平台的基础上，加强慧联运</w:t>
      </w:r>
      <w:r>
        <w:rPr>
          <w:rFonts w:ascii="Times New Roman" w:hAnsi="Times New Roman" w:cs="Times New Roman" w:eastAsia="Times New Roman" w:hint="default"/>
          <w:spacing w:val="-2"/>
        </w:rPr>
        <w:t>APP</w:t>
      </w:r>
      <w:r>
        <w:rPr>
          <w:spacing w:val="-2"/>
        </w:rPr>
        <w:t>统一服务入口</w:t>
      </w:r>
      <w:r>
        <w:rPr>
          <w:w w:val="100"/>
        </w:rPr>
        <w:t> </w:t>
      </w:r>
      <w:r>
        <w:rPr>
          <w:spacing w:val="-2"/>
        </w:rPr>
        <w:t>建设，实现大数据、人工智能等技术与物流供应链的深度融合，充分发挥</w:t>
      </w:r>
      <w:r>
        <w:rPr>
          <w:rFonts w:ascii="Times New Roman" w:hAnsi="Times New Roman" w:cs="Times New Roman" w:eastAsia="Times New Roman" w:hint="default"/>
          <w:spacing w:val="-2"/>
        </w:rPr>
        <w:t>“</w:t>
      </w:r>
      <w:r>
        <w:rPr>
          <w:spacing w:val="-2"/>
        </w:rPr>
        <w:t>运力网、智能网、协同网</w:t>
      </w:r>
      <w:r>
        <w:rPr>
          <w:rFonts w:ascii="Times New Roman" w:hAnsi="Times New Roman" w:cs="Times New Roman" w:eastAsia="Times New Roman" w:hint="default"/>
          <w:spacing w:val="-2"/>
        </w:rPr>
        <w:t>”</w:t>
      </w:r>
      <w:r>
        <w:rPr>
          <w:spacing w:val="-2"/>
        </w:rPr>
        <w:t>的三</w:t>
      </w:r>
      <w:r>
        <w:rPr>
          <w:spacing w:val="-23"/>
        </w:rPr>
        <w:t> </w:t>
      </w:r>
      <w:r>
        <w:rPr/>
        <w:t>网核心竞争力，构建完整的科技物流服务生态链，为托运方和承运方提供</w:t>
      </w:r>
      <w:r>
        <w:rPr>
          <w:rFonts w:ascii="Times New Roman" w:hAnsi="Times New Roman" w:cs="Times New Roman" w:eastAsia="Times New Roman" w:hint="default"/>
        </w:rPr>
        <w:t>“</w:t>
      </w:r>
      <w:r>
        <w:rPr/>
        <w:t>科技承运服务</w:t>
      </w:r>
      <w:r>
        <w:rPr>
          <w:rFonts w:ascii="Times New Roman" w:hAnsi="Times New Roman" w:cs="Times New Roman" w:eastAsia="Times New Roman" w:hint="default"/>
        </w:rPr>
        <w:t>+</w:t>
      </w:r>
      <w:r>
        <w:rPr/>
        <w:t>金融数据服务</w:t>
      </w:r>
      <w:r>
        <w:rPr>
          <w:rFonts w:ascii="Times New Roman" w:hAnsi="Times New Roman" w:cs="Times New Roman" w:eastAsia="Times New Roman" w:hint="default"/>
        </w:rPr>
        <w:t>+</w:t>
      </w:r>
    </w:p>
    <w:p>
      <w:pPr>
        <w:spacing w:after="0" w:line="256"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56" w:lineRule="auto" w:before="36"/>
        <w:ind w:right="1136"/>
        <w:jc w:val="both"/>
      </w:pPr>
      <w:r>
        <w:rPr/>
        <w:t>物流信息化服务</w:t>
      </w:r>
      <w:r>
        <w:rPr>
          <w:rFonts w:ascii="Times New Roman" w:hAnsi="Times New Roman" w:cs="Times New Roman" w:eastAsia="Times New Roman" w:hint="default"/>
        </w:rPr>
        <w:t>”</w:t>
      </w:r>
      <w:r>
        <w:rPr/>
        <w:t>的综合服务，推进现代物流业转型升级，实现高质量发展；通过平台运营服务，实现公</w:t>
      </w:r>
      <w:r>
        <w:rPr>
          <w:spacing w:val="-17"/>
        </w:rPr>
        <w:t> </w:t>
      </w:r>
      <w:r>
        <w:rPr>
          <w:spacing w:val="-17"/>
        </w:rPr>
      </w:r>
      <w:r>
        <w:rPr/>
        <w:t>司收入的快速增长。</w:t>
      </w:r>
    </w:p>
    <w:p>
      <w:pPr>
        <w:pStyle w:val="BodyText"/>
        <w:spacing w:line="256" w:lineRule="auto" w:before="22"/>
        <w:ind w:left="573" w:right="1133"/>
        <w:jc w:val="left"/>
      </w:pPr>
      <w:r>
        <w:rPr>
          <w:rFonts w:ascii="Times New Roman" w:hAnsi="Times New Roman" w:cs="Times New Roman" w:eastAsia="Times New Roman" w:hint="default"/>
        </w:rPr>
        <w:t>3</w:t>
      </w:r>
      <w:r>
        <w:rPr/>
        <w:t>、智能软件引领战略</w:t>
      </w:r>
      <w:r>
        <w:rPr>
          <w:w w:val="100"/>
        </w:rPr>
        <w:t> </w:t>
      </w:r>
      <w:r>
        <w:rPr>
          <w:spacing w:val="-2"/>
        </w:rPr>
        <w:t>坚持智能软件为引领的发展战略。智能软件引领发展是公司发展战略的聚变器，将新一代信息技术与</w:t>
      </w:r>
    </w:p>
    <w:p>
      <w:pPr>
        <w:pStyle w:val="BodyText"/>
        <w:spacing w:line="273" w:lineRule="auto" w:before="22"/>
        <w:ind w:right="1128"/>
        <w:jc w:val="both"/>
      </w:pPr>
      <w:r>
        <w:rPr>
          <w:spacing w:val="-2"/>
        </w:rPr>
        <w:t>社会各领域信息化需求紧密结合，研究物联网、新一代计算、人工智能等领域前瞻性产品，加快推进新产</w:t>
      </w:r>
      <w:r>
        <w:rPr>
          <w:spacing w:val="-47"/>
        </w:rPr>
        <w:t> </w:t>
      </w:r>
      <w:r>
        <w:rPr>
          <w:spacing w:val="-47"/>
        </w:rPr>
      </w:r>
      <w:r>
        <w:rPr/>
        <w:t>品、新服务的应用示范，打造开创性业务。</w:t>
      </w:r>
    </w:p>
    <w:p>
      <w:pPr>
        <w:pStyle w:val="BodyText"/>
        <w:spacing w:line="273" w:lineRule="auto" w:before="7"/>
        <w:ind w:right="0" w:firstLine="420"/>
        <w:jc w:val="left"/>
      </w:pPr>
      <w:r>
        <w:rPr>
          <w:spacing w:val="-5"/>
        </w:rPr>
        <w:t>开展智能软件研究，充分发挥公司在行业应用软件领域积累的深厚技术与应用优势，运用大数据采集、</w:t>
      </w:r>
      <w:r>
        <w:rPr>
          <w:w w:val="100"/>
        </w:rPr>
        <w:t> </w:t>
      </w:r>
      <w:r>
        <w:rPr>
          <w:spacing w:val="-2"/>
        </w:rPr>
        <w:t>存储、分析、挖掘、机器学习、知识获取、自适应、模式识别等技术，为电信、能源、交通、金融、政府</w:t>
      </w:r>
      <w:r>
        <w:rPr>
          <w:spacing w:val="-45"/>
        </w:rPr>
        <w:t> </w:t>
      </w:r>
      <w:r>
        <w:rPr>
          <w:spacing w:val="-45"/>
        </w:rPr>
      </w:r>
      <w:r>
        <w:rPr>
          <w:spacing w:val="-2"/>
        </w:rPr>
        <w:t>等行业或领域用户提供大数据平台、分析决策软件、智能应用软件等，抢占人工智能时代智能软件的制高</w:t>
      </w:r>
      <w:r>
        <w:rPr>
          <w:spacing w:val="-45"/>
        </w:rPr>
        <w:t> </w:t>
      </w:r>
      <w:r>
        <w:rPr>
          <w:spacing w:val="-45"/>
        </w:rPr>
      </w:r>
      <w:r>
        <w:rPr/>
        <w:t>点，成为智能应用软件领域的领导者。</w:t>
      </w:r>
    </w:p>
    <w:p>
      <w:pPr>
        <w:pStyle w:val="BodyText"/>
        <w:spacing w:line="266" w:lineRule="auto" w:before="7"/>
        <w:ind w:right="1126" w:firstLine="420"/>
        <w:jc w:val="both"/>
      </w:pPr>
      <w:r>
        <w:rPr>
          <w:spacing w:val="-2"/>
        </w:rPr>
        <w:t>人工智能时代的到来，对软件的可信和安全需求十分迫切。加快高可信软件研发，研发安全嵌入式操</w:t>
      </w:r>
      <w:r>
        <w:rPr>
          <w:w w:val="100"/>
        </w:rPr>
        <w:t> </w:t>
      </w:r>
      <w:r>
        <w:rPr/>
        <w:t>作系统、程序分析工具、</w:t>
      </w:r>
      <w:r>
        <w:rPr>
          <w:rFonts w:ascii="Times New Roman" w:hAnsi="Times New Roman" w:cs="Times New Roman" w:eastAsia="Times New Roman" w:hint="default"/>
        </w:rPr>
        <w:t>C</w:t>
      </w:r>
      <w:r>
        <w:rPr/>
        <w:t>程序验证工具等具有世界领先水平的高可信软件产品和技术，为人工智能、航</w:t>
      </w:r>
      <w:r>
        <w:rPr>
          <w:spacing w:val="-60"/>
        </w:rPr>
        <w:t> </w:t>
      </w:r>
      <w:r>
        <w:rPr>
          <w:spacing w:val="-60"/>
        </w:rPr>
      </w:r>
      <w:r>
        <w:rPr/>
        <w:t>天、核工业、医疗机器人等尖端科技领域提供安全攸关的产品和创新的检验评测服务。</w:t>
      </w:r>
    </w:p>
    <w:p>
      <w:pPr>
        <w:pStyle w:val="BodyText"/>
        <w:spacing w:line="264" w:lineRule="auto" w:before="14"/>
        <w:ind w:right="1126" w:firstLine="420"/>
        <w:jc w:val="both"/>
      </w:pPr>
      <w:r>
        <w:rPr>
          <w:spacing w:val="-2"/>
        </w:rPr>
        <w:t>随着智能汽车</w:t>
      </w:r>
      <w:r>
        <w:rPr>
          <w:rFonts w:ascii="Times New Roman" w:hAnsi="Times New Roman" w:cs="Times New Roman" w:eastAsia="Times New Roman" w:hint="default"/>
          <w:spacing w:val="-2"/>
        </w:rPr>
        <w:t>“</w:t>
      </w:r>
      <w:r>
        <w:rPr>
          <w:spacing w:val="-2"/>
        </w:rPr>
        <w:t>电动化、智能化、网联化、共享化</w:t>
      </w:r>
      <w:r>
        <w:rPr>
          <w:rFonts w:ascii="Times New Roman" w:hAnsi="Times New Roman" w:cs="Times New Roman" w:eastAsia="Times New Roman" w:hint="default"/>
          <w:spacing w:val="-2"/>
        </w:rPr>
        <w:t>”</w:t>
      </w:r>
      <w:r>
        <w:rPr>
          <w:spacing w:val="-2"/>
        </w:rPr>
        <w:t>的持续推进，未来智能汽车对智能软件的要求越来</w:t>
      </w:r>
      <w:r>
        <w:rPr>
          <w:w w:val="100"/>
        </w:rPr>
        <w:t> </w:t>
      </w:r>
      <w:r>
        <w:rPr>
          <w:spacing w:val="-3"/>
        </w:rPr>
        <w:t>越高。加快以</w:t>
      </w:r>
      <w:r>
        <w:rPr>
          <w:rFonts w:ascii="Times New Roman" w:hAnsi="Times New Roman" w:cs="Times New Roman" w:eastAsia="Times New Roman" w:hint="default"/>
          <w:spacing w:val="-3"/>
        </w:rPr>
        <w:t>BMS</w:t>
      </w:r>
      <w:r>
        <w:rPr>
          <w:spacing w:val="-3"/>
        </w:rPr>
        <w:t>为核心的动力总成系统和智能电动汽车大数据分析平台的研发，积极应用以电池管理系</w:t>
      </w:r>
      <w:r>
        <w:rPr>
          <w:spacing w:val="-19"/>
        </w:rPr>
        <w:t> </w:t>
      </w:r>
      <w:r>
        <w:rPr>
          <w:spacing w:val="-19"/>
        </w:rPr>
      </w:r>
      <w:r>
        <w:rPr>
          <w:spacing w:val="-2"/>
        </w:rPr>
        <w:t>统为核心的控制器、热管理、能量控制、复杂结构设计、全工况的检验检测、嵌入式系统开发等技术开发</w:t>
      </w:r>
      <w:r>
        <w:rPr>
          <w:spacing w:val="-43"/>
        </w:rPr>
        <w:t> </w:t>
      </w:r>
      <w:r>
        <w:rPr>
          <w:spacing w:val="-43"/>
        </w:rPr>
      </w:r>
      <w:r>
        <w:rPr>
          <w:spacing w:val="-3"/>
        </w:rPr>
        <w:t>高度智能、高度集成化、以</w:t>
      </w:r>
      <w:r>
        <w:rPr>
          <w:rFonts w:ascii="Times New Roman" w:hAnsi="Times New Roman" w:cs="Times New Roman" w:eastAsia="Times New Roman" w:hint="default"/>
          <w:spacing w:val="-3"/>
        </w:rPr>
        <w:t>BMS</w:t>
      </w:r>
      <w:r>
        <w:rPr>
          <w:spacing w:val="-3"/>
        </w:rPr>
        <w:t>为核心的总成系统，运用大数据采集、存储、分析、挖掘等技术开发智能</w:t>
      </w:r>
      <w:r>
        <w:rPr>
          <w:spacing w:val="-27"/>
        </w:rPr>
        <w:t> </w:t>
      </w:r>
      <w:r>
        <w:rPr>
          <w:spacing w:val="-27"/>
        </w:rPr>
      </w:r>
      <w:r>
        <w:rPr>
          <w:spacing w:val="-2"/>
        </w:rPr>
        <w:t>电动汽车大数据分析平台，提供实时监控、故障诊断、在线运维、数据增值等服务；努力成为智能电动汽</w:t>
      </w:r>
      <w:r>
        <w:rPr>
          <w:spacing w:val="-43"/>
        </w:rPr>
        <w:t> </w:t>
      </w:r>
      <w:r>
        <w:rPr>
          <w:spacing w:val="-43"/>
        </w:rPr>
      </w:r>
      <w:r>
        <w:rPr/>
        <w:t>车软件引领者，推动智能电动汽车产业发展。</w:t>
      </w:r>
    </w:p>
    <w:p>
      <w:pPr>
        <w:pStyle w:val="BodyText"/>
        <w:spacing w:line="240" w:lineRule="auto" w:before="16"/>
        <w:ind w:left="573" w:right="1133"/>
        <w:jc w:val="left"/>
      </w:pPr>
      <w:r>
        <w:rPr/>
        <w:t>（三）经营计划</w:t>
      </w:r>
    </w:p>
    <w:p>
      <w:pPr>
        <w:pStyle w:val="BodyText"/>
        <w:spacing w:line="256" w:lineRule="auto" w:before="37"/>
        <w:ind w:right="1128" w:firstLine="420"/>
        <w:jc w:val="both"/>
      </w:pPr>
      <w:r>
        <w:rPr>
          <w:rFonts w:ascii="Times New Roman" w:hAnsi="Times New Roman" w:cs="Times New Roman" w:eastAsia="Times New Roman" w:hint="default"/>
          <w:spacing w:val="-2"/>
        </w:rPr>
        <w:t>2019</w:t>
      </w:r>
      <w:r>
        <w:rPr>
          <w:spacing w:val="-2"/>
        </w:rPr>
        <w:t>年，公司在大力加强市场开拓和产品研发的同时，狠抓成本管控，确保预算落地，提升公司经营</w:t>
      </w:r>
      <w:r>
        <w:rPr>
          <w:w w:val="100"/>
        </w:rPr>
        <w:t> </w:t>
      </w:r>
      <w:r>
        <w:rPr/>
        <w:t>业绩，重点开展以下经营管理工作：</w:t>
      </w:r>
    </w:p>
    <w:p>
      <w:pPr>
        <w:pStyle w:val="BodyText"/>
        <w:spacing w:line="256" w:lineRule="auto" w:before="22"/>
        <w:ind w:left="573" w:right="1133"/>
        <w:jc w:val="left"/>
      </w:pPr>
      <w:r>
        <w:rPr>
          <w:rFonts w:ascii="Times New Roman" w:hAnsi="Times New Roman" w:cs="Times New Roman" w:eastAsia="Times New Roman" w:hint="default"/>
        </w:rPr>
        <w:t>1</w:t>
      </w:r>
      <w:r>
        <w:rPr/>
        <w:t>、市场开拓</w:t>
      </w:r>
      <w:r>
        <w:rPr>
          <w:w w:val="100"/>
        </w:rPr>
        <w:t> </w:t>
      </w:r>
      <w:r>
        <w:rPr>
          <w:spacing w:val="-2"/>
        </w:rPr>
        <w:t>坚持市场与研发双轮驱动的经营思路，以市场拓展和品牌推广为抓手，在拥有优势产品领域，不断巩</w:t>
      </w:r>
    </w:p>
    <w:p>
      <w:pPr>
        <w:pStyle w:val="BodyText"/>
        <w:spacing w:line="273" w:lineRule="auto" w:before="22"/>
        <w:ind w:right="1104"/>
        <w:jc w:val="both"/>
      </w:pPr>
      <w:r>
        <w:rPr>
          <w:spacing w:val="-2"/>
        </w:rPr>
        <w:t>固市场和行业地位，快速扩大市场份额；在新进应用领域，持续提升产品方案，重点加强标杆示范创建；</w:t>
      </w:r>
      <w:r>
        <w:rPr>
          <w:spacing w:val="-21"/>
        </w:rPr>
        <w:t> </w:t>
      </w:r>
      <w:r>
        <w:rPr>
          <w:spacing w:val="-21"/>
        </w:rPr>
      </w:r>
      <w:r>
        <w:rPr/>
        <w:t>在战略布局领域，集聚研发力量，面向市场，坚持创新，抢占先机。</w:t>
      </w:r>
    </w:p>
    <w:p>
      <w:pPr>
        <w:pStyle w:val="BodyText"/>
        <w:spacing w:line="256" w:lineRule="auto" w:before="7"/>
        <w:ind w:left="573" w:right="1133"/>
        <w:jc w:val="left"/>
      </w:pPr>
      <w:r>
        <w:rPr/>
        <w:t>（</w:t>
      </w:r>
      <w:r>
        <w:rPr>
          <w:rFonts w:ascii="Times New Roman" w:hAnsi="Times New Roman" w:cs="Times New Roman" w:eastAsia="Times New Roman" w:hint="default"/>
        </w:rPr>
        <w:t>1</w:t>
      </w:r>
      <w:r>
        <w:rPr/>
        <w:t>）软件及大数据</w:t>
      </w:r>
      <w:r>
        <w:rPr>
          <w:w w:val="100"/>
        </w:rPr>
        <w:t> </w:t>
      </w:r>
      <w:r>
        <w:rPr/>
        <w:t>运营商</w:t>
      </w:r>
      <w:r>
        <w:rPr>
          <w:rFonts w:ascii="Times New Roman" w:hAnsi="Times New Roman" w:cs="Times New Roman" w:eastAsia="Times New Roman" w:hint="default"/>
        </w:rPr>
        <w:t>BG</w:t>
      </w:r>
      <w:r>
        <w:rPr/>
        <w:t>：紧密围绕三大运营商，加快推进</w:t>
      </w:r>
      <w:r>
        <w:rPr>
          <w:rFonts w:ascii="Times New Roman" w:hAnsi="Times New Roman" w:cs="Times New Roman" w:eastAsia="Times New Roman" w:hint="default"/>
        </w:rPr>
        <w:t>5G</w:t>
      </w:r>
      <w:r>
        <w:rPr/>
        <w:t>、人工智能、物联网等新技术的研发，占领产品制高</w:t>
      </w:r>
    </w:p>
    <w:p>
      <w:pPr>
        <w:pStyle w:val="BodyText"/>
        <w:spacing w:line="261" w:lineRule="auto" w:before="5"/>
        <w:ind w:right="1023"/>
        <w:jc w:val="both"/>
      </w:pPr>
      <w:r>
        <w:rPr>
          <w:spacing w:val="-4"/>
        </w:rPr>
        <w:t>点，聚焦运营支撑软件，在既有业务市场占有率不断提升的同时加大新市场开拓力度；行业</w:t>
      </w:r>
      <w:r>
        <w:rPr>
          <w:rFonts w:ascii="Times New Roman" w:hAnsi="Times New Roman" w:cs="Times New Roman" w:eastAsia="Times New Roman" w:hint="default"/>
          <w:spacing w:val="-4"/>
        </w:rPr>
        <w:t>BG</w:t>
      </w:r>
      <w:r>
        <w:rPr>
          <w:spacing w:val="-4"/>
        </w:rPr>
        <w:t>：依托目前</w:t>
      </w:r>
      <w:r>
        <w:rPr>
          <w:spacing w:val="-29"/>
        </w:rPr>
        <w:t> </w:t>
      </w:r>
      <w:r>
        <w:rPr>
          <w:spacing w:val="-29"/>
        </w:rPr>
      </w:r>
      <w:r>
        <w:rPr/>
        <w:t>交通、能源、海关等行业领域的综合执法、智慧管控平台、综合治超、智慧交通等优势产品，立足安徽，</w:t>
      </w:r>
      <w:r>
        <w:rPr>
          <w:w w:val="100"/>
        </w:rPr>
        <w:t> </w:t>
      </w:r>
      <w:r>
        <w:rPr/>
        <w:t>快速向全国推广；智慧城市</w:t>
      </w:r>
      <w:r>
        <w:rPr>
          <w:rFonts w:ascii="Times New Roman" w:hAnsi="Times New Roman" w:cs="Times New Roman" w:eastAsia="Times New Roman" w:hint="default"/>
        </w:rPr>
        <w:t>BG</w:t>
      </w:r>
      <w:r>
        <w:rPr/>
        <w:t>：继续依托互联网</w:t>
      </w:r>
      <w:r>
        <w:rPr>
          <w:rFonts w:ascii="Times New Roman" w:hAnsi="Times New Roman" w:cs="Times New Roman" w:eastAsia="Times New Roman" w:hint="default"/>
        </w:rPr>
        <w:t>+</w:t>
      </w:r>
      <w:r>
        <w:rPr/>
        <w:t>智能督办考核平台、信用大数据平台、互联网政务、云</w:t>
      </w:r>
      <w:r>
        <w:rPr>
          <w:w w:val="100"/>
        </w:rPr>
        <w:t> </w:t>
      </w:r>
      <w:r>
        <w:rPr>
          <w:spacing w:val="-4"/>
        </w:rPr>
        <w:t>计算数据中心、集成智能化等优势产品和解决方案，不断提升区域市场份额，重点开拓</w:t>
      </w:r>
      <w:r>
        <w:rPr>
          <w:rFonts w:ascii="Times New Roman" w:hAnsi="Times New Roman" w:cs="Times New Roman" w:eastAsia="Times New Roman" w:hint="default"/>
          <w:spacing w:val="-4"/>
        </w:rPr>
        <w:t>2-3</w:t>
      </w:r>
      <w:r>
        <w:rPr>
          <w:spacing w:val="-4"/>
        </w:rPr>
        <w:t>个重大标杆性项</w:t>
      </w:r>
      <w:r>
        <w:rPr>
          <w:spacing w:val="-14"/>
        </w:rPr>
        <w:t> </w:t>
      </w:r>
      <w:r>
        <w:rPr>
          <w:spacing w:val="-14"/>
        </w:rPr>
      </w:r>
      <w:r>
        <w:rPr>
          <w:spacing w:val="-4"/>
        </w:rPr>
        <w:t>目，提升公司综合竞争力；国际</w:t>
      </w:r>
      <w:r>
        <w:rPr>
          <w:rFonts w:ascii="Times New Roman" w:hAnsi="Times New Roman" w:cs="Times New Roman" w:eastAsia="Times New Roman" w:hint="default"/>
          <w:spacing w:val="-4"/>
        </w:rPr>
        <w:t>BG</w:t>
      </w:r>
      <w:r>
        <w:rPr>
          <w:spacing w:val="-4"/>
        </w:rPr>
        <w:t>：持续增强日本国创的国际市场平台功能，积极开拓国内外优质潜力大</w:t>
      </w:r>
      <w:r>
        <w:rPr>
          <w:spacing w:val="-30"/>
        </w:rPr>
        <w:t> </w:t>
      </w:r>
      <w:r>
        <w:rPr>
          <w:spacing w:val="-30"/>
        </w:rPr>
      </w:r>
      <w:r>
        <w:rPr>
          <w:spacing w:val="-5"/>
        </w:rPr>
        <w:t>客户和深耕现有核心客户，同时继续发挥中日市场的联动效应，推进金融、医疗等产品和解决方案的应用。</w:t>
      </w:r>
    </w:p>
    <w:p>
      <w:pPr>
        <w:pStyle w:val="BodyText"/>
        <w:spacing w:line="256" w:lineRule="auto" w:before="19"/>
        <w:ind w:left="573" w:right="1133"/>
        <w:jc w:val="left"/>
      </w:pPr>
      <w:r>
        <w:rPr/>
        <w:t>（</w:t>
      </w: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智慧物流云服务平台</w:t>
      </w:r>
      <w:r>
        <w:rPr>
          <w:w w:val="100"/>
        </w:rPr>
        <w:t> </w:t>
      </w:r>
      <w:r>
        <w:rPr/>
        <w:t>继续围绕科技承运服务</w:t>
      </w:r>
      <w:r>
        <w:rPr>
          <w:rFonts w:ascii="Times New Roman" w:hAnsi="Times New Roman" w:cs="Times New Roman" w:eastAsia="Times New Roman" w:hint="default"/>
        </w:rPr>
        <w:t>+</w:t>
      </w:r>
      <w:r>
        <w:rPr/>
        <w:t>金融数据服务</w:t>
      </w:r>
      <w:r>
        <w:rPr>
          <w:rFonts w:ascii="Times New Roman" w:hAnsi="Times New Roman" w:cs="Times New Roman" w:eastAsia="Times New Roman" w:hint="default"/>
        </w:rPr>
        <w:t>+</w:t>
      </w:r>
      <w:r>
        <w:rPr/>
        <w:t>物流信息化服务三大业务，充分发挥</w:t>
      </w:r>
      <w:r>
        <w:rPr>
          <w:rFonts w:ascii="Times New Roman" w:hAnsi="Times New Roman" w:cs="Times New Roman" w:eastAsia="Times New Roman" w:hint="default"/>
        </w:rPr>
        <w:t>“</w:t>
      </w:r>
      <w:r>
        <w:rPr/>
        <w:t>运力网、智能网、协同</w:t>
      </w:r>
    </w:p>
    <w:p>
      <w:pPr>
        <w:pStyle w:val="BodyText"/>
        <w:spacing w:line="266" w:lineRule="auto" w:before="5"/>
        <w:ind w:right="1104"/>
        <w:jc w:val="both"/>
      </w:pPr>
      <w:r>
        <w:rPr/>
        <w:t>网</w:t>
      </w:r>
      <w:r>
        <w:rPr>
          <w:rFonts w:ascii="Times New Roman" w:hAnsi="Times New Roman" w:cs="Times New Roman" w:eastAsia="Times New Roman" w:hint="default"/>
        </w:rPr>
        <w:t>”</w:t>
      </w:r>
      <w:r>
        <w:rPr/>
        <w:t>的三网核心竞争力，大力发展用户数，重点突破战略性大用户，加大长三角、珠三角等经济发达地区</w:t>
      </w:r>
      <w:r>
        <w:rPr>
          <w:spacing w:val="-18"/>
        </w:rPr>
        <w:t> </w:t>
      </w:r>
      <w:r>
        <w:rPr>
          <w:spacing w:val="-18"/>
        </w:rPr>
      </w:r>
      <w:r>
        <w:rPr>
          <w:spacing w:val="-2"/>
        </w:rPr>
        <w:t>的市场布局力度，打造可信运力池和货源池，构建完整的科技物流服务生态链；持续加强平台研发升级，</w:t>
      </w:r>
      <w:r>
        <w:rPr>
          <w:spacing w:val="-21"/>
        </w:rPr>
        <w:t> </w:t>
      </w:r>
      <w:r>
        <w:rPr>
          <w:spacing w:val="-21"/>
        </w:rPr>
      </w:r>
      <w:r>
        <w:rPr>
          <w:spacing w:val="-2"/>
        </w:rPr>
        <w:t>提升用户体验；创新金融数据产品，依托优质服务，建成前台、中台、后台三位一体的协同运输智慧物流</w:t>
      </w:r>
      <w:r>
        <w:rPr>
          <w:spacing w:val="-43"/>
        </w:rPr>
        <w:t> </w:t>
      </w:r>
      <w:r>
        <w:rPr>
          <w:spacing w:val="-43"/>
        </w:rPr>
      </w:r>
      <w:r>
        <w:rPr/>
        <w:t>云平台。</w:t>
      </w:r>
    </w:p>
    <w:p>
      <w:pPr>
        <w:pStyle w:val="BodyText"/>
        <w:spacing w:line="256" w:lineRule="auto" w:before="14"/>
        <w:ind w:left="520" w:right="1133" w:firstLine="52"/>
        <w:jc w:val="left"/>
      </w:pPr>
      <w:r>
        <w:rPr/>
        <w:t>（</w:t>
      </w:r>
      <w:r>
        <w:rPr>
          <w:rFonts w:ascii="Times New Roman" w:hAnsi="Times New Roman" w:cs="Times New Roman" w:eastAsia="Times New Roman" w:hint="default"/>
        </w:rPr>
        <w:t>3</w:t>
      </w:r>
      <w:r>
        <w:rPr/>
        <w:t>）人工智能产品</w:t>
      </w:r>
      <w:r>
        <w:rPr>
          <w:w w:val="100"/>
        </w:rPr>
        <w:t> </w:t>
      </w:r>
      <w:r>
        <w:rPr>
          <w:spacing w:val="-1"/>
        </w:rPr>
        <w:t>继续坚持国际领先的高可信软件研发，深入推进高可信软件程序分析工具和验证工具的研发，推出验</w:t>
      </w:r>
    </w:p>
    <w:p>
      <w:pPr>
        <w:pStyle w:val="BodyText"/>
        <w:spacing w:line="256" w:lineRule="auto" w:before="22"/>
        <w:ind w:right="1020"/>
        <w:jc w:val="both"/>
      </w:pPr>
      <w:r>
        <w:rPr>
          <w:spacing w:val="-3"/>
        </w:rPr>
        <w:t>证器的网络版本及可供潜在客户试用的原型产品，实现</w:t>
      </w:r>
      <w:r>
        <w:rPr>
          <w:rFonts w:ascii="Times New Roman" w:hAnsi="Times New Roman" w:cs="Times New Roman" w:eastAsia="Times New Roman" w:hint="default"/>
          <w:spacing w:val="-3"/>
        </w:rPr>
        <w:t>C</w:t>
      </w:r>
      <w:r>
        <w:rPr>
          <w:spacing w:val="-3"/>
        </w:rPr>
        <w:t>语言程序的初步验证，进一步扩大试点应用范围；</w:t>
      </w:r>
      <w:r>
        <w:rPr>
          <w:spacing w:val="-29"/>
        </w:rPr>
        <w:t> </w:t>
      </w:r>
      <w:r>
        <w:rPr>
          <w:spacing w:val="-29"/>
        </w:rPr>
      </w:r>
      <w:r>
        <w:rPr>
          <w:spacing w:val="-5"/>
        </w:rPr>
        <w:t>持续加强智能软件产品在智能电动汽车领域的应用，深耕现有核心客户，抢抓机遇，加大新客户开拓力度，</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力争突破</w:t>
      </w:r>
      <w:r>
        <w:rPr>
          <w:rFonts w:ascii="Times New Roman" w:hAnsi="Times New Roman" w:cs="Times New Roman" w:eastAsia="Times New Roman" w:hint="default"/>
        </w:rPr>
        <w:t>1-2</w:t>
      </w:r>
      <w:r>
        <w:rPr/>
        <w:t>家量产客户，努力成为国内同类产品第一品牌。</w:t>
      </w:r>
    </w:p>
    <w:p>
      <w:pPr>
        <w:pStyle w:val="BodyText"/>
        <w:spacing w:line="256" w:lineRule="auto" w:before="21"/>
        <w:ind w:left="573" w:right="1133"/>
        <w:jc w:val="left"/>
      </w:pPr>
      <w:r>
        <w:rPr>
          <w:rFonts w:ascii="Times New Roman" w:hAnsi="Times New Roman" w:cs="Times New Roman" w:eastAsia="Times New Roman" w:hint="default"/>
        </w:rPr>
        <w:t>2</w:t>
      </w:r>
      <w:r>
        <w:rPr/>
        <w:t>、产品研发</w:t>
      </w:r>
      <w:r>
        <w:rPr>
          <w:w w:val="100"/>
        </w:rPr>
        <w:t> </w:t>
      </w:r>
      <w:r>
        <w:rPr>
          <w:spacing w:val="-2"/>
        </w:rPr>
        <w:t>打造公司三层架构的研发体系，公司总部层面，发挥中央研究院功能，持续加大共性平台及通用技术</w:t>
      </w:r>
    </w:p>
    <w:p>
      <w:pPr>
        <w:pStyle w:val="BodyText"/>
        <w:spacing w:line="256" w:lineRule="auto" w:before="22"/>
        <w:ind w:right="1126"/>
        <w:jc w:val="both"/>
      </w:pPr>
      <w:r>
        <w:rPr>
          <w:spacing w:val="-3"/>
        </w:rPr>
        <w:t>等基础研发力度，重点加强</w:t>
      </w:r>
      <w:r>
        <w:rPr>
          <w:rFonts w:ascii="Times New Roman" w:hAnsi="Times New Roman" w:cs="Times New Roman" w:eastAsia="Times New Roman" w:hint="default"/>
          <w:spacing w:val="-3"/>
        </w:rPr>
        <w:t>5G</w:t>
      </w:r>
      <w:r>
        <w:rPr>
          <w:spacing w:val="-3"/>
        </w:rPr>
        <w:t>、人工智能、物联网等最新技术与公司产品的融合应用；在业务群层面，重</w:t>
      </w:r>
      <w:r>
        <w:rPr>
          <w:spacing w:val="-42"/>
        </w:rPr>
        <w:t> </w:t>
      </w:r>
      <w:r>
        <w:rPr>
          <w:spacing w:val="-42"/>
        </w:rPr>
      </w:r>
      <w:r>
        <w:rPr>
          <w:spacing w:val="-7"/>
          <w:w w:val="100"/>
        </w:rPr>
        <w:t>点关注公共技术研究，不断加强大数据驱动的智能应用软件、高可信软件程序分析工具和验证工具、以</w:t>
      </w:r>
      <w:r>
        <w:rPr>
          <w:rFonts w:ascii="Times New Roman" w:hAnsi="Times New Roman" w:cs="Times New Roman" w:eastAsia="Times New Roman" w:hint="default"/>
          <w:spacing w:val="-7"/>
          <w:w w:val="100"/>
        </w:rPr>
        <w:t>BMS</w:t>
      </w:r>
      <w:r>
        <w:rPr>
          <w:rFonts w:ascii="Times New Roman" w:hAnsi="Times New Roman" w:cs="Times New Roman" w:eastAsia="Times New Roman" w:hint="default"/>
          <w:spacing w:val="-37"/>
          <w:w w:val="100"/>
        </w:rPr>
        <w:t> </w:t>
      </w:r>
      <w:r>
        <w:rPr>
          <w:rFonts w:ascii="Times New Roman" w:hAnsi="Times New Roman" w:cs="Times New Roman" w:eastAsia="Times New Roman" w:hint="default"/>
          <w:spacing w:val="-37"/>
          <w:w w:val="100"/>
        </w:rPr>
      </w:r>
      <w:r>
        <w:rPr/>
        <w:t>为核心的动力总成系统、智能电动汽车大数据分析平台、互联网</w:t>
      </w:r>
      <w:r>
        <w:rPr>
          <w:rFonts w:ascii="Times New Roman" w:hAnsi="Times New Roman" w:cs="Times New Roman" w:eastAsia="Times New Roman" w:hint="default"/>
        </w:rPr>
        <w:t>+</w:t>
      </w:r>
      <w:r>
        <w:rPr/>
        <w:t>智慧物流云服务平台等的创新研发；在</w:t>
      </w:r>
      <w:r>
        <w:rPr>
          <w:spacing w:val="-36"/>
        </w:rPr>
        <w:t> </w:t>
      </w:r>
      <w:r>
        <w:rPr>
          <w:spacing w:val="-36"/>
        </w:rPr>
      </w:r>
      <w:r>
        <w:rPr>
          <w:spacing w:val="-3"/>
        </w:rPr>
        <w:t>业务单元层面，持续加强与项目结合的技术和产品研发，持续加强电信运营支撑软件与</w:t>
      </w:r>
      <w:r>
        <w:rPr>
          <w:rFonts w:ascii="Times New Roman" w:hAnsi="Times New Roman" w:cs="Times New Roman" w:eastAsia="Times New Roman" w:hint="default"/>
          <w:spacing w:val="-3"/>
        </w:rPr>
        <w:t>5G</w:t>
      </w:r>
      <w:r>
        <w:rPr>
          <w:spacing w:val="-3"/>
        </w:rPr>
        <w:t>的融合研发以及</w:t>
      </w:r>
      <w:r>
        <w:rPr>
          <w:spacing w:val="-45"/>
        </w:rPr>
        <w:t> </w:t>
      </w:r>
      <w:r>
        <w:rPr>
          <w:spacing w:val="-45"/>
        </w:rPr>
      </w:r>
      <w:r>
        <w:rPr/>
        <w:t>大数据应用平台及解决方案在政府、交通、能源、医疗等领域的研发应用。</w:t>
      </w:r>
    </w:p>
    <w:p>
      <w:pPr>
        <w:pStyle w:val="BodyText"/>
        <w:spacing w:line="256" w:lineRule="auto" w:before="22"/>
        <w:ind w:left="573" w:right="1133"/>
        <w:jc w:val="left"/>
      </w:pPr>
      <w:r>
        <w:rPr>
          <w:rFonts w:ascii="Times New Roman" w:hAnsi="Times New Roman" w:cs="Times New Roman" w:eastAsia="Times New Roman" w:hint="default"/>
        </w:rPr>
        <w:t>3</w:t>
      </w:r>
      <w:r>
        <w:rPr/>
        <w:t>、公司管理</w:t>
      </w:r>
      <w:r>
        <w:rPr>
          <w:w w:val="100"/>
        </w:rPr>
        <w:t> </w:t>
      </w:r>
      <w:r>
        <w:rPr>
          <w:spacing w:val="-2"/>
        </w:rPr>
        <w:t>根据公司战略规划，持续优化组织架构和人才结构，深化组织机制变革，建立以战略管控、财务管控</w:t>
      </w:r>
    </w:p>
    <w:p>
      <w:pPr>
        <w:pStyle w:val="BodyText"/>
        <w:spacing w:line="273" w:lineRule="auto" w:before="22"/>
        <w:ind w:right="1126"/>
        <w:jc w:val="both"/>
      </w:pPr>
      <w:r>
        <w:rPr>
          <w:spacing w:val="-2"/>
        </w:rPr>
        <w:t>为主的总部管控模式，总部各业务单位以子公司形式运营，既有人力、研发、资金、资质的共享协同，又</w:t>
      </w:r>
      <w:r>
        <w:rPr>
          <w:spacing w:val="-42"/>
        </w:rPr>
        <w:t> </w:t>
      </w:r>
      <w:r>
        <w:rPr>
          <w:spacing w:val="-42"/>
        </w:rPr>
      </w:r>
      <w:r>
        <w:rPr>
          <w:spacing w:val="-2"/>
        </w:rPr>
        <w:t>能责权利分工明确，营造公司你追我赶、积极向上、勇于担当的良好氛围。通过紧抓规范运作、梳理治理</w:t>
      </w:r>
      <w:r>
        <w:rPr>
          <w:spacing w:val="-43"/>
        </w:rPr>
        <w:t> </w:t>
      </w:r>
      <w:r>
        <w:rPr>
          <w:spacing w:val="-43"/>
        </w:rPr>
      </w:r>
      <w:r>
        <w:rPr>
          <w:spacing w:val="-2"/>
        </w:rPr>
        <w:t>架构、健全管理体系、推进目标管理与绩效薪酬激励一体化建设、强化全面预算及过程管控、加强内部审</w:t>
      </w:r>
      <w:r>
        <w:rPr>
          <w:spacing w:val="-47"/>
        </w:rPr>
        <w:t> </w:t>
      </w:r>
      <w:r>
        <w:rPr>
          <w:spacing w:val="-47"/>
        </w:rPr>
      </w:r>
      <w:r>
        <w:rPr/>
        <w:t>计工作等举措，多维度强化管理与战略协同，促进公司发展战略落地，确保预算目标的实现。</w:t>
      </w:r>
    </w:p>
    <w:p>
      <w:pPr>
        <w:pStyle w:val="BodyText"/>
        <w:spacing w:line="256" w:lineRule="auto" w:before="7"/>
        <w:ind w:left="573" w:right="1133"/>
        <w:jc w:val="left"/>
      </w:pPr>
      <w:r>
        <w:rPr>
          <w:rFonts w:ascii="Times New Roman" w:hAnsi="Times New Roman" w:cs="Times New Roman" w:eastAsia="Times New Roman" w:hint="default"/>
        </w:rPr>
        <w:t>4</w:t>
      </w:r>
      <w:r>
        <w:rPr/>
        <w:t>、人力资源</w:t>
      </w:r>
      <w:r>
        <w:rPr>
          <w:w w:val="100"/>
        </w:rPr>
        <w:t> </w:t>
      </w:r>
      <w:r>
        <w:rPr>
          <w:spacing w:val="-2"/>
        </w:rPr>
        <w:t>继续执行</w:t>
      </w:r>
      <w:r>
        <w:rPr>
          <w:rFonts w:ascii="Times New Roman" w:hAnsi="Times New Roman" w:cs="Times New Roman" w:eastAsia="Times New Roman" w:hint="default"/>
          <w:spacing w:val="-2"/>
        </w:rPr>
        <w:t>“</w:t>
      </w:r>
      <w:r>
        <w:rPr>
          <w:spacing w:val="-2"/>
        </w:rPr>
        <w:t>高质量、高效率、高待遇</w:t>
      </w:r>
      <w:r>
        <w:rPr>
          <w:rFonts w:ascii="Times New Roman" w:hAnsi="Times New Roman" w:cs="Times New Roman" w:eastAsia="Times New Roman" w:hint="default"/>
          <w:spacing w:val="-2"/>
        </w:rPr>
        <w:t>”</w:t>
      </w:r>
      <w:r>
        <w:rPr>
          <w:spacing w:val="-2"/>
        </w:rPr>
        <w:t>经营策略，紧扣公司发展战略，开展人才规划，严控人员规模，</w:t>
      </w:r>
    </w:p>
    <w:p>
      <w:pPr>
        <w:pStyle w:val="BodyText"/>
        <w:spacing w:line="273" w:lineRule="auto" w:before="5"/>
        <w:ind w:right="1126"/>
        <w:jc w:val="both"/>
      </w:pPr>
      <w:r>
        <w:rPr>
          <w:spacing w:val="-2"/>
        </w:rPr>
        <w:t>提高人员质量，前瞻性、储备性和针对性培养和引进高端人才，通过股权激励、事业合伙人等机制，打造</w:t>
      </w:r>
      <w:r>
        <w:rPr>
          <w:spacing w:val="-43"/>
        </w:rPr>
        <w:t> </w:t>
      </w:r>
      <w:r>
        <w:rPr>
          <w:spacing w:val="-43"/>
        </w:rPr>
      </w:r>
      <w:r>
        <w:rPr/>
        <w:t>一支勇于担当、锐意进取、团结向上的高素质经营管理团队。</w:t>
      </w:r>
    </w:p>
    <w:p>
      <w:pPr>
        <w:pStyle w:val="BodyText"/>
        <w:spacing w:line="256" w:lineRule="auto" w:before="7"/>
        <w:ind w:left="573" w:right="1133"/>
        <w:jc w:val="left"/>
      </w:pPr>
      <w:r>
        <w:rPr>
          <w:rFonts w:ascii="Times New Roman" w:hAnsi="Times New Roman" w:cs="Times New Roman" w:eastAsia="Times New Roman" w:hint="default"/>
        </w:rPr>
        <w:t>5</w:t>
      </w:r>
      <w:r>
        <w:rPr/>
        <w:t>、外延扩张</w:t>
      </w:r>
      <w:r>
        <w:rPr>
          <w:w w:val="100"/>
        </w:rPr>
        <w:t> </w:t>
      </w:r>
      <w:r>
        <w:rPr>
          <w:spacing w:val="-2"/>
        </w:rPr>
        <w:t>根据公司发展战略，不断加强现有外延标的的融合与协同，整合优势资源，积极扶持吸收并购和投资</w:t>
      </w:r>
    </w:p>
    <w:p>
      <w:pPr>
        <w:pStyle w:val="BodyText"/>
        <w:spacing w:line="273" w:lineRule="auto" w:before="22"/>
        <w:ind w:right="1126"/>
        <w:jc w:val="both"/>
      </w:pPr>
      <w:r>
        <w:rPr>
          <w:spacing w:val="-2"/>
        </w:rPr>
        <w:t>参股公司，促进其发展壮大，实现互利共赢；同时，继续围绕自身核心业务，以增强公司中长期战略竞争</w:t>
      </w:r>
      <w:r>
        <w:rPr>
          <w:spacing w:val="-43"/>
        </w:rPr>
        <w:t> </w:t>
      </w:r>
      <w:r>
        <w:rPr>
          <w:spacing w:val="-43"/>
        </w:rPr>
      </w:r>
      <w:r>
        <w:rPr>
          <w:spacing w:val="-2"/>
        </w:rPr>
        <w:t>能力为目的，围绕智能终端、智能软件、大数据产品和运营以及具有国际领先技术的相关业务等领域寻求</w:t>
      </w:r>
      <w:r>
        <w:rPr>
          <w:spacing w:val="-43"/>
        </w:rPr>
        <w:t> </w:t>
      </w:r>
      <w:r>
        <w:rPr>
          <w:spacing w:val="-43"/>
        </w:rPr>
      </w:r>
      <w:r>
        <w:rPr>
          <w:spacing w:val="-2"/>
        </w:rPr>
        <w:t>战略扩张机遇，在时机、条件和对象等较为成熟的前提下，充分利用自身优势和资本市场平台，采用兼并</w:t>
      </w:r>
      <w:r>
        <w:rPr>
          <w:spacing w:val="-47"/>
        </w:rPr>
        <w:t> </w:t>
      </w:r>
      <w:r>
        <w:rPr>
          <w:spacing w:val="-47"/>
        </w:rPr>
      </w:r>
      <w:r>
        <w:rPr/>
        <w:t>收购、资金投入、合作开发等多种形式扩张，提升公司的经营业绩和综合竞争力。</w:t>
      </w:r>
    </w:p>
    <w:p>
      <w:pPr>
        <w:pStyle w:val="BodyText"/>
        <w:spacing w:line="240" w:lineRule="auto" w:before="7"/>
        <w:ind w:left="573" w:right="1133"/>
        <w:jc w:val="left"/>
      </w:pPr>
      <w:r>
        <w:rPr/>
        <w:t>（四）经营风险</w:t>
      </w:r>
    </w:p>
    <w:p>
      <w:pPr>
        <w:pStyle w:val="BodyText"/>
        <w:spacing w:line="256" w:lineRule="auto" w:before="37"/>
        <w:ind w:left="573" w:right="1133"/>
        <w:jc w:val="left"/>
      </w:pPr>
      <w:r>
        <w:rPr>
          <w:rFonts w:ascii="Times New Roman" w:hAnsi="Times New Roman" w:cs="Times New Roman" w:eastAsia="Times New Roman" w:hint="default"/>
        </w:rPr>
        <w:t>1</w:t>
      </w:r>
      <w:r>
        <w:rPr/>
        <w:t>、市场竞争加剧的风险</w:t>
      </w:r>
      <w:r>
        <w:rPr>
          <w:w w:val="100"/>
        </w:rPr>
        <w:t> </w:t>
      </w:r>
      <w:r>
        <w:rPr>
          <w:spacing w:val="-2"/>
        </w:rPr>
        <w:t>国内行业软件市场是一个快速发展、空间广阔的开放市场，从事行业软件研发服务的企业数量持续增</w:t>
      </w:r>
    </w:p>
    <w:p>
      <w:pPr>
        <w:pStyle w:val="BodyText"/>
        <w:spacing w:line="273" w:lineRule="auto" w:before="22"/>
        <w:ind w:right="1126"/>
        <w:jc w:val="both"/>
      </w:pPr>
      <w:r>
        <w:rPr>
          <w:spacing w:val="-2"/>
        </w:rPr>
        <w:t>加，加剧了行业竞争。虽然公司经过多年的发展，在电信、能源、金融、交通及政府部门等行业软件领域</w:t>
      </w:r>
      <w:r>
        <w:rPr>
          <w:spacing w:val="-42"/>
        </w:rPr>
        <w:t> </w:t>
      </w:r>
      <w:r>
        <w:rPr>
          <w:spacing w:val="-42"/>
        </w:rPr>
      </w:r>
      <w:r>
        <w:rPr>
          <w:spacing w:val="-2"/>
        </w:rPr>
        <w:t>积累了丰富的业务经验，发展了一批客户黏性度高、业务关系持续稳定的优质客户，确立了公司在行业内</w:t>
      </w:r>
      <w:r>
        <w:rPr>
          <w:spacing w:val="-43"/>
        </w:rPr>
        <w:t> </w:t>
      </w:r>
      <w:r>
        <w:rPr>
          <w:spacing w:val="-43"/>
        </w:rPr>
      </w:r>
      <w:r>
        <w:rPr>
          <w:spacing w:val="-2"/>
        </w:rPr>
        <w:t>的竞争地位，在客户中赢得了良好的声誉，具有较强的市场竞争力。但随着新竞争者的进入、技术的升级</w:t>
      </w:r>
      <w:r>
        <w:rPr>
          <w:spacing w:val="-50"/>
        </w:rPr>
        <w:t> </w:t>
      </w:r>
      <w:r>
        <w:rPr>
          <w:spacing w:val="-50"/>
        </w:rPr>
      </w:r>
      <w:r>
        <w:rPr>
          <w:spacing w:val="-2"/>
        </w:rPr>
        <w:t>和客户信息化需求的提高，若公司不能在产品研发、技术创新、客户服务等方面持续增强实力，公司未来</w:t>
      </w:r>
      <w:r>
        <w:rPr>
          <w:spacing w:val="-47"/>
        </w:rPr>
        <w:t> </w:t>
      </w:r>
      <w:r>
        <w:rPr>
          <w:spacing w:val="-47"/>
        </w:rPr>
      </w:r>
      <w:r>
        <w:rPr/>
        <w:t>将面临市场竞争加剧的风险。</w:t>
      </w:r>
    </w:p>
    <w:p>
      <w:pPr>
        <w:pStyle w:val="BodyText"/>
        <w:spacing w:line="256" w:lineRule="auto" w:before="7"/>
        <w:ind w:left="573" w:right="1133"/>
        <w:jc w:val="left"/>
      </w:pPr>
      <w:r>
        <w:rPr>
          <w:rFonts w:ascii="Times New Roman" w:hAnsi="Times New Roman" w:cs="Times New Roman" w:eastAsia="Times New Roman" w:hint="default"/>
        </w:rPr>
        <w:t>2</w:t>
      </w:r>
      <w:r>
        <w:rPr/>
        <w:t>、季节性波动风险</w:t>
      </w:r>
      <w:r>
        <w:rPr>
          <w:w w:val="100"/>
        </w:rPr>
        <w:t> </w:t>
      </w:r>
      <w:r>
        <w:rPr>
          <w:spacing w:val="-2"/>
        </w:rPr>
        <w:t>公司客户主要为电信运营商、电力企业等国有大中型企业以及政府部门、事业单位，上述客户均执行</w:t>
      </w:r>
    </w:p>
    <w:p>
      <w:pPr>
        <w:pStyle w:val="BodyText"/>
        <w:spacing w:line="273" w:lineRule="auto" w:before="23"/>
        <w:ind w:right="0"/>
        <w:jc w:val="left"/>
      </w:pPr>
      <w:r>
        <w:rPr>
          <w:spacing w:val="-5"/>
        </w:rPr>
        <w:t>严格的预算管理制度和采购审批制度。受上述客户项目立项、审批、实施进度安排及资金预算管理的影响，</w:t>
      </w:r>
      <w:r>
        <w:rPr>
          <w:spacing w:val="-4"/>
        </w:rPr>
        <w:t> </w:t>
      </w:r>
      <w:r>
        <w:rPr>
          <w:spacing w:val="-4"/>
        </w:rPr>
      </w:r>
      <w:r>
        <w:rPr>
          <w:spacing w:val="-2"/>
        </w:rPr>
        <w:t>通常来说，公司营业收入及相应销售回款主要集中在下半年。由于公司的人力成本、差旅费用和研发投入</w:t>
      </w:r>
      <w:r>
        <w:rPr>
          <w:spacing w:val="-44"/>
        </w:rPr>
        <w:t> </w:t>
      </w:r>
      <w:r>
        <w:rPr>
          <w:spacing w:val="-44"/>
        </w:rPr>
      </w:r>
      <w:r>
        <w:rPr>
          <w:spacing w:val="-2"/>
        </w:rPr>
        <w:t>等支出在年度内发生较为均衡，从而导致公司净利润的季节性波动明显，上半年净利润一般明显少于下半</w:t>
      </w:r>
      <w:r>
        <w:rPr>
          <w:spacing w:val="-43"/>
        </w:rPr>
        <w:t> </w:t>
      </w:r>
      <w:r>
        <w:rPr>
          <w:spacing w:val="-43"/>
        </w:rPr>
      </w:r>
      <w:r>
        <w:rPr>
          <w:spacing w:val="-5"/>
        </w:rPr>
        <w:t>年。公司业绩季节性波动会给公司资金使用、融资安排等经营活动造成较大影响，同时也会导致公司收入、</w:t>
      </w:r>
      <w:r>
        <w:rPr>
          <w:spacing w:val="-4"/>
        </w:rPr>
        <w:t> </w:t>
      </w:r>
      <w:r>
        <w:rPr>
          <w:spacing w:val="-4"/>
        </w:rPr>
      </w:r>
      <w:r>
        <w:rPr/>
        <w:t>经营性现金流等财务指标在各季度间出现较大的波动，公司业绩存在季节性波动的风险。</w:t>
      </w:r>
    </w:p>
    <w:p>
      <w:pPr>
        <w:pStyle w:val="BodyText"/>
        <w:spacing w:line="256" w:lineRule="auto" w:before="7"/>
        <w:ind w:left="573" w:right="1133"/>
        <w:jc w:val="left"/>
      </w:pPr>
      <w:r>
        <w:rPr>
          <w:rFonts w:ascii="Times New Roman" w:hAnsi="Times New Roman" w:cs="Times New Roman" w:eastAsia="Times New Roman" w:hint="default"/>
        </w:rPr>
        <w:t>3</w:t>
      </w:r>
      <w:r>
        <w:rPr/>
        <w:t>、核心技术风险</w:t>
      </w:r>
      <w:r>
        <w:rPr>
          <w:w w:val="100"/>
        </w:rPr>
        <w:t> </w:t>
      </w:r>
      <w:r>
        <w:rPr>
          <w:spacing w:val="-2"/>
        </w:rPr>
        <w:t>计算机及软件技术发展日新月异，更新换代快，需求不断多样化，公司必须适应技术进步节奏快、软</w:t>
      </w:r>
    </w:p>
    <w:p>
      <w:pPr>
        <w:pStyle w:val="BodyText"/>
        <w:spacing w:line="273" w:lineRule="auto" w:before="22"/>
        <w:ind w:right="1126"/>
        <w:jc w:val="both"/>
      </w:pPr>
      <w:r>
        <w:rPr>
          <w:spacing w:val="-2"/>
        </w:rPr>
        <w:t>件更新频率高、客户需求变化快、软件质量要求高的行业特点。如果今后公司不能准确地预测软件开发技</w:t>
      </w:r>
      <w:r>
        <w:rPr>
          <w:spacing w:val="-43"/>
        </w:rPr>
        <w:t> </w:t>
      </w:r>
      <w:r>
        <w:rPr>
          <w:spacing w:val="-43"/>
        </w:rPr>
      </w:r>
      <w:r>
        <w:rPr>
          <w:spacing w:val="-2"/>
        </w:rPr>
        <w:t>术的发展趋势，或是使用落后、不实用的技术进行软件开发，或对软件和市场需求的把握出现偏差，不能</w:t>
      </w:r>
      <w:r>
        <w:rPr>
          <w:spacing w:val="-50"/>
        </w:rPr>
        <w:t> </w:t>
      </w:r>
      <w:r>
        <w:rPr>
          <w:spacing w:val="-50"/>
        </w:rPr>
      </w:r>
      <w:r>
        <w:rPr>
          <w:spacing w:val="-2"/>
        </w:rPr>
        <w:t>及时调整技术和产品方向，或新技术、新产品不能迅速推广应用，或公司开发的软件存在质量问题，导致</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5"/>
        </w:rPr>
        <w:t>客户的正常业务运营和管理受到影响，则会给公司的生产经营造成不利影响。此外，为防止核心技术泄密， </w:t>
      </w:r>
      <w:r>
        <w:rPr>
          <w:spacing w:val="-2"/>
        </w:rPr>
        <w:t>公司还采取了制定保密管理制度、申请计算机软件著作权保护等相关知识产权保护措施，但上述措施并不</w:t>
      </w:r>
      <w:r>
        <w:rPr>
          <w:spacing w:val="-44"/>
        </w:rPr>
        <w:t> </w:t>
      </w:r>
      <w:r>
        <w:rPr>
          <w:spacing w:val="-44"/>
        </w:rPr>
      </w:r>
      <w:r>
        <w:rPr/>
        <w:t>能完全保证技术不外泄，一旦核心技术失密，将会对公司的业务发展造成不利影响。</w:t>
      </w:r>
    </w:p>
    <w:p>
      <w:pPr>
        <w:pStyle w:val="BodyText"/>
        <w:spacing w:line="256" w:lineRule="auto" w:before="7"/>
        <w:ind w:left="573" w:right="1133"/>
        <w:jc w:val="left"/>
      </w:pPr>
      <w:r>
        <w:rPr>
          <w:rFonts w:ascii="Times New Roman" w:hAnsi="Times New Roman" w:cs="Times New Roman" w:eastAsia="Times New Roman" w:hint="default"/>
        </w:rPr>
        <w:t>4</w:t>
      </w:r>
      <w:r>
        <w:rPr/>
        <w:t>、人力资源风险</w:t>
      </w:r>
      <w:r>
        <w:rPr>
          <w:w w:val="100"/>
        </w:rPr>
        <w:t> </w:t>
      </w:r>
      <w:r>
        <w:rPr>
          <w:spacing w:val="-2"/>
        </w:rPr>
        <w:t>作为软件企业和高新技术企业，企业发展高度依赖人力资源，公司经过多年的快速发展，已形成了自</w:t>
      </w:r>
    </w:p>
    <w:p>
      <w:pPr>
        <w:pStyle w:val="BodyText"/>
        <w:spacing w:line="273" w:lineRule="auto" w:before="22"/>
        <w:ind w:right="1104"/>
        <w:jc w:val="both"/>
      </w:pPr>
      <w:r>
        <w:rPr>
          <w:spacing w:val="-2"/>
        </w:rPr>
        <w:t>身的人才培养体系，拥有一支具有丰富行业经验、专业化水平高的员工队伍，公司积极倡导创新和谐、以</w:t>
      </w:r>
      <w:r>
        <w:rPr>
          <w:spacing w:val="-47"/>
        </w:rPr>
        <w:t> </w:t>
      </w:r>
      <w:r>
        <w:rPr>
          <w:spacing w:val="-47"/>
        </w:rPr>
      </w:r>
      <w:r>
        <w:rPr>
          <w:spacing w:val="-2"/>
        </w:rPr>
        <w:t>人为本的企业文化，为人才的培育与发展提供良好的环境，对人才具有较强的凝聚力。但是，随着行业竞</w:t>
      </w:r>
      <w:r>
        <w:rPr>
          <w:spacing w:val="-47"/>
        </w:rPr>
        <w:t> </w:t>
      </w:r>
      <w:r>
        <w:rPr>
          <w:spacing w:val="-47"/>
        </w:rPr>
      </w:r>
      <w:r>
        <w:rPr>
          <w:spacing w:val="-2"/>
        </w:rPr>
        <w:t>争的日趋激烈，对优秀人才的争夺亦趋于激烈，人力资源成本上涨较快，公司存在因竞争而导致的人才流</w:t>
      </w:r>
      <w:r>
        <w:rPr>
          <w:spacing w:val="-45"/>
        </w:rPr>
        <w:t> </w:t>
      </w:r>
      <w:r>
        <w:rPr>
          <w:spacing w:val="-45"/>
        </w:rPr>
      </w:r>
      <w:r>
        <w:rPr>
          <w:spacing w:val="-2"/>
        </w:rPr>
        <w:t>失风险。此外，随着公司业务的快速发展，公司对优秀的软件开发、管理及技术服务等各类人才的需求将</w:t>
      </w:r>
      <w:r>
        <w:rPr>
          <w:spacing w:val="-47"/>
        </w:rPr>
        <w:t> </w:t>
      </w:r>
      <w:r>
        <w:rPr>
          <w:spacing w:val="-47"/>
        </w:rPr>
      </w:r>
      <w:r>
        <w:rPr>
          <w:spacing w:val="-2"/>
        </w:rPr>
        <w:t>不断增加。公司虽然具有良好的人才引入制度和比较完善的激励机制，但不排除无法及时引进合适人才，</w:t>
      </w:r>
      <w:r>
        <w:rPr>
          <w:spacing w:val="-21"/>
        </w:rPr>
        <w:t> </w:t>
      </w:r>
      <w:r>
        <w:rPr>
          <w:spacing w:val="-21"/>
        </w:rPr>
      </w:r>
      <w:r>
        <w:rPr/>
        <w:t>从而对公司经营发展造成不利影响。</w:t>
      </w:r>
    </w:p>
    <w:p>
      <w:pPr>
        <w:pStyle w:val="BodyText"/>
        <w:spacing w:line="259" w:lineRule="auto" w:before="7"/>
        <w:ind w:left="573" w:right="1133"/>
        <w:jc w:val="left"/>
      </w:pPr>
      <w:r>
        <w:rPr>
          <w:rFonts w:ascii="Times New Roman" w:hAnsi="Times New Roman" w:cs="Times New Roman" w:eastAsia="Times New Roman" w:hint="default"/>
        </w:rPr>
        <w:t>5</w:t>
      </w:r>
      <w:r>
        <w:rPr/>
        <w:t>、应收账款余额较大的风险</w:t>
      </w:r>
      <w:r>
        <w:rPr>
          <w:w w:val="100"/>
        </w:rPr>
        <w:t> </w:t>
      </w:r>
      <w:r>
        <w:rPr>
          <w:spacing w:val="-3"/>
        </w:rPr>
        <w:t>截至报告期末，公司应收账款余额为</w:t>
      </w:r>
      <w:r>
        <w:rPr>
          <w:rFonts w:ascii="Times New Roman" w:hAnsi="Times New Roman" w:cs="Times New Roman" w:eastAsia="Times New Roman" w:hint="default"/>
          <w:spacing w:val="-3"/>
        </w:rPr>
        <w:t>42,683.39</w:t>
      </w:r>
      <w:r>
        <w:rPr>
          <w:spacing w:val="-3"/>
        </w:rPr>
        <w:t>万元，占报告期末公司资产总额</w:t>
      </w:r>
      <w:r>
        <w:rPr>
          <w:rFonts w:ascii="Times New Roman" w:hAnsi="Times New Roman" w:cs="Times New Roman" w:eastAsia="Times New Roman" w:hint="default"/>
          <w:spacing w:val="-3"/>
        </w:rPr>
        <w:t>20.08%</w:t>
      </w:r>
      <w:r>
        <w:rPr>
          <w:spacing w:val="-3"/>
        </w:rPr>
        <w:t>。报告期内公司</w:t>
      </w:r>
    </w:p>
    <w:p>
      <w:pPr>
        <w:pStyle w:val="BodyText"/>
        <w:spacing w:line="273" w:lineRule="auto" w:before="2"/>
        <w:ind w:right="1104"/>
        <w:jc w:val="both"/>
      </w:pPr>
      <w:r>
        <w:rPr>
          <w:spacing w:val="-2"/>
        </w:rPr>
        <w:t>应收账款余额较大主要原因系：行业软件开发及系统集成项目从合同签订到项目验收需要经历项目部署、</w:t>
      </w:r>
      <w:r>
        <w:rPr>
          <w:spacing w:val="-21"/>
        </w:rPr>
        <w:t> </w:t>
      </w:r>
      <w:r>
        <w:rPr>
          <w:spacing w:val="-21"/>
        </w:rPr>
      </w:r>
      <w:r>
        <w:rPr>
          <w:spacing w:val="-2"/>
        </w:rPr>
        <w:t>方案设计、实施、调试、试运行、验收等多个阶段，项目实施周期较长；公司主要客户为电信运营商、电</w:t>
      </w:r>
      <w:r>
        <w:rPr>
          <w:spacing w:val="-46"/>
        </w:rPr>
        <w:t> </w:t>
      </w:r>
      <w:r>
        <w:rPr>
          <w:spacing w:val="-46"/>
        </w:rPr>
      </w:r>
      <w:r>
        <w:rPr>
          <w:spacing w:val="-2"/>
        </w:rPr>
        <w:t>力企业等国有大中型企业以及政府部门、事业单位，上述客户均执行严格的预算管理制度，受客户资金预</w:t>
      </w:r>
      <w:r>
        <w:rPr>
          <w:spacing w:val="-46"/>
        </w:rPr>
        <w:t> </w:t>
      </w:r>
      <w:r>
        <w:rPr>
          <w:spacing w:val="-46"/>
        </w:rPr>
      </w:r>
      <w:r>
        <w:rPr>
          <w:spacing w:val="-2"/>
        </w:rPr>
        <w:t>算安排以及付款审批程序的影响，客户付款周期较长，导致公司应收账款回款周期较长。随着公司销售规</w:t>
      </w:r>
      <w:r>
        <w:rPr>
          <w:spacing w:val="-42"/>
        </w:rPr>
        <w:t> </w:t>
      </w:r>
      <w:r>
        <w:rPr>
          <w:spacing w:val="-42"/>
        </w:rPr>
      </w:r>
      <w:r>
        <w:rPr>
          <w:spacing w:val="-2"/>
        </w:rPr>
        <w:t>模的扩大，应收账款余额有可能继续增加。公司主要客户实力雄厚、信誉良好，且公司对应收账款充分计</w:t>
      </w:r>
      <w:r>
        <w:rPr>
          <w:spacing w:val="-50"/>
        </w:rPr>
        <w:t> </w:t>
      </w:r>
      <w:r>
        <w:rPr>
          <w:spacing w:val="-50"/>
        </w:rPr>
      </w:r>
      <w:r>
        <w:rPr>
          <w:spacing w:val="-2"/>
        </w:rPr>
        <w:t>提了坏账准备，但仍然存在应收账款不能按期回收或无法回收产生坏账的风险，进而对公司业绩和生产经</w:t>
      </w:r>
      <w:r>
        <w:rPr>
          <w:spacing w:val="-43"/>
        </w:rPr>
        <w:t> </w:t>
      </w:r>
      <w:r>
        <w:rPr>
          <w:spacing w:val="-43"/>
        </w:rPr>
      </w:r>
      <w:r>
        <w:rPr/>
        <w:t>营产生不利影响。</w:t>
      </w:r>
    </w:p>
    <w:p>
      <w:pPr>
        <w:pStyle w:val="BodyText"/>
        <w:spacing w:line="256" w:lineRule="auto" w:before="7"/>
        <w:ind w:left="573" w:right="1133"/>
        <w:jc w:val="left"/>
      </w:pPr>
      <w:r>
        <w:rPr>
          <w:rFonts w:ascii="Times New Roman" w:hAnsi="Times New Roman" w:cs="Times New Roman" w:eastAsia="Times New Roman" w:hint="default"/>
        </w:rPr>
        <w:t>6</w:t>
      </w:r>
      <w:r>
        <w:rPr/>
        <w:t>、政策风险</w:t>
      </w:r>
      <w:r>
        <w:rPr>
          <w:w w:val="100"/>
        </w:rPr>
        <w:t> </w:t>
      </w:r>
      <w:r>
        <w:rPr>
          <w:spacing w:val="-2"/>
        </w:rPr>
        <w:t>公司全资子公司贵博新能主要产品为新能源汽车电池管理系统，是新能源汽车核心部件。该业务的发</w:t>
      </w:r>
    </w:p>
    <w:p>
      <w:pPr>
        <w:pStyle w:val="BodyText"/>
        <w:spacing w:line="273" w:lineRule="auto" w:before="22"/>
        <w:ind w:right="1104"/>
        <w:jc w:val="both"/>
      </w:pPr>
      <w:r>
        <w:rPr>
          <w:spacing w:val="-2"/>
        </w:rPr>
        <w:t>展受新能源汽车产业政策的影响。新能源汽车产业是我国重点培育和发展的战略性新兴产业，长期以来，</w:t>
      </w:r>
      <w:r>
        <w:rPr>
          <w:spacing w:val="-20"/>
        </w:rPr>
        <w:t> </w:t>
      </w:r>
      <w:r>
        <w:rPr>
          <w:spacing w:val="-20"/>
        </w:rPr>
      </w:r>
      <w:r>
        <w:rPr>
          <w:spacing w:val="-2"/>
        </w:rPr>
        <w:t>国家制定了一系列政策来支持新能源汽车产业相关企业的发展，并向新能源汽车购买者给予一定的财政补</w:t>
      </w:r>
      <w:r>
        <w:rPr>
          <w:spacing w:val="-43"/>
        </w:rPr>
        <w:t> </w:t>
      </w:r>
      <w:r>
        <w:rPr>
          <w:spacing w:val="-43"/>
        </w:rPr>
      </w:r>
      <w:r>
        <w:rPr>
          <w:spacing w:val="-2"/>
        </w:rPr>
        <w:t>贴以刺激相关消费。在国家产业政策的支持下，我国新能源汽车产业近年来获得了快速发展。为实现新能</w:t>
      </w:r>
      <w:r>
        <w:rPr>
          <w:spacing w:val="-44"/>
        </w:rPr>
        <w:t> </w:t>
      </w:r>
      <w:r>
        <w:rPr>
          <w:spacing w:val="-44"/>
        </w:rPr>
      </w:r>
      <w:r>
        <w:rPr>
          <w:spacing w:val="-2"/>
        </w:rPr>
        <w:t>源汽车的长期可持续发展，我国政府对新能源汽车采取了退坡式的补贴机制。如果国家对新能源汽车产业</w:t>
      </w:r>
      <w:r>
        <w:rPr>
          <w:spacing w:val="-44"/>
        </w:rPr>
        <w:t> </w:t>
      </w:r>
      <w:r>
        <w:rPr>
          <w:spacing w:val="-44"/>
        </w:rPr>
      </w:r>
      <w:r>
        <w:rPr/>
        <w:t>支持政策发生变化，将会对公司该项业务的经营产生影响。</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598.995972pt;width:290.95pt;height:20.8pt;mso-position-horizontal-relative:page;mso-position-vertical-relative:page;z-index:-977680" coordorigin="4856,11980" coordsize="5819,416">
            <v:group style="position:absolute;left:4868;top:11992;width:2;height:392" coordorigin="4868,11992" coordsize="2,392">
              <v:shape style="position:absolute;left:4868;top:11992;width:2;height:392" coordorigin="4868,11992" coordsize="0,392" path="m4868,11992l4868,12384e" filled="false" stroked="true" strokeweight="1.2pt" strokecolor="#ffffff">
                <v:path arrowok="t"/>
              </v:shape>
            </v:group>
            <v:group style="position:absolute;left:4880;top:11992;width:5795;height:392" coordorigin="4880,11992" coordsize="5795,392">
              <v:shape style="position:absolute;left:4880;top:11992;width:5795;height:392" coordorigin="4880,11992" coordsize="5795,392" path="m4880,12384l10675,12384,10675,11992,4880,11992,4880,1238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59"/>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24"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公司严格按照《公司章程》相关利润分配政策和审议程序实施利润分配方案，分红标准和分红比例明确清晰，相关的决策程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序和机制完备。公司利润分配方案须经由董事会、监事会审议通过提交股东大会审议，并由独立董事发表独立意见，审议通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过后在规定时间内进行实施，切实保证了全体股东的利益。</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6"/>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239,233,684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5,980,842.10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8"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5,980,842.10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118,460,667.99</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1670" w:lineRule="exact"/>
        <w:ind w:left="1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79.05pt;height:83.55pt;mso-position-horizontal-relative:char;mso-position-vertical-relative:line" coordorigin="0,0" coordsize="9581,1671">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1662" coordorigin="5,5" coordsize="2,1662">
              <v:shape style="position:absolute;left:5;top:5;width:2;height:1662" coordorigin="5,5" coordsize="0,1662" path="m5,5l5,1666e" filled="false" stroked="true" strokeweight=".48pt" strokecolor="#000000">
                <v:path arrowok="t"/>
              </v:shape>
            </v:group>
            <v:group style="position:absolute;left:10;top:1661;width:9562;height:2" coordorigin="10,1661" coordsize="9562,2">
              <v:shape style="position:absolute;left:10;top:1661;width:9562;height:2" coordorigin="10,1661" coordsize="9562,0" path="m10,1661l9571,1661e" filled="false" stroked="true" strokeweight=".48pt" strokecolor="#000000">
                <v:path arrowok="t"/>
              </v:shape>
            </v:group>
            <v:group style="position:absolute;left:9576;top:5;width:2;height:1662" coordorigin="9576,5" coordsize="2,1662">
              <v:shape style="position:absolute;left:9576;top:5;width:2;height:1662" coordorigin="9576,5" coordsize="0,1662" path="m9576,5l9576,1666e" filled="false" stroked="true" strokeweight=".47998pt" strokecolor="#000000">
                <v:path arrowok="t"/>
              </v:shape>
              <v:shape style="position:absolute;left:0;top:0;width:9581;height:1671" type="#_x0000_t202" filled="false" stroked="false">
                <v:textbox inset="0,0,0,0">
                  <w:txbxContent>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经华普天健会计师事务所（特殊普通合伙）审计确认，</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28,984,848.38 </w:t>
                      </w:r>
                      <w:r>
                        <w:rPr>
                          <w:rFonts w:ascii="宋体" w:hAnsi="宋体" w:cs="宋体" w:eastAsia="宋体" w:hint="default"/>
                          <w:sz w:val="18"/>
                          <w:szCs w:val="18"/>
                        </w:rPr>
                        <w:t>元，按实现净利润的</w:t>
                      </w:r>
                    </w:p>
                    <w:p>
                      <w:pPr>
                        <w:spacing w:before="63"/>
                        <w:ind w:left="33"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2,898,484.84 </w:t>
                      </w:r>
                      <w:r>
                        <w:rPr>
                          <w:rFonts w:ascii="宋体" w:hAnsi="宋体" w:cs="宋体" w:eastAsia="宋体" w:hint="default"/>
                          <w:sz w:val="18"/>
                          <w:szCs w:val="18"/>
                        </w:rPr>
                        <w:t>元之后，余下未分配利润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26,086,363.54 </w:t>
                      </w:r>
                      <w:r>
                        <w:rPr>
                          <w:rFonts w:ascii="宋体" w:hAnsi="宋体" w:cs="宋体" w:eastAsia="宋体" w:hint="default"/>
                          <w:sz w:val="18"/>
                          <w:szCs w:val="18"/>
                        </w:rPr>
                        <w:t>元，加上以前年度未分配利润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97,434,304.45 </w:t>
                      </w:r>
                      <w:r>
                        <w:rPr>
                          <w:rFonts w:ascii="宋体" w:hAnsi="宋体" w:cs="宋体" w:eastAsia="宋体" w:hint="default"/>
                          <w:sz w:val="18"/>
                          <w:szCs w:val="18"/>
                        </w:rPr>
                        <w:t>元，</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扣除已派发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5,060,000.00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118,460,667.99 </w:t>
                      </w:r>
                      <w:r>
                        <w:rPr>
                          <w:rFonts w:ascii="宋体" w:hAnsi="宋体" w:cs="宋体" w:eastAsia="宋体" w:hint="default"/>
                          <w:sz w:val="18"/>
                          <w:szCs w:val="18"/>
                        </w:rPr>
                        <w:t>元。公</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年度利润分配拟以现</w:t>
                      </w:r>
                      <w:r>
                        <w:rPr>
                          <w:rFonts w:ascii="宋体" w:hAnsi="宋体" w:cs="宋体" w:eastAsia="宋体" w:hint="default"/>
                          <w:spacing w:val="-3"/>
                          <w:sz w:val="18"/>
                          <w:szCs w:val="18"/>
                        </w:rPr>
                        <w:t>有</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27"/>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总计派发</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，剩余未分配利润结转以</w:t>
                      </w:r>
                      <w:r>
                        <w:rPr>
                          <w:rFonts w:ascii="宋体" w:hAnsi="宋体" w:cs="宋体" w:eastAsia="宋体" w:hint="default"/>
                          <w:spacing w:val="2"/>
                          <w:sz w:val="18"/>
                          <w:szCs w:val="18"/>
                        </w:rPr>
                        <w:t>后</w:t>
                      </w:r>
                      <w:r>
                        <w:rPr>
                          <w:rFonts w:ascii="宋体" w:hAnsi="宋体" w:cs="宋体" w:eastAsia="宋体" w:hint="default"/>
                          <w:sz w:val="18"/>
                          <w:szCs w:val="18"/>
                        </w:rPr>
                        <w:t>年度分配。本年度不转增股本，不送红股。</w:t>
                      </w:r>
                    </w:p>
                  </w:txbxContent>
                </v:textbox>
                <w10:wrap type="none"/>
              </v:shape>
            </v:group>
          </v:group>
        </w:pict>
      </w:r>
      <w:r>
        <w:rPr>
          <w:rFonts w:ascii="宋体" w:hAnsi="宋体" w:cs="宋体" w:eastAsia="宋体" w:hint="default"/>
          <w:position w:val="-32"/>
          <w:sz w:val="20"/>
          <w:szCs w:val="20"/>
        </w:rPr>
      </w:r>
    </w:p>
    <w:p>
      <w:pPr>
        <w:spacing w:line="319" w:lineRule="auto" w:before="45"/>
        <w:ind w:left="153" w:right="112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年度利润分配及资本公积转增股本预案：以截止</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96,075,000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 </w:t>
      </w:r>
      <w:r>
        <w:rPr>
          <w:rFonts w:ascii="宋体" w:hAnsi="宋体" w:cs="宋体" w:eastAsia="宋体" w:hint="default"/>
          <w:spacing w:val="-1"/>
          <w:sz w:val="18"/>
          <w:szCs w:val="18"/>
        </w:rPr>
        <w:t>现金股利人民币</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元（含税）；同时以资本公积向全体股东每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年度股东大会审议</w:t>
      </w: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通过上述议案，并于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日披露了《公司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年度权益分派实施公告》，公司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年度权益分派工作已于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日实施完毕。 </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年度利润分配预案：以总股本</w:t>
      </w:r>
      <w:r>
        <w:rPr>
          <w:rFonts w:ascii="Times New Roman" w:hAnsi="Times New Roman" w:cs="Times New Roman" w:eastAsia="Times New Roman" w:hint="default"/>
          <w:spacing w:val="-1"/>
          <w:sz w:val="18"/>
          <w:szCs w:val="18"/>
        </w:rPr>
        <w:t>202,400,000</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元（含税），合计派</w:t>
      </w:r>
    </w:p>
    <w:p>
      <w:pPr>
        <w:spacing w:line="300" w:lineRule="auto" w:before="0"/>
        <w:ind w:left="153" w:right="1094" w:firstLine="0"/>
        <w:jc w:val="both"/>
        <w:rPr>
          <w:rFonts w:ascii="宋体" w:hAnsi="宋体" w:cs="宋体" w:eastAsia="宋体" w:hint="default"/>
          <w:sz w:val="18"/>
          <w:szCs w:val="18"/>
        </w:rPr>
      </w:pPr>
      <w:r>
        <w:rPr>
          <w:rFonts w:ascii="宋体" w:hAnsi="宋体" w:cs="宋体" w:eastAsia="宋体" w:hint="default"/>
          <w:sz w:val="18"/>
          <w:szCs w:val="18"/>
        </w:rPr>
        <w:t>发现金股利</w:t>
      </w:r>
      <w:r>
        <w:rPr>
          <w:rFonts w:ascii="Times New Roman" w:hAnsi="Times New Roman" w:cs="Times New Roman" w:eastAsia="Times New Roman" w:hint="default"/>
          <w:sz w:val="18"/>
          <w:szCs w:val="18"/>
        </w:rPr>
        <w:t>5,060,000.00</w:t>
      </w:r>
      <w:r>
        <w:rPr>
          <w:rFonts w:ascii="宋体" w:hAnsi="宋体" w:cs="宋体" w:eastAsia="宋体" w:hint="default"/>
          <w:sz w:val="18"/>
          <w:szCs w:val="18"/>
        </w:rPr>
        <w:t>元（含税），剩余未分配利润结转以后年度分配。本年度不转增股本，不送红股。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年度股东大会审议通过上述议案，并于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日披露了《公司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年度权益分派实施公告》，公司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年度权</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益分派工作已于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日实施完毕。</w:t>
      </w:r>
    </w:p>
    <w:p>
      <w:pPr>
        <w:spacing w:line="319" w:lineRule="auto" w:before="5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年度利润分配预案：以现有总股本</w:t>
      </w:r>
      <w:r>
        <w:rPr>
          <w:rFonts w:ascii="Times New Roman" w:hAnsi="Times New Roman" w:cs="Times New Roman" w:eastAsia="Times New Roman" w:hint="default"/>
          <w:spacing w:val="-1"/>
          <w:sz w:val="18"/>
          <w:szCs w:val="18"/>
        </w:rPr>
        <w:t>239,233,684</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元（含税），合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计派发现金股利</w:t>
      </w:r>
      <w:r>
        <w:rPr>
          <w:rFonts w:ascii="Times New Roman" w:hAnsi="Times New Roman" w:cs="Times New Roman" w:eastAsia="Times New Roman" w:hint="default"/>
          <w:sz w:val="18"/>
          <w:szCs w:val="18"/>
        </w:rPr>
        <w:t>5,980,842.10</w:t>
      </w:r>
      <w:r>
        <w:rPr>
          <w:rFonts w:ascii="宋体" w:hAnsi="宋体" w:cs="宋体" w:eastAsia="宋体" w:hint="default"/>
          <w:sz w:val="18"/>
          <w:szCs w:val="18"/>
        </w:rPr>
        <w:t>元（含税），剩余未分配利润结转以后年度分配。本年度不转增股本，不送红股。 公司近三年（包括本报告期）普通股现金分红情况表</w:t>
      </w:r>
    </w:p>
    <w:p>
      <w:pPr>
        <w:spacing w:before="5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7"/>
        <w:gridCol w:w="1196"/>
        <w:gridCol w:w="1185"/>
        <w:gridCol w:w="1218"/>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3" w:right="15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5,980,842.10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48,860,741.98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5,980,842.10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12.24%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18,374,393.31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5,060,000.00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56,927,437.17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11,529,000.00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20.25%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863"/>
        <w:gridCol w:w="991"/>
        <w:gridCol w:w="3119"/>
        <w:gridCol w:w="994"/>
        <w:gridCol w:w="991"/>
        <w:gridCol w:w="778"/>
      </w:tblGrid>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6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0"/>
              <w:ind w:right="68"/>
              <w:jc w:val="center"/>
              <w:rPr>
                <w:rFonts w:ascii="宋体" w:hAnsi="宋体" w:cs="宋体" w:eastAsia="宋体" w:hint="default"/>
                <w:sz w:val="18"/>
                <w:szCs w:val="18"/>
              </w:rPr>
            </w:pPr>
            <w:r>
              <w:rPr>
                <w:rFonts w:ascii="宋体" w:hAnsi="宋体" w:cs="宋体" w:eastAsia="宋体" w:hint="default"/>
                <w:sz w:val="18"/>
                <w:szCs w:val="18"/>
              </w:rPr>
              <w:t>孙路、贵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5"/>
              <w:jc w:val="right"/>
              <w:rPr>
                <w:rFonts w:ascii="宋体" w:hAnsi="宋体" w:cs="宋体" w:eastAsia="宋体" w:hint="default"/>
                <w:sz w:val="18"/>
                <w:szCs w:val="18"/>
              </w:rPr>
            </w:pPr>
            <w:r>
              <w:rPr>
                <w:rFonts w:ascii="宋体" w:hAnsi="宋体" w:cs="宋体" w:eastAsia="宋体" w:hint="default"/>
                <w:sz w:val="18"/>
                <w:szCs w:val="18"/>
              </w:rPr>
              <w:t>股份限售承</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34"/>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、若截至其取得本次交易对价股份时，</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372" w:lineRule="exact"/>
              <w:ind w:left="2" w:right="-17"/>
              <w:jc w:val="left"/>
              <w:rPr>
                <w:rFonts w:ascii="宋体" w:hAnsi="宋体" w:cs="宋体" w:eastAsia="宋体" w:hint="default"/>
                <w:sz w:val="20"/>
                <w:szCs w:val="20"/>
              </w:rPr>
            </w:pPr>
            <w:r>
              <w:rPr>
                <w:rFonts w:ascii="宋体" w:hAnsi="宋体" w:cs="宋体" w:eastAsia="宋体" w:hint="default"/>
                <w:position w:val="-6"/>
                <w:sz w:val="20"/>
                <w:szCs w:val="20"/>
              </w:rPr>
              <w:pict>
                <v:group style="width:48pt;height:18.6pt;mso-position-horizontal-relative:char;mso-position-vertical-relative:line" coordorigin="0,0" coordsize="960,372">
                  <v:group style="position:absolute;left:11;top:11;width:2;height:351" coordorigin="11,11" coordsize="2,351">
                    <v:shape style="position:absolute;left:11;top:11;width:2;height:351" coordorigin="11,11" coordsize="0,351" path="m11,11l11,361e" filled="false" stroked="true" strokeweight="1.08pt" strokecolor="#ffffff">
                      <v:path arrowok="t"/>
                    </v:shape>
                  </v:group>
                  <v:group style="position:absolute;left:22;top:11;width:939;height:351" coordorigin="22,11" coordsize="939,351">
                    <v:shape style="position:absolute;left:22;top:11;width:939;height:351" coordorigin="22,11" coordsize="939,351" path="m22,361l960,361,960,11,22,11,22,361xe" filled="true" fillcolor="#ffffff" stroked="false">
                      <v:path arrowok="t"/>
                      <v:fill type="solid"/>
                    </v:shape>
                  </v:group>
                </v:group>
              </w:pict>
            </w:r>
            <w:r>
              <w:rPr>
                <w:rFonts w:ascii="宋体" w:hAnsi="宋体" w:cs="宋体" w:eastAsia="宋体" w:hint="default"/>
                <w:position w:val="-6"/>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2022-01-10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013pt;margin-top:90.145981pt;width:118.4pt;height:668.85pt;mso-position-horizontal-relative:page;mso-position-vertical-relative:page;z-index:-977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《专项审核报告》</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157" w:right="0" w:firstLine="0"/>
                    <w:jc w:val="center"/>
                    <w:rPr>
                      <w:rFonts w:ascii="宋体" w:hAnsi="宋体" w:cs="宋体" w:eastAsia="宋体" w:hint="default"/>
                      <w:sz w:val="18"/>
                      <w:szCs w:val="18"/>
                    </w:rPr>
                  </w:pPr>
                  <w:r>
                    <w:rPr>
                      <w:rFonts w:ascii="宋体" w:hAnsi="宋体" w:cs="宋体" w:eastAsia="宋体" w:hint="default"/>
                      <w:sz w:val="18"/>
                      <w:szCs w:val="18"/>
                    </w:rPr>
                    <w:t>后，</w:t>
                  </w:r>
                </w:p>
              </w:txbxContent>
            </v:textbox>
            <w10:wrap type="none"/>
          </v:shape>
        </w:pict>
      </w:r>
      <w:r>
        <w:rPr/>
        <w:pict>
          <v:group style="position:absolute;margin-left:397.299988pt;margin-top:90.145981pt;width:49.1pt;height:668.85pt;mso-position-horizontal-relative:page;mso-position-vertical-relative:page;z-index:-977560" coordorigin="7946,1803" coordsize="982,13377">
            <v:shape style="position:absolute;left:7946;top:1803;width:982;height:13377" coordorigin="7946,1803" coordsize="982,13377" path="m7946,15180l8928,15180,8928,1803,7946,1803,7946,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320"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博投资、</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其用于认购股份的资产持续拥有权益的</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董先权、</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时间超过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w:t>
            </w:r>
            <w:r>
              <w:rPr>
                <w:rFonts w:ascii="宋体" w:hAnsi="宋体" w:cs="宋体" w:eastAsia="宋体" w:hint="default"/>
                <w:spacing w:val="-89"/>
                <w:sz w:val="18"/>
                <w:szCs w:val="18"/>
              </w:rPr>
              <w:t>，</w:t>
            </w:r>
            <w:r>
              <w:rPr>
                <w:rFonts w:ascii="宋体" w:hAnsi="宋体" w:cs="宋体" w:eastAsia="宋体" w:hint="default"/>
                <w:sz w:val="18"/>
                <w:szCs w:val="18"/>
              </w:rPr>
              <w:t>自其认</w:t>
            </w:r>
            <w:r>
              <w:rPr>
                <w:rFonts w:ascii="宋体" w:hAnsi="宋体" w:cs="宋体" w:eastAsia="宋体" w:hint="default"/>
                <w:spacing w:val="-3"/>
                <w:sz w:val="18"/>
                <w:szCs w:val="18"/>
              </w:rPr>
              <w:t>购</w:t>
            </w:r>
            <w:r>
              <w:rPr>
                <w:rFonts w:ascii="宋体" w:hAnsi="宋体" w:cs="宋体" w:eastAsia="宋体" w:hint="default"/>
                <w:sz w:val="18"/>
                <w:szCs w:val="18"/>
              </w:rPr>
              <w:t>的新增股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徐根义、</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份在法定登记机构登记于其名下并上市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陈学祥、</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r>
              <w:rPr>
                <w:rFonts w:ascii="宋体" w:hAnsi="宋体" w:cs="宋体" w:eastAsia="宋体" w:hint="default"/>
                <w:spacing w:val="-89"/>
                <w:sz w:val="18"/>
                <w:szCs w:val="18"/>
              </w:rPr>
              <w:t>，</w:t>
            </w:r>
            <w:r>
              <w:rPr>
                <w:rFonts w:ascii="宋体" w:hAnsi="宋体" w:cs="宋体" w:eastAsia="宋体" w:hint="default"/>
                <w:sz w:val="18"/>
                <w:szCs w:val="18"/>
              </w:rPr>
              <w:t>不转让或</w:t>
            </w:r>
            <w:r>
              <w:rPr>
                <w:rFonts w:ascii="宋体" w:hAnsi="宋体" w:cs="宋体" w:eastAsia="宋体" w:hint="default"/>
                <w:spacing w:val="-3"/>
                <w:sz w:val="18"/>
                <w:szCs w:val="18"/>
              </w:rPr>
              <w:t>者</w:t>
            </w:r>
            <w:r>
              <w:rPr>
                <w:rFonts w:ascii="宋体" w:hAnsi="宋体" w:cs="宋体" w:eastAsia="宋体" w:hint="default"/>
                <w:sz w:val="18"/>
                <w:szCs w:val="18"/>
              </w:rPr>
              <w:t>委托他人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张起云</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管理其拥有的该等新增股份（若在其实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际转让上市公司股份前，上市公司发生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转增股本、送红股等除权行为的，则其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实际可转让股份数将进行相应调整</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个月期限届满后</w:t>
            </w:r>
            <w:r>
              <w:rPr>
                <w:rFonts w:ascii="宋体" w:hAnsi="宋体" w:cs="宋体" w:eastAsia="宋体" w:hint="default"/>
                <w:spacing w:val="-89"/>
                <w:sz w:val="18"/>
                <w:szCs w:val="18"/>
              </w:rPr>
              <w:t>，</w:t>
            </w:r>
            <w:r>
              <w:rPr>
                <w:rFonts w:ascii="宋体" w:hAnsi="宋体" w:cs="宋体" w:eastAsia="宋体" w:hint="default"/>
                <w:sz w:val="18"/>
                <w:szCs w:val="18"/>
              </w:rPr>
              <w:t>具体</w:t>
            </w:r>
            <w:r>
              <w:rPr>
                <w:rFonts w:ascii="宋体" w:hAnsi="宋体" w:cs="宋体" w:eastAsia="宋体" w:hint="default"/>
                <w:spacing w:val="-3"/>
                <w:sz w:val="18"/>
                <w:szCs w:val="18"/>
              </w:rPr>
              <w:t>的</w:t>
            </w:r>
            <w:r>
              <w:rPr>
                <w:rFonts w:ascii="宋体" w:hAnsi="宋体" w:cs="宋体" w:eastAsia="宋体" w:hint="default"/>
                <w:sz w:val="18"/>
                <w:szCs w:val="18"/>
              </w:rPr>
              <w:t>解锁期间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及解锁比例如下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）自新增股份上市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个月届满，且贵博新能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年度的实际净利润数达到《盈利补偿协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议》约定的承诺业绩，则在具备证券期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货从业资格的审计机构出具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贵博新能利润承诺实现情况的《专项审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核报告》后，可转让不超过本次发行中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取得的上市公司股份数量的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自新增股份上市之日起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届满</w:t>
            </w:r>
            <w:r>
              <w:rPr>
                <w:rFonts w:ascii="宋体" w:hAnsi="宋体" w:cs="宋体" w:eastAsia="宋体" w:hint="default"/>
                <w:spacing w:val="-89"/>
                <w:sz w:val="18"/>
                <w:szCs w:val="18"/>
              </w:rPr>
              <w:t>，</w:t>
            </w:r>
            <w:r>
              <w:rPr>
                <w:rFonts w:ascii="宋体" w:hAnsi="宋体" w:cs="宋体" w:eastAsia="宋体" w:hint="default"/>
                <w:sz w:val="18"/>
                <w:szCs w:val="18"/>
              </w:rPr>
              <w:t>且</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年度的实际净利润数达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到《盈利补偿协议》约定的承诺业绩，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宋体" w:hAnsi="宋体" w:cs="宋体" w:eastAsia="宋体" w:hint="default"/>
                <w:spacing w:val="-89"/>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w:t>
            </w:r>
            <w:r>
              <w:rPr>
                <w:rFonts w:ascii="宋体" w:hAnsi="宋体" w:cs="宋体" w:eastAsia="宋体" w:hint="default"/>
                <w:spacing w:val="-3"/>
                <w:sz w:val="18"/>
                <w:szCs w:val="18"/>
              </w:rPr>
              <w:t>的</w:t>
            </w:r>
            <w:r>
              <w:rPr>
                <w:rFonts w:ascii="宋体" w:hAnsi="宋体" w:cs="宋体" w:eastAsia="宋体" w:hint="default"/>
                <w:sz w:val="18"/>
                <w:szCs w:val="18"/>
              </w:rPr>
              <w:t>净利润总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额达到《盈利补偿协议》约定的该两年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度承诺业绩总额，则在具备证券期货从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业资格的审计机构出具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年度贵博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新能利润承诺实现情况的《专项审核报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告》后，新增可转让不超过本次发行中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取得的上市公司股份数量的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业绩承诺期届满，在具备证券期货从业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资格的审计机构出具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年度贵博新</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能利润承诺实现情况的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以及对标的资产进行减值测试的《减值</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测试报告》后，且以履行了《盈利补偿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协议》的利润补偿和标的资产减值测试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所需补偿义务为前提，其于本次发行中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取得的上市公司股份可以转让。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、若截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至其取得本次交易对价股份时，其用于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认购股份的资产持续拥有权益的时间不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个月的，该部分资产认购的上市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89"/>
                <w:sz w:val="18"/>
                <w:szCs w:val="18"/>
              </w:rPr>
              <w:t>，</w:t>
            </w:r>
            <w:r>
              <w:rPr>
                <w:rFonts w:ascii="宋体" w:hAnsi="宋体" w:cs="宋体" w:eastAsia="宋体" w:hint="default"/>
                <w:sz w:val="18"/>
                <w:szCs w:val="18"/>
              </w:rPr>
              <w:t>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满，在具备证券期货从业资格的审计机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构出具相应年度贵博新能利润承诺实现</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情况的《专项审核报告》以及对标的资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产进行减值测试的《减值测试报告》</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80"/>
      </w:tblGrid>
      <w:tr>
        <w:trPr>
          <w:trHeight w:val="1299"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both"/>
              <w:rPr>
                <w:rFonts w:ascii="宋体" w:hAnsi="宋体" w:cs="宋体" w:eastAsia="宋体" w:hint="default"/>
                <w:sz w:val="18"/>
                <w:szCs w:val="18"/>
              </w:rPr>
            </w:pPr>
            <w:r>
              <w:rPr>
                <w:rFonts w:ascii="宋体" w:hAnsi="宋体" w:cs="宋体" w:eastAsia="宋体" w:hint="default"/>
                <w:sz w:val="18"/>
                <w:szCs w:val="18"/>
              </w:rPr>
              <w:t>且以履行了《盈利补偿协议》的利润补 偿和标的资产减值测试所需补偿义务为 前提，其于本次发行中取得的上市公司 股份可以转让。</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取得的交易对价股份，自在法定登记机 构登记于其名下并上市之日起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内，不转让或者委托他人管理其拥有的 该等新增股份（若在其实际转让上市公 司股份前，上市公司发生转增股本、送 红股等除权行为的，则其实际可转让股 </w:t>
            </w:r>
            <w:r>
              <w:rPr>
                <w:rFonts w:ascii="宋体" w:hAnsi="宋体" w:cs="宋体" w:eastAsia="宋体" w:hint="default"/>
                <w:spacing w:val="-10"/>
                <w:sz w:val="18"/>
                <w:szCs w:val="18"/>
              </w:rPr>
              <w:t>份数将进行相应调整）。自股份上市之日</w:t>
            </w:r>
            <w:r>
              <w:rPr>
                <w:rFonts w:ascii="宋体" w:hAnsi="宋体" w:cs="宋体" w:eastAsia="宋体" w:hint="default"/>
                <w:sz w:val="18"/>
                <w:szCs w:val="18"/>
              </w:rPr>
              <w:t> 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个月届满，在具备证券期货从业资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格的审计机构出具相应年度贵博新能利 润承诺实现情况的《专项审核报告》以 及对标的资产进行减值测试的《减值测 试报告》后，且以履行了《盈利补偿协 议》的利润补偿和标的资产减值测试所 需补偿义务为前提，其于本次发行中取 得的上市公司股份可以转让。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2022-01-10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6"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紫煦投资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取得的交易对价股份，自在法定登记机 构登记于其名下并上市之日起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内，不转让或者委托他人管理其拥有的 该等新增股份（若在其实际转让上市公 司股份前，上市公司发生转增股本、送 红股等除权行为的，则其实际可转让股 </w:t>
            </w:r>
            <w:r>
              <w:rPr>
                <w:rFonts w:ascii="宋体" w:hAnsi="宋体" w:cs="宋体" w:eastAsia="宋体" w:hint="default"/>
                <w:spacing w:val="-9"/>
                <w:sz w:val="18"/>
                <w:szCs w:val="18"/>
              </w:rPr>
              <w:t>份数将进行相应调整）。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769"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孙路、贵 博投资、 董先权、 徐根义、 史兴领、 陈学祥、 张起云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是指科大国创 聘请的具有证券期货业务资格的会计师 事务所审计的贵博新能合并报表中归属 于母公司所有者的税后净利润，且该净 利润以扣除非经常性损益前后孰低者为 </w:t>
            </w:r>
            <w:r>
              <w:rPr>
                <w:rFonts w:ascii="宋体" w:hAnsi="宋体" w:cs="宋体" w:eastAsia="宋体" w:hint="default"/>
                <w:spacing w:val="-9"/>
                <w:sz w:val="18"/>
                <w:szCs w:val="18"/>
              </w:rPr>
              <w:t>准）分别不低于人民币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4,000</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5,000</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6,000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万元（三年累计承诺净利润</w:t>
            </w:r>
            <w:r>
              <w:rPr>
                <w:rFonts w:ascii="宋体" w:hAnsi="宋体" w:cs="宋体" w:eastAsia="宋体" w:hint="default"/>
                <w:sz w:val="18"/>
                <w:szCs w:val="18"/>
              </w:rPr>
              <w:t> 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15,000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万元）。若贵博新能在业绩承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诺期间任何一年的截至当期期末累积实 现净利润数低于截至当期期末累积承诺 净利润数，则业绩承诺方应向科大国创 作出补偿。在补偿时，业绩承诺方应当 先以股份方式进行补偿；若股份不足补 偿的，不足部分以现金方式补偿。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5"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98"/>
              <w:jc w:val="left"/>
              <w:rPr>
                <w:rFonts w:ascii="宋体" w:hAnsi="宋体" w:cs="宋体" w:eastAsia="宋体" w:hint="default"/>
                <w:sz w:val="18"/>
                <w:szCs w:val="18"/>
              </w:rPr>
            </w:pPr>
            <w:r>
              <w:rPr>
                <w:rFonts w:ascii="宋体" w:hAnsi="宋体" w:cs="宋体" w:eastAsia="宋体" w:hint="default"/>
                <w:sz w:val="18"/>
                <w:szCs w:val="18"/>
              </w:rPr>
              <w:t>孙路、贵 博投资、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55"/>
              <w:jc w:val="left"/>
              <w:rPr>
                <w:rFonts w:ascii="宋体" w:hAnsi="宋体" w:cs="宋体" w:eastAsia="宋体" w:hint="default"/>
                <w:sz w:val="18"/>
                <w:szCs w:val="18"/>
              </w:rPr>
            </w:pPr>
            <w:r>
              <w:rPr>
                <w:rFonts w:ascii="宋体" w:hAnsi="宋体" w:cs="宋体" w:eastAsia="宋体" w:hint="default"/>
                <w:sz w:val="18"/>
                <w:szCs w:val="18"/>
              </w:rPr>
              <w:t>关于避免同 业竞争的承</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0"/>
              <w:ind w:left="23" w:right="24"/>
              <w:jc w:val="left"/>
              <w:rPr>
                <w:rFonts w:ascii="宋体" w:hAnsi="宋体" w:cs="宋体" w:eastAsia="宋体" w:hint="default"/>
                <w:sz w:val="18"/>
                <w:szCs w:val="18"/>
              </w:rPr>
            </w:pPr>
            <w:r>
              <w:rPr>
                <w:rFonts w:ascii="宋体" w:hAnsi="宋体" w:cs="宋体" w:eastAsia="宋体" w:hint="default"/>
                <w:sz w:val="18"/>
                <w:szCs w:val="18"/>
              </w:rPr>
              <w:t>贵博新能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股权交割完成后，除本 承诺人持有科大国创股份外，承诺人及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6.013pt;margin-top:359.809998pt;width:100.4pt;height:171.65pt;mso-position-horizontal-relative:page;mso-position-vertical-relative:page;z-index:-977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资产的行为，</w:t>
                  </w:r>
                </w:p>
              </w:txbxContent>
            </v:textbox>
            <w10:wrap type="none"/>
          </v:shape>
        </w:pict>
      </w:r>
      <w:r>
        <w:rPr/>
        <w:pict>
          <v:group style="position:absolute;margin-left:397.299988pt;margin-top:359.809998pt;width:49.1pt;height:171.65pt;mso-position-horizontal-relative:page;mso-position-vertical-relative:page;z-index:-977512" coordorigin="7946,7196" coordsize="982,3433">
            <v:shape style="position:absolute;left:7946;top:7196;width:982;height:3433" coordorigin="7946,7196" coordsize="982,3433" path="m7946,10629l8928,10629,8928,7196,7946,7196,7946,10629xe" filled="true" fillcolor="#ffffff" stroked="false">
              <v:path arrowok="t"/>
              <v:fill type="solid"/>
            </v:shape>
            <w10:wrap type="none"/>
          </v:group>
        </w:pict>
      </w:r>
      <w:r>
        <w:rPr/>
        <w:pict>
          <v:group style="position:absolute;margin-left:397.299988pt;margin-top:676.899963pt;width:49.1pt;height:41.05pt;mso-position-horizontal-relative:page;mso-position-vertical-relative:page;z-index:-977488" coordorigin="7946,13538" coordsize="982,821">
            <v:group style="position:absolute;left:7946;top:13538;width:982;height:468" coordorigin="7946,13538" coordsize="982,468">
              <v:shape style="position:absolute;left:7946;top:13538;width:982;height:468" coordorigin="7946,13538" coordsize="982,468" path="m7946,14006l8928,14006,8928,13538,7946,13538,7946,14006xe" filled="true" fillcolor="#ffffff" stroked="false">
                <v:path arrowok="t"/>
                <v:fill type="solid"/>
              </v:shape>
            </v:group>
            <v:group style="position:absolute;left:7968;top:14006;width:939;height:353" coordorigin="7968,14006" coordsize="939,353">
              <v:shape style="position:absolute;left:7968;top:14006;width:939;height:353" coordorigin="7968,14006" coordsize="939,353" path="m7968,14359l8906,14359,8906,14006,7968,14006,7968,1435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31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董先权、</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其关联方将不再以任何形式从事、参与</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徐根义、</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或协助他人从事任何与贵博新能有竞争</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关系的经营活动，不再投资于任何与贵</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陈学祥、</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博新能有竞争关系的经济实体。</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张起云</w:t>
            </w: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、本次交易完成后，在承诺人作为上市</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公司股东期间，承诺人将尽量避免或减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少与上市公司及其子公司之间产生关联</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交易事项；对于不可避免发生的关联业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务往来或交易，将在平等、自愿的基础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上，按照公平、公允和等价有偿的原则</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进行，交易价格将按照市场公认的合理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孙路、贵 博投资、 董先权、 徐根义、 紫煦投 资、史兴 领、陈学 祥、张起 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both"/>
              <w:rPr>
                <w:rFonts w:ascii="宋体" w:hAnsi="宋体" w:cs="宋体" w:eastAsia="宋体" w:hint="default"/>
                <w:sz w:val="18"/>
                <w:szCs w:val="18"/>
              </w:rPr>
            </w:pPr>
            <w:r>
              <w:rPr>
                <w:rFonts w:ascii="宋体" w:hAnsi="宋体" w:cs="宋体" w:eastAsia="宋体" w:hint="default"/>
                <w:spacing w:val="-5"/>
                <w:sz w:val="18"/>
                <w:szCs w:val="18"/>
              </w:rPr>
              <w:t>价格确定。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、在承诺人作为上市公司股</w:t>
            </w:r>
            <w:r>
              <w:rPr>
                <w:rFonts w:ascii="宋体" w:hAnsi="宋体" w:cs="宋体" w:eastAsia="宋体" w:hint="default"/>
                <w:sz w:val="18"/>
                <w:szCs w:val="18"/>
              </w:rPr>
              <w:t> 东期间，不利用股东地位及影响谋求上 市公司在业务合作等方面给予优于市场 第三方的权利；不利用股东地位及影响 </w:t>
            </w:r>
            <w:r>
              <w:rPr>
                <w:rFonts w:ascii="宋体" w:hAnsi="宋体" w:cs="宋体" w:eastAsia="宋体" w:hint="default"/>
                <w:spacing w:val="-8"/>
                <w:sz w:val="18"/>
                <w:szCs w:val="18"/>
              </w:rPr>
              <w:t>谋求与公司达成交易的优先权利；</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、在</w:t>
            </w:r>
            <w:r>
              <w:rPr>
                <w:rFonts w:ascii="宋体" w:hAnsi="宋体" w:cs="宋体" w:eastAsia="宋体" w:hint="default"/>
                <w:spacing w:val="-76"/>
                <w:sz w:val="18"/>
                <w:szCs w:val="18"/>
              </w:rPr>
              <w:t> </w:t>
            </w:r>
            <w:r>
              <w:rPr>
                <w:rFonts w:ascii="宋体" w:hAnsi="宋体" w:cs="宋体" w:eastAsia="宋体" w:hint="default"/>
                <w:sz w:val="18"/>
                <w:szCs w:val="18"/>
              </w:rPr>
              <w:t>承诺人作为上市公司股东期间，承诺人</w:t>
            </w:r>
            <w:r>
              <w:rPr>
                <w:rFonts w:ascii="宋体" w:hAnsi="宋体" w:cs="宋体" w:eastAsia="宋体" w:hint="default"/>
                <w:sz w:val="18"/>
                <w:szCs w:val="18"/>
              </w:rPr>
              <w:t> 将严格遵守上市公司章程等规范性文件 中关于关联交易事项的回避规定，所涉 及的关联交易均按照规定的决策程序进 行，并将履行合法程序、及时对关联交</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易事项进行信息披露；不利用关联交易</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转移、输送利润，损害上市公司及其他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股东的合法权益。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、承诺人将杜绝一切</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非法占用上市公司的资金、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在任何情况下，不要求上市公司向承诺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人及承诺人控制的企业提供任何形式的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孙路、贵</w:t>
            </w: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博投资、</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董先权、 徐根义、 紫煦投 资、史兴 领、陈学</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关于不占用 资金的承诺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z w:val="18"/>
                <w:szCs w:val="18"/>
              </w:rPr>
              <w:t>承诺人作为本次交易的交易对方之一， 现承诺：承诺人及关联方未来不会以任 何方式向贵博新能借款或占用贵博新能 资金。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祥、张起</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孙路、贵</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关于交易标</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承诺人拥有贵博新能股权完整的所有</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98"/>
              <w:jc w:val="both"/>
              <w:rPr>
                <w:rFonts w:ascii="宋体" w:hAnsi="宋体" w:cs="宋体" w:eastAsia="宋体" w:hint="default"/>
                <w:sz w:val="18"/>
                <w:szCs w:val="18"/>
              </w:rPr>
            </w:pPr>
            <w:r>
              <w:rPr>
                <w:rFonts w:ascii="宋体" w:hAnsi="宋体" w:cs="宋体" w:eastAsia="宋体" w:hint="default"/>
                <w:sz w:val="18"/>
                <w:szCs w:val="18"/>
              </w:rPr>
              <w:t>博投资、 董先权、 徐根义、</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55"/>
              <w:jc w:val="both"/>
              <w:rPr>
                <w:rFonts w:ascii="宋体" w:hAnsi="宋体" w:cs="宋体" w:eastAsia="宋体" w:hint="default"/>
                <w:sz w:val="18"/>
                <w:szCs w:val="18"/>
              </w:rPr>
            </w:pPr>
            <w:r>
              <w:rPr>
                <w:rFonts w:ascii="宋体" w:hAnsi="宋体" w:cs="宋体" w:eastAsia="宋体" w:hint="default"/>
                <w:sz w:val="18"/>
                <w:szCs w:val="18"/>
              </w:rPr>
              <w:t>的出资、股 权无瑕疵及 合法存续的</w:t>
            </w:r>
          </w:p>
        </w:tc>
        <w:tc>
          <w:tcPr>
            <w:tcW w:w="3119" w:type="dxa"/>
            <w:tcBorders>
              <w:top w:val="nil" w:sz="6" w:space="0" w:color="auto"/>
              <w:left w:val="single" w:sz="4" w:space="0" w:color="000000"/>
              <w:bottom w:val="nil" w:sz="6" w:space="0" w:color="auto"/>
              <w:right w:val="single" w:sz="13" w:space="0" w:color="FFFFFF"/>
            </w:tcBorders>
          </w:tcPr>
          <w:p>
            <w:pPr>
              <w:pStyle w:val="TableParagraph"/>
              <w:spacing w:line="316" w:lineRule="auto" w:before="20"/>
              <w:ind w:left="23" w:right="12"/>
              <w:jc w:val="left"/>
              <w:rPr>
                <w:rFonts w:ascii="宋体" w:hAnsi="宋体" w:cs="宋体" w:eastAsia="宋体" w:hint="default"/>
                <w:sz w:val="18"/>
                <w:szCs w:val="18"/>
              </w:rPr>
            </w:pPr>
            <w:r>
              <w:rPr>
                <w:rFonts w:ascii="宋体" w:hAnsi="宋体" w:cs="宋体" w:eastAsia="宋体" w:hint="default"/>
                <w:spacing w:val="-6"/>
                <w:sz w:val="18"/>
                <w:szCs w:val="18"/>
              </w:rPr>
              <w:t>权，依法拥有贵博新能股权有效的占有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使用、收益及处分权；上述股权权属清 晰，不存在委托持股、信托持股、其他</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186" w:lineRule="exact" w:before="20"/>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8"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紫煦投</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协议安排或利益输送情况以及其他任何</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567.669983pt;width:49.1pt;height:56.7pt;mso-position-horizontal-relative:page;mso-position-vertical-relative:page;z-index:-977464" coordorigin="7946,11353" coordsize="982,1134">
            <v:group style="position:absolute;left:7946;top:11353;width:982;height:780" coordorigin="7946,11353" coordsize="982,780">
              <v:shape style="position:absolute;left:7946;top:11353;width:982;height:780" coordorigin="7946,11353" coordsize="982,780" path="m7946,12133l8928,12133,8928,11353,7946,11353,7946,12133xe" filled="true" fillcolor="#ffffff" stroked="false">
                <v:path arrowok="t"/>
                <v:fill type="solid"/>
              </v:shape>
            </v:group>
            <v:group style="position:absolute;left:7968;top:12134;width:939;height:354" coordorigin="7968,12134" coordsize="939,354">
              <v:shape style="position:absolute;left:7968;top:12134;width:939;height:354" coordorigin="7968,12134" coordsize="939,354" path="m7968,12487l8906,12487,8906,12134,7968,12134,7968,1248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31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资、史兴</w:t>
            </w:r>
          </w:p>
        </w:tc>
        <w:tc>
          <w:tcPr>
            <w:tcW w:w="991"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为第三方代持股权的情形，没有设置抵</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领、陈学</w:t>
            </w: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押、质押、留置等任何担保权益，也不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祥、张起</w:t>
            </w: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存在任何可能导致上述股权被有关司法</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机关或行政机关查封、冻结、征用或限</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制转让的未决或潜在的诉讼、仲裁以及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任何其他行政或司法程序，股权过户或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转移不存在法律障碍。承诺人已履行了</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《安徽贵博新能科技有限公司章程》规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定的全额出资义务，全部缴足了注册资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本，不存在出资不实以及其他影响其合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法存续的情况。如因本公司出资或股权</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瑕疵而导致科大国创产生任何损失由本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承诺人承担。</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孙路、贵</w:t>
            </w: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博投资、</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董先权、 徐根义、 紫煦投 资、史兴 领、陈学</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55"/>
              <w:jc w:val="both"/>
              <w:rPr>
                <w:rFonts w:ascii="宋体" w:hAnsi="宋体" w:cs="宋体" w:eastAsia="宋体" w:hint="default"/>
                <w:sz w:val="18"/>
                <w:szCs w:val="18"/>
              </w:rPr>
            </w:pPr>
            <w:r>
              <w:rPr>
                <w:rFonts w:ascii="宋体" w:hAnsi="宋体" w:cs="宋体" w:eastAsia="宋体" w:hint="default"/>
                <w:sz w:val="18"/>
                <w:szCs w:val="18"/>
              </w:rPr>
              <w:t>不谋求上市 公司控制权 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承诺人作为本次交易的交易对方之一， 保证在本次交易完成后，不主动单独或 联合他人谋求科大国创的第一大股东地 位或实际控制人地位。</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祥、张起</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孙路、贵</w:t>
            </w: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博投资、</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董先权、</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关于不参与</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承诺人作为本次交易的交易对方之一，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徐根义、 紫煦投 资、史兴</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5"/>
              <w:jc w:val="both"/>
              <w:rPr>
                <w:rFonts w:ascii="宋体" w:hAnsi="宋体" w:cs="宋体" w:eastAsia="宋体" w:hint="default"/>
                <w:sz w:val="18"/>
                <w:szCs w:val="18"/>
              </w:rPr>
            </w:pPr>
            <w:r>
              <w:rPr>
                <w:rFonts w:ascii="宋体" w:hAnsi="宋体" w:cs="宋体" w:eastAsia="宋体" w:hint="default"/>
                <w:sz w:val="18"/>
                <w:szCs w:val="18"/>
              </w:rPr>
              <w:t>募集配套资 金所发行股 份认购的承</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现承诺：承诺人及关联方不认购本次配 套募集资金发行股份，且在本次交易完 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个月内没有增持科大国创股票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2020-01-10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领、陈学</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的计划。</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祥、张起</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2273"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孙路、 董先权、 徐根义、 史兴领、 陈学祥、 张起云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兼业禁止承 诺</w:t>
            </w:r>
          </w:p>
        </w:tc>
        <w:tc>
          <w:tcPr>
            <w:tcW w:w="3119"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本人未经科大国创书面同意，不会在其 他与贵博新能及科大国创有竞争关系的 </w:t>
            </w:r>
            <w:r>
              <w:rPr>
                <w:rFonts w:ascii="宋体" w:hAnsi="宋体" w:cs="宋体" w:eastAsia="宋体" w:hint="default"/>
                <w:spacing w:val="-6"/>
                <w:sz w:val="18"/>
                <w:szCs w:val="18"/>
              </w:rPr>
              <w:t>任何单位兼职。如果本人违反上述承诺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相关所得归科大国创所有，并赔偿科大 国创的全部损失，同时将本次交易中所 获对价的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作为违约金以现金方式支 付给科大国创。</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19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在本次交易前后，本人不存在违反相关</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董先权、 徐根义、 史兴领、</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55"/>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单位竞业禁止规定的情形。若因本人违 反相关竞业禁止规定，导致本人或贵博 新能、科大国创侵犯他人权利的，本人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陈学祥、</w:t>
            </w: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承担全部责任，科大国创和贵博新能无</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013pt;margin-top:281.809998pt;width:118.4pt;height:78pt;mso-position-horizontal-relative:page;mso-position-vertical-relative:page;z-index:-97741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死亡或宣告死亡、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1923"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张起云</w:t>
            </w: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0"/>
              <w:jc w:val="both"/>
              <w:rPr>
                <w:rFonts w:ascii="宋体" w:hAnsi="宋体" w:cs="宋体" w:eastAsia="宋体" w:hint="default"/>
                <w:sz w:val="18"/>
                <w:szCs w:val="18"/>
              </w:rPr>
            </w:pPr>
            <w:r>
              <w:rPr>
                <w:rFonts w:ascii="宋体" w:hAnsi="宋体" w:cs="宋体" w:eastAsia="宋体" w:hint="default"/>
                <w:sz w:val="18"/>
                <w:szCs w:val="18"/>
              </w:rPr>
              <w:t>需承担责任，若贵博新能或科大国创由 此遭受损失的，则孙路、史兴领、徐根 义、陈学祥、张起云、董先权共同连带 赔偿科大国创或贵博新能的损失，同时 将本次交易中所获对价的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 金以现金方式支付给科大国创。</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孙路、 董先权、 徐根义、 史兴领、 陈学祥、 张起云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不离职承诺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自发行股份购买资产协议签署之日开始 至本次交易完成期间，以及本次交易完 成之日起五年内仍在贵博新能或科大国 创及其子公司任职。若在五年内离职， 违反上述任职期限承诺，本人将赔偿科 大国创的全部损失，同时将本次交易中 所获对价的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作为违约金以现金方式 支付给科大国创。如因退休、丧失或部 分丧失民事行为能力、 宣告失踪或者被贵博新能、科大国创及 其子公司解除劳动关系的，不视为违反 任职期限承诺。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1pt;height:78pt;mso-position-horizontal-relative:char;mso-position-vertical-relative:line" coordorigin="0,0" coordsize="982,1560">
                  <v:group style="position:absolute;left:0;top:0;width:982;height:1560" coordorigin="0,0" coordsize="982,1560">
                    <v:shape style="position:absolute;left:0;top:0;width:982;height:1560" coordorigin="0,0" coordsize="982,1560" path="m0,1560l982,1560,982,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2024-01-10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48"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18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8"/>
              <w:jc w:val="both"/>
              <w:rPr>
                <w:rFonts w:ascii="宋体" w:hAnsi="宋体" w:cs="宋体" w:eastAsia="宋体" w:hint="default"/>
                <w:sz w:val="18"/>
                <w:szCs w:val="18"/>
              </w:rPr>
            </w:pPr>
            <w:r>
              <w:rPr>
                <w:rFonts w:ascii="宋体" w:hAnsi="宋体" w:cs="宋体" w:eastAsia="宋体" w:hint="default"/>
                <w:sz w:val="18"/>
                <w:szCs w:val="18"/>
              </w:rPr>
              <w:t>合肥国创 智能科技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除公司首次公开发行股票时其公开发售 的股份外，自公司股票上市之日起三十 六个月内，不转让或者委托他人管理其 所持有的公司公开发行股票前已发行的 股份，也不由公司回购上述股份；公司 上市后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个交 易日的收盘价均低于公司首次公开发行 股票时的发行价，或者上市后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末收盘价低于公司首次公开发行股票时 的发行价，其持有公司股票的锁定期限 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个月。若公司股票在此期间 发生除权、除息的，发行价格将作相应 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795"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董永东、 杨杨、史 兴领、许 广德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除公司首次公开发行股票时合肥国创所 公开发售的股份外，自公司股票上市之 日起三十六个月内，不转让或者委托他 人管理其直接或间接持有的公司公开发 行股票前已发行的股份，也不由公司回 购上述股份；在本人股份锁定期满后， 担任公司董事、监事或高级管理人员期 间每年转让的公司股份不超过其持有的 公司股份总数的百分之二十五；离职后 半年内不转让本人持有的公司股份；公 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个交易日的收盘价均低于公司首次公开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2019-07-08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7.013pt;margin-top:184.22998pt;width:109.4pt;height:179.45pt;mso-position-horizontal-relative:page;mso-position-vertical-relative:page;z-index:-977392"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担任公司董事、</w:t>
                  </w:r>
                </w:p>
              </w:txbxContent>
            </v:textbox>
            <w10:wrap type="none"/>
          </v:shape>
        </w:pict>
      </w:r>
      <w:r>
        <w:rPr/>
        <w:pict>
          <v:shape style="position:absolute;margin-left:167.539993pt;margin-top:690.935974pt;width:73.25pt;height:77.05pt;mso-position-horizontal-relative:page;mso-position-vertical-relative:page;z-index:-97736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杨杨、</w:t>
                  </w:r>
                </w:p>
              </w:txbxContent>
            </v:textbox>
            <w10:wrap type="none"/>
          </v:shape>
        </w:pict>
      </w:r>
      <w:r>
        <w:rPr/>
        <w:pict>
          <v:group style="position:absolute;margin-left:397.299988pt;margin-top:184.22998pt;width:49.1pt;height:179.45pt;mso-position-horizontal-relative:page;mso-position-vertical-relative:page;z-index:-977344" coordorigin="7946,3685" coordsize="982,3589">
            <v:shape style="position:absolute;left:7946;top:3685;width:982;height:3589" coordorigin="7946,3685" coordsize="982,3589" path="m7946,7273l8928,7273,8928,3685,7946,3685,7946,7273xe" filled="true" fillcolor="#ffffff" stroked="false">
              <v:path arrowok="t"/>
              <v:fill type="solid"/>
            </v:shape>
            <w10:wrap type="none"/>
          </v:group>
        </w:pict>
      </w:r>
      <w:r>
        <w:rPr/>
        <w:pict>
          <v:group style="position:absolute;margin-left:191.690002pt;margin-top:690.935974pt;width:49.1pt;height:77.05pt;mso-position-horizontal-relative:page;mso-position-vertical-relative:page;z-index:-977320" coordorigin="3834,13819" coordsize="982,1541">
            <v:shape style="position:absolute;left:3834;top:13819;width:982;height:1541" coordorigin="3834,13819" coordsize="982,1541" path="m3834,15360l4815,15360,4815,13819,3834,13819,3834,1536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320"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发行股票时的发行价，或者上市后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月期末收盘价低于公司首次公开发行股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票时的发行价，其持有公司股票的锁定</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个月，若公司股票在此</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期间发生除权、除息的，发行价格将作</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相应调整；本人不会因职务变更、离职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等原因而拒绝履行上述承诺。</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在本人股份锁定期满后，</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监事或高级管理人员期间每年转让的公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司股份不超过所持有的公司股份总数的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百分之二十五；若本人自公司股票上市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之日起六个月内申报离职，自申报离职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之日起十八个月内不转让本人持有的公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司股份；若本人自公司股票上市之日起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第七个月至第十二个月之间申报离职，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自申报离职之日起十二个月内不转让本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人持有的公司股份；若本人自公司股票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上市之日起十二个月之后离职，离职后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半年内不转让本人持有的公司股份；且 若本人在锁定期满后两年内减持的，减 持价格将不低于公司股票首次公开发行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2019-07-08</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价格（若发生除权、除息事项的，减持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价格作相应调整</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公司上市后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均低于公司首次公开发行股票时的发行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公司首次公开发行股票时的发行价，本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人持有公司股票的锁定期限自动延长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个月，若公司股票在此期间发生除权、</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除息的，发行价格将作相应调整；本人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不会因职务变更、离职等原因而拒绝履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所在所持公司股票锁定期届满后的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内，在不丧失公司第一大股东及实际控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制人地位，以及不违反合肥国创及董永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东、杨杨、史兴领已作出的相关承诺的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前提下，合肥国创及董永东、杨杨、史</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8"/>
              <w:jc w:val="left"/>
              <w:rPr>
                <w:rFonts w:ascii="宋体" w:hAnsi="宋体" w:cs="宋体" w:eastAsia="宋体" w:hint="default"/>
                <w:sz w:val="18"/>
                <w:szCs w:val="18"/>
              </w:rPr>
            </w:pPr>
            <w:r>
              <w:rPr>
                <w:rFonts w:ascii="宋体" w:hAnsi="宋体" w:cs="宋体" w:eastAsia="宋体" w:hint="default"/>
                <w:sz w:val="18"/>
                <w:szCs w:val="18"/>
              </w:rPr>
              <w:t>有限公 司、董永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4"/>
              <w:jc w:val="left"/>
              <w:rPr>
                <w:rFonts w:ascii="宋体" w:hAnsi="宋体" w:cs="宋体" w:eastAsia="宋体" w:hint="default"/>
                <w:sz w:val="18"/>
                <w:szCs w:val="18"/>
              </w:rPr>
            </w:pPr>
            <w:r>
              <w:rPr>
                <w:rFonts w:ascii="宋体" w:hAnsi="宋体" w:cs="宋体" w:eastAsia="宋体" w:hint="default"/>
                <w:sz w:val="18"/>
                <w:szCs w:val="18"/>
              </w:rPr>
              <w:t>兴领存在对所持公司股票实施有限减持 的可能性，但届时的减持数量和价格将</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2021-07-08</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东、</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以此为限</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）合肥国创及董永东、杨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杨、史兴领在所持公司股票锁定期届满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后的二年内，合计减持数量将不超过公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，各自减持公司股票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的数量在减持前由前述各方协商确定；</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4.013pt;margin-top:72.475983pt;width:82.4pt;height:48.9pt;mso-position-horizontal-relative:page;mso-position-vertical-relative:page;z-index:-977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事项的，</w:t>
                  </w:r>
                </w:p>
              </w:txbxContent>
            </v:textbox>
            <w10:wrap type="none"/>
          </v:shape>
        </w:pict>
      </w:r>
      <w:r>
        <w:rPr/>
        <w:pict>
          <v:shape style="position:absolute;margin-left:373.130005pt;margin-top:297.889984pt;width:73.25pt;height:109.2pt;mso-position-horizontal-relative:page;mso-position-vertical-relative:page;z-index:-977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收购、</w:t>
                  </w:r>
                </w:p>
              </w:txbxContent>
            </v:textbox>
            <w10:wrap type="none"/>
          </v:shape>
        </w:pict>
      </w:r>
      <w:r>
        <w:rPr/>
        <w:pict>
          <v:shape style="position:absolute;margin-left:364.013pt;margin-top:552.075989pt;width:82.4pt;height:84.9pt;mso-position-horizontal-relative:page;mso-position-vertical-relative:page;z-index:-977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家法律、</w:t>
                  </w:r>
                </w:p>
              </w:txbxContent>
            </v:textbox>
            <w10:wrap type="none"/>
          </v:shape>
        </w:pict>
      </w:r>
      <w:r>
        <w:rPr/>
        <w:pict>
          <v:group style="position:absolute;margin-left:192.889999pt;margin-top:432.52597pt;width:46.8pt;height:15.65pt;mso-position-horizontal-relative:page;mso-position-vertical-relative:page;z-index:-977200" coordorigin="3858,8651" coordsize="936,313">
            <v:shape style="position:absolute;left:3858;top:8651;width:936;height:313" coordorigin="3858,8651" coordsize="936,313" path="m3858,8963l4794,8963,4794,8651,3858,8651,3858,8963xe" filled="true" fillcolor="#ffffff" stroked="false">
              <v:path arrowok="t"/>
              <v:fill type="solid"/>
            </v:shape>
            <w10:wrap type="none"/>
          </v:group>
        </w:pict>
      </w:r>
      <w:r>
        <w:rPr/>
        <w:pict>
          <v:group style="position:absolute;margin-left:397.299988pt;margin-top:297.889984pt;width:49.1pt;height:109.2pt;mso-position-horizontal-relative:page;mso-position-vertical-relative:page;z-index:-977176" coordorigin="7946,5958" coordsize="982,2184">
            <v:shape style="position:absolute;left:7946;top:5958;width:982;height:2184" coordorigin="7946,5958" coordsize="982,2184" path="m7946,8142l8928,8142,8928,5958,7946,5958,7946,8142xe" filled="true" fillcolor="#ffffff" stroked="false">
              <v:path arrowok="t"/>
              <v:fill type="solid"/>
            </v:shape>
            <w10:wrap type="none"/>
          </v:group>
        </w:pict>
      </w:r>
      <w:r>
        <w:rPr/>
        <w:pict>
          <v:group style="position:absolute;margin-left:397.299988pt;margin-top:552.075989pt;width:49.1pt;height:84.9pt;mso-position-horizontal-relative:page;mso-position-vertical-relative:page;z-index:-977152" coordorigin="7946,11042" coordsize="982,1698">
            <v:shape style="position:absolute;left:7946;top:11042;width:982;height:1698" coordorigin="7946,11042" coordsize="982,1698" path="m7946,12739l8928,12739,8928,11042,7946,11042,7946,127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853"/>
        <w:gridCol w:w="991"/>
        <w:gridCol w:w="3119"/>
        <w:gridCol w:w="994"/>
        <w:gridCol w:w="991"/>
        <w:gridCol w:w="778"/>
      </w:tblGrid>
      <w:tr>
        <w:trPr>
          <w:trHeight w:val="320"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减持价格将不低于公司股票首次公</w:t>
            </w:r>
          </w:p>
        </w:tc>
        <w:tc>
          <w:tcPr>
            <w:tcW w:w="994" w:type="dxa"/>
            <w:vMerge w:val="restart"/>
            <w:tcBorders>
              <w:top w:val="single" w:sz="4" w:space="0" w:color="000000"/>
              <w:left w:val="single" w:sz="4" w:space="0" w:color="000000"/>
              <w:right w:val="single" w:sz="4" w:space="0" w:color="000000"/>
            </w:tcBorders>
          </w:tcPr>
          <w:p>
            <w:pPr>
              <w:pStyle w:val="TableParagraph"/>
              <w:spacing w:line="97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9.1pt;height:48.9pt;mso-position-horizontal-relative:char;mso-position-vertical-relative:line" coordorigin="0,0" coordsize="982,978">
                  <v:group style="position:absolute;left:0;top:0;width:982;height:978" coordorigin="0,0" coordsize="982,978">
                    <v:shape style="position:absolute;left:0;top:0;width:982;height:978" coordorigin="0,0" coordsize="982,978" path="m0,977l982,977,982,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开发行价格（若发生除权、除息</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减持价格作相应调整</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所持公司股票锁定期届满后二年内，在</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不违反已作出的相关承诺的前提下，存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在对所持公司股票实施减持的可能性，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上海雅弘</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但届时的减持数量和价格将以此为限：</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股权投资 基金中心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）在所持公司股票锁定期届满后的二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年内，可减持所持公司全部股份；（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通过证券交易所集中竞价交易系统减持</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2019-07-08</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股份的价格按届时的市场价格确定；通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过证券交易所大宗交易系统、协议转让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减持股份的，转让价格由转让双方协商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确定，并符合有关法律、法规规定。</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本人持有科大国创股份</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期间，本公司及本公司控制的其他企业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6"/>
              <w:jc w:val="left"/>
              <w:rPr>
                <w:rFonts w:ascii="宋体" w:hAnsi="宋体" w:cs="宋体" w:eastAsia="宋体" w:hint="default"/>
                <w:sz w:val="18"/>
                <w:szCs w:val="18"/>
              </w:rPr>
            </w:pPr>
            <w:r>
              <w:rPr>
                <w:rFonts w:ascii="宋体" w:hAnsi="宋体" w:cs="宋体" w:eastAsia="宋体" w:hint="default"/>
                <w:sz w:val="18"/>
                <w:szCs w:val="18"/>
              </w:rPr>
              <w:t>（若有）</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本人及本人控制的其他企业，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不会以任何形式从事与科大国创主营业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合肥国创 智能科技 有限公 司、董永 </w:t>
            </w:r>
            <w:r>
              <w:rPr>
                <w:rFonts w:ascii="宋体" w:hAnsi="宋体" w:cs="宋体" w:eastAsia="宋体" w:hint="default"/>
                <w:spacing w:val="-10"/>
                <w:sz w:val="18"/>
                <w:szCs w:val="18"/>
              </w:rPr>
              <w:t>东、杨杨、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史兴领、</w:t>
            </w:r>
            <w:r>
              <w:rPr>
                <w:rFonts w:ascii="宋体" w:hAnsi="宋体" w:cs="宋体" w:eastAsia="宋体" w:hint="default"/>
                <w:sz w:val="18"/>
                <w:szCs w:val="18"/>
              </w:rPr>
              <w:t> 许广德</w:t>
            </w:r>
          </w:p>
        </w:tc>
        <w:tc>
          <w:tcPr>
            <w:tcW w:w="991"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1"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务相同或相似的业务，不会投资、</w:t>
            </w:r>
            <w:r>
              <w:rPr>
                <w:rFonts w:ascii="宋体" w:hAnsi="宋体" w:cs="宋体" w:eastAsia="宋体" w:hint="default"/>
                <w:sz w:val="18"/>
                <w:szCs w:val="18"/>
              </w:rPr>
              <w:t> 兼并与科大国创主营业务相同或相似的 公司、企业和项目，不会以任何方式为 科大国创的竞争企业提供帮助；若违反 上述承诺，则本公司及本公司控制的其 </w:t>
            </w:r>
            <w:r>
              <w:rPr>
                <w:rFonts w:ascii="宋体" w:hAnsi="宋体" w:cs="宋体" w:eastAsia="宋体" w:hint="default"/>
                <w:spacing w:val="-3"/>
                <w:sz w:val="18"/>
                <w:szCs w:val="18"/>
              </w:rPr>
              <w:t>他企业（若有）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本人及本人控制的其他</w:t>
            </w:r>
            <w:r>
              <w:rPr>
                <w:rFonts w:ascii="宋体" w:hAnsi="宋体" w:cs="宋体" w:eastAsia="宋体" w:hint="default"/>
                <w:spacing w:val="-84"/>
                <w:sz w:val="18"/>
                <w:szCs w:val="18"/>
              </w:rPr>
              <w:t> </w:t>
            </w:r>
            <w:r>
              <w:rPr>
                <w:rFonts w:ascii="宋体" w:hAnsi="宋体" w:cs="宋体" w:eastAsia="宋体" w:hint="default"/>
                <w:sz w:val="18"/>
                <w:szCs w:val="18"/>
              </w:rPr>
              <w:t>企业从事同业竞争所获得的收益全部归 科大国创所有，并赔偿由此给科大国创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造成的一切经济损失，同时，本公司及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本公司控制的其他企业（若有）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本人控制的其他企业放弃此类同业竞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842"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如本企业与科大国创不可避免地出现关</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联交易，将根据《公司法》等国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法规和科大国创公司章程及科大国创关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于关联交易的有关制度的规定，依照市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上海雅弘</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场规则，本着一般商业原则，通过签订</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股权投资 基金中心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3"/>
              <w:jc w:val="both"/>
              <w:rPr>
                <w:rFonts w:ascii="宋体" w:hAnsi="宋体" w:cs="宋体" w:eastAsia="宋体" w:hint="default"/>
                <w:sz w:val="18"/>
                <w:szCs w:val="18"/>
              </w:rPr>
            </w:pPr>
            <w:r>
              <w:rPr>
                <w:rFonts w:ascii="宋体" w:hAnsi="宋体" w:cs="宋体" w:eastAsia="宋体" w:hint="default"/>
                <w:sz w:val="18"/>
                <w:szCs w:val="18"/>
              </w:rPr>
              <w:t>书面协议，公平合理地进行交易，以维 护科大国创及所有股东的利益，本企业 将不利用在科大国创中的股东地位，为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9999-12-31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3"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本企业在与科大国创关联交易中谋取不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正当利益。若违反前述承诺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本企业将在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科大国创股东大会及中国证监会指定报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刊上公开说明具体原因并向科大国创股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东和社会公众投资者道歉，且在限期内</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820"/>
        <w:gridCol w:w="863"/>
        <w:gridCol w:w="991"/>
        <w:gridCol w:w="3119"/>
        <w:gridCol w:w="994"/>
        <w:gridCol w:w="991"/>
        <w:gridCol w:w="778"/>
      </w:tblGrid>
      <w:tr>
        <w:trPr>
          <w:trHeight w:val="987"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both"/>
              <w:rPr>
                <w:rFonts w:ascii="宋体" w:hAnsi="宋体" w:cs="宋体" w:eastAsia="宋体" w:hint="default"/>
                <w:sz w:val="18"/>
                <w:szCs w:val="18"/>
              </w:rPr>
            </w:pPr>
            <w:r>
              <w:rPr>
                <w:rFonts w:ascii="宋体" w:hAnsi="宋体" w:cs="宋体" w:eastAsia="宋体" w:hint="default"/>
                <w:sz w:val="18"/>
                <w:szCs w:val="18"/>
              </w:rPr>
              <w:t>采取有效措施予以纠正，造成科大国创 或其他股东利益受损的，本企业将承担 全额赔偿责任。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63"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63"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0"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736"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6"/>
        <w:gridCol w:w="1195"/>
        <w:gridCol w:w="1198"/>
        <w:gridCol w:w="1195"/>
        <w:gridCol w:w="1196"/>
        <w:gridCol w:w="1198"/>
        <w:gridCol w:w="1198"/>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758" w:right="0"/>
              <w:jc w:val="left"/>
              <w:rPr>
                <w:rFonts w:ascii="Times New Roman" w:hAnsi="Times New Roman" w:cs="Times New Roman" w:eastAsia="Times New Roman" w:hint="default"/>
                <w:sz w:val="18"/>
                <w:szCs w:val="18"/>
              </w:rPr>
            </w:pPr>
            <w:r>
              <w:rPr>
                <w:rFonts w:ascii="Times New Roman"/>
                <w:sz w:val="18"/>
              </w:rPr>
              <w:t>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32" w:right="0"/>
              <w:jc w:val="left"/>
              <w:rPr>
                <w:rFonts w:ascii="Times New Roman" w:hAnsi="Times New Roman" w:cs="Times New Roman" w:eastAsia="Times New Roman" w:hint="default"/>
                <w:sz w:val="18"/>
                <w:szCs w:val="18"/>
              </w:rPr>
            </w:pPr>
            <w:r>
              <w:rPr>
                <w:rFonts w:ascii="Times New Roman"/>
                <w:sz w:val="18"/>
              </w:rPr>
              <w:t>4,151.89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）《科大</w:t>
            </w:r>
            <w:r>
              <w:rPr>
                <w:rFonts w:ascii="宋体" w:hAnsi="宋体" w:cs="宋体" w:eastAsia="宋体" w:hint="default"/>
                <w:sz w:val="18"/>
                <w:szCs w:val="18"/>
              </w:rPr>
              <w:t> 国创软件股份 有限公司发行 股份购买资金 并募集配套资 金暨关联交易 预案》</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line="319"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报告期内，公司并购重组贵博新能，交易对手方孙路、贵博投资、董先权、徐根义、史兴领、陈学祥、张起云承诺：贵博新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能</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年度净利润数（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是指科大国创聘请的具有证券期货业务资格的会计师事务所审计的贵</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2"/>
          <w:sz w:val="18"/>
          <w:szCs w:val="18"/>
        </w:rPr>
        <w:t>博新能合并报表中归属于母公司所有者的税后净利润，且该净利润以扣除非经常性损益前后孰低者为准）分别不低于人民币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万元（三年累计承诺净利润为</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p>
    <w:p>
      <w:pPr>
        <w:spacing w:before="38"/>
        <w:ind w:left="153" w:right="1133"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300" w:lineRule="auto" w:before="117"/>
        <w:ind w:left="153" w:right="1167" w:firstLine="0"/>
        <w:jc w:val="both"/>
        <w:rPr>
          <w:rFonts w:ascii="宋体" w:hAnsi="宋体" w:cs="宋体" w:eastAsia="宋体" w:hint="default"/>
          <w:sz w:val="18"/>
          <w:szCs w:val="18"/>
        </w:rPr>
      </w:pPr>
      <w:r>
        <w:rPr>
          <w:rFonts w:ascii="宋体" w:hAnsi="宋体" w:cs="宋体" w:eastAsia="宋体" w:hint="default"/>
          <w:sz w:val="18"/>
          <w:szCs w:val="18"/>
        </w:rPr>
        <w:t>公司收购贵博新能的业绩承诺期为</w:t>
      </w:r>
      <w:r>
        <w:rPr>
          <w:rFonts w:ascii="Times New Roman" w:hAnsi="Times New Roman" w:cs="Times New Roman" w:eastAsia="Times New Roman" w:hint="default"/>
          <w:sz w:val="18"/>
          <w:szCs w:val="18"/>
        </w:rPr>
        <w:t>2018-2020</w:t>
      </w:r>
      <w:r>
        <w:rPr>
          <w:rFonts w:ascii="宋体" w:hAnsi="宋体" w:cs="宋体" w:eastAsia="宋体" w:hint="default"/>
          <w:sz w:val="18"/>
          <w:szCs w:val="18"/>
        </w:rPr>
        <w:t>年度，根据聘请的会计师事务所审计结果，</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年贵博新能实现归属于母公司 股东的净利润为</w:t>
      </w:r>
      <w:r>
        <w:rPr>
          <w:rFonts w:ascii="Times New Roman" w:hAnsi="Times New Roman" w:cs="Times New Roman" w:eastAsia="Times New Roman" w:hint="default"/>
          <w:sz w:val="18"/>
          <w:szCs w:val="18"/>
        </w:rPr>
        <w:t>4,266.99</w:t>
      </w:r>
      <w:r>
        <w:rPr>
          <w:rFonts w:ascii="宋体" w:hAnsi="宋体" w:cs="宋体" w:eastAsia="宋体" w:hint="default"/>
          <w:sz w:val="18"/>
          <w:szCs w:val="18"/>
        </w:rPr>
        <w:t>万元，扣除非经常性损益后归属于母公司股东的净利润为</w:t>
      </w:r>
      <w:r>
        <w:rPr>
          <w:rFonts w:ascii="Times New Roman" w:hAnsi="Times New Roman" w:cs="Times New Roman" w:eastAsia="Times New Roman" w:hint="default"/>
          <w:sz w:val="18"/>
          <w:szCs w:val="18"/>
        </w:rPr>
        <w:t>4,151.89</w:t>
      </w:r>
      <w:r>
        <w:rPr>
          <w:rFonts w:ascii="宋体" w:hAnsi="宋体" w:cs="宋体" w:eastAsia="宋体" w:hint="default"/>
          <w:sz w:val="18"/>
          <w:szCs w:val="18"/>
        </w:rPr>
        <w:t>万元，承诺净利润为</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 完成了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年度业绩承诺。公司收购贵博新能形成商誉</w:t>
      </w:r>
      <w:r>
        <w:rPr>
          <w:rFonts w:ascii="Times New Roman" w:hAnsi="Times New Roman" w:cs="Times New Roman" w:eastAsia="Times New Roman" w:hint="default"/>
          <w:sz w:val="18"/>
          <w:szCs w:val="18"/>
        </w:rPr>
        <w:t>578,814,214.02</w:t>
      </w:r>
      <w:r>
        <w:rPr>
          <w:rFonts w:ascii="宋体" w:hAnsi="宋体" w:cs="宋体" w:eastAsia="宋体" w:hint="default"/>
          <w:sz w:val="18"/>
          <w:szCs w:val="18"/>
        </w:rPr>
        <w:t>元，根据《会计监管风险提示第</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商誉减值》、</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《企业会计准则》及公司会计政策等相关规定，按照谨慎性原则，公司对上述商誉进行了减值测试，未发现存在减值情形。</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0" w:firstLine="420"/>
        <w:jc w:val="left"/>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2018</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24</w:t>
      </w:r>
      <w:r>
        <w:rPr>
          <w:spacing w:val="-9"/>
        </w:rPr>
        <w:t>日，公司召开第二届董事会第二十二次会议，审议通过了《关于会计政策变更的议案》。</w:t>
      </w:r>
      <w:r>
        <w:rPr>
          <w:w w:val="100"/>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日印发《企业会计准则第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持有待售的非流动资产、处置组和终止经营》的</w:t>
      </w:r>
      <w:r>
        <w:rPr>
          <w:spacing w:val="-29"/>
        </w:rPr>
        <w:t> </w:t>
      </w:r>
      <w:r>
        <w:rPr>
          <w:spacing w:val="-29"/>
        </w:rPr>
      </w:r>
      <w:r>
        <w:rPr>
          <w:spacing w:val="-3"/>
        </w:rPr>
        <w:t>通知（财会</w:t>
      </w:r>
      <w:r>
        <w:rPr>
          <w:rFonts w:ascii="Times New Roman" w:hAnsi="Times New Roman" w:cs="Times New Roman" w:eastAsia="Times New Roman" w:hint="default"/>
          <w:spacing w:val="-3"/>
        </w:rPr>
        <w:t>[2017]13</w:t>
      </w:r>
      <w:r>
        <w:rPr>
          <w:spacing w:val="-3"/>
        </w:rPr>
        <w:t>号），要求自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日起在所有执行企业会计准则的企业范围内施行。财政部于</w:t>
      </w:r>
      <w:r>
        <w:rPr>
          <w:spacing w:val="-13"/>
        </w:rPr>
        <w:t> </w:t>
      </w:r>
      <w:r>
        <w:rPr>
          <w:spacing w:val="-13"/>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日修订并发布了《财政部关于修订印发一般企业财务报表格式的通知》（财会</w:t>
      </w:r>
      <w:r>
        <w:rPr>
          <w:rFonts w:ascii="Times New Roman" w:hAnsi="Times New Roman" w:cs="Times New Roman" w:eastAsia="Times New Roman" w:hint="default"/>
          <w:spacing w:val="-3"/>
        </w:rPr>
        <w:t>[2017]30</w:t>
      </w:r>
      <w:r>
        <w:rPr>
          <w:spacing w:val="-3"/>
        </w:rPr>
        <w:t>号），</w:t>
      </w:r>
      <w:r>
        <w:rPr>
          <w:spacing w:val="-5"/>
        </w:rPr>
        <w:t> </w:t>
      </w:r>
      <w:r>
        <w:rPr>
          <w:spacing w:val="-5"/>
        </w:rPr>
      </w:r>
      <w:r>
        <w:rPr>
          <w:spacing w:val="-2"/>
        </w:rPr>
        <w:t>对一般企业财务报表格式进行了修订，适用于</w:t>
      </w:r>
      <w:r>
        <w:rPr>
          <w:rFonts w:ascii="Times New Roman" w:hAnsi="Times New Roman" w:cs="Times New Roman" w:eastAsia="Times New Roman" w:hint="default"/>
          <w:spacing w:val="-2"/>
        </w:rPr>
        <w:t>2017</w:t>
      </w:r>
      <w:r>
        <w:rPr>
          <w:spacing w:val="-2"/>
        </w:rPr>
        <w:t>年度及以后期间的财务报表。公司按照上述通知及上述</w:t>
      </w:r>
      <w:r>
        <w:rPr>
          <w:spacing w:val="-41"/>
        </w:rPr>
        <w:t> </w:t>
      </w:r>
      <w:r>
        <w:rPr>
          <w:spacing w:val="-41"/>
        </w:rPr>
      </w:r>
      <w:r>
        <w:rPr/>
        <w:t>企业会计准则的规定和要求，对原会计政策进行相应变更。</w:t>
      </w:r>
    </w:p>
    <w:p>
      <w:pPr>
        <w:pStyle w:val="BodyText"/>
        <w:spacing w:line="261" w:lineRule="auto" w:before="22"/>
        <w:ind w:right="1104"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日，公司召开第二届董事会第二十八次会议，审议通过了《关于会计政策变更的议</w:t>
      </w:r>
      <w:r>
        <w:rPr>
          <w:w w:val="100"/>
        </w:rPr>
        <w:t> </w:t>
      </w:r>
      <w:r>
        <w:rPr>
          <w:spacing w:val="-10"/>
          <w:w w:val="100"/>
        </w:rPr>
        <w:t>案》。财政部于</w:t>
      </w:r>
      <w:r>
        <w:rPr>
          <w:rFonts w:ascii="Times New Roman" w:hAnsi="Times New Roman" w:cs="Times New Roman" w:eastAsia="Times New Roman" w:hint="default"/>
          <w:spacing w:val="-10"/>
          <w:w w:val="100"/>
        </w:rPr>
        <w:t>2018</w:t>
      </w:r>
      <w:r>
        <w:rPr>
          <w:spacing w:val="-10"/>
          <w:w w:val="100"/>
        </w:rPr>
        <w:t>年</w:t>
      </w:r>
      <w:r>
        <w:rPr>
          <w:rFonts w:ascii="Times New Roman" w:hAnsi="Times New Roman" w:cs="Times New Roman" w:eastAsia="Times New Roman" w:hint="default"/>
          <w:spacing w:val="-10"/>
          <w:w w:val="100"/>
        </w:rPr>
        <w:t>6</w:t>
      </w:r>
      <w:r>
        <w:rPr>
          <w:spacing w:val="-10"/>
          <w:w w:val="100"/>
        </w:rPr>
        <w:t>月</w:t>
      </w:r>
      <w:r>
        <w:rPr>
          <w:rFonts w:ascii="Times New Roman" w:hAnsi="Times New Roman" w:cs="Times New Roman" w:eastAsia="Times New Roman" w:hint="default"/>
          <w:spacing w:val="-10"/>
          <w:w w:val="100"/>
        </w:rPr>
        <w:t>15</w:t>
      </w:r>
      <w:r>
        <w:rPr>
          <w:spacing w:val="-10"/>
          <w:w w:val="100"/>
        </w:rPr>
        <w:t>日发布了《关于修订印发</w:t>
      </w:r>
      <w:r>
        <w:rPr>
          <w:rFonts w:ascii="Times New Roman" w:hAnsi="Times New Roman" w:cs="Times New Roman" w:eastAsia="Times New Roman" w:hint="default"/>
          <w:spacing w:val="-10"/>
          <w:w w:val="100"/>
        </w:rPr>
        <w:t>2018</w:t>
      </w:r>
      <w:r>
        <w:rPr>
          <w:spacing w:val="-10"/>
          <w:w w:val="100"/>
        </w:rPr>
        <w:t>年度一般企业财务报表格式的通知》（财会</w:t>
      </w:r>
      <w:r>
        <w:rPr>
          <w:rFonts w:ascii="Times New Roman" w:hAnsi="Times New Roman" w:cs="Times New Roman" w:eastAsia="Times New Roman" w:hint="default"/>
          <w:spacing w:val="-10"/>
          <w:w w:val="100"/>
        </w:rPr>
        <w:t>[2018]15</w:t>
      </w:r>
      <w:r>
        <w:rPr>
          <w:rFonts w:ascii="Times New Roman" w:hAnsi="Times New Roman" w:cs="Times New Roman" w:eastAsia="Times New Roman" w:hint="default"/>
          <w:spacing w:val="-27"/>
          <w:w w:val="100"/>
        </w:rPr>
        <w:t> </w:t>
      </w:r>
      <w:r>
        <w:rPr>
          <w:rFonts w:ascii="Times New Roman" w:hAnsi="Times New Roman" w:cs="Times New Roman" w:eastAsia="Times New Roman" w:hint="default"/>
          <w:spacing w:val="-27"/>
          <w:w w:val="100"/>
        </w:rPr>
      </w:r>
      <w:r>
        <w:rPr>
          <w:spacing w:val="-2"/>
        </w:rPr>
        <w:t>号），对一般企业财务报表格式进行了修订。公司按照上述通知的要求，调整相关财务报表项目的列报，</w:t>
      </w:r>
      <w:r>
        <w:rPr>
          <w:spacing w:val="-21"/>
        </w:rPr>
        <w:t> </w:t>
      </w:r>
      <w:r>
        <w:rPr>
          <w:spacing w:val="-21"/>
        </w:rPr>
      </w:r>
      <w:r>
        <w:rPr/>
        <w:t>并对可比会计期间的比较数据进行相应调整。</w:t>
      </w:r>
    </w:p>
    <w:p>
      <w:pPr>
        <w:pStyle w:val="BodyText"/>
        <w:spacing w:line="256" w:lineRule="auto" w:before="18"/>
        <w:ind w:right="1126" w:firstLine="420"/>
        <w:jc w:val="both"/>
      </w:pPr>
      <w:r>
        <w:rPr>
          <w:spacing w:val="-3"/>
        </w:rPr>
        <w:t>上述会计政策变更具体内容详见公司在巨潮资讯网（</w:t>
      </w:r>
      <w:hyperlink r:id="rId11">
        <w:r>
          <w:rPr>
            <w:rFonts w:ascii="Times New Roman" w:hAnsi="Times New Roman" w:cs="Times New Roman" w:eastAsia="Times New Roman" w:hint="default"/>
            <w:spacing w:val="-3"/>
          </w:rPr>
          <w:t>www.cninfo.com.cn</w:t>
        </w:r>
      </w:hyperlink>
      <w:r>
        <w:rPr>
          <w:spacing w:val="-3"/>
        </w:rPr>
        <w:t>）上披露的相关公告，是公司</w:t>
      </w:r>
      <w:r>
        <w:rPr>
          <w:w w:val="100"/>
        </w:rPr>
        <w:t> </w:t>
      </w:r>
      <w:r>
        <w:rPr/>
        <w:t>根据财政部相关要求进行的合理变更，对公司财务状况、经营成果和现金流量无重大影响。</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6" w:lineRule="auto" w:before="83"/>
        <w:ind w:right="1126" w:firstLine="420"/>
        <w:jc w:val="both"/>
      </w:pPr>
      <w:r>
        <w:rPr>
          <w:spacing w:val="-2"/>
        </w:rPr>
        <w:t>报告期内，公司新增纳入合并范围的子公司变化情况如下：新设控股子公司安徽科大国创软件科技有</w:t>
      </w:r>
      <w:r>
        <w:rPr>
          <w:w w:val="100"/>
        </w:rPr>
        <w:t> </w:t>
      </w:r>
      <w:r>
        <w:rPr>
          <w:spacing w:val="-2"/>
        </w:rPr>
        <w:t>限公司，公司出资占其注册资本的</w:t>
      </w:r>
      <w:r>
        <w:rPr>
          <w:rFonts w:ascii="Times New Roman" w:hAnsi="Times New Roman" w:cs="Times New Roman" w:eastAsia="Times New Roman" w:hint="default"/>
          <w:spacing w:val="-2"/>
        </w:rPr>
        <w:t>80%</w:t>
      </w:r>
      <w:r>
        <w:rPr>
          <w:spacing w:val="-2"/>
        </w:rPr>
        <w:t>；公司全资子公司云网科技新设全资子公司贵州科大国创大数据科</w:t>
      </w:r>
      <w:r>
        <w:rPr>
          <w:spacing w:val="-5"/>
        </w:rPr>
        <w:t> </w:t>
      </w:r>
      <w:r>
        <w:rPr>
          <w:spacing w:val="-5"/>
        </w:rPr>
      </w:r>
      <w:r>
        <w:rPr/>
        <w:t>技有限公司，公司通过云网科技间接控制其</w:t>
      </w:r>
      <w:r>
        <w:rPr>
          <w:rFonts w:ascii="Times New Roman" w:hAnsi="Times New Roman" w:cs="Times New Roman" w:eastAsia="Times New Roman" w:hint="default"/>
        </w:rPr>
        <w:t>100%</w:t>
      </w:r>
      <w:r>
        <w:rPr/>
        <w:t>的股权。</w:t>
      </w:r>
    </w:p>
    <w:p>
      <w:pPr>
        <w:pStyle w:val="BodyText"/>
        <w:spacing w:line="256" w:lineRule="auto"/>
        <w:ind w:right="1126"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日，公司发行股份购买贵博新能</w:t>
      </w:r>
      <w:r>
        <w:rPr>
          <w:rFonts w:ascii="Times New Roman" w:hAnsi="Times New Roman" w:cs="Times New Roman" w:eastAsia="Times New Roman" w:hint="default"/>
          <w:spacing w:val="-4"/>
        </w:rPr>
        <w:t>100%</w:t>
      </w:r>
      <w:r>
        <w:rPr>
          <w:spacing w:val="-4"/>
        </w:rPr>
        <w:t>股权事项完成资产过户，贵博新能成为公司全资子</w:t>
      </w:r>
      <w:r>
        <w:rPr>
          <w:w w:val="100"/>
        </w:rPr>
        <w:t> </w:t>
      </w:r>
      <w:r>
        <w:rPr>
          <w:spacing w:val="-2"/>
        </w:rPr>
        <w:t>公司，根据企业会计准则规定，贵博新能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日资产负债表纳入公司合并范围，</w:t>
      </w:r>
      <w:r>
        <w:rPr>
          <w:rFonts w:ascii="Times New Roman" w:hAnsi="Times New Roman" w:cs="Times New Roman" w:eastAsia="Times New Roman" w:hint="default"/>
          <w:spacing w:val="-2"/>
        </w:rPr>
        <w:t>2018</w:t>
      </w:r>
      <w:r>
        <w:rPr>
          <w:spacing w:val="-2"/>
        </w:rPr>
        <w:t>年度利润表</w:t>
      </w:r>
      <w:r>
        <w:rPr>
          <w:spacing w:val="-35"/>
        </w:rPr>
        <w:t> </w:t>
      </w:r>
      <w:r>
        <w:rPr>
          <w:spacing w:val="-35"/>
        </w:rPr>
      </w:r>
      <w:r>
        <w:rPr/>
        <w:t>和现金流量表不纳入合并范围。</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汪玉寿、齐利平、黄冰冰</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年、齐利平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年、黄冰冰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40" w:lineRule="auto" w:before="39"/>
        <w:ind w:left="15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报告期内，公司因重大资产重组事项，聘请国元证券为独立财务顾问。截至报告期末，公司尚未支付相关财务顾问费用。</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0" w:lineRule="auto" w:before="103"/>
        <w:ind w:left="153"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公司报告期未发生与日常经营相关的关联交易。</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9" w:lineRule="auto" w:before="83"/>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日，公司分别召开第二届董事会第二十五次会议、第二</w:t>
      </w:r>
      <w:r>
        <w:rPr>
          <w:w w:val="100"/>
        </w:rPr>
        <w:t> </w:t>
      </w:r>
      <w:r>
        <w:rPr>
          <w:spacing w:val="-2"/>
        </w:rPr>
        <w:t>届董事会第二十七次会议、</w:t>
      </w:r>
      <w:r>
        <w:rPr>
          <w:rFonts w:ascii="Times New Roman" w:hAnsi="Times New Roman" w:cs="Times New Roman" w:eastAsia="Times New Roman" w:hint="default"/>
          <w:spacing w:val="-2"/>
        </w:rPr>
        <w:t>2018</w:t>
      </w:r>
      <w:r>
        <w:rPr>
          <w:spacing w:val="-2"/>
        </w:rPr>
        <w:t>年第一次临时股东大会，审议通过关于公司发行股份购买资产并募集配套</w:t>
      </w:r>
      <w:r>
        <w:rPr>
          <w:spacing w:val="-38"/>
        </w:rPr>
        <w:t> </w:t>
      </w:r>
      <w:r>
        <w:rPr>
          <w:spacing w:val="-38"/>
        </w:rPr>
      </w:r>
      <w:r>
        <w:rPr>
          <w:spacing w:val="-5"/>
        </w:rPr>
        <w:t>资金暨关联交易的相关议案。公司通过发行股份的方式购买孙路、贵博投资、董先权、徐根义、紫煦投资、</w:t>
      </w:r>
      <w:r>
        <w:rPr>
          <w:spacing w:val="-6"/>
        </w:rPr>
        <w:t> </w:t>
      </w:r>
      <w:r>
        <w:rPr>
          <w:spacing w:val="-6"/>
        </w:rPr>
      </w:r>
      <w:r>
        <w:rPr/>
        <w:t>史兴领、陈学祥、张起云等</w:t>
      </w:r>
      <w:r>
        <w:rPr>
          <w:rFonts w:ascii="Times New Roman" w:hAnsi="Times New Roman" w:cs="Times New Roman" w:eastAsia="Times New Roman" w:hint="default"/>
        </w:rPr>
        <w:t>8</w:t>
      </w:r>
      <w:r>
        <w:rPr/>
        <w:t>名交易对方持有的贵博新能</w:t>
      </w:r>
      <w:r>
        <w:rPr>
          <w:rFonts w:ascii="Times New Roman" w:hAnsi="Times New Roman" w:cs="Times New Roman" w:eastAsia="Times New Roman" w:hint="default"/>
        </w:rPr>
        <w:t>100%</w:t>
      </w:r>
      <w:r>
        <w:rPr/>
        <w:t>股权，其中史兴领为公司实际控制人，孙路</w:t>
      </w:r>
      <w:r>
        <w:rPr>
          <w:w w:val="100"/>
        </w:rPr>
        <w:t> </w:t>
      </w:r>
      <w:r>
        <w:rPr>
          <w:spacing w:val="-2"/>
        </w:rPr>
        <w:t>为公司潜在关联方。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日，公司收到中国证监会下发的《关于核准科大国创软件股份有限公司</w:t>
      </w:r>
      <w:r>
        <w:rPr>
          <w:spacing w:val="-33"/>
        </w:rPr>
        <w:t> </w:t>
      </w:r>
      <w:r>
        <w:rPr>
          <w:spacing w:val="-33"/>
        </w:rPr>
      </w:r>
      <w:r>
        <w:rPr/>
        <w:t>向孙路等发行股份购买资产并募集配套资金的批复》（证监许可</w:t>
      </w:r>
      <w:r>
        <w:rPr>
          <w:rFonts w:ascii="Times New Roman" w:hAnsi="Times New Roman" w:cs="Times New Roman" w:eastAsia="Times New Roman" w:hint="default"/>
        </w:rPr>
        <w:t>[2018]2063</w:t>
      </w:r>
      <w:r>
        <w:rPr/>
        <w:t>号），核准公司向孙路等交易</w:t>
      </w:r>
      <w:r>
        <w:rPr>
          <w:w w:val="100"/>
        </w:rPr>
        <w:t> </w:t>
      </w:r>
      <w:r>
        <w:rPr>
          <w:spacing w:val="-2"/>
        </w:rPr>
        <w:t>对方发行</w:t>
      </w:r>
      <w:r>
        <w:rPr>
          <w:rFonts w:ascii="Times New Roman" w:hAnsi="Times New Roman" w:cs="Times New Roman" w:eastAsia="Times New Roman" w:hint="default"/>
          <w:spacing w:val="-2"/>
        </w:rPr>
        <w:t>36,833,684</w:t>
      </w:r>
      <w:r>
        <w:rPr>
          <w:spacing w:val="-2"/>
        </w:rPr>
        <w:t>股股份购买相关资产。上述新增股份已于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日上市。截至本报告披露日，公</w:t>
      </w:r>
      <w:r>
        <w:rPr>
          <w:spacing w:val="-33"/>
        </w:rPr>
        <w:t> </w:t>
      </w:r>
      <w:r>
        <w:rPr>
          <w:spacing w:val="-33"/>
        </w:rPr>
      </w:r>
      <w:r>
        <w:rPr/>
        <w:t>司发行股份购买资产事项已实施完毕，配套募集资金事项正在实施中。</w:t>
      </w:r>
    </w:p>
    <w:p>
      <w:pPr>
        <w:spacing w:before="82"/>
        <w:ind w:left="153" w:right="1133"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 联交易预案》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 联交易报告书草案》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《关于发行股份购买资产并募集配套资金 暨关联交易事项获得中国证监会核准批复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《发行股份购买资产并募集配套资金实施 情况暨新增股份上市公告书》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5"/>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安徽慧联运科技有限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安徽慧联运科技有限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5"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25"/>
        <w:gridCol w:w="1318"/>
        <w:gridCol w:w="1029"/>
        <w:gridCol w:w="1060"/>
        <w:gridCol w:w="1064"/>
        <w:gridCol w:w="774"/>
        <w:gridCol w:w="789"/>
      </w:tblGrid>
      <w:tr>
        <w:trPr>
          <w:trHeight w:val="40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9"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407"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11.59%</w:t>
            </w:r>
          </w:p>
        </w:tc>
      </w:tr>
      <w:tr>
        <w:trPr>
          <w:trHeight w:val="39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38"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86"/>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pStyle w:val="BodyText"/>
        <w:spacing w:line="590" w:lineRule="atLeast" w:before="26"/>
        <w:ind w:left="573" w:right="1133" w:hanging="420"/>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公司的发展离不开社会的支持，回报社会是公司的责任和使命。公司不仅是财富的创造者，税收的上</w:t>
      </w:r>
    </w:p>
    <w:p>
      <w:pPr>
        <w:pStyle w:val="BodyText"/>
        <w:spacing w:line="273" w:lineRule="auto" w:before="37"/>
        <w:ind w:right="1126"/>
        <w:jc w:val="both"/>
      </w:pPr>
      <w:r>
        <w:rPr>
          <w:spacing w:val="-2"/>
        </w:rPr>
        <w:t>缴者，更是实现就业、关注安全、保护环境等更多社会责任的承担者。公司在追求经济效益、保护股东利</w:t>
      </w:r>
      <w:r>
        <w:rPr>
          <w:spacing w:val="-43"/>
        </w:rPr>
        <w:t> </w:t>
      </w:r>
      <w:r>
        <w:rPr>
          <w:spacing w:val="-43"/>
        </w:rPr>
      </w:r>
      <w:r>
        <w:rPr>
          <w:spacing w:val="-2"/>
        </w:rPr>
        <w:t>益的同时，积极维护职工的合法权益，诚信对待客户，并积极致力于公益事业，从而促进经济发展、环境</w:t>
      </w:r>
      <w:r>
        <w:rPr>
          <w:spacing w:val="-43"/>
        </w:rPr>
        <w:t> </w:t>
      </w:r>
      <w:r>
        <w:rPr>
          <w:spacing w:val="-43"/>
        </w:rPr>
      </w:r>
      <w:r>
        <w:rPr>
          <w:spacing w:val="-2"/>
        </w:rPr>
        <w:t>保护和社会责任之间的协调可持续发展。公司的社会责任观是以公司的发展实现股东受益、员工成长、客</w:t>
      </w:r>
      <w:r>
        <w:rPr>
          <w:spacing w:val="-44"/>
        </w:rPr>
        <w:t> </w:t>
      </w:r>
      <w:r>
        <w:rPr>
          <w:spacing w:val="-44"/>
        </w:rPr>
      </w:r>
      <w:r>
        <w:rPr/>
        <w:t>户满意、政府放心，促进经济发展，社会和谐。</w:t>
      </w:r>
    </w:p>
    <w:p>
      <w:pPr>
        <w:pStyle w:val="BodyText"/>
        <w:spacing w:line="273" w:lineRule="auto" w:before="7"/>
        <w:ind w:right="1126" w:firstLine="420"/>
        <w:jc w:val="both"/>
      </w:pPr>
      <w:r>
        <w:rPr>
          <w:spacing w:val="-2"/>
        </w:rPr>
        <w:t>公司严格按照《公司法》、《证券法》、《深圳证券交易所创业板股票上市规则》、《深圳证券交易</w:t>
      </w:r>
      <w:r>
        <w:rPr>
          <w:w w:val="100"/>
        </w:rPr>
        <w:t> </w:t>
      </w:r>
      <w:r>
        <w:rPr>
          <w:spacing w:val="-2"/>
        </w:rPr>
        <w:t>所创业板公司规范运作指引》等相关法律法规的要求，及时、准确、真实、完整地进行信息披露。通过网</w:t>
      </w:r>
      <w:r>
        <w:rPr>
          <w:spacing w:val="-45"/>
        </w:rPr>
        <w:t> </w:t>
      </w:r>
      <w:r>
        <w:rPr>
          <w:spacing w:val="-45"/>
        </w:rPr>
      </w:r>
      <w:r>
        <w:rPr>
          <w:spacing w:val="-2"/>
        </w:rPr>
        <w:t>上业绩说明会、投资者电话、电子邮箱、公司网站和投资者关系互动平台等多种方式与投资者进行沟通交</w:t>
      </w:r>
      <w:r>
        <w:rPr>
          <w:spacing w:val="-44"/>
        </w:rPr>
        <w:t> </w:t>
      </w:r>
      <w:r>
        <w:rPr>
          <w:spacing w:val="-44"/>
        </w:rPr>
      </w:r>
      <w:r>
        <w:rPr>
          <w:spacing w:val="-2"/>
        </w:rPr>
        <w:t>流，提高了公司的透明度和诚信度。规范股东大会的召集、召开及表决程序，通过现场、网络等合法有效</w:t>
      </w:r>
      <w:r>
        <w:rPr>
          <w:spacing w:val="-43"/>
        </w:rPr>
        <w:t> </w:t>
      </w:r>
      <w:r>
        <w:rPr>
          <w:spacing w:val="-43"/>
        </w:rPr>
      </w:r>
      <w:r>
        <w:rPr>
          <w:spacing w:val="-2"/>
        </w:rPr>
        <w:t>的方式，使更多的股东特别是中小股东能够参加股东大会，确保股东对公司重大事项的知情权、参与权和</w:t>
      </w:r>
      <w:r>
        <w:rPr>
          <w:spacing w:val="-42"/>
        </w:rPr>
        <w:t> </w:t>
      </w:r>
      <w:r>
        <w:rPr>
          <w:spacing w:val="-42"/>
        </w:rPr>
      </w:r>
      <w:r>
        <w:rPr>
          <w:spacing w:val="-2"/>
        </w:rPr>
        <w:t>表决权。公司非常重视对投资者的合理回报，制定了相对稳定的利润分配政策和分红方案以回报股东。同</w:t>
      </w:r>
      <w:r>
        <w:rPr>
          <w:spacing w:val="-42"/>
        </w:rPr>
        <w:t> </w:t>
      </w:r>
      <w:r>
        <w:rPr>
          <w:spacing w:val="-42"/>
        </w:rPr>
      </w:r>
      <w:r>
        <w:rPr/>
        <w:t>时，公司的财务政策稳健，资产、资金安全，在维护股东利益的同时兼顾债权人的利益。</w:t>
      </w:r>
    </w:p>
    <w:p>
      <w:pPr>
        <w:pStyle w:val="BodyText"/>
        <w:spacing w:line="273" w:lineRule="auto" w:before="7"/>
        <w:ind w:right="1104" w:firstLine="420"/>
        <w:jc w:val="both"/>
      </w:pPr>
      <w:r>
        <w:rPr>
          <w:spacing w:val="-2"/>
        </w:rPr>
        <w:t>公司严格遵照国家相关法律法规和规章制度的要求，依法与员工签订劳动合同，按时足额缴纳医疗、</w:t>
      </w:r>
      <w:r>
        <w:rPr>
          <w:w w:val="100"/>
        </w:rPr>
        <w:t> </w:t>
      </w:r>
      <w:r>
        <w:rPr>
          <w:spacing w:val="-2"/>
        </w:rPr>
        <w:t>养老、失业、工伤、生育等等社会保险和住房公积金，通过多种方式为员工提供平等的发展机会，尊重和</w:t>
      </w:r>
      <w:r>
        <w:rPr>
          <w:spacing w:val="-43"/>
        </w:rPr>
        <w:t> </w:t>
      </w:r>
      <w:r>
        <w:rPr>
          <w:spacing w:val="-43"/>
        </w:rPr>
      </w:r>
      <w:r>
        <w:rPr>
          <w:spacing w:val="-2"/>
        </w:rPr>
        <w:t>维护员工的个人利益，建立了较为完善的绩效考核体系，持续优化员工关怀体系，培育员工的认同感和归</w:t>
      </w:r>
      <w:r>
        <w:rPr>
          <w:spacing w:val="-45"/>
        </w:rPr>
        <w:t> </w:t>
      </w:r>
      <w:r>
        <w:rPr>
          <w:spacing w:val="-45"/>
        </w:rPr>
      </w:r>
      <w:r>
        <w:rPr>
          <w:spacing w:val="-2"/>
        </w:rPr>
        <w:t>属感，促进员工与企业的共同成长。公司始终坚持依法经营、诚实守信，不断提升管理和服务水平，与客</w:t>
      </w:r>
      <w:r>
        <w:rPr>
          <w:spacing w:val="-43"/>
        </w:rPr>
        <w:t> </w:t>
      </w:r>
      <w:r>
        <w:rPr>
          <w:spacing w:val="-43"/>
        </w:rPr>
      </w:r>
      <w:r>
        <w:rPr/>
        <w:t>户之间保持长期良好的合作关系，充分尊重并保护客户的合法权益。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7"/>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573" w:right="1133"/>
        <w:jc w:val="left"/>
      </w:pPr>
      <w:r>
        <w:rPr>
          <w:rFonts w:ascii="Times New Roman" w:hAnsi="Times New Roman" w:cs="Times New Roman" w:eastAsia="Times New Roman" w:hint="default"/>
        </w:rPr>
        <w:t>1</w:t>
      </w:r>
      <w:r>
        <w:rPr/>
        <w:t>、重大资产重组事项</w:t>
      </w:r>
    </w:p>
    <w:p>
      <w:pPr>
        <w:pStyle w:val="BodyText"/>
        <w:spacing w:line="261" w:lineRule="auto" w:before="21"/>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日，公司分别召开第二届董事会第二十五次会议、第二</w:t>
      </w:r>
      <w:r>
        <w:rPr>
          <w:w w:val="100"/>
        </w:rPr>
        <w:t> </w:t>
      </w:r>
      <w:r>
        <w:rPr>
          <w:spacing w:val="-2"/>
        </w:rPr>
        <w:t>届董事会第二十七次会议、</w:t>
      </w:r>
      <w:r>
        <w:rPr>
          <w:rFonts w:ascii="Times New Roman" w:hAnsi="Times New Roman" w:cs="Times New Roman" w:eastAsia="Times New Roman" w:hint="default"/>
          <w:spacing w:val="-2"/>
        </w:rPr>
        <w:t>2018</w:t>
      </w:r>
      <w:r>
        <w:rPr>
          <w:spacing w:val="-2"/>
        </w:rPr>
        <w:t>年第一次临时股东大会，审议通过了关于公司发行股份购买资产并募集配</w:t>
      </w:r>
      <w:r>
        <w:rPr>
          <w:spacing w:val="-38"/>
        </w:rPr>
        <w:t> </w:t>
      </w:r>
      <w:r>
        <w:rPr>
          <w:spacing w:val="-38"/>
        </w:rPr>
      </w:r>
      <w:r>
        <w:rPr>
          <w:spacing w:val="-5"/>
        </w:rPr>
        <w:t>套资金暨关联交易的相关议案。公司通过发行股份的方式购买孙路、贵博投资、董先权、徐根义、史兴领、</w:t>
      </w:r>
      <w:r>
        <w:rPr>
          <w:spacing w:val="-7"/>
        </w:rPr>
        <w:t> </w:t>
      </w:r>
      <w:r>
        <w:rPr>
          <w:spacing w:val="-7"/>
        </w:rPr>
      </w:r>
      <w:r>
        <w:rPr>
          <w:spacing w:val="-2"/>
        </w:rPr>
        <w:t>陈学祥、张起云等</w:t>
      </w:r>
      <w:r>
        <w:rPr>
          <w:rFonts w:ascii="Times New Roman" w:hAnsi="Times New Roman" w:cs="Times New Roman" w:eastAsia="Times New Roman" w:hint="default"/>
          <w:spacing w:val="-2"/>
        </w:rPr>
        <w:t>8</w:t>
      </w:r>
      <w:r>
        <w:rPr>
          <w:spacing w:val="-2"/>
        </w:rPr>
        <w:t>名交易对方持有的贵博新能</w:t>
      </w:r>
      <w:r>
        <w:rPr>
          <w:rFonts w:ascii="Times New Roman" w:hAnsi="Times New Roman" w:cs="Times New Roman" w:eastAsia="Times New Roman" w:hint="default"/>
          <w:spacing w:val="-2"/>
        </w:rPr>
        <w:t>100%</w:t>
      </w:r>
      <w:r>
        <w:rPr>
          <w:spacing w:val="-2"/>
        </w:rPr>
        <w:t>股权，交易金额为</w:t>
      </w:r>
      <w:r>
        <w:rPr>
          <w:rFonts w:ascii="Times New Roman" w:hAnsi="Times New Roman" w:cs="Times New Roman" w:eastAsia="Times New Roman" w:hint="default"/>
          <w:spacing w:val="-2"/>
        </w:rPr>
        <w:t>69,100</w:t>
      </w:r>
      <w:r>
        <w:rPr>
          <w:spacing w:val="-2"/>
        </w:rPr>
        <w:t>万元，并拟向不超过</w:t>
      </w:r>
      <w:r>
        <w:rPr>
          <w:rFonts w:ascii="Times New Roman" w:hAnsi="Times New Roman" w:cs="Times New Roman" w:eastAsia="Times New Roman" w:hint="default"/>
          <w:spacing w:val="-2"/>
        </w:rPr>
        <w:t>5</w:t>
      </w:r>
      <w:r>
        <w:rPr>
          <w:spacing w:val="-2"/>
        </w:rPr>
        <w:t>名特定</w:t>
      </w:r>
      <w:r>
        <w:rPr>
          <w:spacing w:val="-50"/>
        </w:rPr>
        <w:t> </w:t>
      </w:r>
      <w:r>
        <w:rPr>
          <w:spacing w:val="-50"/>
        </w:rPr>
      </w:r>
      <w:r>
        <w:rPr/>
        <w:t>投资者非公开发行股份募集配套资金不超过</w:t>
      </w:r>
      <w:r>
        <w:rPr>
          <w:rFonts w:ascii="Times New Roman" w:hAnsi="Times New Roman" w:cs="Times New Roman" w:eastAsia="Times New Roman" w:hint="default"/>
        </w:rPr>
        <w:t>18,600</w:t>
      </w:r>
      <w:r>
        <w:rPr/>
        <w:t>万元。</w:t>
      </w:r>
    </w:p>
    <w:p>
      <w:pPr>
        <w:pStyle w:val="BodyText"/>
        <w:spacing w:line="256" w:lineRule="auto"/>
        <w:ind w:right="1133"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日，公司收到中国证监会下发的《关于核准科大国创软件股份有限公司向孙路等发行股</w:t>
      </w:r>
      <w:r>
        <w:rPr>
          <w:w w:val="100"/>
        </w:rPr>
        <w:t> </w:t>
      </w:r>
      <w:r>
        <w:rPr/>
        <w:t>份购买资产并募集配套资金的批复》（证监许可</w:t>
      </w:r>
      <w:r>
        <w:rPr>
          <w:rFonts w:ascii="Times New Roman" w:hAnsi="Times New Roman" w:cs="Times New Roman" w:eastAsia="Times New Roman" w:hint="default"/>
        </w:rPr>
        <w:t>[2018]2063</w:t>
      </w:r>
      <w:r>
        <w:rPr/>
        <w:t>号）。</w:t>
      </w:r>
    </w:p>
    <w:p>
      <w:pPr>
        <w:pStyle w:val="BodyText"/>
        <w:spacing w:line="259" w:lineRule="auto" w:before="5"/>
        <w:ind w:right="1133"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日，公司披露了《关于发行股份购买资产并募集配套资金暨关联交易之标的资产过户完</w:t>
      </w:r>
      <w:r>
        <w:rPr>
          <w:w w:val="100"/>
        </w:rPr>
        <w:t> </w:t>
      </w:r>
      <w:r>
        <w:rPr/>
        <w:t>成的公告》，贵博新能已经办理完成工商变更登记手续，成为公司全资子公司。</w:t>
      </w:r>
    </w:p>
    <w:p>
      <w:pPr>
        <w:pStyle w:val="BodyText"/>
        <w:spacing w:line="256" w:lineRule="auto" w:before="20"/>
        <w:ind w:right="1133" w:firstLine="420"/>
        <w:jc w:val="left"/>
      </w:pPr>
      <w:r>
        <w:rPr/>
        <w:t>经中国证券登记结算有限责任公司深圳分公司和深圳证券交易所审核批准，上述新增股份于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10</w:t>
      </w:r>
      <w:r>
        <w:rPr/>
        <w:t>日完成登记上市。</w:t>
      </w:r>
    </w:p>
    <w:p>
      <w:pPr>
        <w:pStyle w:val="BodyText"/>
        <w:spacing w:line="256" w:lineRule="auto" w:before="5"/>
        <w:ind w:right="1133" w:firstLine="420"/>
        <w:jc w:val="left"/>
      </w:pPr>
      <w:r>
        <w:rPr>
          <w:spacing w:val="-2"/>
        </w:rPr>
        <w:t>上述事项具体详见公司在巨潮资讯网（</w:t>
      </w:r>
      <w:hyperlink r:id="rId11">
        <w:r>
          <w:rPr>
            <w:rFonts w:ascii="Times New Roman" w:hAnsi="Times New Roman" w:cs="Times New Roman" w:eastAsia="Times New Roman" w:hint="default"/>
            <w:spacing w:val="-2"/>
          </w:rPr>
          <w:t>www.cninfo.com.cn</w:t>
        </w:r>
      </w:hyperlink>
      <w:r>
        <w:rPr>
          <w:spacing w:val="-2"/>
        </w:rPr>
        <w:t>）上披露的相关公告。截至本报告披露日，</w:t>
      </w:r>
      <w:r>
        <w:rPr>
          <w:w w:val="100"/>
        </w:rPr>
        <w:t> </w:t>
      </w:r>
      <w:r>
        <w:rPr/>
        <w:t>公司发行股份购买资产事项已实施完毕，配套募集资金事项正在实施中。</w:t>
      </w:r>
    </w:p>
    <w:p>
      <w:pPr>
        <w:pStyle w:val="BodyText"/>
        <w:spacing w:line="256" w:lineRule="auto" w:before="22"/>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、《一致行动人协议》续期事项</w:t>
      </w:r>
      <w:r>
        <w:rPr>
          <w:w w:val="100"/>
        </w:rPr>
        <w:t> </w:t>
      </w:r>
      <w:r>
        <w:rPr>
          <w:spacing w:val="-2"/>
        </w:rPr>
        <w:t>为保持公司控制结构长期、持续稳定，公司实际控制人董永东、杨杨、史兴领、许广德于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p>
    <w:p>
      <w:pPr>
        <w:pStyle w:val="BodyText"/>
        <w:spacing w:line="256" w:lineRule="auto" w:before="5"/>
        <w:ind w:right="1133"/>
        <w:jc w:val="left"/>
      </w:pPr>
      <w:r>
        <w:rPr>
          <w:spacing w:val="-7"/>
          <w:w w:val="100"/>
        </w:rPr>
        <w:t>日签署了《</w:t>
      </w:r>
      <w:r>
        <w:rPr>
          <w:rFonts w:ascii="Times New Roman" w:hAnsi="Times New Roman" w:cs="Times New Roman" w:eastAsia="Times New Roman" w:hint="default"/>
          <w:spacing w:val="-7"/>
          <w:w w:val="100"/>
        </w:rPr>
        <w:t>&lt;</w:t>
      </w:r>
      <w:r>
        <w:rPr>
          <w:spacing w:val="-7"/>
          <w:w w:val="100"/>
        </w:rPr>
        <w:t>一致行动人协议书</w:t>
      </w:r>
      <w:r>
        <w:rPr>
          <w:rFonts w:ascii="Times New Roman" w:hAnsi="Times New Roman" w:cs="Times New Roman" w:eastAsia="Times New Roman" w:hint="default"/>
          <w:spacing w:val="-7"/>
          <w:w w:val="100"/>
        </w:rPr>
        <w:t>&gt;</w:t>
      </w:r>
      <w:r>
        <w:rPr>
          <w:spacing w:val="-7"/>
          <w:w w:val="100"/>
        </w:rPr>
        <w:t>之补充协议》，各方同意一致行动人协议有效期由</w:t>
      </w:r>
      <w:r>
        <w:rPr>
          <w:rFonts w:ascii="Times New Roman" w:hAnsi="Times New Roman" w:cs="Times New Roman" w:eastAsia="Times New Roman" w:hint="default"/>
          <w:spacing w:val="-7"/>
          <w:w w:val="100"/>
        </w:rPr>
        <w:t>2020</w:t>
      </w:r>
      <w:r>
        <w:rPr>
          <w:spacing w:val="-7"/>
          <w:w w:val="100"/>
        </w:rPr>
        <w:t>年</w:t>
      </w:r>
      <w:r>
        <w:rPr>
          <w:rFonts w:ascii="Times New Roman" w:hAnsi="Times New Roman" w:cs="Times New Roman" w:eastAsia="Times New Roman" w:hint="default"/>
          <w:spacing w:val="-7"/>
          <w:w w:val="100"/>
        </w:rPr>
        <w:t>7</w:t>
      </w:r>
      <w:r>
        <w:rPr>
          <w:spacing w:val="-7"/>
          <w:w w:val="100"/>
        </w:rPr>
        <w:t>月</w:t>
      </w:r>
      <w:r>
        <w:rPr>
          <w:rFonts w:ascii="Times New Roman" w:hAnsi="Times New Roman" w:cs="Times New Roman" w:eastAsia="Times New Roman" w:hint="default"/>
          <w:spacing w:val="-7"/>
          <w:w w:val="100"/>
        </w:rPr>
        <w:t>8</w:t>
      </w:r>
      <w:r>
        <w:rPr>
          <w:spacing w:val="-7"/>
          <w:w w:val="100"/>
        </w:rPr>
        <w:t>日延长至</w:t>
      </w:r>
      <w:r>
        <w:rPr>
          <w:rFonts w:ascii="Times New Roman" w:hAnsi="Times New Roman" w:cs="Times New Roman" w:eastAsia="Times New Roman" w:hint="default"/>
          <w:spacing w:val="-7"/>
          <w:w w:val="100"/>
        </w:rPr>
        <w:t>2022</w:t>
      </w:r>
      <w:r>
        <w:rPr>
          <w:rFonts w:ascii="Times New Roman" w:hAnsi="Times New Roman" w:cs="Times New Roman" w:eastAsia="Times New Roman" w:hint="default"/>
          <w:spacing w:val="-12"/>
          <w:w w:val="100"/>
        </w:rPr>
        <w:t> </w:t>
      </w:r>
      <w:r>
        <w:rPr>
          <w:rFonts w:ascii="Times New Roman" w:hAnsi="Times New Roman" w:cs="Times New Roman" w:eastAsia="Times New Roman" w:hint="default"/>
          <w:spacing w:val="-12"/>
          <w:w w:val="100"/>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日。具体详见公司在巨潮资讯网（</w:t>
      </w:r>
      <w:hyperlink r:id="rId11">
        <w:r>
          <w:rPr>
            <w:rFonts w:ascii="Times New Roman" w:hAnsi="Times New Roman" w:cs="Times New Roman" w:eastAsia="Times New Roman" w:hint="default"/>
          </w:rPr>
          <w:t>www.cninfo.com.cn</w:t>
        </w:r>
      </w:hyperlink>
      <w:r>
        <w:rPr/>
        <w:t>）上披露的相关公告。</w:t>
      </w:r>
    </w:p>
    <w:p>
      <w:pPr>
        <w:spacing w:line="240" w:lineRule="auto" w:before="5"/>
        <w:rPr>
          <w:rFonts w:ascii="宋体" w:hAnsi="宋体" w:cs="宋体" w:eastAsia="宋体" w:hint="default"/>
          <w:sz w:val="21"/>
          <w:szCs w:val="21"/>
        </w:rPr>
      </w:pPr>
    </w:p>
    <w:p>
      <w:pPr>
        <w:pStyle w:val="Heading2"/>
        <w:spacing w:line="240" w:lineRule="auto"/>
        <w:ind w:right="1133"/>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4" w:lineRule="auto" w:before="80"/>
        <w:ind w:right="1126" w:firstLine="420"/>
        <w:jc w:val="both"/>
      </w:pPr>
      <w:r>
        <w:rPr>
          <w:spacing w:val="-2"/>
        </w:rPr>
        <w:t>公司第二届董事会第十九次会议和</w:t>
      </w:r>
      <w:r>
        <w:rPr>
          <w:rFonts w:ascii="Times New Roman" w:hAnsi="Times New Roman" w:cs="Times New Roman" w:eastAsia="Times New Roman" w:hint="default"/>
          <w:spacing w:val="-2"/>
        </w:rPr>
        <w:t>2017</w:t>
      </w:r>
      <w:r>
        <w:rPr>
          <w:spacing w:val="-2"/>
        </w:rPr>
        <w:t>年第三次临时股东大会审议通过了《关于吸收合并全资子公司</w:t>
      </w:r>
      <w:r>
        <w:rPr>
          <w:w w:val="100"/>
        </w:rPr>
        <w:t> </w:t>
      </w:r>
      <w:r>
        <w:rPr>
          <w:spacing w:val="-2"/>
        </w:rPr>
        <w:t>的议案》，公司拟整合全资子公司国创恒星业务资源，由公司为主体吸收合并，吸收合并完成后，国创恒</w:t>
      </w:r>
      <w:r>
        <w:rPr>
          <w:spacing w:val="-43"/>
        </w:rPr>
        <w:t> </w:t>
      </w:r>
      <w:r>
        <w:rPr>
          <w:spacing w:val="-43"/>
        </w:rPr>
      </w:r>
      <w:r>
        <w:rPr/>
        <w:t>星依法注销，其全部业务、资产、债权、债务由公司依法承继。截至报告期末，国创恒星正在注销中。</w:t>
      </w:r>
    </w:p>
    <w:p>
      <w:pPr>
        <w:spacing w:after="0" w:line="264"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5"/>
        <w:gridCol w:w="1045"/>
        <w:gridCol w:w="850"/>
        <w:gridCol w:w="852"/>
        <w:gridCol w:w="708"/>
        <w:gridCol w:w="670"/>
        <w:gridCol w:w="747"/>
        <w:gridCol w:w="710"/>
        <w:gridCol w:w="982"/>
        <w:gridCol w:w="792"/>
      </w:tblGrid>
      <w:tr>
        <w:trPr>
          <w:trHeight w:val="402"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51" w:right="5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0" w:type="dxa"/>
            <w:vMerge/>
            <w:tcBorders>
              <w:left w:val="single" w:sz="4" w:space="0" w:color="000000"/>
              <w:right w:val="single" w:sz="4" w:space="0" w:color="000000"/>
            </w:tcBorders>
            <w:shd w:val="clear" w:color="auto" w:fill="D2D2D2"/>
          </w:tcPr>
          <w:p>
            <w:pPr/>
          </w:p>
        </w:tc>
        <w:tc>
          <w:tcPr>
            <w:tcW w:w="7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74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7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89,748,009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89,748,008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89,748,009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89,748,008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44.34%</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68,829,768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34.01%</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68,829,768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34.01%</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20,918,241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20,918,240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112,651,991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112,651,992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112,651,991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112,651,992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202,400,000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5"/>
        <w:ind w:left="15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公司高级管理人员储士升所持有的高管锁定股每年自动解锁</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，因四舍五入的原因，本期储士升自动解锁的股份较本次变</w:t>
      </w:r>
      <w:r>
        <w:rPr>
          <w:rFonts w:ascii="宋体" w:hAnsi="宋体" w:cs="宋体" w:eastAsia="宋体" w:hint="default"/>
          <w:sz w:val="18"/>
          <w:szCs w:val="18"/>
        </w:rPr>
        <w:t> 动前增加</w:t>
      </w:r>
      <w:r>
        <w:rPr>
          <w:rFonts w:ascii="Times New Roman" w:hAnsi="Times New Roman" w:cs="Times New Roman" w:eastAsia="Times New Roman" w:hint="default"/>
          <w:sz w:val="18"/>
          <w:szCs w:val="18"/>
        </w:rPr>
        <w:t>1</w:t>
      </w:r>
      <w:r>
        <w:rPr>
          <w:rFonts w:ascii="宋体" w:hAnsi="宋体" w:cs="宋体" w:eastAsia="宋体" w:hint="default"/>
          <w:sz w:val="18"/>
          <w:szCs w:val="18"/>
        </w:rPr>
        <w:t>股，其持股总数未发生变化。</w:t>
      </w:r>
    </w:p>
    <w:p>
      <w:pPr>
        <w:spacing w:before="38"/>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39"/>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38" w:lineRule="auto" w:before="41"/>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4"/>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9"/>
        <w:gridCol w:w="1368"/>
        <w:gridCol w:w="1371"/>
        <w:gridCol w:w="1369"/>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2,024,365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2,024,365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3"/>
      </w:tblGrid>
      <w:tr>
        <w:trPr>
          <w:trHeight w:val="715"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36,833,684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36,833,684</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7"/>
          <w:szCs w:val="17"/>
        </w:rPr>
      </w:pPr>
    </w:p>
    <w:p>
      <w:pPr>
        <w:spacing w:line="300" w:lineRule="auto" w:before="0"/>
        <w:ind w:left="153" w:right="1129"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日，公司收到中国证监会下发《关于核准科大国创软件股份有限公司向孙路等发行股份购买资产并募集配套资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金的批复》（证监许可</w:t>
      </w:r>
      <w:r>
        <w:rPr>
          <w:rFonts w:ascii="Times New Roman" w:hAnsi="Times New Roman" w:cs="Times New Roman" w:eastAsia="Times New Roman" w:hint="default"/>
          <w:sz w:val="18"/>
          <w:szCs w:val="18"/>
        </w:rPr>
        <w:t>[2018]2063</w:t>
      </w:r>
      <w:r>
        <w:rPr>
          <w:rFonts w:ascii="宋体" w:hAnsi="宋体" w:cs="宋体" w:eastAsia="宋体" w:hint="default"/>
          <w:sz w:val="18"/>
          <w:szCs w:val="18"/>
        </w:rPr>
        <w:t>号），核准公司向孙路等交易对方发行</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股股份购买相关资产。经中国证券登记</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结算有限责任公司深圳分公司和深圳证券交易所审核批准，上述新增股份于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日上市。</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28" w:firstLine="420"/>
        <w:jc w:val="both"/>
      </w:pPr>
      <w:r>
        <w:rPr>
          <w:spacing w:val="-2"/>
        </w:rPr>
        <w:t>报告期内，公司实施了发行股份购买贵博新能</w:t>
      </w:r>
      <w:r>
        <w:rPr>
          <w:rFonts w:ascii="Times New Roman" w:hAnsi="Times New Roman" w:cs="Times New Roman" w:eastAsia="Times New Roman" w:hint="default"/>
          <w:spacing w:val="-2"/>
        </w:rPr>
        <w:t>100%</w:t>
      </w:r>
      <w:r>
        <w:rPr>
          <w:spacing w:val="-2"/>
        </w:rPr>
        <w:t>股权事项，新增发行股份</w:t>
      </w:r>
      <w:r>
        <w:rPr>
          <w:rFonts w:ascii="Times New Roman" w:hAnsi="Times New Roman" w:cs="Times New Roman" w:eastAsia="Times New Roman" w:hint="default"/>
          <w:spacing w:val="-2"/>
        </w:rPr>
        <w:t>36,833,684</w:t>
      </w:r>
      <w:r>
        <w:rPr>
          <w:spacing w:val="-2"/>
        </w:rPr>
        <w:t>股。交易完成</w:t>
      </w:r>
      <w:r>
        <w:rPr>
          <w:w w:val="100"/>
        </w:rPr>
        <w:t> </w:t>
      </w:r>
      <w:r>
        <w:rPr>
          <w:spacing w:val="-2"/>
        </w:rPr>
        <w:t>后，公司总股本由</w:t>
      </w:r>
      <w:r>
        <w:rPr>
          <w:rFonts w:ascii="Times New Roman" w:hAnsi="Times New Roman" w:cs="Times New Roman" w:eastAsia="Times New Roman" w:hint="default"/>
          <w:spacing w:val="-2"/>
        </w:rPr>
        <w:t>202,400,000</w:t>
      </w:r>
      <w:r>
        <w:rPr>
          <w:spacing w:val="-2"/>
        </w:rPr>
        <w:t>股增加至</w:t>
      </w:r>
      <w:r>
        <w:rPr>
          <w:rFonts w:ascii="Times New Roman" w:hAnsi="Times New Roman" w:cs="Times New Roman" w:eastAsia="Times New Roman" w:hint="default"/>
          <w:spacing w:val="-2"/>
        </w:rPr>
        <w:t>239,233,684</w:t>
      </w:r>
      <w:r>
        <w:rPr>
          <w:spacing w:val="-2"/>
        </w:rPr>
        <w:t>股，贵博新能原股东成为公司股东。公司资产总额增加</w:t>
      </w:r>
      <w:r>
        <w:rPr>
          <w:spacing w:val="-24"/>
        </w:rPr>
        <w:t> </w:t>
      </w:r>
      <w:r>
        <w:rPr>
          <w:spacing w:val="-24"/>
        </w:rPr>
      </w:r>
      <w:r>
        <w:rPr>
          <w:rFonts w:ascii="Times New Roman" w:hAnsi="Times New Roman" w:cs="Times New Roman" w:eastAsia="Times New Roman" w:hint="default"/>
        </w:rPr>
        <w:t>80,314.77</w:t>
      </w:r>
      <w:r>
        <w:rPr/>
        <w:t>万元，负债总额增加</w:t>
      </w:r>
      <w:r>
        <w:rPr>
          <w:rFonts w:ascii="Times New Roman" w:hAnsi="Times New Roman" w:cs="Times New Roman" w:eastAsia="Times New Roman" w:hint="default"/>
        </w:rPr>
        <w:t>11,628.96</w:t>
      </w:r>
      <w:r>
        <w:rPr/>
        <w:t>万元。</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pict>
          <v:shape style="position:absolute;margin-left:449.256989pt;margin-top:70.671692pt;width:85.75pt;height:31.2pt;mso-position-horizontal-relative:page;mso-position-vertical-relative:paragraph;z-index:-9771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70.671692pt;width:52.5pt;height:31.2pt;mso-position-horizontal-relative:page;mso-position-vertical-relative:paragraph;z-index:-977104" coordorigin="9650,1413" coordsize="1050,624">
            <v:shape style="position:absolute;left:9650;top:1413;width:1050;height:624" coordorigin="9650,1413" coordsize="1050,624" path="m9650,2037l10699,2037,10699,1413,9650,1413,9650,203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1"/>
        <w:gridCol w:w="346"/>
        <w:gridCol w:w="444"/>
        <w:gridCol w:w="823"/>
        <w:gridCol w:w="803"/>
        <w:gridCol w:w="322"/>
        <w:gridCol w:w="1027"/>
        <w:gridCol w:w="280"/>
        <w:gridCol w:w="513"/>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26,138</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25,976</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3"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3"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3"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3"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3"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7"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合肥国创智能科 技有限公司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34.01%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68,829,76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68,829,76</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9" w:type="dxa"/>
            <w:gridSpan w:val="3"/>
            <w:tcBorders>
              <w:top w:val="single" w:sz="44" w:space="0" w:color="D2D2D2"/>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上海雅弘股权投 </w:t>
            </w:r>
            <w:r>
              <w:rPr>
                <w:rFonts w:ascii="宋体" w:hAnsi="宋体" w:cs="宋体" w:eastAsia="宋体" w:hint="default"/>
                <w:spacing w:val="-4"/>
                <w:sz w:val="18"/>
                <w:szCs w:val="18"/>
              </w:rPr>
              <w:t>资基金中心（有限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18,806,20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-6,072,00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12,955,97</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12,392,000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中科大资产经营 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7,103,120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7,103,120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安徽酷智投资管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4,048,730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4,048,730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上海槟果资产管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4,028,000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-1,451,78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3,103,907</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3,103,907</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2,059,800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2,833,990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2,833,990</w:t>
            </w: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2,815,800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2,699,154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2,024,365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2,494,365</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安徽省铁路发展 基金股份有限公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董永东先生、杨杨先生、史兴领先生均系公司实际控制人，是一致行动人；合肥国创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智能科技有限公司系公司控股股东；安徽酷智投资管理有限公司系公司员工设立的投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资公司；储士升先生为公司副总经理、董事会秘书。未知其他股东之间是否存在关联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关系，是否属于一致行动人。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90"/>
        <w:gridCol w:w="1349"/>
        <w:gridCol w:w="134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上海雅弘股权投资基金中心（有限合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18,806,207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18,806,207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7,103,120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4,048,730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4,048,730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上海槟果资产管理有限公司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674,789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苏清华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郭士斌</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345,600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陆庆贵</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安徽酷智投资管理有限公司系公司员工设立的投资公司，储士升先生为公司副总经 </w:t>
            </w:r>
            <w:r>
              <w:rPr>
                <w:rFonts w:ascii="宋体" w:hAnsi="宋体" w:cs="宋体" w:eastAsia="宋体" w:hint="default"/>
                <w:spacing w:val="-1"/>
                <w:sz w:val="18"/>
                <w:szCs w:val="18"/>
              </w:rPr>
              <w:t>理、董事会秘书，公司未知其他股东之间是否存在关联关系和是否属于《上市公司收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购管理办法》中规定的一致行动人。</w:t>
            </w:r>
          </w:p>
        </w:tc>
      </w:tr>
      <w:tr>
        <w:trPr>
          <w:trHeight w:val="1028"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前十名无限售条件股东中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郭士斌</w:t>
            </w:r>
            <w:r>
              <w:rPr>
                <w:rFonts w:ascii="Times New Roman" w:hAnsi="Times New Roman" w:cs="Times New Roman" w:eastAsia="Times New Roman" w:hint="default"/>
                <w:sz w:val="18"/>
                <w:szCs w:val="18"/>
              </w:rPr>
              <w:t>”</w:t>
            </w:r>
            <w:r>
              <w:rPr>
                <w:rFonts w:ascii="宋体" w:hAnsi="宋体" w:cs="宋体" w:eastAsia="宋体" w:hint="default"/>
                <w:sz w:val="18"/>
                <w:szCs w:val="18"/>
              </w:rPr>
              <w:t>通过普通证券账户持有公司股票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股，通过</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通证券股份有限公司客户信用交易担保证券账户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336,600 </w:t>
            </w:r>
            <w:r>
              <w:rPr>
                <w:rFonts w:ascii="宋体" w:hAnsi="宋体" w:cs="宋体" w:eastAsia="宋体" w:hint="default"/>
                <w:spacing w:val="-11"/>
                <w:sz w:val="18"/>
                <w:szCs w:val="18"/>
              </w:rPr>
              <w:t>股，合计持有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135" w:firstLine="0"/>
        <w:jc w:val="right"/>
        <w:rPr>
          <w:rFonts w:ascii="宋体" w:hAnsi="宋体" w:cs="宋体" w:eastAsia="宋体" w:hint="default"/>
          <w:sz w:val="18"/>
          <w:szCs w:val="18"/>
        </w:rPr>
      </w:pPr>
      <w:r>
        <w:rPr/>
        <w:pict>
          <v:shape style="position:absolute;margin-left:56.424pt;margin-top:-51.998253pt;width:479.3pt;height:138.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3"/>
                    <w:gridCol w:w="223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合肥国创智能科技有限公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913401007964030823</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智能环保及智能工业设备研 </w:t>
                        </w:r>
                        <w:r>
                          <w:rPr>
                            <w:rFonts w:ascii="宋体" w:hAnsi="宋体" w:cs="宋体" w:eastAsia="宋体" w:hint="default"/>
                            <w:spacing w:val="-6"/>
                            <w:sz w:val="18"/>
                            <w:szCs w:val="18"/>
                          </w:rPr>
                          <w:t>发、销售；投资管理、咨询</w:t>
                        </w:r>
                        <w:r>
                          <w:rPr>
                            <w:rFonts w:ascii="宋体" w:hAnsi="宋体" w:cs="宋体" w:eastAsia="宋体" w:hint="default"/>
                            <w:sz w:val="18"/>
                            <w:szCs w:val="18"/>
                          </w:rPr>
                          <w:t> 项目投资。</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pict>
          <v:shape style="position:absolute;margin-left:56.424pt;margin-top:-116.798271pt;width:479.3pt;height:250.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both"/>
                          <w:rPr>
                            <w:rFonts w:ascii="宋体" w:hAnsi="宋体" w:cs="宋体" w:eastAsia="宋体" w:hint="default"/>
                            <w:sz w:val="18"/>
                            <w:szCs w:val="18"/>
                          </w:rPr>
                        </w:pPr>
                        <w:r>
                          <w:rPr>
                            <w:rFonts w:ascii="宋体" w:hAnsi="宋体" w:cs="宋体" w:eastAsia="宋体" w:hint="default"/>
                            <w:spacing w:val="-3"/>
                            <w:sz w:val="18"/>
                            <w:szCs w:val="18"/>
                          </w:rPr>
                          <w:t>董永东先生，中国国籍，无境外永久居留权，</w:t>
                        </w:r>
                        <w:r>
                          <w:rPr>
                            <w:rFonts w:ascii="Times New Roman" w:hAnsi="Times New Roman" w:cs="Times New Roman" w:eastAsia="Times New Roman" w:hint="default"/>
                            <w:spacing w:val="-3"/>
                            <w:sz w:val="18"/>
                            <w:szCs w:val="18"/>
                          </w:rPr>
                          <w:t>1958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月出生，研究生学历，高级工程师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现任公司董事长、总经理。杨杨先生，中国国籍，无境外永久居留权，</w:t>
                        </w: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 大学本科，中国科学技术大学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EMBA</w:t>
                        </w:r>
                        <w:r>
                          <w:rPr>
                            <w:rFonts w:ascii="宋体" w:hAnsi="宋体" w:cs="宋体" w:eastAsia="宋体" w:hint="default"/>
                            <w:sz w:val="18"/>
                            <w:szCs w:val="18"/>
                          </w:rPr>
                          <w:t>。历任公司董事、总经理。史兴领先生，中国国籍， 无境外永久居留权，</w:t>
                        </w:r>
                        <w:r>
                          <w:rPr>
                            <w:rFonts w:ascii="Times New Roman" w:hAnsi="Times New Roman" w:cs="Times New Roman" w:eastAsia="Times New Roman" w:hint="default"/>
                            <w:sz w:val="18"/>
                            <w:szCs w:val="18"/>
                          </w:rPr>
                          <w:t>1971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月出生，硕士，信息系统项目管理师（高级）。现任公司董</w:t>
                        </w:r>
                        <w:r>
                          <w:rPr>
                            <w:rFonts w:ascii="宋体" w:hAnsi="宋体" w:cs="宋体" w:eastAsia="宋体" w:hint="default"/>
                            <w:sz w:val="18"/>
                            <w:szCs w:val="18"/>
                          </w:rPr>
                          <w:t> 事、副总经理。许广德先生，中国国籍，无境外永久居留权，</w:t>
                        </w:r>
                        <w:r>
                          <w:rPr>
                            <w:rFonts w:ascii="Times New Roman" w:hAnsi="Times New Roman" w:cs="Times New Roman" w:eastAsia="Times New Roman" w:hint="default"/>
                            <w:sz w:val="18"/>
                            <w:szCs w:val="18"/>
                          </w:rPr>
                          <w:t>1968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月出生，硕士。现 任公司董事、副总经理。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4"/>
          <w:szCs w:val="14"/>
        </w:rPr>
      </w:pPr>
    </w:p>
    <w:p>
      <w:pPr>
        <w:spacing w:line="4665" w:lineRule="exact"/>
        <w:ind w:left="1355"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90700" cy="2962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700" cy="2962275"/>
                    </a:xfrm>
                    <a:prstGeom prst="rect">
                      <a:avLst/>
                    </a:prstGeom>
                  </pic:spPr>
                </pic:pic>
              </a:graphicData>
            </a:graphic>
          </wp:inline>
        </w:drawing>
      </w:r>
      <w:r>
        <w:rPr>
          <w:rFonts w:ascii="宋体" w:hAnsi="宋体" w:cs="宋体" w:eastAsia="宋体" w:hint="default"/>
          <w:position w:val="-92"/>
          <w:sz w:val="20"/>
          <w:szCs w:val="20"/>
        </w:rPr>
      </w:r>
    </w:p>
    <w:p>
      <w:pPr>
        <w:spacing w:after="0" w:line="4665"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12"/>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9,854,626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9,854,626</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4,060,956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4,060,956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2,649,946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2,649,946</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1,892,818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1,892,818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860,372</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李绍平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344,149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344,149</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2,699,154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2,699,154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李绍平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6" w:lineRule="auto" w:before="96"/>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、公司现任董事主要工作经历和任职情况：</w:t>
      </w:r>
      <w:r>
        <w:rPr>
          <w:w w:val="100"/>
        </w:rPr>
        <w:t> </w:t>
      </w:r>
      <w:r>
        <w:rPr>
          <w:spacing w:val="-6"/>
        </w:rPr>
        <w:t>董永东先生，中国国籍，无境外永久居留权，</w:t>
      </w:r>
      <w:r>
        <w:rPr>
          <w:rFonts w:ascii="Times New Roman" w:hAnsi="Times New Roman" w:cs="Times New Roman" w:eastAsia="Times New Roman" w:hint="default"/>
          <w:spacing w:val="-6"/>
        </w:rPr>
        <w:t>1958</w:t>
      </w:r>
      <w:r>
        <w:rPr>
          <w:spacing w:val="-6"/>
        </w:rPr>
        <w:t>年</w:t>
      </w:r>
      <w:r>
        <w:rPr>
          <w:rFonts w:ascii="Times New Roman" w:hAnsi="Times New Roman" w:cs="Times New Roman" w:eastAsia="Times New Roman" w:hint="default"/>
          <w:spacing w:val="-6"/>
        </w:rPr>
        <w:t>11</w:t>
      </w:r>
      <w:r>
        <w:rPr>
          <w:spacing w:val="-6"/>
        </w:rPr>
        <w:t>月出生，研究生学历，高级工程师，安徽省</w:t>
      </w:r>
      <w:r>
        <w:rPr>
          <w:rFonts w:ascii="Times New Roman" w:hAnsi="Times New Roman" w:cs="Times New Roman" w:eastAsia="Times New Roman" w:hint="default"/>
          <w:spacing w:val="-6"/>
        </w:rPr>
        <w:t>2011</w:t>
      </w:r>
    </w:p>
    <w:p>
      <w:pPr>
        <w:pStyle w:val="BodyText"/>
        <w:spacing w:line="256" w:lineRule="auto" w:before="5"/>
        <w:ind w:right="1133"/>
        <w:jc w:val="left"/>
      </w:pPr>
      <w:r>
        <w:rPr>
          <w:spacing w:val="-2"/>
        </w:rPr>
        <w:t>年度十大经济人物、合肥市五一劳动奖章获得者、</w:t>
      </w:r>
      <w:r>
        <w:rPr>
          <w:rFonts w:ascii="Times New Roman" w:hAnsi="Times New Roman" w:cs="Times New Roman" w:eastAsia="Times New Roman" w:hint="default"/>
          <w:spacing w:val="-2"/>
        </w:rPr>
        <w:t>2013</w:t>
      </w:r>
      <w:r>
        <w:rPr>
          <w:spacing w:val="-2"/>
        </w:rPr>
        <w:t>年度和</w:t>
      </w:r>
      <w:r>
        <w:rPr>
          <w:rFonts w:ascii="Times New Roman" w:hAnsi="Times New Roman" w:cs="Times New Roman" w:eastAsia="Times New Roman" w:hint="default"/>
          <w:spacing w:val="-2"/>
        </w:rPr>
        <w:t>2015</w:t>
      </w:r>
      <w:r>
        <w:rPr>
          <w:spacing w:val="-2"/>
        </w:rPr>
        <w:t>年度中国行业信息化领军人物。历任公</w:t>
      </w:r>
      <w:r>
        <w:rPr>
          <w:spacing w:val="-39"/>
        </w:rPr>
        <w:t> </w:t>
      </w:r>
      <w:r>
        <w:rPr>
          <w:spacing w:val="-39"/>
        </w:rPr>
      </w:r>
      <w:r>
        <w:rPr/>
        <w:t>司副总经理、总经理、董事长。现任公司董事长、总经理。</w:t>
      </w:r>
    </w:p>
    <w:p>
      <w:pPr>
        <w:pStyle w:val="BodyText"/>
        <w:spacing w:line="268" w:lineRule="auto" w:before="22"/>
        <w:ind w:right="0" w:firstLine="420"/>
        <w:jc w:val="left"/>
      </w:pPr>
      <w:r>
        <w:rPr/>
        <w:t>应勇先生，中国国籍，无永久境外居留权，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月出生，硕士。曾担任中科大资产经营有限责任</w:t>
      </w:r>
      <w:r>
        <w:rPr>
          <w:w w:val="100"/>
        </w:rPr>
        <w:t> </w:t>
      </w:r>
      <w:r>
        <w:rPr>
          <w:spacing w:val="-2"/>
        </w:rPr>
        <w:t>公司总裁助理、董事会秘书。现任公司董事，中科大资产经营有限责任公司董事、总经理，科大智能科技</w:t>
      </w:r>
      <w:r>
        <w:rPr>
          <w:spacing w:val="-43"/>
        </w:rPr>
        <w:t> </w:t>
      </w:r>
      <w:r>
        <w:rPr>
          <w:spacing w:val="-43"/>
        </w:rPr>
      </w:r>
      <w:r>
        <w:rPr>
          <w:spacing w:val="-2"/>
        </w:rPr>
        <w:t>股份有限公司董事，科大国盾量子技术股份有限公司董事，安徽问天量子科技股份有限公司董事，合肥中</w:t>
      </w:r>
      <w:r>
        <w:rPr>
          <w:spacing w:val="-45"/>
        </w:rPr>
        <w:t> </w:t>
      </w:r>
      <w:r>
        <w:rPr>
          <w:spacing w:val="-45"/>
        </w:rPr>
      </w:r>
      <w:r>
        <w:rPr>
          <w:spacing w:val="-5"/>
        </w:rPr>
        <w:t>科大爱克科技有限公司董事长，合肥华西科技开发有限公司董事，合肥科佳高分子材料科技有限公司董事，</w:t>
      </w:r>
      <w:r>
        <w:rPr>
          <w:spacing w:val="-6"/>
        </w:rPr>
        <w:t> </w:t>
      </w:r>
      <w:r>
        <w:rPr>
          <w:spacing w:val="-6"/>
        </w:rPr>
      </w:r>
      <w:r>
        <w:rPr>
          <w:spacing w:val="-2"/>
        </w:rPr>
        <w:t>中国科学技术大学出版社有限责任公司董事，合肥科创教育服务有限公司董事，安徽广行通信科技股份有</w:t>
      </w:r>
      <w:r>
        <w:rPr>
          <w:spacing w:val="-43"/>
        </w:rPr>
        <w:t> </w:t>
      </w:r>
      <w:r>
        <w:rPr>
          <w:spacing w:val="-43"/>
        </w:rPr>
      </w:r>
      <w:r>
        <w:rPr/>
        <w:t>限公司董事。</w:t>
      </w:r>
    </w:p>
    <w:p>
      <w:pPr>
        <w:pStyle w:val="BodyText"/>
        <w:spacing w:line="264" w:lineRule="auto" w:before="12"/>
        <w:ind w:right="0" w:firstLine="420"/>
        <w:jc w:val="left"/>
      </w:pPr>
      <w:r>
        <w:rPr>
          <w:spacing w:val="-5"/>
        </w:rPr>
        <w:t>史兴领先生，中国国籍，无境外永久居留权，</w:t>
      </w:r>
      <w:r>
        <w:rPr>
          <w:rFonts w:ascii="Times New Roman" w:hAnsi="Times New Roman" w:cs="Times New Roman" w:eastAsia="Times New Roman" w:hint="default"/>
          <w:spacing w:val="-5"/>
        </w:rPr>
        <w:t>1971</w:t>
      </w:r>
      <w:r>
        <w:rPr>
          <w:spacing w:val="-5"/>
        </w:rPr>
        <w:t>年</w:t>
      </w:r>
      <w:r>
        <w:rPr>
          <w:rFonts w:ascii="Times New Roman" w:hAnsi="Times New Roman" w:cs="Times New Roman" w:eastAsia="Times New Roman" w:hint="default"/>
          <w:spacing w:val="-5"/>
        </w:rPr>
        <w:t>11</w:t>
      </w:r>
      <w:r>
        <w:rPr>
          <w:spacing w:val="-5"/>
        </w:rPr>
        <w:t>月出生，硕士，信息系统项目管理师（高级）。</w:t>
      </w:r>
      <w:r>
        <w:rPr>
          <w:w w:val="100"/>
        </w:rPr>
        <w:t> </w:t>
      </w:r>
      <w:r>
        <w:rPr>
          <w:spacing w:val="-2"/>
        </w:rPr>
        <w:t>历任公司部门经理、副总经理、董事。现任公司董事、副总经理，安徽贵博新能科技有限公司董事、总经</w:t>
      </w:r>
      <w:r>
        <w:rPr>
          <w:spacing w:val="-42"/>
        </w:rPr>
        <w:t> </w:t>
      </w:r>
      <w:r>
        <w:rPr>
          <w:spacing w:val="-42"/>
        </w:rPr>
      </w:r>
      <w:r>
        <w:rPr/>
        <w:t>理，云上神州浪潮国创大数据产业发展有限公司董事。</w:t>
      </w:r>
    </w:p>
    <w:p>
      <w:pPr>
        <w:pStyle w:val="BodyText"/>
        <w:spacing w:line="261" w:lineRule="auto" w:before="16"/>
        <w:ind w:right="1126" w:firstLine="420"/>
        <w:jc w:val="both"/>
      </w:pPr>
      <w:r>
        <w:rPr/>
        <w:t>许广德先生，中国国籍，无境外永久居留权，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月出生，硕士。历任公司研发中心项目经理、</w:t>
      </w:r>
      <w:r>
        <w:rPr>
          <w:w w:val="100"/>
        </w:rPr>
        <w:t> </w:t>
      </w:r>
      <w:r>
        <w:rPr/>
        <w:t>部门经理、副总经理、董事。现任公司董事、副总经理，中电科</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公共设施运营管理有限公司董事，</w:t>
      </w:r>
      <w:r>
        <w:rPr>
          <w:spacing w:val="-60"/>
        </w:rPr>
        <w:t> </w:t>
      </w:r>
      <w:r>
        <w:rPr>
          <w:spacing w:val="-60"/>
        </w:rPr>
      </w:r>
      <w:r>
        <w:rPr>
          <w:spacing w:val="-2"/>
        </w:rPr>
        <w:t>安徽科大国创软件科技有限公司董事。中国科学技术大学校外研究生导师，安徽大学计算机科学与技术学</w:t>
      </w:r>
      <w:r>
        <w:rPr>
          <w:spacing w:val="-43"/>
        </w:rPr>
        <w:t> </w:t>
      </w:r>
      <w:r>
        <w:rPr>
          <w:spacing w:val="-43"/>
        </w:rPr>
      </w:r>
      <w:r>
        <w:rPr/>
        <w:t>院名誉教授。</w:t>
      </w:r>
    </w:p>
    <w:p>
      <w:pPr>
        <w:pStyle w:val="BodyText"/>
        <w:spacing w:line="264" w:lineRule="auto" w:before="18"/>
        <w:ind w:right="1128" w:firstLine="420"/>
        <w:jc w:val="both"/>
      </w:pPr>
      <w:r>
        <w:rPr>
          <w:spacing w:val="-2"/>
        </w:rPr>
        <w:t>孙路先生，中国国籍，无境外永久居留权，</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11</w:t>
      </w:r>
      <w:r>
        <w:rPr>
          <w:spacing w:val="-2"/>
        </w:rPr>
        <w:t>月出生，硕士。曾任北京恒际达投资管理有限责</w:t>
      </w:r>
      <w:r>
        <w:rPr>
          <w:w w:val="100"/>
        </w:rPr>
        <w:t> </w:t>
      </w:r>
      <w:r>
        <w:rPr>
          <w:spacing w:val="-2"/>
        </w:rPr>
        <w:t>任公司投资经理、公司客户经理、安徽贵博新能科技有限公司执行董事。现任公司董事，安徽贵博新能科</w:t>
      </w:r>
      <w:r>
        <w:rPr>
          <w:spacing w:val="-50"/>
        </w:rPr>
        <w:t> </w:t>
      </w:r>
      <w:r>
        <w:rPr>
          <w:spacing w:val="-50"/>
        </w:rPr>
      </w:r>
      <w:r>
        <w:rPr/>
        <w:t>技有限公司董事长，合肥贵博股权投资合伙企业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执行事务合伙人。</w:t>
      </w:r>
    </w:p>
    <w:p>
      <w:pPr>
        <w:pStyle w:val="BodyText"/>
        <w:spacing w:line="261" w:lineRule="auto"/>
        <w:ind w:right="1107" w:firstLine="420"/>
        <w:jc w:val="right"/>
      </w:pPr>
      <w:r>
        <w:rPr/>
        <w:t>程先乐先生，中国国籍，无境外永久居留权，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3</w:t>
      </w:r>
      <w:r>
        <w:rPr/>
        <w:t>月出生，大学本科，信息系统项目管理师（高</w:t>
      </w:r>
      <w:r>
        <w:rPr>
          <w:w w:val="100"/>
        </w:rPr>
        <w:t> </w:t>
      </w:r>
      <w:r>
        <w:rPr>
          <w:spacing w:val="-4"/>
        </w:rPr>
        <w:t>级），</w:t>
      </w:r>
      <w:r>
        <w:rPr>
          <w:rFonts w:ascii="Times New Roman" w:hAnsi="Times New Roman" w:cs="Times New Roman" w:eastAsia="Times New Roman" w:hint="default"/>
          <w:spacing w:val="-4"/>
        </w:rPr>
        <w:t>2013-2014</w:t>
      </w:r>
      <w:r>
        <w:rPr>
          <w:spacing w:val="-4"/>
        </w:rPr>
        <w:t>年度安徽省优秀软件人才。历任公司研发中心项目经理、部门经理、董事、副总经理。现</w:t>
      </w:r>
      <w:r>
        <w:rPr>
          <w:spacing w:val="-48"/>
        </w:rPr>
        <w:t> </w:t>
      </w:r>
      <w:r>
        <w:rPr>
          <w:spacing w:val="-48"/>
        </w:rPr>
      </w:r>
      <w:r>
        <w:rPr>
          <w:spacing w:val="-2"/>
        </w:rPr>
        <w:t>任公司董事、副总经理，株式会社科大国创代表取缔役，安徽科大国创软件科技有限公司董事、总经理。</w:t>
      </w:r>
      <w:r>
        <w:rPr>
          <w:spacing w:val="-45"/>
        </w:rPr>
        <w:t> </w:t>
      </w:r>
      <w:r>
        <w:rPr>
          <w:spacing w:val="-45"/>
        </w:rPr>
      </w:r>
      <w:r>
        <w:rPr/>
        <w:t>齐美彬先生，中国国籍，无境外永久居留权，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月出生，信号与信息处理专业博士。现任公司</w:t>
      </w:r>
    </w:p>
    <w:p>
      <w:pPr>
        <w:spacing w:after="0" w:line="261" w:lineRule="auto"/>
        <w:jc w:val="righ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33" w:hanging="420"/>
        <w:jc w:val="left"/>
      </w:pPr>
      <w:r>
        <w:rPr/>
        <w:t>独立董事，合肥工业大学教授、博士生导师，安徽省电子学会理事。</w:t>
      </w:r>
      <w:r>
        <w:rPr>
          <w:w w:val="100"/>
        </w:rPr>
        <w:t> </w:t>
      </w:r>
      <w:r>
        <w:rPr>
          <w:spacing w:val="-2"/>
        </w:rPr>
        <w:t>冯华先生，中国国籍，无境外永久居留权，</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月出生，经济学博士、管理学博士后。现任公司</w:t>
      </w:r>
    </w:p>
    <w:p>
      <w:pPr>
        <w:pStyle w:val="BodyText"/>
        <w:spacing w:line="266" w:lineRule="auto"/>
        <w:ind w:right="1126"/>
        <w:jc w:val="both"/>
      </w:pPr>
      <w:r>
        <w:rPr>
          <w:spacing w:val="-2"/>
        </w:rPr>
        <w:t>独立董事，北京交通大学经济管理学院教授、博士生导师，国家社会科学基金重大项目首席专家，北京交</w:t>
      </w:r>
      <w:r>
        <w:rPr>
          <w:spacing w:val="-50"/>
        </w:rPr>
        <w:t> </w:t>
      </w:r>
      <w:r>
        <w:rPr>
          <w:spacing w:val="-50"/>
        </w:rPr>
      </w:r>
      <w:r>
        <w:rPr>
          <w:spacing w:val="-2"/>
        </w:rPr>
        <w:t>通大学服务经济与新兴产业研究所所长，产业经济理论与政策学科责任教授，江西华伍制动器股份有限公</w:t>
      </w:r>
      <w:r>
        <w:rPr>
          <w:spacing w:val="-43"/>
        </w:rPr>
        <w:t> </w:t>
      </w:r>
      <w:r>
        <w:rPr>
          <w:spacing w:val="-43"/>
        </w:rPr>
      </w:r>
      <w:r>
        <w:rPr>
          <w:spacing w:val="-2"/>
        </w:rPr>
        <w:t>司独立董事，北京市基础设施投资有限公司外部董事。主持国家社科基金重大项目、国家软科学计划重大</w:t>
      </w:r>
      <w:r>
        <w:rPr>
          <w:spacing w:val="-42"/>
        </w:rPr>
        <w:t> </w:t>
      </w:r>
      <w:r>
        <w:rPr>
          <w:spacing w:val="-42"/>
        </w:rPr>
      </w:r>
      <w:r>
        <w:rPr/>
        <w:t>项目等课题</w:t>
      </w:r>
      <w:r>
        <w:rPr>
          <w:rFonts w:ascii="Times New Roman" w:hAnsi="Times New Roman" w:cs="Times New Roman" w:eastAsia="Times New Roman" w:hint="default"/>
        </w:rPr>
        <w:t>20</w:t>
      </w:r>
      <w:r>
        <w:rPr/>
        <w:t>余项。发表论文</w:t>
      </w:r>
      <w:r>
        <w:rPr>
          <w:rFonts w:ascii="Times New Roman" w:hAnsi="Times New Roman" w:cs="Times New Roman" w:eastAsia="Times New Roman" w:hint="default"/>
        </w:rPr>
        <w:t>100</w:t>
      </w:r>
      <w:r>
        <w:rPr/>
        <w:t>多篇，出版专著</w:t>
      </w:r>
      <w:r>
        <w:rPr>
          <w:rFonts w:ascii="Times New Roman" w:hAnsi="Times New Roman" w:cs="Times New Roman" w:eastAsia="Times New Roman" w:hint="default"/>
        </w:rPr>
        <w:t>2</w:t>
      </w:r>
      <w:r>
        <w:rPr/>
        <w:t>部，被采纳专家建议</w:t>
      </w:r>
      <w:r>
        <w:rPr>
          <w:rFonts w:ascii="Times New Roman" w:hAnsi="Times New Roman" w:cs="Times New Roman" w:eastAsia="Times New Roman" w:hint="default"/>
        </w:rPr>
        <w:t>16</w:t>
      </w:r>
      <w:r>
        <w:rPr/>
        <w:t>篇，有</w:t>
      </w:r>
      <w:r>
        <w:rPr>
          <w:rFonts w:ascii="Times New Roman" w:hAnsi="Times New Roman" w:cs="Times New Roman" w:eastAsia="Times New Roman" w:hint="default"/>
        </w:rPr>
        <w:t>2</w:t>
      </w:r>
      <w:r>
        <w:rPr/>
        <w:t>篇得到国家领导人肯定</w:t>
      </w:r>
      <w:r>
        <w:rPr>
          <w:spacing w:val="-24"/>
        </w:rPr>
        <w:t> </w:t>
      </w:r>
      <w:r>
        <w:rPr>
          <w:spacing w:val="-24"/>
        </w:rPr>
      </w:r>
      <w:r>
        <w:rPr>
          <w:spacing w:val="-4"/>
        </w:rPr>
        <w:t>性批示，荣获</w:t>
      </w:r>
      <w:r>
        <w:rPr>
          <w:rFonts w:ascii="Times New Roman" w:hAnsi="Times New Roman" w:cs="Times New Roman" w:eastAsia="Times New Roman" w:hint="default"/>
          <w:spacing w:val="-4"/>
        </w:rPr>
        <w:t>“</w:t>
      </w:r>
      <w:r>
        <w:rPr>
          <w:spacing w:val="-4"/>
        </w:rPr>
        <w:t>宝钢优秀教师奖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全国</w:t>
      </w:r>
      <w:r>
        <w:rPr>
          <w:rFonts w:ascii="Times New Roman" w:hAnsi="Times New Roman" w:cs="Times New Roman" w:eastAsia="Times New Roman" w:hint="default"/>
          <w:spacing w:val="-4"/>
        </w:rPr>
        <w:t>MBA</w:t>
      </w:r>
      <w:r>
        <w:rPr>
          <w:spacing w:val="-4"/>
        </w:rPr>
        <w:t>杰出教授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山东高校十大优秀教师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北京交通大学优秀共</w:t>
      </w:r>
      <w:r>
        <w:rPr>
          <w:spacing w:val="-20"/>
        </w:rPr>
        <w:t> </w:t>
      </w:r>
      <w:r>
        <w:rPr>
          <w:spacing w:val="-20"/>
        </w:rPr>
      </w:r>
      <w:r>
        <w:rPr/>
        <w:t>产党员</w:t>
      </w:r>
      <w:r>
        <w:rPr>
          <w:rFonts w:ascii="Times New Roman" w:hAnsi="Times New Roman" w:cs="Times New Roman" w:eastAsia="Times New Roman" w:hint="default"/>
        </w:rPr>
        <w:t>”“</w:t>
      </w:r>
      <w:r>
        <w:rPr/>
        <w:t>北京交通大学教书育人先进个人</w:t>
      </w:r>
      <w:r>
        <w:rPr>
          <w:rFonts w:ascii="Times New Roman" w:hAnsi="Times New Roman" w:cs="Times New Roman" w:eastAsia="Times New Roman" w:hint="default"/>
        </w:rPr>
        <w:t>”</w:t>
      </w:r>
      <w:r>
        <w:rPr/>
        <w:t>等荣誉称号。</w:t>
      </w:r>
    </w:p>
    <w:p>
      <w:pPr>
        <w:pStyle w:val="BodyText"/>
        <w:spacing w:line="264" w:lineRule="auto"/>
        <w:ind w:right="0" w:firstLine="420"/>
        <w:jc w:val="left"/>
      </w:pPr>
      <w:r>
        <w:rPr/>
        <w:t>李姚矿先生，中国国籍，无境外永久居留权，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月出生，管理学博士，中国注册会计师协会非</w:t>
      </w:r>
      <w:r>
        <w:rPr>
          <w:w w:val="100"/>
        </w:rPr>
        <w:t> </w:t>
      </w:r>
      <w:r>
        <w:rPr>
          <w:spacing w:val="-5"/>
        </w:rPr>
        <w:t>执业会员。现任公司独立董事，合肥工业大学管理学院会计学系教授、博士生导师、创业投资研究所所长，</w:t>
      </w:r>
      <w:r>
        <w:rPr>
          <w:spacing w:val="-13"/>
        </w:rPr>
        <w:t> </w:t>
      </w:r>
      <w:r>
        <w:rPr>
          <w:spacing w:val="-13"/>
        </w:rPr>
      </w:r>
      <w:r>
        <w:rPr>
          <w:spacing w:val="-2"/>
        </w:rPr>
        <w:t>安徽三联交通应用技术股份有限公司独立董事。近年来主持国家自然科学基金和国家社会科学基金等科研</w:t>
      </w:r>
      <w:r>
        <w:rPr>
          <w:spacing w:val="-43"/>
        </w:rPr>
        <w:t> </w:t>
      </w:r>
      <w:r>
        <w:rPr>
          <w:spacing w:val="-43"/>
        </w:rPr>
      </w:r>
      <w:r>
        <w:rPr/>
        <w:t>项目</w:t>
      </w:r>
      <w:r>
        <w:rPr>
          <w:rFonts w:ascii="Times New Roman" w:hAnsi="Times New Roman" w:cs="Times New Roman" w:eastAsia="Times New Roman" w:hint="default"/>
        </w:rPr>
        <w:t>10</w:t>
      </w:r>
      <w:r>
        <w:rPr/>
        <w:t>多项，发表论文</w:t>
      </w:r>
      <w:r>
        <w:rPr>
          <w:rFonts w:ascii="Times New Roman" w:hAnsi="Times New Roman" w:cs="Times New Roman" w:eastAsia="Times New Roman" w:hint="default"/>
        </w:rPr>
        <w:t>30</w:t>
      </w:r>
      <w:r>
        <w:rPr/>
        <w:t>多篇，出版专著</w:t>
      </w:r>
      <w:r>
        <w:rPr>
          <w:rFonts w:ascii="Times New Roman" w:hAnsi="Times New Roman" w:cs="Times New Roman" w:eastAsia="Times New Roman" w:hint="default"/>
        </w:rPr>
        <w:t>2</w:t>
      </w:r>
      <w:r>
        <w:rPr/>
        <w:t>部。</w:t>
      </w:r>
      <w:r>
        <w:rPr>
          <w:rFonts w:ascii="Times New Roman" w:hAnsi="Times New Roman" w:cs="Times New Roman" w:eastAsia="Times New Roman" w:hint="default"/>
        </w:rPr>
        <w:t>2005</w:t>
      </w:r>
      <w:r>
        <w:rPr/>
        <w:t>年被评为安徽省优秀中青年骨干教师，获得安徽省教</w:t>
      </w:r>
      <w:r>
        <w:rPr>
          <w:spacing w:val="-29"/>
        </w:rPr>
        <w:t> </w:t>
      </w:r>
      <w:r>
        <w:rPr>
          <w:spacing w:val="-29"/>
        </w:rPr>
      </w:r>
      <w:r>
        <w:rPr/>
        <w:t>学成果奖、安徽省社会科学奖等多项奖励。</w:t>
      </w:r>
    </w:p>
    <w:p>
      <w:pPr>
        <w:pStyle w:val="BodyText"/>
        <w:spacing w:line="256" w:lineRule="auto" w:before="16"/>
        <w:ind w:left="573" w:right="1133"/>
        <w:jc w:val="left"/>
      </w:pPr>
      <w:r>
        <w:rPr>
          <w:rFonts w:ascii="Times New Roman" w:hAnsi="Times New Roman" w:cs="Times New Roman" w:eastAsia="Times New Roman" w:hint="default"/>
        </w:rPr>
        <w:t>2</w:t>
      </w:r>
      <w:r>
        <w:rPr/>
        <w:t>、公司现任监事主要工作经历和任职情况：</w:t>
      </w:r>
      <w:r>
        <w:rPr>
          <w:w w:val="100"/>
        </w:rPr>
        <w:t> </w:t>
      </w:r>
      <w:r>
        <w:rPr>
          <w:spacing w:val="-2"/>
        </w:rPr>
        <w:t>陈方友先生，中国国籍，无境外永久居留权，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10</w:t>
      </w:r>
      <w:r>
        <w:rPr>
          <w:spacing w:val="-2"/>
        </w:rPr>
        <w:t>月出生，大学本科双学士，工信部认证信息系</w:t>
      </w:r>
    </w:p>
    <w:p>
      <w:pPr>
        <w:pStyle w:val="BodyText"/>
        <w:spacing w:line="273" w:lineRule="auto" w:before="5"/>
        <w:ind w:right="0"/>
        <w:jc w:val="left"/>
      </w:pPr>
      <w:r>
        <w:rPr>
          <w:spacing w:val="-5"/>
        </w:rPr>
        <w:t>统集成高级项目经理。曾任苏州科大国创信息技术有限公司副总经理，安徽慧联运科技有限公司副总经理。 </w:t>
      </w:r>
      <w:r>
        <w:rPr/>
        <w:t>现任公司监事会主席、党委书记，安徽慧联运科技有限公司执行总经理。</w:t>
      </w:r>
    </w:p>
    <w:p>
      <w:pPr>
        <w:pStyle w:val="BodyText"/>
        <w:spacing w:line="256" w:lineRule="auto" w:before="7"/>
        <w:ind w:right="0" w:firstLine="420"/>
        <w:jc w:val="left"/>
      </w:pPr>
      <w:r>
        <w:rPr>
          <w:spacing w:val="-2"/>
        </w:rPr>
        <w:t>孔皖生先生，中国国籍，无境外永久居留权，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8</w:t>
      </w:r>
      <w:r>
        <w:rPr>
          <w:spacing w:val="-2"/>
        </w:rPr>
        <w:t>月出生，大学本科，信息系统高级项目管理师。</w:t>
      </w:r>
      <w:r>
        <w:rPr>
          <w:w w:val="100"/>
        </w:rPr>
        <w:t> </w:t>
      </w:r>
      <w:r>
        <w:rPr/>
        <w:t>历任公司研发中心项目经理、部门经理。现任公司监事、总裁助理，安徽贵博新能科技有限公司董事。</w:t>
      </w:r>
    </w:p>
    <w:p>
      <w:pPr>
        <w:pStyle w:val="BodyText"/>
        <w:spacing w:line="256" w:lineRule="auto" w:before="22"/>
        <w:ind w:right="1133" w:firstLine="420"/>
        <w:jc w:val="left"/>
      </w:pPr>
      <w:r>
        <w:rPr>
          <w:spacing w:val="-2"/>
        </w:rPr>
        <w:t>李绍平先生，中国国籍，无境外永久居留权，</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11</w:t>
      </w:r>
      <w:r>
        <w:rPr>
          <w:spacing w:val="-2"/>
        </w:rPr>
        <w:t>月出生，硕士。历任公司软件工程师、项目经</w:t>
      </w:r>
      <w:r>
        <w:rPr>
          <w:w w:val="100"/>
        </w:rPr>
        <w:t> </w:t>
      </w:r>
      <w:r>
        <w:rPr/>
        <w:t>理、项目总监、咨询总监。现任公司监事、电力事业部副总经理。</w:t>
      </w:r>
    </w:p>
    <w:p>
      <w:pPr>
        <w:pStyle w:val="BodyText"/>
        <w:spacing w:line="256" w:lineRule="auto" w:before="22"/>
        <w:ind w:left="573" w:right="1133"/>
        <w:jc w:val="left"/>
      </w:pPr>
      <w:r>
        <w:rPr>
          <w:rFonts w:ascii="Times New Roman" w:hAnsi="Times New Roman" w:cs="Times New Roman" w:eastAsia="Times New Roman" w:hint="default"/>
        </w:rPr>
        <w:t>3</w:t>
      </w:r>
      <w:r>
        <w:rPr/>
        <w:t>、公司现任高级管理人员主要工作经历和兼职情况：</w:t>
      </w:r>
      <w:r>
        <w:rPr>
          <w:w w:val="100"/>
        </w:rPr>
        <w:t> </w:t>
      </w:r>
      <w:r>
        <w:rPr/>
        <w:t>董永东先生，任本公司总经理，简历参见本小节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史兴领先生，任本公司副总经理，简历参见本小节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许广德先生，任本公司副总经理，简历参见本小节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程先乐先生，任本公司副总经理，简历参见本小节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spacing w:val="-2"/>
        </w:rPr>
        <w:t>储士升先生，中国国籍，无境外永久居留权，</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10</w:t>
      </w:r>
      <w:r>
        <w:rPr>
          <w:spacing w:val="-2"/>
        </w:rPr>
        <w:t>月出生，大学本科，中国注册会计师、注册税</w:t>
      </w:r>
    </w:p>
    <w:p>
      <w:pPr>
        <w:pStyle w:val="BodyText"/>
        <w:spacing w:line="266" w:lineRule="auto" w:before="5"/>
        <w:ind w:left="0" w:right="1107"/>
        <w:jc w:val="right"/>
      </w:pPr>
      <w:r>
        <w:rPr>
          <w:spacing w:val="-2"/>
        </w:rPr>
        <w:t>务师。曾担任华普会计师事务所项目经理、国元证券风险管理部职员。现任公司副总经理、董事会秘书。</w:t>
      </w:r>
      <w:r>
        <w:rPr>
          <w:spacing w:val="-45"/>
        </w:rPr>
        <w:t> </w:t>
      </w:r>
      <w:r>
        <w:rPr>
          <w:spacing w:val="-45"/>
        </w:rPr>
      </w:r>
      <w:r>
        <w:rPr>
          <w:spacing w:val="-2"/>
        </w:rPr>
        <w:t>杨武军先生，中国国籍，无境外永久居留权，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12</w:t>
      </w:r>
      <w:r>
        <w:rPr>
          <w:spacing w:val="-2"/>
        </w:rPr>
        <w:t>月出生，硕士，中国注册会计师。曾任合肥美</w:t>
      </w:r>
      <w:r>
        <w:rPr>
          <w:w w:val="100"/>
        </w:rPr>
        <w:t> </w:t>
      </w:r>
      <w:r>
        <w:rPr>
          <w:spacing w:val="-2"/>
        </w:rPr>
        <w:t>菱股份有限公司财务管理部海外营销财务经理、财务管理部资金经理、海外事业部财务部长、合肥美菱有</w:t>
      </w:r>
      <w:r>
        <w:rPr>
          <w:spacing w:val="-85"/>
        </w:rPr>
        <w:t> </w:t>
      </w:r>
      <w:r>
        <w:rPr>
          <w:spacing w:val="-85"/>
        </w:rPr>
      </w:r>
      <w:r>
        <w:rPr>
          <w:spacing w:val="-2"/>
        </w:rPr>
        <w:t>色金属制品有限公司财务总监、公司财务副总监。现任公司财务总监，贵州科大国创大数据科技有限公司</w:t>
      </w:r>
    </w:p>
    <w:p>
      <w:pPr>
        <w:pStyle w:val="BodyText"/>
        <w:spacing w:line="240" w:lineRule="auto" w:before="14"/>
        <w:ind w:right="0"/>
        <w:jc w:val="both"/>
      </w:pPr>
      <w:r>
        <w:rPr/>
        <w:t>监事。</w:t>
      </w:r>
    </w:p>
    <w:p>
      <w:pPr>
        <w:spacing w:before="98"/>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安徽省信息化专家咨询委员会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安徽省电子商务协会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安徽省信息化协会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副监事长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合肥市大数据创新产业联盟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合肥高新区上市企业协会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贵州科大国创大数据科技公司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合肥领创股权投资合伙企业（有限合伙</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6" w:lineRule="exact"/>
              <w:ind w:left="16" w:right="-27"/>
              <w:jc w:val="left"/>
              <w:rPr>
                <w:rFonts w:ascii="宋体" w:hAnsi="宋体" w:cs="宋体" w:eastAsia="宋体" w:hint="default"/>
                <w:sz w:val="20"/>
                <w:szCs w:val="20"/>
              </w:rPr>
            </w:pPr>
            <w:r>
              <w:rPr>
                <w:rFonts w:ascii="宋体" w:hAnsi="宋体" w:cs="宋体" w:eastAsia="宋体" w:hint="default"/>
                <w:position w:val="-13"/>
                <w:sz w:val="20"/>
                <w:szCs w:val="20"/>
              </w:rPr>
              <w:pict>
                <v:group style="width:50.3pt;height:35.35pt;mso-position-horizontal-relative:char;mso-position-vertical-relative:line" coordorigin="0,0" coordsize="1006,707">
                  <v:group style="position:absolute;left:0;top:0;width:1006;height:354" coordorigin="0,0" coordsize="1006,354">
                    <v:shape style="position:absolute;left:0;top:0;width:1006;height:354" coordorigin="0,0" coordsize="1006,354" path="m0,353l1006,353,1006,0,0,0,0,353xe" filled="true" fillcolor="#ffffff" stroked="false">
                      <v:path arrowok="t"/>
                      <v:fill type="solid"/>
                    </v:shape>
                  </v:group>
                  <v:group style="position:absolute;left:0;top:353;width:1006;height:353" coordorigin="0,353" coordsize="1006,353">
                    <v:shape style="position:absolute;left:0;top:353;width:1006;height:353" coordorigin="0,353" coordsize="1006,353" path="m0,706l1006,706,1006,353,0,353,0,706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科大智能科技股份有限公司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科大国盾量子技术股份有限公司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安徽问天量子科技股份有限公司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合肥中科大爱克科技有限公司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合肥华西科技开发有限公司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合肥科佳高分子材料科技有限公司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中国科学技术大学出版社有限责任公司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合肥科创教育服务有限公司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云上神州浪潮国创大数据产业发展有限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54"/>
              <w:jc w:val="left"/>
              <w:rPr>
                <w:rFonts w:ascii="宋体" w:hAnsi="宋体" w:cs="宋体" w:eastAsia="宋体" w:hint="default"/>
                <w:sz w:val="18"/>
                <w:szCs w:val="18"/>
              </w:rPr>
            </w:pPr>
            <w:r>
              <w:rPr>
                <w:rFonts w:ascii="宋体" w:hAnsi="宋体" w:cs="宋体" w:eastAsia="宋体" w:hint="default"/>
                <w:sz w:val="18"/>
                <w:szCs w:val="18"/>
              </w:rPr>
              <w:t>中电科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公共设施运营管理有限公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合肥贵博股权投资合伙企业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株式会社科大国创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代表取缔役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苏州虞创智能仪表科技有限公司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北京交通大学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江西华伍制动器股份有限公司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北京市基础设施投资有限公司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安徽三联交通应用技术股份有限公司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贵州科大国创大数据科技公司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贵州科大国创大数据科技公司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56" w:lineRule="auto" w:before="96"/>
        <w:ind w:left="573" w:right="1133"/>
        <w:jc w:val="left"/>
      </w:pPr>
      <w:r>
        <w:rPr>
          <w:rFonts w:ascii="Times New Roman" w:hAnsi="Times New Roman" w:cs="Times New Roman" w:eastAsia="Times New Roman" w:hint="default"/>
        </w:rPr>
        <w:t>1</w:t>
      </w:r>
      <w:r>
        <w:rPr/>
        <w:t>、董事、监事、高级管理人员报酬的决策程序</w:t>
      </w:r>
      <w:r>
        <w:rPr>
          <w:w w:val="100"/>
        </w:rPr>
        <w:t> </w:t>
      </w:r>
      <w:r>
        <w:rPr>
          <w:spacing w:val="-2"/>
        </w:rPr>
        <w:t>由公司董事会薪酬与考核委员会研究制订公司董事、监事和高级管理人员的薪酬政策、方案，股东大</w:t>
      </w:r>
    </w:p>
    <w:p>
      <w:pPr>
        <w:pStyle w:val="BodyText"/>
        <w:spacing w:line="273" w:lineRule="auto" w:before="22"/>
        <w:ind w:right="1133"/>
        <w:jc w:val="left"/>
      </w:pPr>
      <w:r>
        <w:rPr>
          <w:spacing w:val="-2"/>
        </w:rPr>
        <w:t>会审议董事、监事薪酬，董事会审议高级管理人员薪酬，公司人力资源部、财务部配合董事会薪酬与考核</w:t>
      </w:r>
      <w:r>
        <w:rPr>
          <w:spacing w:val="-44"/>
        </w:rPr>
        <w:t> </w:t>
      </w:r>
      <w:r>
        <w:rPr>
          <w:spacing w:val="-44"/>
        </w:rPr>
      </w:r>
      <w:r>
        <w:rPr/>
        <w:t>委员会进行公司董事、监事、高级管理人员薪酬方案的具体实施。</w:t>
      </w:r>
    </w:p>
    <w:p>
      <w:pPr>
        <w:pStyle w:val="BodyText"/>
        <w:spacing w:line="256" w:lineRule="auto" w:before="7"/>
        <w:ind w:left="573" w:right="1133"/>
        <w:jc w:val="left"/>
      </w:pPr>
      <w:r>
        <w:rPr>
          <w:rFonts w:ascii="Times New Roman" w:hAnsi="Times New Roman" w:cs="Times New Roman" w:eastAsia="Times New Roman" w:hint="default"/>
        </w:rPr>
        <w:t>2</w:t>
      </w:r>
      <w:r>
        <w:rPr/>
        <w:t>、董事、监事、高级管理人员报酬的确立依据</w:t>
      </w:r>
      <w:r>
        <w:rPr>
          <w:rFonts w:ascii="宋体" w:hAnsi="宋体" w:cs="宋体" w:eastAsia="宋体" w:hint="default"/>
          <w:w w:val="100"/>
        </w:rPr>
        <w:t> </w:t>
      </w:r>
      <w:r>
        <w:rPr>
          <w:spacing w:val="-2"/>
        </w:rPr>
        <w:t>根据公司内部董事、内部监事与高级管理人员所承担的责任、风险、压力等，确定不同的薪酬标准，</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基础薪酬按照其在公司内部担任的职务，根据岗位责任等级、能力等级确定，每月发放；绩效年薪以公司</w:t>
      </w:r>
      <w:r>
        <w:rPr>
          <w:spacing w:val="-47"/>
        </w:rPr>
        <w:t> </w:t>
      </w:r>
      <w:r>
        <w:rPr>
          <w:spacing w:val="-47"/>
        </w:rPr>
      </w:r>
      <w:r>
        <w:rPr>
          <w:spacing w:val="-2"/>
        </w:rPr>
        <w:t>年度经营目标和个人年度绩效考核目标指标完成情况为考核基础。外部董事、独立董事、外部监事津贴数</w:t>
      </w:r>
      <w:r>
        <w:rPr>
          <w:spacing w:val="-44"/>
        </w:rPr>
        <w:t> </w:t>
      </w:r>
      <w:r>
        <w:rPr>
          <w:spacing w:val="-44"/>
        </w:rPr>
      </w:r>
      <w:r>
        <w:rPr/>
        <w:t>额由公司股东大会审议决定。</w:t>
      </w:r>
    </w:p>
    <w:p>
      <w:pPr>
        <w:spacing w:before="69"/>
        <w:ind w:left="153"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李绍平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5"/>
              <w:jc w:val="right"/>
              <w:rPr>
                <w:rFonts w:ascii="Times New Roman" w:hAnsi="Times New Roman" w:cs="Times New Roman" w:eastAsia="Times New Roman" w:hint="default"/>
                <w:sz w:val="18"/>
                <w:szCs w:val="18"/>
              </w:rPr>
            </w:pPr>
            <w:r>
              <w:rPr>
                <w:rFonts w:ascii="Times New Roman"/>
                <w:sz w:val="18"/>
              </w:rPr>
              <w:t>326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2,883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2,198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6" w:firstLine="420"/>
        <w:jc w:val="both"/>
      </w:pPr>
      <w:r>
        <w:rPr>
          <w:spacing w:val="-2"/>
        </w:rPr>
        <w:t>公司根据员工从事工作的岗位、责任、能力、贡献、职称确定薪资标准，按月向员工发放薪酬。薪资</w:t>
      </w:r>
      <w:r>
        <w:rPr>
          <w:w w:val="100"/>
        </w:rPr>
        <w:t> </w:t>
      </w:r>
      <w:r>
        <w:rPr>
          <w:spacing w:val="-2"/>
        </w:rPr>
        <w:t>构成包括：基本工资、绩效工资、职务工资、岗位工资、年终奖、住房公积金和其他。公司每年根据员工</w:t>
      </w:r>
      <w:r>
        <w:rPr>
          <w:spacing w:val="-48"/>
        </w:rPr>
        <w:t> </w:t>
      </w:r>
      <w:r>
        <w:rPr>
          <w:spacing w:val="-48"/>
        </w:rPr>
      </w:r>
      <w:r>
        <w:rPr/>
        <w:t>工作技能和绩效、公司上一年经营状况，核发年终奖励和专项奖励，保持公司的薪酬竞争力。</w:t>
      </w:r>
    </w:p>
    <w:p>
      <w:pPr>
        <w:pStyle w:val="BodyText"/>
        <w:spacing w:line="273" w:lineRule="auto" w:before="7"/>
        <w:ind w:right="1126" w:firstLine="420"/>
        <w:jc w:val="both"/>
      </w:pPr>
      <w:r>
        <w:rPr>
          <w:spacing w:val="-2"/>
        </w:rPr>
        <w:t>公司对经营活动中为公司创造成绩显著者、促进公司经营管理，提高经济效益方面成绩突出者或其他</w:t>
      </w:r>
      <w:r>
        <w:rPr>
          <w:w w:val="100"/>
        </w:rPr>
        <w:t> </w:t>
      </w:r>
      <w:r>
        <w:rPr/>
        <w:t>认为应奖励者，进行奖励性晋级。</w:t>
      </w:r>
    </w:p>
    <w:p>
      <w:pPr>
        <w:spacing w:before="6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4"/>
        <w:rPr>
          <w:rFonts w:ascii="宋体" w:hAnsi="宋体" w:cs="宋体" w:eastAsia="宋体" w:hint="default"/>
          <w:sz w:val="15"/>
          <w:szCs w:val="15"/>
        </w:rPr>
      </w:pPr>
    </w:p>
    <w:p>
      <w:pPr>
        <w:pStyle w:val="BodyText"/>
        <w:spacing w:line="256" w:lineRule="auto"/>
        <w:ind w:right="1128" w:firstLine="420"/>
        <w:jc w:val="both"/>
      </w:pPr>
      <w:r>
        <w:rPr>
          <w:spacing w:val="-2"/>
        </w:rPr>
        <w:t>报告期内，职工薪酬总额（计入成本部分）为</w:t>
      </w:r>
      <w:r>
        <w:rPr>
          <w:rFonts w:ascii="Times New Roman" w:hAnsi="Times New Roman" w:cs="Times New Roman" w:eastAsia="Times New Roman" w:hint="default"/>
          <w:spacing w:val="-2"/>
        </w:rPr>
        <w:t>14,441.72</w:t>
      </w:r>
      <w:r>
        <w:rPr>
          <w:spacing w:val="-2"/>
        </w:rPr>
        <w:t>万元，占公司营业成本的</w:t>
      </w:r>
      <w:r>
        <w:rPr>
          <w:rFonts w:ascii="Times New Roman" w:hAnsi="Times New Roman" w:cs="Times New Roman" w:eastAsia="Times New Roman" w:hint="default"/>
          <w:spacing w:val="-2"/>
        </w:rPr>
        <w:t>21.74%</w:t>
      </w:r>
      <w:r>
        <w:rPr>
          <w:spacing w:val="-2"/>
        </w:rPr>
        <w:t>。截至</w:t>
      </w:r>
      <w:r>
        <w:rPr>
          <w:rFonts w:ascii="Times New Roman" w:hAnsi="Times New Roman" w:cs="Times New Roman" w:eastAsia="Times New Roman" w:hint="default"/>
          <w:spacing w:val="-2"/>
        </w:rPr>
        <w:t>2018</w:t>
      </w:r>
      <w:r>
        <w:rPr>
          <w:spacing w:val="-2"/>
        </w:rPr>
        <w:t>年</w:t>
      </w:r>
      <w:r>
        <w:rPr>
          <w:w w:val="10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日，公司核心技术人员为</w:t>
      </w:r>
      <w:r>
        <w:rPr>
          <w:rFonts w:ascii="Times New Roman" w:hAnsi="Times New Roman" w:cs="Times New Roman" w:eastAsia="Times New Roman" w:hint="default"/>
        </w:rPr>
        <w:t>8</w:t>
      </w:r>
      <w:r>
        <w:rPr/>
        <w:t>人，占全体员工人数的</w:t>
      </w:r>
      <w:r>
        <w:rPr>
          <w:rFonts w:ascii="Times New Roman" w:hAnsi="Times New Roman" w:cs="Times New Roman" w:eastAsia="Times New Roman" w:hint="default"/>
        </w:rPr>
        <w:t>0.28%</w:t>
      </w:r>
      <w:r>
        <w:rPr/>
        <w:t>，上年同期核心技术人员为</w:t>
      </w:r>
      <w:r>
        <w:rPr>
          <w:rFonts w:ascii="Times New Roman" w:hAnsi="Times New Roman" w:cs="Times New Roman" w:eastAsia="Times New Roman" w:hint="default"/>
        </w:rPr>
        <w:t>8</w:t>
      </w:r>
      <w:r>
        <w:rPr/>
        <w:t>人，占上期全</w:t>
      </w:r>
      <w:r>
        <w:rPr>
          <w:spacing w:val="-40"/>
        </w:rPr>
        <w:t> </w:t>
      </w:r>
      <w:r>
        <w:rPr>
          <w:spacing w:val="-40"/>
        </w:rPr>
      </w:r>
      <w:r>
        <w:rPr/>
        <w:t>体员工人数的</w:t>
      </w:r>
      <w:r>
        <w:rPr>
          <w:rFonts w:ascii="Times New Roman" w:hAnsi="Times New Roman" w:cs="Times New Roman" w:eastAsia="Times New Roman" w:hint="default"/>
        </w:rPr>
        <w:t>0.34%</w:t>
      </w:r>
      <w:r>
        <w:rPr/>
        <w:t>；截至报告期末，核心技术人员薪酬占全体员工薪酬的</w:t>
      </w:r>
      <w:r>
        <w:rPr>
          <w:rFonts w:ascii="Times New Roman" w:hAnsi="Times New Roman" w:cs="Times New Roman" w:eastAsia="Times New Roman" w:hint="default"/>
        </w:rPr>
        <w:t>0.76%</w:t>
      </w:r>
      <w:r>
        <w:rPr/>
        <w:t>。</w:t>
      </w:r>
    </w:p>
    <w:p>
      <w:pPr>
        <w:spacing w:line="240" w:lineRule="auto" w:before="5"/>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t>根据公司人力资源发展战略，确保员工的素质和技能水平能够满足公司业务发展需要。通过全面的培</w:t>
      </w:r>
      <w:r>
        <w:rPr>
          <w:w w:val="100"/>
        </w:rPr>
        <w:t> </w:t>
      </w:r>
      <w:r>
        <w:rPr>
          <w:spacing w:val="-2"/>
        </w:rPr>
        <w:t>训需求调查，公司培训按照分层分类开展。从层级上分为：公司级培训、部门级培训、项目级培训；从类</w:t>
      </w:r>
      <w:r>
        <w:rPr>
          <w:spacing w:val="-42"/>
        </w:rPr>
        <w:t> </w:t>
      </w:r>
      <w:r>
        <w:rPr>
          <w:spacing w:val="-42"/>
        </w:rPr>
      </w:r>
      <w:r>
        <w:rPr>
          <w:spacing w:val="-5"/>
        </w:rPr>
        <w:t>别上分为：管理类培训、技术类培训、新员工培训、职业资格培训。各类培训中涵盖管理能力、领导能力、 </w:t>
      </w:r>
      <w:r>
        <w:rPr>
          <w:spacing w:val="-5"/>
        </w:rPr>
      </w:r>
      <w:r>
        <w:rPr/>
        <w:t>知识、技能、通用能力等。进一步加大骨干员工培养、储备干部培养及经理人领导力的培养等。一方面，</w:t>
      </w:r>
      <w:r>
        <w:rPr>
          <w:w w:val="100"/>
        </w:rPr>
        <w:t> </w:t>
      </w:r>
      <w:r>
        <w:rPr>
          <w:spacing w:val="-2"/>
        </w:rPr>
        <w:t>有效的提高了公司员工的整体素质；另一方面，为企业的经营管理水平，为公司人力资源发展储备了有效</w:t>
      </w:r>
      <w:r>
        <w:rPr>
          <w:spacing w:val="-44"/>
        </w:rPr>
        <w:t> </w:t>
      </w:r>
      <w:r>
        <w:rPr>
          <w:spacing w:val="-44"/>
        </w:rPr>
      </w:r>
      <w:r>
        <w:rPr/>
        <w:t>的人力资源。</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59"/>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板股票上市规则》、《深圳证券交易所创业板上市公司规范运作指引》和其他有关法律、法规、规范性文</w:t>
      </w:r>
      <w:r>
        <w:rPr>
          <w:spacing w:val="-42"/>
        </w:rPr>
        <w:t> </w:t>
      </w:r>
      <w:r>
        <w:rPr>
          <w:spacing w:val="-42"/>
        </w:rPr>
      </w:r>
      <w:r>
        <w:rPr>
          <w:spacing w:val="-2"/>
        </w:rPr>
        <w:t>件的要求，不断地完善公司治理结构，建立健全公司内部控制制度，以进一步提高公司治理水平。公司治</w:t>
      </w:r>
      <w:r>
        <w:rPr>
          <w:spacing w:val="-50"/>
        </w:rPr>
        <w:t> </w:t>
      </w:r>
      <w:r>
        <w:rPr>
          <w:spacing w:val="-50"/>
        </w:rPr>
      </w:r>
      <w:r>
        <w:rPr/>
        <w:t>理的实际状况符合中国证监会、深圳证券交易所等发布的有关法规、规范性文件的要求。</w:t>
      </w:r>
    </w:p>
    <w:p>
      <w:pPr>
        <w:pStyle w:val="BodyText"/>
        <w:spacing w:line="273" w:lineRule="auto" w:before="7"/>
        <w:ind w:left="573" w:right="1133"/>
        <w:jc w:val="left"/>
      </w:pPr>
      <w:r>
        <w:rPr/>
        <w:t>（一）关于股东与股东大会</w:t>
      </w:r>
      <w:r>
        <w:rPr>
          <w:w w:val="100"/>
        </w:rPr>
        <w:t> </w:t>
      </w:r>
      <w:r>
        <w:rPr>
          <w:spacing w:val="-2"/>
        </w:rPr>
        <w:t>公司严格按照《公司法》、《上市公司股东大会规则》、《公司章程》、《股东大会议事规则》和深</w:t>
      </w:r>
    </w:p>
    <w:p>
      <w:pPr>
        <w:pStyle w:val="BodyText"/>
        <w:spacing w:line="273" w:lineRule="auto" w:before="8"/>
        <w:ind w:right="1105"/>
        <w:jc w:val="both"/>
      </w:pPr>
      <w:r>
        <w:rPr>
          <w:spacing w:val="-2"/>
        </w:rPr>
        <w:t>圳证券交易所创业板的相关规定和要求，规范股东大会的召集、召开和表决程序。报告期内，公司召开了</w:t>
      </w:r>
      <w:r>
        <w:rPr>
          <w:spacing w:val="-47"/>
        </w:rPr>
        <w:t> </w:t>
      </w:r>
      <w:r>
        <w:rPr>
          <w:spacing w:val="-47"/>
        </w:rPr>
      </w:r>
      <w:r>
        <w:rPr>
          <w:spacing w:val="-2"/>
        </w:rPr>
        <w:t>一次年度股东大会和两次临时股东大会，均由公司董事会召集召开，董事长主持，部分董监高列席会议，</w:t>
      </w:r>
      <w:r>
        <w:rPr>
          <w:spacing w:val="-21"/>
        </w:rPr>
        <w:t> </w:t>
      </w:r>
      <w:r>
        <w:rPr>
          <w:spacing w:val="-21"/>
        </w:rPr>
      </w:r>
      <w:r>
        <w:rPr>
          <w:spacing w:val="-2"/>
        </w:rPr>
        <w:t>邀请见证律师进行现场见证并出具了法律意见书。在股东大会上能够保证各位股东有充分的发言权，确保</w:t>
      </w:r>
      <w:r>
        <w:rPr>
          <w:spacing w:val="-42"/>
        </w:rPr>
        <w:t> </w:t>
      </w:r>
      <w:r>
        <w:rPr>
          <w:spacing w:val="-42"/>
        </w:rPr>
      </w:r>
      <w:r>
        <w:rPr/>
        <w:t>全体股东特别是中小股东享有平等地位，充分行使自己的权力。</w:t>
      </w:r>
    </w:p>
    <w:p>
      <w:pPr>
        <w:pStyle w:val="BodyText"/>
        <w:spacing w:line="266" w:lineRule="auto" w:before="7"/>
        <w:ind w:right="1128" w:firstLine="420"/>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5"/>
        </w:rPr>
        <w:t> </w:t>
      </w:r>
      <w:r>
        <w:rPr>
          <w:spacing w:val="-5"/>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pStyle w:val="BodyText"/>
        <w:spacing w:line="273" w:lineRule="auto" w:before="14"/>
        <w:ind w:left="573" w:right="0"/>
        <w:jc w:val="left"/>
      </w:pPr>
      <w:r>
        <w:rPr/>
        <w:t>（二）关于公司与控股股东及实际控制人</w:t>
      </w:r>
      <w:r>
        <w:rPr>
          <w:w w:val="100"/>
        </w:rPr>
        <w:t> </w:t>
      </w:r>
      <w:r>
        <w:rPr>
          <w:spacing w:val="-9"/>
          <w:w w:val="100"/>
        </w:rPr>
        <w:t>公司控股股东、实际控制人严格按照《上市公司治理准则》、《深圳证券交易所创业板股票上市规则》、</w:t>
      </w:r>
    </w:p>
    <w:p>
      <w:pPr>
        <w:pStyle w:val="BodyText"/>
        <w:spacing w:line="273" w:lineRule="auto" w:before="7"/>
        <w:ind w:right="1126"/>
        <w:jc w:val="both"/>
      </w:pPr>
      <w:r>
        <w:rPr>
          <w:spacing w:val="-2"/>
        </w:rPr>
        <w:t>《深圳证券交易所创业板上市公司规范运作指引》、《公司章程》等规定和要求，规范自己的行为，不存</w:t>
      </w:r>
      <w:r>
        <w:rPr>
          <w:spacing w:val="-42"/>
        </w:rPr>
        <w:t> </w:t>
      </w:r>
      <w:r>
        <w:rPr>
          <w:spacing w:val="-42"/>
        </w:rPr>
      </w:r>
      <w:r>
        <w:rPr>
          <w:spacing w:val="2"/>
        </w:rPr>
        <w:t>在超越股东大会直接或间接干预公司的决策和经营活动的行为，不存在损害公司及其他股东的利益的情</w:t>
      </w:r>
      <w:r>
        <w:rPr>
          <w:spacing w:val="-30"/>
        </w:rPr>
        <w:t> </w:t>
      </w:r>
      <w:r>
        <w:rPr>
          <w:spacing w:val="-30"/>
        </w:rPr>
      </w:r>
      <w:r>
        <w:rPr>
          <w:spacing w:val="-2"/>
        </w:rPr>
        <w:t>形，不存在控股股东和实际控制人占用公司资金的现象，公司亦无为控股股东和实际控制人提供担保的情</w:t>
      </w:r>
      <w:r>
        <w:rPr>
          <w:spacing w:val="-43"/>
        </w:rPr>
        <w:t> </w:t>
      </w:r>
      <w:r>
        <w:rPr>
          <w:spacing w:val="-43"/>
        </w:rPr>
      </w:r>
      <w:r>
        <w:rPr>
          <w:spacing w:val="-2"/>
        </w:rPr>
        <w:t>形。公司拥有独立完整的业务和自主经营能力，在业务、人员、资产、机构、财务上独立于控股股东，公</w:t>
      </w:r>
      <w:r>
        <w:rPr>
          <w:spacing w:val="-48"/>
        </w:rPr>
        <w:t> </w:t>
      </w:r>
      <w:r>
        <w:rPr>
          <w:spacing w:val="-48"/>
        </w:rPr>
      </w:r>
      <w:r>
        <w:rPr/>
        <w:t>司董事会、监事会和内部机构独立运作。</w:t>
      </w:r>
    </w:p>
    <w:p>
      <w:pPr>
        <w:pStyle w:val="BodyText"/>
        <w:spacing w:line="273" w:lineRule="auto" w:before="7"/>
        <w:ind w:left="573" w:right="1133"/>
        <w:jc w:val="left"/>
      </w:pPr>
      <w:r>
        <w:rPr/>
        <w:t>（三）关于董事和董事会</w:t>
      </w:r>
      <w:r>
        <w:rPr>
          <w:w w:val="100"/>
        </w:rPr>
        <w:t>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名，董事会的人数及人员构成符合有关法律、法规和《公司章</w:t>
      </w:r>
    </w:p>
    <w:p>
      <w:pPr>
        <w:pStyle w:val="BodyText"/>
        <w:spacing w:line="264" w:lineRule="exact"/>
        <w:ind w:right="0"/>
        <w:jc w:val="both"/>
      </w:pPr>
      <w:r>
        <w:rPr>
          <w:spacing w:val="-5"/>
        </w:rPr>
        <w:t>程》的要求，各位董事具有履行职务所必需的知识、技能和素质，能够严格按照公司《董事会议事规则》、</w:t>
      </w:r>
    </w:p>
    <w:p>
      <w:pPr>
        <w:pStyle w:val="BodyText"/>
        <w:spacing w:line="273" w:lineRule="auto" w:before="37"/>
        <w:ind w:right="1128"/>
        <w:jc w:val="both"/>
      </w:pPr>
      <w:r>
        <w:rPr>
          <w:spacing w:val="-2"/>
        </w:rPr>
        <w:t>《独立董事任职及议事规则》等有关规定开展工作，出席董事会、董事会专门委员会和股东大会，勤勉尽</w:t>
      </w:r>
      <w:r>
        <w:rPr>
          <w:spacing w:val="-47"/>
        </w:rPr>
        <w:t> </w:t>
      </w:r>
      <w:r>
        <w:rPr>
          <w:spacing w:val="-47"/>
        </w:rPr>
      </w:r>
      <w:r>
        <w:rPr/>
        <w:t>责地履行职责和义务，同时积极参加相关培训，熟悉相关法律法规。</w:t>
      </w:r>
    </w:p>
    <w:p>
      <w:pPr>
        <w:pStyle w:val="BodyText"/>
        <w:spacing w:line="273" w:lineRule="auto" w:before="7"/>
        <w:ind w:right="0" w:firstLine="420"/>
        <w:jc w:val="left"/>
      </w:pPr>
      <w:r>
        <w:rPr>
          <w:spacing w:val="-5"/>
        </w:rPr>
        <w:t>公司董事会下设有战略与投资委员会、薪酬与考核委员会、审计委员会和提名委员会四个专门委员会。</w:t>
      </w:r>
      <w:r>
        <w:rPr>
          <w:w w:val="100"/>
        </w:rPr>
        <w:t> </w:t>
      </w:r>
      <w:r>
        <w:rPr>
          <w:spacing w:val="-2"/>
        </w:rPr>
        <w:t>专门委员会成员全部由董事组成，除战略与投资委员会由董事长担任主任委员以外，其他专门委员会均由</w:t>
      </w:r>
      <w:r>
        <w:rPr>
          <w:spacing w:val="-44"/>
        </w:rPr>
        <w:t> </w:t>
      </w:r>
      <w:r>
        <w:rPr>
          <w:spacing w:val="-44"/>
        </w:rPr>
      </w:r>
      <w:r>
        <w:rPr>
          <w:spacing w:val="-2"/>
        </w:rPr>
        <w:t>独立董事担任主任委员；各委员会为董事会的决策提供了科学和专业的意见和参考。各委员会依据《公司</w:t>
      </w:r>
      <w:r>
        <w:rPr>
          <w:spacing w:val="-42"/>
        </w:rPr>
        <w:t> </w:t>
      </w:r>
      <w:r>
        <w:rPr>
          <w:spacing w:val="-42"/>
        </w:rPr>
      </w:r>
      <w:r>
        <w:rPr/>
        <w:t>章程》和各委员会工作细则的规定履行职权，不受公司任何其他部门和个人的干预。</w:t>
      </w:r>
    </w:p>
    <w:p>
      <w:pPr>
        <w:pStyle w:val="BodyText"/>
        <w:spacing w:line="273" w:lineRule="auto" w:before="7"/>
        <w:ind w:left="573" w:right="1133"/>
        <w:jc w:val="left"/>
      </w:pPr>
      <w:r>
        <w:rPr/>
        <w:t>（四）关于监事和监事会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名，监事会的人数和构成符合法律、法规的要求。各位监</w:t>
      </w:r>
    </w:p>
    <w:p>
      <w:pPr>
        <w:pStyle w:val="BodyText"/>
        <w:spacing w:line="273" w:lineRule="auto"/>
        <w:ind w:right="1104"/>
        <w:jc w:val="both"/>
      </w:pPr>
      <w:r>
        <w:rPr>
          <w:spacing w:val="-2"/>
        </w:rPr>
        <w:t>事能够严格按照《公司章程》、《监事会议事规则》等要求，认真履行自己的职责，对公司重大事项、财</w:t>
      </w:r>
      <w:r>
        <w:rPr>
          <w:spacing w:val="-50"/>
        </w:rPr>
        <w:t> </w:t>
      </w:r>
      <w:r>
        <w:rPr>
          <w:spacing w:val="-50"/>
        </w:rPr>
      </w:r>
      <w:r>
        <w:rPr>
          <w:spacing w:val="-2"/>
        </w:rPr>
        <w:t>务状况以及公司董事、高级管理人员履行职责的合法合规性进行有效监督，维护公司及股东的合法权益。</w:t>
      </w:r>
      <w:r>
        <w:rPr>
          <w:spacing w:val="-21"/>
        </w:rPr>
        <w:t> </w:t>
      </w:r>
      <w:r>
        <w:rPr>
          <w:spacing w:val="-21"/>
        </w:rPr>
      </w:r>
      <w:r>
        <w:rPr>
          <w:spacing w:val="-2"/>
        </w:rPr>
        <w:t>公司也采取了有效措施保障监事的知情权，保证各位监事能够独立有效地行使对董事、高级管理人员监督</w:t>
      </w:r>
      <w:r>
        <w:rPr>
          <w:spacing w:val="-43"/>
        </w:rPr>
        <w:t> </w:t>
      </w:r>
      <w:r>
        <w:rPr>
          <w:spacing w:val="-43"/>
        </w:rPr>
      </w:r>
      <w:r>
        <w:rPr/>
        <w:t>权。</w:t>
      </w:r>
    </w:p>
    <w:p>
      <w:pPr>
        <w:pStyle w:val="BodyText"/>
        <w:spacing w:line="273" w:lineRule="auto" w:before="7"/>
        <w:ind w:left="573" w:right="1133"/>
        <w:jc w:val="left"/>
      </w:pPr>
      <w:r>
        <w:rPr/>
        <w:t>（五）关于绩效评价与激励约束机制</w:t>
      </w:r>
      <w:r>
        <w:rPr>
          <w:w w:val="100"/>
        </w:rPr>
        <w:t> </w:t>
      </w:r>
      <w:r>
        <w:rPr>
          <w:spacing w:val="-2"/>
        </w:rPr>
        <w:t>公司不断完善公正、透明的高级管理人员的绩效考核标准和激励约束机制。公司高级管理人员的聘任</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公开、透明，符合有关法律、法规的规定。</w:t>
      </w:r>
    </w:p>
    <w:p>
      <w:pPr>
        <w:pStyle w:val="BodyText"/>
        <w:spacing w:line="273" w:lineRule="auto" w:before="37"/>
        <w:ind w:left="573" w:right="1133"/>
        <w:jc w:val="left"/>
      </w:pPr>
      <w:r>
        <w:rPr/>
        <w:t>（六）关于信息披露与透明度</w:t>
      </w:r>
      <w:r>
        <w:rPr>
          <w:w w:val="100"/>
        </w:rPr>
        <w:t> </w:t>
      </w:r>
      <w:r>
        <w:rPr>
          <w:spacing w:val="-2"/>
        </w:rPr>
        <w:t>公司高度重视信息披露与投资者关系管理工作，严格按照《上市公司信息披露管理办法》、深圳证券</w:t>
      </w:r>
    </w:p>
    <w:p>
      <w:pPr>
        <w:pStyle w:val="BodyText"/>
        <w:spacing w:line="273" w:lineRule="auto" w:before="7"/>
        <w:ind w:right="1133"/>
        <w:jc w:val="left"/>
      </w:pPr>
      <w:r>
        <w:rPr>
          <w:spacing w:val="-2"/>
        </w:rPr>
        <w:t>交易所创业板上市公司的信息披露格式指引等规定的要求，真实、准确、及时、完整地披露有关信息。公</w:t>
      </w:r>
      <w:r>
        <w:rPr>
          <w:spacing w:val="-43"/>
        </w:rPr>
        <w:t> </w:t>
      </w:r>
      <w:r>
        <w:rPr>
          <w:spacing w:val="-43"/>
        </w:rPr>
      </w:r>
      <w:r>
        <w:rPr>
          <w:spacing w:val="2"/>
        </w:rPr>
        <w:t>司指定《证券时报》、《上海证券报》、《中国证券报》、《证券日报》为信息披露报纸，巨潮资讯网</w:t>
      </w:r>
    </w:p>
    <w:p>
      <w:pPr>
        <w:pStyle w:val="BodyText"/>
        <w:spacing w:line="264" w:lineRule="auto" w:before="7"/>
        <w:ind w:right="0"/>
        <w:jc w:val="left"/>
      </w:pPr>
      <w:r>
        <w:rPr>
          <w:spacing w:val="-4"/>
        </w:rPr>
        <w:t>（</w:t>
      </w:r>
      <w:hyperlink r:id="rId11">
        <w:r>
          <w:rPr>
            <w:rFonts w:ascii="Times New Roman" w:hAnsi="Times New Roman" w:cs="Times New Roman" w:eastAsia="Times New Roman" w:hint="default"/>
            <w:spacing w:val="-4"/>
          </w:rPr>
          <w:t>www.cninfo.com.cn</w:t>
        </w:r>
      </w:hyperlink>
      <w:r>
        <w:rPr>
          <w:spacing w:val="-4"/>
        </w:rPr>
        <w:t>）为信息披露网站。公司上市以来，不断尝试更加有效、充分地投资者关系管理工作，</w:t>
      </w:r>
      <w:r>
        <w:rPr>
          <w:spacing w:val="-50"/>
        </w:rPr>
        <w:t> </w:t>
      </w:r>
      <w:r>
        <w:rPr>
          <w:spacing w:val="-50"/>
        </w:rPr>
      </w:r>
      <w:r>
        <w:rPr>
          <w:spacing w:val="-2"/>
        </w:rPr>
        <w:t>通过现场参观、投资者电话、电子邮箱、公司网站和投资者关系互动平台等多种方式与投资者进行沟通交</w:t>
      </w:r>
      <w:r>
        <w:rPr>
          <w:spacing w:val="-44"/>
        </w:rPr>
        <w:t> </w:t>
      </w:r>
      <w:r>
        <w:rPr>
          <w:spacing w:val="-44"/>
        </w:rPr>
      </w:r>
      <w:r>
        <w:rPr/>
        <w:t>流，提高公司的透明度和诚信度，保障全体股东的合法权益。</w:t>
      </w:r>
    </w:p>
    <w:p>
      <w:pPr>
        <w:pStyle w:val="BodyText"/>
        <w:spacing w:line="273" w:lineRule="auto" w:before="16"/>
        <w:ind w:left="573" w:right="1133"/>
        <w:jc w:val="left"/>
      </w:pPr>
      <w:r>
        <w:rPr/>
        <w:t>（七）关于相关利益者</w:t>
      </w:r>
      <w:r>
        <w:rPr>
          <w:w w:val="100"/>
        </w:rPr>
        <w:t> </w:t>
      </w:r>
      <w:r>
        <w:rPr>
          <w:spacing w:val="-2"/>
        </w:rPr>
        <w:t>公司充分尊重和维护相关利益者的合法权益，重视公司的社会责任，积极与相关利益者合作，加强与</w:t>
      </w:r>
    </w:p>
    <w:p>
      <w:pPr>
        <w:pStyle w:val="BodyText"/>
        <w:spacing w:line="240" w:lineRule="auto" w:before="7"/>
        <w:ind w:right="1133"/>
        <w:jc w:val="left"/>
      </w:pPr>
      <w:r>
        <w:rPr/>
        <w:t>各方的沟通和交流，实现股东、员工、社会等各方利益的协调平衡，共同推动公司持续、健康的发展。</w:t>
      </w:r>
    </w:p>
    <w:p>
      <w:pPr>
        <w:spacing w:before="98"/>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0" w:firstLine="420"/>
        <w:jc w:val="left"/>
      </w:pPr>
      <w:r>
        <w:rPr>
          <w:spacing w:val="-5"/>
        </w:rPr>
        <w:t>公司成立以来，严格按照《公司法》、《证券法》等有关法律、法规和《公司章程》的要求规范运作，</w:t>
      </w:r>
      <w:r>
        <w:rPr>
          <w:w w:val="100"/>
        </w:rPr>
        <w:t> </w:t>
      </w:r>
      <w:r>
        <w:rPr>
          <w:spacing w:val="-2"/>
        </w:rPr>
        <w:t>在业务、人员、资产、机构和财务等方面与公司股东完全分开，具有独立完整的资产、业务体系及面向市</w:t>
      </w:r>
      <w:r>
        <w:rPr>
          <w:spacing w:val="-43"/>
        </w:rPr>
        <w:t> </w:t>
      </w:r>
      <w:r>
        <w:rPr>
          <w:spacing w:val="-43"/>
        </w:rPr>
      </w:r>
      <w:r>
        <w:rPr/>
        <w:t>场自主经营的能力。</w:t>
      </w:r>
    </w:p>
    <w:p>
      <w:pPr>
        <w:pStyle w:val="BodyText"/>
        <w:spacing w:line="273" w:lineRule="auto" w:before="7"/>
        <w:ind w:left="573" w:right="1133"/>
        <w:jc w:val="left"/>
      </w:pPr>
      <w:r>
        <w:rPr/>
        <w:t>（一）业务独立</w:t>
      </w:r>
      <w:r>
        <w:rPr>
          <w:spacing w:val="-103"/>
        </w:rPr>
        <w:t> </w:t>
      </w:r>
      <w:r>
        <w:rPr>
          <w:spacing w:val="-103"/>
        </w:rPr>
      </w:r>
      <w:r>
        <w:rPr>
          <w:spacing w:val="-2"/>
        </w:rPr>
        <w:t>公司的业务独立于控股股东、实际控制人及其控制的其他企业，与控股股东、实际控制人及其控制的</w:t>
      </w:r>
    </w:p>
    <w:p>
      <w:pPr>
        <w:pStyle w:val="BodyText"/>
        <w:spacing w:line="240" w:lineRule="auto" w:before="7"/>
        <w:ind w:right="1133"/>
        <w:jc w:val="left"/>
      </w:pPr>
      <w:r>
        <w:rPr/>
        <w:t>其他企业间不存在同业竞争或者显失公平的关联交易。</w:t>
      </w:r>
    </w:p>
    <w:p>
      <w:pPr>
        <w:pStyle w:val="BodyText"/>
        <w:spacing w:line="273" w:lineRule="auto" w:before="37"/>
        <w:ind w:left="573" w:right="1133"/>
        <w:jc w:val="left"/>
      </w:pPr>
      <w:r>
        <w:rPr/>
        <w:t>（二）人员独立</w:t>
      </w:r>
      <w:r>
        <w:rPr>
          <w:spacing w:val="-103"/>
        </w:rPr>
        <w:t> </w:t>
      </w:r>
      <w:r>
        <w:rPr>
          <w:spacing w:val="-103"/>
        </w:rPr>
      </w:r>
      <w:r>
        <w:rPr>
          <w:spacing w:val="-2"/>
        </w:rPr>
        <w:t>公司根据《公司法》、《公司章程》的有关规定选举产生公司董事、监事，由董事会聘任高级管理人</w:t>
      </w:r>
    </w:p>
    <w:p>
      <w:pPr>
        <w:pStyle w:val="BodyText"/>
        <w:spacing w:line="273" w:lineRule="auto" w:before="7"/>
        <w:ind w:right="1104"/>
        <w:jc w:val="both"/>
      </w:pPr>
      <w:r>
        <w:rPr>
          <w:spacing w:val="-2"/>
        </w:rPr>
        <w:t>员，公司劳动、人事及工资管理与股东单位完全独立；公司的总经理、副总经理、财务负责人和董事会秘</w:t>
      </w:r>
      <w:r>
        <w:rPr>
          <w:spacing w:val="-43"/>
        </w:rPr>
        <w:t> </w:t>
      </w:r>
      <w:r>
        <w:rPr>
          <w:spacing w:val="-43"/>
        </w:rPr>
      </w:r>
      <w:r>
        <w:rPr>
          <w:spacing w:val="-2"/>
        </w:rPr>
        <w:t>书等高级管理人员不在控股股东、实际控制人及其控制的其他企业中担任除董事、监事以外的其他职务，</w:t>
      </w:r>
      <w:r>
        <w:rPr>
          <w:spacing w:val="-21"/>
        </w:rPr>
        <w:t> </w:t>
      </w:r>
      <w:r>
        <w:rPr>
          <w:spacing w:val="-21"/>
        </w:rPr>
      </w:r>
      <w:r>
        <w:rPr>
          <w:spacing w:val="-2"/>
        </w:rPr>
        <w:t>不在控股股东、实际控制人及其控制的其他企业领薪；公司的财务人员不在控股股东、实际控制人及其控</w:t>
      </w:r>
      <w:r>
        <w:rPr>
          <w:spacing w:val="-44"/>
        </w:rPr>
        <w:t> </w:t>
      </w:r>
      <w:r>
        <w:rPr>
          <w:spacing w:val="-44"/>
        </w:rPr>
      </w:r>
      <w:r>
        <w:rPr/>
        <w:t>制的其他企业中兼职。</w:t>
      </w:r>
    </w:p>
    <w:p>
      <w:pPr>
        <w:pStyle w:val="BodyText"/>
        <w:spacing w:line="273" w:lineRule="auto" w:before="7"/>
        <w:ind w:left="573" w:right="0"/>
        <w:jc w:val="left"/>
      </w:pPr>
      <w:r>
        <w:rPr/>
        <w:t>（三）资产完整</w:t>
      </w:r>
      <w:r>
        <w:rPr>
          <w:spacing w:val="-103"/>
        </w:rPr>
        <w:t> </w:t>
      </w:r>
      <w:r>
        <w:rPr>
          <w:spacing w:val="-103"/>
        </w:rPr>
      </w:r>
      <w:r>
        <w:rPr>
          <w:spacing w:val="-5"/>
        </w:rPr>
        <w:t>公司已具备与经营有关的业务体系及主要相关资产，公司资产与股东资产严格分开，并完全独立运营，</w:t>
      </w:r>
    </w:p>
    <w:p>
      <w:pPr>
        <w:pStyle w:val="BodyText"/>
        <w:spacing w:line="273" w:lineRule="auto" w:before="7"/>
        <w:ind w:right="1133"/>
        <w:jc w:val="left"/>
      </w:pPr>
      <w:r>
        <w:rPr>
          <w:spacing w:val="-2"/>
        </w:rPr>
        <w:t>公司目前业务和生产经营必需资产的权属完全由公司独立享有，不存在与股东单位共用的情况。公司对所</w:t>
      </w:r>
      <w:r>
        <w:rPr>
          <w:spacing w:val="-43"/>
        </w:rPr>
        <w:t> </w:t>
      </w:r>
      <w:r>
        <w:rPr>
          <w:spacing w:val="-43"/>
        </w:rPr>
      </w:r>
      <w:r>
        <w:rPr/>
        <w:t>有资产拥有完全的控制和支配权。</w:t>
      </w:r>
    </w:p>
    <w:p>
      <w:pPr>
        <w:pStyle w:val="BodyText"/>
        <w:spacing w:line="273" w:lineRule="auto" w:before="7"/>
        <w:ind w:left="573" w:right="1133"/>
        <w:jc w:val="left"/>
      </w:pPr>
      <w:r>
        <w:rPr/>
        <w:t>（四）机构独立</w:t>
      </w:r>
      <w:r>
        <w:rPr>
          <w:spacing w:val="-103"/>
        </w:rPr>
        <w:t> </w:t>
      </w:r>
      <w:r>
        <w:rPr>
          <w:spacing w:val="-103"/>
        </w:rPr>
      </w:r>
      <w:r>
        <w:rPr>
          <w:spacing w:val="-2"/>
        </w:rPr>
        <w:t>公司已建立健全了内部经营管理机构，独立行使经营管理职权，与控股股东和实际控制人及其控制的</w:t>
      </w:r>
    </w:p>
    <w:p>
      <w:pPr>
        <w:pStyle w:val="BodyText"/>
        <w:spacing w:line="240" w:lineRule="auto" w:before="7"/>
        <w:ind w:right="1133"/>
        <w:jc w:val="left"/>
      </w:pPr>
      <w:r>
        <w:rPr/>
        <w:t>其他企业间不存在机构混同的情形。</w:t>
      </w:r>
    </w:p>
    <w:p>
      <w:pPr>
        <w:pStyle w:val="BodyText"/>
        <w:spacing w:line="273" w:lineRule="auto" w:before="34"/>
        <w:ind w:left="573" w:right="1133"/>
        <w:jc w:val="left"/>
      </w:pPr>
      <w:r>
        <w:rPr/>
        <w:t>（五）财务独立</w:t>
      </w:r>
      <w:r>
        <w:rPr>
          <w:spacing w:val="-103"/>
        </w:rPr>
        <w:t> </w:t>
      </w:r>
      <w:r>
        <w:rPr>
          <w:spacing w:val="-103"/>
        </w:rPr>
      </w:r>
      <w:r>
        <w:rPr>
          <w:spacing w:val="-2"/>
        </w:rPr>
        <w:t>公司已建立独立的财务核算体系，能够独立作出财务决策，具有规范的财务会计制度和对分公司、子</w:t>
      </w:r>
    </w:p>
    <w:p>
      <w:pPr>
        <w:pStyle w:val="BodyText"/>
        <w:spacing w:line="240" w:lineRule="auto" w:before="7"/>
        <w:ind w:right="1133"/>
        <w:jc w:val="left"/>
      </w:pPr>
      <w:r>
        <w:rPr/>
        <w:t>公司的财务管理制度；公司未与控股股东、实际控制人及其控制的其他企业共用银行账户。</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before="44"/>
        <w:ind w:left="0" w:right="1148" w:firstLine="0"/>
        <w:jc w:val="right"/>
        <w:rPr>
          <w:rFonts w:ascii="宋体" w:hAnsi="宋体" w:cs="宋体" w:eastAsia="宋体" w:hint="default"/>
          <w:sz w:val="18"/>
          <w:szCs w:val="18"/>
        </w:rPr>
      </w:pPr>
      <w:r>
        <w:rPr/>
        <w:pict>
          <v:shape style="position:absolute;margin-left:56.424pt;margin-top:-20.888311pt;width:479.15pt;height:392.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2018-26</w:t>
                        </w:r>
                        <w:r>
                          <w:rPr>
                            <w:rFonts w:ascii="宋体" w:hAnsi="宋体" w:cs="宋体" w:eastAsia="宋体" w:hint="default"/>
                            <w:sz w:val="18"/>
                            <w:szCs w:val="18"/>
                          </w:rPr>
                          <w:t>）</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2018-71</w:t>
                        </w:r>
                        <w:r>
                          <w:rPr>
                            <w:rFonts w:ascii="宋体" w:hAnsi="宋体" w:cs="宋体" w:eastAsia="宋体" w:hint="default"/>
                            <w:sz w:val="18"/>
                            <w:szCs w:val="18"/>
                          </w:rPr>
                          <w:t>）</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刊登在中国证券报 </w:t>
                        </w:r>
                        <w:r>
                          <w:rPr>
                            <w:rFonts w:ascii="宋体" w:hAnsi="宋体" w:cs="宋体" w:eastAsia="宋体" w:hint="default"/>
                            <w:spacing w:val="-10"/>
                            <w:sz w:val="18"/>
                            <w:szCs w:val="18"/>
                          </w:rPr>
                          <w:t>上海证券报、证券时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报、证券日报和巨潮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资讯网上的《科大国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2018-91</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4"/>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8"/>
        <w:ind w:right="1133" w:firstLine="420"/>
        <w:jc w:val="left"/>
      </w:pPr>
      <w:r>
        <w:rPr>
          <w:spacing w:val="-2"/>
        </w:rPr>
        <w:t>公司独立董事严格按照《公司法》、《深圳证券交易所创业板股票上市规则》、《深圳证券交易所创</w:t>
      </w:r>
      <w:r>
        <w:rPr>
          <w:w w:val="100"/>
        </w:rPr>
        <w:t> </w:t>
      </w:r>
      <w:r>
        <w:rPr>
          <w:spacing w:val="-2"/>
        </w:rPr>
        <w:t>业板上市公司规范运作指引》、《关于加强社会公众股股东权益保护的若干规定》及其他有关法律法规和</w:t>
      </w:r>
    </w:p>
    <w:p>
      <w:pPr>
        <w:pStyle w:val="BodyText"/>
        <w:spacing w:line="268" w:lineRule="auto" w:before="7"/>
        <w:ind w:right="0"/>
        <w:jc w:val="left"/>
      </w:pPr>
      <w:r>
        <w:rPr>
          <w:spacing w:val="-4"/>
        </w:rPr>
        <w:t>《公司章程》、《独立董事任职及议事制度》等公司相关的规定和要求，在</w:t>
      </w:r>
      <w:r>
        <w:rPr>
          <w:rFonts w:ascii="Times New Roman" w:hAnsi="Times New Roman" w:cs="Times New Roman" w:eastAsia="Times New Roman" w:hint="default"/>
          <w:spacing w:val="-4"/>
        </w:rPr>
        <w:t>2018</w:t>
      </w:r>
      <w:r>
        <w:rPr>
          <w:spacing w:val="-4"/>
        </w:rPr>
        <w:t>年度工作中，诚实、勤勉、</w:t>
      </w:r>
      <w:r>
        <w:rPr>
          <w:spacing w:val="-47"/>
        </w:rPr>
        <w:t> </w:t>
      </w:r>
      <w:r>
        <w:rPr>
          <w:spacing w:val="-47"/>
        </w:rPr>
      </w:r>
      <w:r>
        <w:rPr>
          <w:spacing w:val="-2"/>
        </w:rPr>
        <w:t>独立地履行职责，积极出席相关会议，对公司控股股东及其它关联方占用公司资金、利润分配方案、关联</w:t>
      </w:r>
      <w:r>
        <w:rPr>
          <w:spacing w:val="-47"/>
        </w:rPr>
        <w:t> </w:t>
      </w:r>
      <w:r>
        <w:rPr>
          <w:spacing w:val="-47"/>
        </w:rPr>
      </w:r>
      <w:r>
        <w:rPr>
          <w:spacing w:val="-2"/>
        </w:rPr>
        <w:t>交易、募集资金的存放和使用、内部控制、会计政策变更、对外投资、重大资产重组等事项进行独立、客</w:t>
      </w:r>
      <w:r>
        <w:rPr>
          <w:spacing w:val="-42"/>
        </w:rPr>
        <w:t> </w:t>
      </w:r>
      <w:r>
        <w:rPr>
          <w:spacing w:val="-42"/>
        </w:rPr>
      </w:r>
      <w:r>
        <w:rPr>
          <w:spacing w:val="-2"/>
        </w:rPr>
        <w:t>观、公正的判断，发表了独立意见。利用各自的专业优势，科学决策、审慎判断，提出了多宝贵和专业性</w:t>
      </w:r>
      <w:r>
        <w:rPr>
          <w:spacing w:val="-42"/>
        </w:rPr>
        <w:t> </w:t>
      </w:r>
      <w:r>
        <w:rPr>
          <w:spacing w:val="-42"/>
        </w:rPr>
      </w:r>
      <w:r>
        <w:rPr>
          <w:spacing w:val="-2"/>
        </w:rPr>
        <w:t>的建议，在进一步规范公司的管理运营、提高决策的科学性、完善公司监督机制、维护全体股东合法权益</w:t>
      </w:r>
      <w:r>
        <w:rPr>
          <w:spacing w:val="-50"/>
        </w:rPr>
        <w:t> </w:t>
      </w:r>
      <w:r>
        <w:rPr>
          <w:spacing w:val="-50"/>
        </w:rPr>
      </w:r>
      <w:r>
        <w:rPr/>
        <w:t>等方面发挥了积极作用。</w:t>
      </w:r>
    </w:p>
    <w:p>
      <w:pPr>
        <w:pStyle w:val="BodyText"/>
        <w:spacing w:line="240" w:lineRule="auto" w:before="12"/>
        <w:ind w:left="573" w:right="1133"/>
        <w:jc w:val="left"/>
      </w:pPr>
      <w:r>
        <w:rPr/>
        <w:t>报告期内，公司各独立董事对董事会各项议案及公司其他事项没有提出异议。</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33" w:firstLine="420"/>
        <w:jc w:val="left"/>
      </w:pPr>
      <w:r>
        <w:rPr>
          <w:spacing w:val="-2"/>
        </w:rPr>
        <w:t>公司董事会下设审计委员会、提名委员会、薪酬与考核委员会、战略与投资委员会。各专门委员会在</w:t>
      </w:r>
      <w:r>
        <w:rPr>
          <w:w w:val="100"/>
        </w:rPr>
        <w:t> </w:t>
      </w:r>
      <w:r>
        <w:rPr/>
        <w:t>报告期内的履职情况如下：</w:t>
      </w:r>
    </w:p>
    <w:p>
      <w:pPr>
        <w:pStyle w:val="BodyText"/>
        <w:spacing w:line="256" w:lineRule="auto" w:before="7"/>
        <w:ind w:left="573" w:right="1133"/>
        <w:jc w:val="left"/>
      </w:pPr>
      <w:r>
        <w:rPr>
          <w:rFonts w:ascii="Times New Roman" w:hAnsi="Times New Roman" w:cs="Times New Roman" w:eastAsia="Times New Roman" w:hint="default"/>
        </w:rPr>
        <w:t>1</w:t>
      </w:r>
      <w:r>
        <w:rPr/>
        <w:t>、审计委员会的履职情况</w:t>
      </w:r>
      <w:r>
        <w:rPr>
          <w:w w:val="100"/>
        </w:rPr>
        <w:t> </w:t>
      </w:r>
      <w:r>
        <w:rPr>
          <w:spacing w:val="-2"/>
        </w:rPr>
        <w:t>报告期内，公司审计委员会严格按照相关法律法规及《公司章程》、《审计委员会工作细则》的有关</w:t>
      </w:r>
    </w:p>
    <w:p>
      <w:pPr>
        <w:pStyle w:val="BodyText"/>
        <w:spacing w:line="273" w:lineRule="auto" w:before="22"/>
        <w:ind w:right="1022"/>
        <w:jc w:val="both"/>
      </w:pPr>
      <w:r>
        <w:rPr>
          <w:spacing w:val="-2"/>
        </w:rPr>
        <w:t>规定积极开展相关工作，认真履行职责。审计委员会每季度召开会议审议内部审计部提交的工作计划、工</w:t>
      </w:r>
      <w:r>
        <w:rPr>
          <w:spacing w:val="-43"/>
        </w:rPr>
        <w:t> </w:t>
      </w:r>
      <w:r>
        <w:rPr>
          <w:spacing w:val="-43"/>
        </w:rPr>
      </w:r>
      <w:r>
        <w:rPr>
          <w:spacing w:val="-2"/>
        </w:rPr>
        <w:t>作报告，定期向董事会报告审计工作进展和执行的相关情况。报告期内，审计委员会对公司的定期财务报</w:t>
      </w:r>
      <w:r>
        <w:rPr>
          <w:spacing w:val="-43"/>
        </w:rPr>
        <w:t> </w:t>
      </w:r>
      <w:r>
        <w:rPr>
          <w:spacing w:val="-43"/>
        </w:rPr>
      </w:r>
      <w:r>
        <w:rPr>
          <w:spacing w:val="-5"/>
        </w:rPr>
        <w:t>告、内部控制建设、募集资金存放与使用等事项进行了审议，并审议了审计部提交的工作总结及工作计划。</w:t>
      </w:r>
    </w:p>
    <w:p>
      <w:pPr>
        <w:pStyle w:val="BodyText"/>
        <w:spacing w:line="256" w:lineRule="auto" w:before="7"/>
        <w:ind w:left="573" w:right="1133"/>
        <w:jc w:val="left"/>
      </w:pPr>
      <w:r>
        <w:rPr>
          <w:rFonts w:ascii="Times New Roman" w:hAnsi="Times New Roman" w:cs="Times New Roman" w:eastAsia="Times New Roman" w:hint="default"/>
        </w:rPr>
        <w:t>2</w:t>
      </w:r>
      <w:r>
        <w:rPr/>
        <w:t>、提名委员会履职情况</w:t>
      </w:r>
      <w:r>
        <w:rPr>
          <w:w w:val="100"/>
        </w:rPr>
        <w:t> </w:t>
      </w:r>
      <w:r>
        <w:rPr>
          <w:spacing w:val="-2"/>
        </w:rPr>
        <w:t>报告期内，公司提名委员会严格按照相关法律法规及《公司章程》、《提名委员会工作细则》等相关</w:t>
      </w:r>
    </w:p>
    <w:p>
      <w:pPr>
        <w:pStyle w:val="BodyText"/>
        <w:spacing w:line="264" w:lineRule="auto" w:before="22"/>
        <w:ind w:left="573" w:right="1133" w:hanging="420"/>
        <w:jc w:val="left"/>
      </w:pPr>
      <w:r>
        <w:rPr/>
        <w:t>制度的要求积极开展相关工作，认真履行职责，关注公司董事、高级管理人员履职及储备情况。</w:t>
      </w:r>
      <w:r>
        <w:rPr>
          <w:w w:val="100"/>
        </w:rPr>
        <w:t> </w:t>
      </w:r>
      <w:r>
        <w:rPr>
          <w:rFonts w:ascii="Times New Roman" w:hAnsi="Times New Roman" w:cs="Times New Roman" w:eastAsia="Times New Roman" w:hint="default"/>
        </w:rPr>
        <w:t>3</w:t>
      </w:r>
      <w:r>
        <w:rPr/>
        <w:t>、薪酬与考核委员会履职情况</w:t>
      </w:r>
      <w:r>
        <w:rPr>
          <w:w w:val="100"/>
        </w:rPr>
        <w:t> </w:t>
      </w:r>
      <w:r>
        <w:rPr>
          <w:spacing w:val="-2"/>
        </w:rPr>
        <w:t>公司薪酬与考核委员会严格按照相关法律法规及《公司章程》、《薪酬与考核委员会工作细则》的有</w:t>
      </w:r>
    </w:p>
    <w:p>
      <w:pPr>
        <w:pStyle w:val="BodyText"/>
        <w:spacing w:line="273" w:lineRule="auto" w:before="16"/>
        <w:ind w:right="0"/>
        <w:jc w:val="left"/>
      </w:pPr>
      <w:r>
        <w:rPr>
          <w:spacing w:val="-5"/>
        </w:rPr>
        <w:t>关规定积极开展相关工作，认真履行职责。报告期内，对公司董事和高级管理人员的薪酬情况进行了审核， </w:t>
      </w:r>
      <w:r>
        <w:rPr/>
        <w:t>认为其薪酬标准和年度薪酬总额的确定符合公司相关制度的规定。</w:t>
      </w:r>
    </w:p>
    <w:p>
      <w:pPr>
        <w:pStyle w:val="BodyText"/>
        <w:spacing w:line="256" w:lineRule="auto" w:before="7"/>
        <w:ind w:left="573" w:right="1133"/>
        <w:jc w:val="left"/>
      </w:pPr>
      <w:r>
        <w:rPr>
          <w:rFonts w:ascii="Times New Roman" w:hAnsi="Times New Roman" w:cs="Times New Roman" w:eastAsia="Times New Roman" w:hint="default"/>
        </w:rPr>
        <w:t>4</w:t>
      </w:r>
      <w:r>
        <w:rPr/>
        <w:t>、战略与投资委员会履职情况</w:t>
      </w:r>
      <w:r>
        <w:rPr>
          <w:w w:val="100"/>
        </w:rPr>
        <w:t> </w:t>
      </w:r>
      <w:r>
        <w:rPr>
          <w:spacing w:val="-2"/>
        </w:rPr>
        <w:t>公司战略与投资委员会严格按照相关法律法规及《公司章程》、《战略及投资委员会工作细则》的有</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04"/>
        <w:jc w:val="both"/>
      </w:pPr>
      <w:r>
        <w:rPr>
          <w:spacing w:val="-2"/>
        </w:rPr>
        <w:t>关规定积极开展相关工作，认真履行职责。报告期内，战略与投资委员会认真讨论了公司重大资产重组、</w:t>
      </w:r>
      <w:r>
        <w:rPr>
          <w:spacing w:val="-21"/>
        </w:rPr>
        <w:t> </w:t>
      </w:r>
      <w:r>
        <w:rPr>
          <w:spacing w:val="-21"/>
        </w:rPr>
      </w:r>
      <w:r>
        <w:rPr>
          <w:spacing w:val="-2"/>
        </w:rPr>
        <w:t>对外投资等事项，并积极关注行业和市场发展动态，结合公司实际状况，为公司的高质量、高速度发展出</w:t>
      </w:r>
      <w:r>
        <w:rPr>
          <w:spacing w:val="-47"/>
        </w:rPr>
        <w:t> </w:t>
      </w:r>
      <w:r>
        <w:rPr>
          <w:spacing w:val="-47"/>
        </w:rPr>
      </w:r>
      <w:r>
        <w:rPr/>
        <w:t>谋划策，促进了公司决策的科学性、高效性。</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04" w:firstLine="420"/>
        <w:jc w:val="both"/>
      </w:pPr>
      <w:r>
        <w:rPr>
          <w:spacing w:val="-2"/>
        </w:rPr>
        <w:t>公司高级管理人员均由董事会聘任，董事会薪酬与考核委员会负责对公司高级管理人员的工作能力、</w:t>
      </w:r>
      <w:r>
        <w:rPr>
          <w:w w:val="100"/>
        </w:rPr>
        <w:t> </w:t>
      </w:r>
      <w:r>
        <w:rPr>
          <w:spacing w:val="-2"/>
        </w:rPr>
        <w:t>履职情况、责任目标完成情况等进行考评。报告期内，公司董事会依据公司年度经营业绩状况、高级管理</w:t>
      </w:r>
      <w:r>
        <w:rPr>
          <w:spacing w:val="-50"/>
        </w:rPr>
        <w:t> </w:t>
      </w:r>
      <w:r>
        <w:rPr>
          <w:spacing w:val="-50"/>
        </w:rPr>
      </w:r>
      <w:r>
        <w:rPr>
          <w:spacing w:val="-2"/>
        </w:rPr>
        <w:t>人员的职责和年度工作目标完成情况对各高级管理人员的工作业绩进行考评，根据考评结果拟定高级管理</w:t>
      </w:r>
      <w:r>
        <w:rPr>
          <w:spacing w:val="-43"/>
        </w:rPr>
        <w:t> </w:t>
      </w:r>
      <w:r>
        <w:rPr>
          <w:spacing w:val="-43"/>
        </w:rPr>
      </w:r>
      <w:r>
        <w:rPr/>
        <w:t>人员的薪酬绩效初步方案并依规提请董事会审议。</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4"/>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年度内部控制自我评价报告》详见巨潮资讯网（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效。②重要缺陷：单独缺陷或连同其他缺 陷组合，其严重程度低于重大缺陷，但仍 有可能导致公司偏离控制目标。③一般缺</w:t>
            </w:r>
          </w:p>
        </w:tc>
        <w:tc>
          <w:tcPr>
            <w:tcW w:w="3054"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①重大缺陷：严重违反国家法律、法规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或规范性文件的规定；决策程序不科学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导致重大决策失误；涉及公司生产经营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的重要业务制度缺失或系统性失效；内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部控制评价的结果特别是重大缺陷未 </w:t>
            </w:r>
            <w:r>
              <w:rPr>
                <w:rFonts w:ascii="宋体" w:hAnsi="宋体" w:cs="宋体" w:eastAsia="宋体" w:hint="default"/>
                <w:spacing w:val="-4"/>
                <w:sz w:val="18"/>
                <w:szCs w:val="18"/>
              </w:rPr>
              <w:t>得到整改。②重要缺陷：单独缺陷或连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同其他缺陷组合，其严重程度低于重大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缺陷，但仍有可能导致公司偏离控制目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标。③一般缺陷：不构成重大缺陷或重</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4" w:type="dxa"/>
            <w:vMerge/>
            <w:tcBorders>
              <w:left w:val="single" w:sz="4" w:space="0" w:color="000000"/>
              <w:right w:val="single" w:sz="4" w:space="0" w:color="000000"/>
            </w:tcBorders>
          </w:tcPr>
          <w:p>
            <w:pPr/>
          </w:p>
        </w:tc>
      </w:tr>
      <w:tr>
        <w:trPr>
          <w:trHeight w:val="12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4"/>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陷：不构成重大缺陷或重要缺陷的其他内 部控制缺陷。</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要缺陷的其他内部控制缺陷。</w:t>
            </w:r>
          </w:p>
        </w:tc>
      </w:tr>
      <w:tr>
        <w:trPr>
          <w:trHeight w:val="164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重大缺陷：缺陷影响大于或等于合并财务 报表营业收入的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；重要缺陷：缺陷影响</w:t>
            </w:r>
            <w:r>
              <w:rPr>
                <w:rFonts w:ascii="宋体" w:hAnsi="宋体" w:cs="宋体" w:eastAsia="宋体" w:hint="default"/>
                <w:sz w:val="18"/>
                <w:szCs w:val="18"/>
              </w:rPr>
              <w:t> 大于或等于合并财务报表营业收入的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并小于</w:t>
            </w:r>
            <w:r>
              <w:rPr>
                <w:rFonts w:ascii="宋体" w:hAnsi="宋体" w:cs="宋体" w:eastAsia="宋体" w:hint="default"/>
                <w:spacing w:val="-35"/>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；一般缺陷：缺陷影响小于合并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我们认为，科大国创根据财政部颁发的《企业内部控制基本规范》及相关规范建立的与财务报告相关的内部控制于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日在所有重大方面是有效的。</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[2019]1378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汪玉寿、齐利平、黄冰冰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before="49"/>
        <w:ind w:left="0" w:right="252" w:firstLine="0"/>
        <w:jc w:val="right"/>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spacing w:before="0"/>
        <w:ind w:left="0" w:right="0" w:firstLine="0"/>
        <w:jc w:val="righ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1"/>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12"/>
        <w:rPr>
          <w:rFonts w:ascii="宋体" w:hAnsi="宋体" w:cs="宋体" w:eastAsia="宋体" w:hint="default"/>
          <w:b/>
          <w:bCs/>
          <w:sz w:val="28"/>
          <w:szCs w:val="28"/>
        </w:rPr>
      </w:pPr>
      <w:r>
        <w:rPr/>
        <w:br w:type="column"/>
      </w:r>
      <w:r>
        <w:rPr>
          <w:rFonts w:ascii="宋体"/>
          <w:b/>
          <w:sz w:val="28"/>
        </w:rPr>
      </w:r>
    </w:p>
    <w:p>
      <w:pPr>
        <w:pStyle w:val="BodyText"/>
        <w:spacing w:line="240" w:lineRule="auto"/>
        <w:ind w:left="2166" w:right="0"/>
        <w:jc w:val="left"/>
      </w:pPr>
      <w:r>
        <w:rPr/>
        <w:t>会审字</w:t>
      </w:r>
      <w:r>
        <w:rPr>
          <w:rFonts w:ascii="Times New Roman" w:hAnsi="Times New Roman" w:cs="Times New Roman" w:eastAsia="Times New Roman" w:hint="default"/>
        </w:rPr>
        <w:t>[2019]1378</w:t>
      </w:r>
      <w:r>
        <w:rPr/>
        <w:t>号</w:t>
      </w:r>
    </w:p>
    <w:p>
      <w:pPr>
        <w:spacing w:after="0" w:line="240" w:lineRule="auto"/>
        <w:jc w:val="left"/>
        <w:sectPr>
          <w:type w:val="continuous"/>
          <w:pgSz w:w="11910" w:h="16840"/>
          <w:pgMar w:top="1060" w:bottom="1160" w:left="980" w:right="0"/>
          <w:cols w:num="2" w:equalWidth="0">
            <w:col w:w="5768" w:space="40"/>
            <w:col w:w="51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76" w:lineRule="auto" w:before="36"/>
        <w:ind w:left="575" w:right="6473" w:hanging="423"/>
        <w:jc w:val="left"/>
        <w:rPr>
          <w:rFonts w:ascii="宋体" w:hAnsi="宋体" w:cs="宋体" w:eastAsia="宋体" w:hint="default"/>
          <w:sz w:val="21"/>
          <w:szCs w:val="21"/>
        </w:rPr>
      </w:pPr>
      <w:r>
        <w:rPr>
          <w:rFonts w:ascii="宋体" w:hAnsi="宋体" w:cs="宋体" w:eastAsia="宋体" w:hint="default"/>
          <w:spacing w:val="-2"/>
          <w:sz w:val="21"/>
          <w:szCs w:val="21"/>
        </w:rPr>
        <w:t>科大国创软件股份有限公司全体股东：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56" w:lineRule="auto" w:before="37"/>
        <w:ind w:right="1125" w:firstLine="420"/>
        <w:jc w:val="both"/>
      </w:pPr>
      <w:r>
        <w:rPr>
          <w:spacing w:val="-2"/>
        </w:rPr>
        <w:t>我们审计了科大国创软件股份有限公司（以下简称</w:t>
      </w:r>
      <w:r>
        <w:rPr>
          <w:rFonts w:ascii="Times New Roman" w:hAnsi="Times New Roman" w:cs="Times New Roman" w:eastAsia="Times New Roman" w:hint="default"/>
          <w:spacing w:val="-2"/>
        </w:rPr>
        <w:t>“</w:t>
      </w:r>
      <w:r>
        <w:rPr>
          <w:spacing w:val="-2"/>
        </w:rPr>
        <w:t>科大国创</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w w:val="100"/>
        </w:rPr>
        <w:t> </w:t>
      </w:r>
      <w:r>
        <w:rPr>
          <w:spacing w:val="-2"/>
        </w:rPr>
        <w:t>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年度的合并及母公司利润表、合并及母公司现金流量表、合并及母公司所有</w:t>
      </w:r>
      <w:r>
        <w:rPr>
          <w:spacing w:val="-43"/>
        </w:rPr>
        <w:t> </w:t>
      </w:r>
      <w:r>
        <w:rPr>
          <w:spacing w:val="-43"/>
        </w:rPr>
      </w:r>
      <w:r>
        <w:rPr/>
        <w:t>者权益变动表以及相关财务报表附注。</w:t>
      </w:r>
    </w:p>
    <w:p>
      <w:pPr>
        <w:pStyle w:val="BodyText"/>
        <w:spacing w:line="256" w:lineRule="auto" w:before="142"/>
        <w:ind w:right="1126" w:firstLine="420"/>
        <w:jc w:val="both"/>
      </w:pPr>
      <w:r>
        <w:rPr>
          <w:spacing w:val="-2"/>
        </w:rPr>
        <w:t>我们认为，后附的财务报表在所有重大方面按照企业会计准则的规定编制，公允反映了科大国创</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spacing w:line="432" w:lineRule="exact" w:before="24"/>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271" w:lineRule="exact"/>
        <w:ind w:right="0"/>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部分进一步阐述了我们在这些准则下的责任。按照中国注册会计师职业道德守则，我们独立于科</w:t>
      </w:r>
    </w:p>
    <w:p>
      <w:pPr>
        <w:pStyle w:val="BodyText"/>
        <w:spacing w:line="273" w:lineRule="auto" w:before="21"/>
        <w:ind w:right="1126"/>
        <w:jc w:val="both"/>
      </w:pPr>
      <w:r>
        <w:rPr>
          <w:spacing w:val="-2"/>
        </w:rPr>
        <w:t>大国创，并履行了职业道德方面的其他责任。我们相信，我们获取的审计证据是充分、适当的，为发表审</w:t>
      </w:r>
      <w:r>
        <w:rPr>
          <w:spacing w:val="-43"/>
        </w:rPr>
        <w:t> </w:t>
      </w:r>
      <w:r>
        <w:rPr>
          <w:spacing w:val="-43"/>
        </w:rPr>
      </w:r>
      <w:r>
        <w:rPr/>
        <w:t>计意见提供了基础。</w:t>
      </w:r>
    </w:p>
    <w:p>
      <w:pPr>
        <w:pStyle w:val="BodyText"/>
        <w:spacing w:line="432" w:lineRule="exact" w:before="27"/>
        <w:ind w:left="573" w:right="1133"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55" w:lineRule="exact"/>
        <w:ind w:right="0"/>
        <w:jc w:val="both"/>
      </w:pPr>
      <w:r>
        <w:rPr/>
        <w:t>财务报表整体进行审计并形成审计意见为背景，我们不对这些事项单独发表意见。</w:t>
      </w:r>
    </w:p>
    <w:p>
      <w:pPr>
        <w:pStyle w:val="BodyText"/>
        <w:spacing w:line="240" w:lineRule="auto" w:before="37"/>
        <w:ind w:left="573" w:right="1133"/>
        <w:jc w:val="left"/>
      </w:pPr>
      <w:r>
        <w:rPr/>
        <w:t>（一）行业软件收入确认</w:t>
      </w:r>
    </w:p>
    <w:p>
      <w:pPr>
        <w:pStyle w:val="BodyText"/>
        <w:spacing w:line="256" w:lineRule="auto" w:before="37"/>
        <w:ind w:left="573" w:right="1133"/>
        <w:jc w:val="left"/>
      </w:pPr>
      <w:r>
        <w:rPr>
          <w:rFonts w:ascii="Times New Roman" w:hAnsi="Times New Roman" w:cs="Times New Roman" w:eastAsia="Times New Roman" w:hint="default"/>
        </w:rPr>
        <w:t>1.</w:t>
      </w:r>
      <w:r>
        <w:rPr/>
        <w:t>事项描述</w:t>
      </w:r>
      <w:r>
        <w:rPr>
          <w:spacing w:val="-103"/>
        </w:rPr>
        <w:t> </w:t>
      </w:r>
      <w:r>
        <w:rPr>
          <w:spacing w:val="-103"/>
        </w:rPr>
      </w:r>
      <w:r>
        <w:rPr>
          <w:spacing w:val="-2"/>
        </w:rPr>
        <w:t>参见财务报表附注三、</w:t>
      </w:r>
      <w:r>
        <w:rPr>
          <w:rFonts w:ascii="Times New Roman" w:hAnsi="Times New Roman" w:cs="Times New Roman" w:eastAsia="Times New Roman" w:hint="default"/>
          <w:spacing w:val="-2"/>
        </w:rPr>
        <w:t>23</w:t>
      </w:r>
      <w:r>
        <w:rPr>
          <w:spacing w:val="-2"/>
        </w:rPr>
        <w:t>收入确认原则和计量方法及附注五、</w:t>
      </w:r>
      <w:r>
        <w:rPr>
          <w:rFonts w:ascii="Times New Roman" w:hAnsi="Times New Roman" w:cs="Times New Roman" w:eastAsia="Times New Roman" w:hint="default"/>
          <w:spacing w:val="-2"/>
        </w:rPr>
        <w:t>32</w:t>
      </w:r>
      <w:r>
        <w:rPr>
          <w:spacing w:val="-2"/>
        </w:rPr>
        <w:t>营业收入及营业成本，</w:t>
      </w:r>
      <w:r>
        <w:rPr>
          <w:rFonts w:ascii="Times New Roman" w:hAnsi="Times New Roman" w:cs="Times New Roman" w:eastAsia="Times New Roman" w:hint="default"/>
          <w:spacing w:val="-2"/>
        </w:rPr>
        <w:t>2018</w:t>
      </w:r>
      <w:r>
        <w:rPr>
          <w:spacing w:val="-2"/>
        </w:rPr>
        <w:t>年度，科</w:t>
      </w:r>
    </w:p>
    <w:p>
      <w:pPr>
        <w:pStyle w:val="BodyText"/>
        <w:spacing w:line="264" w:lineRule="auto" w:before="5"/>
        <w:ind w:right="1126"/>
        <w:jc w:val="both"/>
      </w:pPr>
      <w:r>
        <w:rPr>
          <w:spacing w:val="-2"/>
        </w:rPr>
        <w:t>大国创确认的主营业务收入中，行业软件收入为人民币</w:t>
      </w:r>
      <w:r>
        <w:rPr>
          <w:rFonts w:ascii="Times New Roman" w:hAnsi="Times New Roman" w:cs="Times New Roman" w:eastAsia="Times New Roman" w:hint="default"/>
          <w:spacing w:val="-2"/>
        </w:rPr>
        <w:t>45,219.34</w:t>
      </w:r>
      <w:r>
        <w:rPr>
          <w:spacing w:val="-2"/>
        </w:rPr>
        <w:t>万元。由于收入是科大国创的关键业绩指</w:t>
      </w:r>
      <w:r>
        <w:rPr>
          <w:spacing w:val="-33"/>
        </w:rPr>
        <w:t> </w:t>
      </w:r>
      <w:r>
        <w:rPr>
          <w:spacing w:val="-33"/>
        </w:rPr>
      </w:r>
      <w:r>
        <w:rPr>
          <w:spacing w:val="-2"/>
        </w:rPr>
        <w:t>标之一，从而存在管理层为了达到特定目标或期望而操纵收入确认时点的固有风险，我们将科大国创行业</w:t>
      </w:r>
      <w:r>
        <w:rPr>
          <w:spacing w:val="-44"/>
        </w:rPr>
        <w:t> </w:t>
      </w:r>
      <w:r>
        <w:rPr>
          <w:spacing w:val="-44"/>
        </w:rPr>
      </w:r>
      <w:r>
        <w:rPr/>
        <w:t>软件收入确认识别为关键审计事项。</w:t>
      </w:r>
    </w:p>
    <w:p>
      <w:pPr>
        <w:pStyle w:val="BodyText"/>
        <w:spacing w:line="240" w:lineRule="auto" w:before="16"/>
        <w:ind w:left="573" w:right="1133"/>
        <w:jc w:val="left"/>
      </w:pPr>
      <w:r>
        <w:rPr>
          <w:rFonts w:ascii="Times New Roman" w:hAnsi="Times New Roman" w:cs="Times New Roman" w:eastAsia="Times New Roman" w:hint="default"/>
        </w:rPr>
        <w:t>2.</w:t>
      </w:r>
      <w:r>
        <w:rPr/>
        <w:t>审计应对</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我们针对行业软件收入确认执行的审计程序主要包括：</w:t>
      </w:r>
    </w:p>
    <w:p>
      <w:pPr>
        <w:pStyle w:val="BodyText"/>
        <w:spacing w:line="240" w:lineRule="auto" w:before="37"/>
        <w:ind w:left="573" w:right="1133"/>
        <w:jc w:val="left"/>
      </w:pPr>
      <w:r>
        <w:rPr/>
        <w:t>（</w:t>
      </w:r>
      <w:r>
        <w:rPr>
          <w:rFonts w:ascii="Times New Roman" w:hAnsi="Times New Roman" w:cs="Times New Roman" w:eastAsia="Times New Roman" w:hint="default"/>
        </w:rPr>
        <w:t>1</w:t>
      </w:r>
      <w:r>
        <w:rPr/>
        <w:t>）了解和评价管理层与行业软件收入确认相关的关键内部控制的设计和运行有效性；</w:t>
      </w:r>
    </w:p>
    <w:p>
      <w:pPr>
        <w:pStyle w:val="BodyText"/>
        <w:spacing w:line="256" w:lineRule="auto" w:before="21"/>
        <w:ind w:right="1133" w:firstLine="420"/>
        <w:jc w:val="left"/>
      </w:pPr>
      <w:r>
        <w:rPr/>
        <w:t>（</w:t>
      </w:r>
      <w:r>
        <w:rPr>
          <w:rFonts w:ascii="Times New Roman" w:hAnsi="Times New Roman" w:cs="Times New Roman" w:eastAsia="Times New Roman" w:hint="default"/>
        </w:rPr>
        <w:t>2</w:t>
      </w:r>
      <w:r>
        <w:rPr/>
        <w:t>）选取样本检查销售合同，识别与收入确认相关的合同条款与条件，评价科大国创的行业软件收</w:t>
      </w:r>
      <w:r>
        <w:rPr>
          <w:w w:val="100"/>
        </w:rPr>
        <w:t> </w:t>
      </w:r>
      <w:r>
        <w:rPr/>
        <w:t>入确认方法是否符合企业会计准则的要求；</w:t>
      </w:r>
    </w:p>
    <w:p>
      <w:pPr>
        <w:pStyle w:val="BodyText"/>
        <w:spacing w:line="256" w:lineRule="auto" w:before="22"/>
        <w:ind w:right="1133" w:firstLine="420"/>
        <w:jc w:val="left"/>
      </w:pPr>
      <w:r>
        <w:rPr/>
        <w:t>（</w:t>
      </w:r>
      <w:r>
        <w:rPr>
          <w:rFonts w:ascii="Times New Roman" w:hAnsi="Times New Roman" w:cs="Times New Roman" w:eastAsia="Times New Roman" w:hint="default"/>
        </w:rPr>
        <w:t>3</w:t>
      </w:r>
      <w:r>
        <w:rPr/>
        <w:t>）对本年记录的行业软件收入交易选取样本，核对发票、销售合同、经客户确认的进度单以及内</w:t>
      </w:r>
      <w:r>
        <w:rPr>
          <w:w w:val="100"/>
        </w:rPr>
        <w:t> </w:t>
      </w:r>
      <w:r>
        <w:rPr/>
        <w:t>部进度资料，评价相关行业软件收入确认的真实性和准确性；</w:t>
      </w:r>
    </w:p>
    <w:p>
      <w:pPr>
        <w:pStyle w:val="BodyText"/>
        <w:spacing w:line="256" w:lineRule="auto" w:before="22"/>
        <w:ind w:right="1133" w:firstLine="420"/>
        <w:jc w:val="left"/>
      </w:pPr>
      <w:r>
        <w:rPr/>
        <w:t>（</w:t>
      </w:r>
      <w:r>
        <w:rPr>
          <w:rFonts w:ascii="Times New Roman" w:hAnsi="Times New Roman" w:cs="Times New Roman" w:eastAsia="Times New Roman" w:hint="default"/>
        </w:rPr>
        <w:t>4</w:t>
      </w:r>
      <w:r>
        <w:rPr/>
        <w:t>）结合应收账款函证，向客户函证项目进度及回款情况，评价相关行业软件收入确认的真实性和</w:t>
      </w:r>
      <w:r>
        <w:rPr>
          <w:w w:val="100"/>
        </w:rPr>
        <w:t> </w:t>
      </w:r>
      <w:r>
        <w:rPr/>
        <w:t>准确性；</w:t>
      </w:r>
    </w:p>
    <w:p>
      <w:pPr>
        <w:pStyle w:val="BodyText"/>
        <w:spacing w:line="256" w:lineRule="auto" w:before="22"/>
        <w:ind w:right="1133" w:firstLine="420"/>
        <w:jc w:val="left"/>
      </w:pPr>
      <w:r>
        <w:rPr/>
        <w:t>（</w:t>
      </w:r>
      <w:r>
        <w:rPr>
          <w:rFonts w:ascii="Times New Roman" w:hAnsi="Times New Roman" w:cs="Times New Roman" w:eastAsia="Times New Roman" w:hint="default"/>
        </w:rPr>
        <w:t>5</w:t>
      </w:r>
      <w:r>
        <w:rPr/>
        <w:t>）对本年记录的行业软件收入中选取重大项目，实施现场走访程序，评价相关行业软件收入确认</w:t>
      </w:r>
      <w:r>
        <w:rPr>
          <w:w w:val="100"/>
        </w:rPr>
        <w:t> </w:t>
      </w:r>
      <w:r>
        <w:rPr/>
        <w:t>的真实性和准确性；</w:t>
      </w:r>
    </w:p>
    <w:p>
      <w:pPr>
        <w:pStyle w:val="BodyText"/>
        <w:spacing w:line="256" w:lineRule="auto" w:before="22"/>
        <w:ind w:right="1133" w:firstLine="420"/>
        <w:jc w:val="left"/>
      </w:pPr>
      <w:r>
        <w:rPr/>
        <w:t>（</w:t>
      </w:r>
      <w:r>
        <w:rPr>
          <w:rFonts w:ascii="Times New Roman" w:hAnsi="Times New Roman" w:cs="Times New Roman" w:eastAsia="Times New Roman" w:hint="default"/>
        </w:rPr>
        <w:t>6</w:t>
      </w:r>
      <w:r>
        <w:rPr/>
        <w:t>）就资产负债表日前后记录的行业软件收入交易，选取样本，核对经客户确认的进度单及其他支</w:t>
      </w:r>
      <w:r>
        <w:rPr>
          <w:w w:val="100"/>
        </w:rPr>
        <w:t> </w:t>
      </w:r>
      <w:r>
        <w:rPr/>
        <w:t>持性文件，以评价行业软件收入是否被记录于恰当的会计期间。</w:t>
      </w:r>
    </w:p>
    <w:p>
      <w:pPr>
        <w:pStyle w:val="BodyText"/>
        <w:spacing w:line="240" w:lineRule="auto" w:before="23"/>
        <w:ind w:left="573" w:right="1133"/>
        <w:jc w:val="left"/>
      </w:pPr>
      <w:r>
        <w:rPr/>
        <w:t>基于以上执行的审计程序，管理层对行业软件收入确认是可接受的。</w:t>
      </w:r>
    </w:p>
    <w:p>
      <w:pPr>
        <w:pStyle w:val="BodyText"/>
        <w:spacing w:line="240" w:lineRule="auto" w:before="37"/>
        <w:ind w:left="573" w:right="1133"/>
        <w:jc w:val="left"/>
      </w:pPr>
      <w:r>
        <w:rPr/>
        <w:t>（二）应收账款坏账准备</w:t>
      </w:r>
    </w:p>
    <w:p>
      <w:pPr>
        <w:pStyle w:val="BodyText"/>
        <w:spacing w:line="240" w:lineRule="auto" w:before="37"/>
        <w:ind w:left="573" w:right="1133"/>
        <w:jc w:val="left"/>
      </w:pPr>
      <w:r>
        <w:rPr>
          <w:rFonts w:ascii="Times New Roman" w:hAnsi="Times New Roman" w:cs="Times New Roman" w:eastAsia="Times New Roman" w:hint="default"/>
        </w:rPr>
        <w:t>1.</w:t>
      </w:r>
      <w:r>
        <w:rPr/>
        <w:t>事项描述</w:t>
      </w:r>
    </w:p>
    <w:p>
      <w:pPr>
        <w:pStyle w:val="BodyText"/>
        <w:spacing w:line="256" w:lineRule="auto" w:before="21"/>
        <w:ind w:right="1126" w:firstLine="420"/>
        <w:jc w:val="both"/>
      </w:pPr>
      <w:r>
        <w:rPr/>
        <w:t>参见财务报表附注三、</w:t>
      </w:r>
      <w:r>
        <w:rPr>
          <w:rFonts w:ascii="Times New Roman" w:hAnsi="Times New Roman" w:cs="Times New Roman" w:eastAsia="Times New Roman" w:hint="default"/>
        </w:rPr>
        <w:t>11</w:t>
      </w:r>
      <w:r>
        <w:rPr/>
        <w:t>应收款项的减值测试方法及减值准备计提方法及附注五、</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应收票据及应收</w:t>
      </w:r>
      <w:r>
        <w:rPr>
          <w:w w:val="100"/>
        </w:rPr>
        <w:t> </w:t>
      </w:r>
      <w:r>
        <w:rPr>
          <w:spacing w:val="-2"/>
        </w:rPr>
        <w:t>账款，截至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日，科大国创合并财务报表中应收账款账面余额为人民币</w:t>
      </w:r>
      <w:r>
        <w:rPr>
          <w:rFonts w:ascii="Times New Roman" w:hAnsi="Times New Roman" w:cs="Times New Roman" w:eastAsia="Times New Roman" w:hint="default"/>
          <w:spacing w:val="-2"/>
        </w:rPr>
        <w:t>46,981.85</w:t>
      </w:r>
      <w:r>
        <w:rPr>
          <w:spacing w:val="-2"/>
        </w:rPr>
        <w:t>万元，坏账准</w:t>
      </w:r>
      <w:r>
        <w:rPr>
          <w:spacing w:val="-27"/>
        </w:rPr>
        <w:t> </w:t>
      </w:r>
      <w:r>
        <w:rPr>
          <w:spacing w:val="-27"/>
        </w:rPr>
      </w:r>
      <w:r>
        <w:rPr/>
        <w:t>备余额为人民币</w:t>
      </w:r>
      <w:r>
        <w:rPr>
          <w:rFonts w:ascii="Times New Roman" w:hAnsi="Times New Roman" w:cs="Times New Roman" w:eastAsia="Times New Roman" w:hint="default"/>
        </w:rPr>
        <w:t>4,298.46</w:t>
      </w:r>
      <w:r>
        <w:rPr/>
        <w:t>万元。由于应收账款可收回金额的计算需要管理层的判断和估计，我们将科大国</w:t>
      </w:r>
      <w:r>
        <w:rPr>
          <w:spacing w:val="-27"/>
        </w:rPr>
        <w:t> </w:t>
      </w:r>
      <w:r>
        <w:rPr>
          <w:spacing w:val="-27"/>
        </w:rPr>
      </w:r>
      <w:r>
        <w:rPr/>
        <w:t>创应收账款坏账准备计提识别为关键审计事项。</w:t>
      </w:r>
    </w:p>
    <w:p>
      <w:pPr>
        <w:pStyle w:val="BodyText"/>
        <w:spacing w:line="256" w:lineRule="auto" w:before="22"/>
        <w:ind w:left="573" w:right="4993"/>
        <w:jc w:val="left"/>
      </w:pPr>
      <w:r>
        <w:rPr>
          <w:rFonts w:ascii="Times New Roman" w:hAnsi="Times New Roman" w:cs="Times New Roman" w:eastAsia="Times New Roman" w:hint="default"/>
        </w:rPr>
        <w:t>2.</w:t>
      </w:r>
      <w:r>
        <w:rPr/>
        <w:t>审计应对</w:t>
      </w:r>
      <w:r>
        <w:rPr>
          <w:spacing w:val="-103"/>
        </w:rPr>
        <w:t> </w:t>
      </w:r>
      <w:r>
        <w:rPr>
          <w:spacing w:val="-103"/>
        </w:rPr>
      </w:r>
      <w:r>
        <w:rPr>
          <w:spacing w:val="-2"/>
        </w:rPr>
        <w:t>我们针对应收账款坏账准备执行的审计程序主要包括：</w:t>
      </w:r>
    </w:p>
    <w:p>
      <w:pPr>
        <w:pStyle w:val="BodyText"/>
        <w:spacing w:line="240" w:lineRule="auto" w:before="22"/>
        <w:ind w:left="573" w:right="1133"/>
        <w:jc w:val="left"/>
      </w:pPr>
      <w:r>
        <w:rPr/>
        <w:t>（</w:t>
      </w:r>
      <w:r>
        <w:rPr>
          <w:rFonts w:ascii="Times New Roman" w:hAnsi="Times New Roman" w:cs="Times New Roman" w:eastAsia="Times New Roman" w:hint="default"/>
        </w:rPr>
        <w:t>1</w:t>
      </w:r>
      <w:r>
        <w:rPr/>
        <w:t>）对科大国创信用政策及应收账款管理相关内部控制的设计和运行有效性进行了评估和测试；</w:t>
      </w:r>
    </w:p>
    <w:p>
      <w:pPr>
        <w:pStyle w:val="BodyText"/>
        <w:spacing w:line="256" w:lineRule="auto" w:before="21"/>
        <w:ind w:right="1133" w:firstLine="420"/>
        <w:jc w:val="left"/>
      </w:pPr>
      <w:r>
        <w:rPr/>
        <w:t>（</w:t>
      </w:r>
      <w:r>
        <w:rPr>
          <w:rFonts w:ascii="Times New Roman" w:hAnsi="Times New Roman" w:cs="Times New Roman" w:eastAsia="Times New Roman" w:hint="default"/>
        </w:rPr>
        <w:t>2</w:t>
      </w:r>
      <w:r>
        <w:rPr/>
        <w:t>）分析科大国创应收账款坏账准备会计估计的合理性，包括确定应收账款组合的依据、金额重大</w:t>
      </w:r>
      <w:r>
        <w:rPr>
          <w:w w:val="100"/>
        </w:rPr>
        <w:t> </w:t>
      </w:r>
      <w:r>
        <w:rPr/>
        <w:t>的判断、单独计提坏账准备的判断等；</w:t>
      </w:r>
    </w:p>
    <w:p>
      <w:pPr>
        <w:pStyle w:val="BodyText"/>
        <w:spacing w:line="256" w:lineRule="auto" w:before="22"/>
        <w:ind w:right="1133" w:firstLine="420"/>
        <w:jc w:val="left"/>
      </w:pPr>
      <w:r>
        <w:rPr/>
        <w:t>（</w:t>
      </w:r>
      <w:r>
        <w:rPr>
          <w:rFonts w:ascii="Times New Roman" w:hAnsi="Times New Roman" w:cs="Times New Roman" w:eastAsia="Times New Roman" w:hint="default"/>
        </w:rPr>
        <w:t>3</w:t>
      </w:r>
      <w:r>
        <w:rPr/>
        <w:t>）分析科大国创计算资产负债表日坏账准备金额与应收账款余额之间的比率，比较前期坏账准备</w:t>
      </w:r>
      <w:r>
        <w:rPr>
          <w:w w:val="100"/>
        </w:rPr>
        <w:t> </w:t>
      </w:r>
      <w:r>
        <w:rPr/>
        <w:t>计提数和实际发生数，分析应收账款坏账准备计提是否充分；</w:t>
      </w:r>
    </w:p>
    <w:p>
      <w:pPr>
        <w:pStyle w:val="BodyText"/>
        <w:spacing w:line="256" w:lineRule="auto" w:before="22"/>
        <w:ind w:right="1133" w:firstLine="420"/>
        <w:jc w:val="left"/>
      </w:pPr>
      <w:r>
        <w:rPr/>
        <w:t>（</w:t>
      </w:r>
      <w:r>
        <w:rPr>
          <w:rFonts w:ascii="Times New Roman" w:hAnsi="Times New Roman" w:cs="Times New Roman" w:eastAsia="Times New Roman" w:hint="default"/>
        </w:rPr>
        <w:t>4</w:t>
      </w:r>
      <w:r>
        <w:rPr/>
        <w:t>）通过分析科大国创应收账款的账龄和客户信誉情况，并执行应收账款函证程序及检查期后回款</w:t>
      </w:r>
      <w:r>
        <w:rPr>
          <w:w w:val="100"/>
        </w:rPr>
        <w:t> </w:t>
      </w:r>
      <w:r>
        <w:rPr/>
        <w:t>情况，评价应收账款坏账准备计提的合理性；</w:t>
      </w:r>
    </w:p>
    <w:p>
      <w:pPr>
        <w:pStyle w:val="BodyText"/>
        <w:spacing w:line="256" w:lineRule="auto" w:before="22"/>
        <w:ind w:right="1133" w:firstLine="420"/>
        <w:jc w:val="left"/>
      </w:pPr>
      <w:r>
        <w:rPr/>
        <w:t>（</w:t>
      </w:r>
      <w:r>
        <w:rPr>
          <w:rFonts w:ascii="Times New Roman" w:hAnsi="Times New Roman" w:cs="Times New Roman" w:eastAsia="Times New Roman" w:hint="default"/>
        </w:rPr>
        <w:t>5</w:t>
      </w:r>
      <w:r>
        <w:rPr/>
        <w:t>）获取科大国创坏账准备计提表，检查计提方法是否按照坏账政策执行，重新计算坏账计提金额</w:t>
      </w:r>
      <w:r>
        <w:rPr>
          <w:w w:val="100"/>
        </w:rPr>
        <w:t> </w:t>
      </w:r>
      <w:r>
        <w:rPr/>
        <w:t>是否准确。</w:t>
      </w:r>
    </w:p>
    <w:p>
      <w:pPr>
        <w:pStyle w:val="BodyText"/>
        <w:spacing w:line="240" w:lineRule="auto" w:before="22"/>
        <w:ind w:left="573" w:right="1133"/>
        <w:jc w:val="left"/>
      </w:pPr>
      <w:r>
        <w:rPr/>
        <w:t>基于以上执行的审计程序，管理层对应收账款坏账准备所做出的判断及估计是可接受的。</w:t>
      </w:r>
    </w:p>
    <w:p>
      <w:pPr>
        <w:pStyle w:val="BodyText"/>
        <w:spacing w:line="432" w:lineRule="exact" w:before="57"/>
        <w:ind w:left="573" w:right="1133"/>
        <w:jc w:val="left"/>
      </w:pPr>
      <w:r>
        <w:rPr>
          <w:rFonts w:ascii="宋体" w:hAnsi="宋体" w:cs="宋体" w:eastAsia="宋体" w:hint="default"/>
          <w:b/>
          <w:bCs/>
        </w:rPr>
        <w:t>四、其他信息</w:t>
      </w:r>
      <w:r>
        <w:rPr>
          <w:rFonts w:ascii="宋体" w:hAnsi="宋体" w:cs="宋体" w:eastAsia="宋体" w:hint="default"/>
          <w:b/>
          <w:bCs/>
          <w:spacing w:val="-104"/>
        </w:rPr>
        <w:t> </w:t>
      </w:r>
      <w:r>
        <w:rPr>
          <w:spacing w:val="-2"/>
        </w:rPr>
        <w:t>科大国创管理层（以下简称管理层）对其他信息负责。其他信息包括科大国创</w:t>
      </w:r>
      <w:r>
        <w:rPr>
          <w:rFonts w:ascii="Times New Roman" w:hAnsi="Times New Roman" w:cs="Times New Roman" w:eastAsia="Times New Roman" w:hint="default"/>
          <w:spacing w:val="-2"/>
        </w:rPr>
        <w:t>2018</w:t>
      </w:r>
      <w:r>
        <w:rPr>
          <w:spacing w:val="-2"/>
        </w:rPr>
        <w:t>年度报告中涵盖的</w:t>
      </w:r>
    </w:p>
    <w:p>
      <w:pPr>
        <w:pStyle w:val="BodyText"/>
        <w:spacing w:line="255" w:lineRule="exact"/>
        <w:ind w:right="1133"/>
        <w:jc w:val="left"/>
      </w:pPr>
      <w:r>
        <w:rPr/>
        <w:t>信息，但不包括财务报表和我们的审计报告。</w:t>
      </w:r>
    </w:p>
    <w:p>
      <w:pPr>
        <w:pStyle w:val="BodyText"/>
        <w:spacing w:line="273" w:lineRule="auto" w:before="37"/>
        <w:ind w:left="573" w:right="1133"/>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73" w:lineRule="auto" w:before="7"/>
        <w:ind w:left="573" w:right="1133" w:hanging="420"/>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376" w:lineRule="auto" w:before="7"/>
        <w:ind w:left="573" w:right="6473" w:hanging="420"/>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273" w:lineRule="auto" w:before="37"/>
        <w:ind w:right="1133"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在编制财务报表时，管理层负责评估科大国创的持续经营能力，披露与持续经营相关的事项，并运用</w:t>
      </w:r>
      <w:r>
        <w:rPr>
          <w:w w:val="100"/>
        </w:rPr>
        <w:t> </w:t>
      </w:r>
      <w:r>
        <w:rPr/>
        <w:t>持续经营假设，除非管理层计划清算科大国创、终止运营或别无其他现实的选择。</w:t>
      </w:r>
    </w:p>
    <w:p>
      <w:pPr>
        <w:spacing w:line="376" w:lineRule="auto" w:before="127"/>
        <w:ind w:left="575" w:right="4273"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治理层负责监督科大国创的财务报告过程。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37"/>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7"/>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268" w:lineRule="auto" w:before="7"/>
        <w:ind w:right="0"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56" w:lineRule="auto" w:before="12"/>
        <w:ind w:right="1131"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22"/>
        <w:ind w:left="57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21"/>
        <w:ind w:right="1126"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）对管理层使用持续经营假设的恰当性得出结论。同时，根据获取的审计证据，就可能导致对科</w:t>
      </w:r>
      <w:r>
        <w:rPr>
          <w:w w:val="100"/>
        </w:rPr>
        <w:t> </w:t>
      </w:r>
      <w:r>
        <w:rPr>
          <w:spacing w:val="-2"/>
        </w:rPr>
        <w:t>大国创持续经营能力产生重大疑虑的事项或情况是否存在重大不确定性得出结论。如果我们得出结论认为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项或情况可能导致科大国创不能持续经营。</w:t>
      </w:r>
    </w:p>
    <w:p>
      <w:pPr>
        <w:pStyle w:val="BodyText"/>
        <w:spacing w:line="256" w:lineRule="auto" w:before="12"/>
        <w:ind w:right="1135" w:firstLine="42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w w:val="100"/>
        </w:rPr>
        <w:t> </w:t>
      </w:r>
      <w:r>
        <w:rPr/>
        <w:t>和事项。</w:t>
      </w:r>
    </w:p>
    <w:p>
      <w:pPr>
        <w:pStyle w:val="BodyText"/>
        <w:spacing w:line="256" w:lineRule="auto" w:before="22"/>
        <w:ind w:right="1136" w:firstLine="420"/>
        <w:jc w:val="both"/>
      </w:pPr>
      <w:r>
        <w:rPr/>
        <w:t>（</w:t>
      </w:r>
      <w:r>
        <w:rPr>
          <w:rFonts w:ascii="Times New Roman" w:hAnsi="Times New Roman" w:cs="Times New Roman" w:eastAsia="Times New Roman" w:hint="default"/>
        </w:rPr>
        <w:t>6</w:t>
      </w:r>
      <w:r>
        <w:rPr/>
        <w:t>）就科大国创中实体或业务活动的财务信息获取充分、适当的审计证据，以对财务报表发表审计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22"/>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7"/>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p>
    <w:p>
      <w:pPr>
        <w:pStyle w:val="BodyText"/>
        <w:spacing w:line="273" w:lineRule="auto" w:before="7"/>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after="0" w:line="27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tabs>
          <w:tab w:pos="5402" w:val="left" w:leader="none"/>
        </w:tabs>
        <w:spacing w:line="240" w:lineRule="auto" w:before="36"/>
        <w:ind w:left="273" w:right="1133"/>
        <w:jc w:val="left"/>
      </w:pPr>
      <w:r>
        <w:rPr>
          <w:spacing w:val="-2"/>
        </w:rPr>
        <w:t>华普天健会计师事务所</w:t>
        <w:tab/>
        <w:t>中国注册会计师（项目合伙人）：</w:t>
      </w:r>
    </w:p>
    <w:p>
      <w:pPr>
        <w:pStyle w:val="BodyText"/>
        <w:spacing w:line="240" w:lineRule="auto" w:before="97"/>
        <w:ind w:left="393" w:right="1133"/>
        <w:jc w:val="left"/>
      </w:pPr>
      <w:r>
        <w:rPr/>
        <w:t>（特殊普通合伙）</w:t>
      </w:r>
    </w:p>
    <w:p>
      <w:pPr>
        <w:pStyle w:val="BodyText"/>
        <w:spacing w:line="240" w:lineRule="auto" w:before="97"/>
        <w:ind w:left="2784" w:right="1285"/>
        <w:jc w:val="center"/>
      </w:pPr>
      <w:r>
        <w:rPr/>
        <w:t>中国注册会计师：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5484" w:val="left" w:leader="none"/>
        </w:tabs>
        <w:spacing w:line="240" w:lineRule="auto"/>
        <w:ind w:left="784" w:right="1133"/>
        <w:jc w:val="left"/>
      </w:pPr>
      <w:r>
        <w:rPr>
          <w:spacing w:val="-1"/>
        </w:rPr>
        <w:t>中国</w:t>
      </w:r>
      <w:r>
        <w:rPr>
          <w:rFonts w:ascii="Times New Roman" w:hAnsi="Times New Roman" w:cs="Times New Roman" w:eastAsia="Times New Roman" w:hint="default"/>
          <w:spacing w:val="-1"/>
        </w:rPr>
        <w:t>·</w:t>
      </w:r>
      <w:r>
        <w:rPr>
          <w:spacing w:val="-1"/>
        </w:rPr>
        <w:t>北京</w:t>
        <w:tab/>
      </w:r>
      <w:r>
        <w:rPr>
          <w:spacing w:val="-2"/>
        </w:rPr>
        <w:t>中国注册会计师：</w:t>
      </w:r>
    </w:p>
    <w:p>
      <w:pPr>
        <w:spacing w:line="240" w:lineRule="auto" w:before="1"/>
        <w:rPr>
          <w:rFonts w:ascii="宋体" w:hAnsi="宋体" w:cs="宋体" w:eastAsia="宋体" w:hint="default"/>
          <w:sz w:val="30"/>
          <w:szCs w:val="30"/>
        </w:rPr>
      </w:pPr>
    </w:p>
    <w:p>
      <w:pPr>
        <w:pStyle w:val="BodyText"/>
        <w:spacing w:line="240" w:lineRule="auto"/>
        <w:ind w:left="5455"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编制单位：科大国创软件股份有限公司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4" w:space="862"/>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466,171,723.91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507,759,919.19</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467,447,138.82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375,699,029.30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40,613,240.66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4,318,236.16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426,833,898.16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371,380,793.14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18,770,894.22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12,115,996.24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28,794,785.48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40,866,791.36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146,855,492.89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152,625,218.81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25,865,295.87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21,605,412.30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1,153,905,331.19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1,110,672,367.20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112,887,112.00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10,255,812.13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4,385,130.38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59,348,070.30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37,848,375.96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90,776,055.52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49,656,638.64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9,461,957.96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691,154.56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332,560.65</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17,143,727.29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9,857,019.24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10,497,004.46</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971,540,766.76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152,661,099.71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2,125,446,097.95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1,263,333,466.91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169,000,000.00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248,739,539.77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204,750,195.36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49,954,982.22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50,540,224.73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33,399,872.75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21,473,338.18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18,434,009.28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6,790,097.12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216,260,538.20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230,662,227.72</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204,208.34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756,588,942.22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683,216,083.11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8,418,918.92</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4,118,431.88</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39,533,390.63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8,769,150.01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4,422,099.91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261,262.90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60,992,841.34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13,530,412.91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817,581,783.56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696,746,496.02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239,233,684.00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202,400,000.00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3"/>
        <w:gridCol w:w="3417"/>
        <w:gridCol w:w="2969"/>
      </w:tblGrid>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814,555,640.08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164,531,207.36</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391,851.61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148,748.58</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18,497,595.22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15,599,110.38</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221,467,246.59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180,564,989.45</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1,294,146,017.50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563,244,055.77</w:t>
            </w: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13,718,296.89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3,342,915.12</w:t>
            </w:r>
          </w:p>
        </w:tc>
      </w:tr>
      <w:tr>
        <w:trPr>
          <w:trHeight w:val="40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1,307,864,314.39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566,586,970.89</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2,125,446,097.95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1,263,333,466.91</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pacing w:val="-1"/>
          <w:sz w:val="18"/>
          <w:szCs w:val="18"/>
        </w:rPr>
        <w:t>法定代表人：董永东</w:t>
        <w:tab/>
        <w:t>主管会计工作负责人：杨武军</w:t>
        <w:tab/>
      </w:r>
      <w:r>
        <w:rPr>
          <w:rFonts w:ascii="宋体" w:hAnsi="宋体" w:cs="宋体" w:eastAsia="宋体" w:hint="default"/>
          <w:sz w:val="18"/>
          <w:szCs w:val="18"/>
        </w:rPr>
        <w:t>会计机构负责人：刘芳</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185,980,019.83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258,316,523.40</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337,606,983.41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358,693,926.88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7,838,780.66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3,459,057.20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329,768,202.75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355,234,869.68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7,615,144.57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8,560,474.12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20,647,969.72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33,377,550.51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120,560,711.34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152,461,221.56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16,517,792.51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20,138,992.65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688,928,621.38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831,548,689.12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112,887,112.00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861,522,545.74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140,651,863.99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43,430,905.06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31,531,494.27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109,055,044.57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7,984,847.40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8,358,386.23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12,586,604.74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7,424,541.68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9,827,772.18</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1,179,794,831.69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278,742,341.69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1,868,723,453.07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1,110,291,030.81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169,000,000.00</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407,062,411.19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376,195,747.80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48,597,981.66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50,540,224.73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5,940,446.30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13,799,356.89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4,474,749.55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2,214,427.45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14,700,995.59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5,682,413.08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204,208.34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629,776,584.29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617,432,169.95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8,418,918.92</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31,513,390.63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8,769,150.01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44,432,309.55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13,269,150.01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674,208,893.84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630,701,319.96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239,233,684.00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202,400,000.00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818,322,612.02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164,156,296.02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18,497,595.22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15,599,110.38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118,460,667.99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97,434,304.45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1,194,514,559.23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479,589,710.85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1,868,723,453.07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1,110,291,030.81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982,146,999.04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607,857,521.79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982,146,999.04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607,857,521.79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957,698,195.20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611,939,905.17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664,164,392.08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357,933,725.48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4,150,882.14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3,539,553.88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74,345,798.36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56,880,442.24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69,667,965.10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54,055,262.81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134,627,976.63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129,986,615.70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-993,096.61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6,198,001.32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2,997,150.00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3,843,106.29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5,626,547.78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8,988,068.67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10,537,401.67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20,351,061.86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12,242,268.34</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4,094,640.12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2,502,527.79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1,670,681.75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186,398.15</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14,806.82</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48,893,849.94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10,677,219.57</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2,854.36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1,205,062.28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22,037.62</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47,691,642.02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10,655,181.95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-3,537,881.73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-8,468,064.22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51,229,523.75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19,123,246.17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51,229,523.75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19,123,246.17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3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48,860,741.98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18,374,393.31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748,852.86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243,103.03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-165,468.70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-165,468.70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-165,468.70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243,103.03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-165,468.70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51,472,626.78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18,957,777.47</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49,103,845.01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18,208,924.61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748,852.86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r>
    </w:tbl>
    <w:p>
      <w:pPr>
        <w:tabs>
          <w:tab w:pos="3667" w:val="left" w:leader="none"/>
          <w:tab w:pos="7899" w:val="left" w:leader="none"/>
        </w:tabs>
        <w:spacing w:line="588" w:lineRule="auto" w:before="49"/>
        <w:ind w:left="153" w:right="122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法定代表人：董永东</w:t>
        <w:tab/>
      </w:r>
      <w:r>
        <w:rPr>
          <w:rFonts w:ascii="宋体" w:hAnsi="宋体" w:cs="宋体" w:eastAsia="宋体" w:hint="default"/>
          <w:spacing w:val="-1"/>
          <w:sz w:val="18"/>
          <w:szCs w:val="18"/>
        </w:rPr>
        <w:t>主管会计工作负责人：杨武军</w:t>
        <w:tab/>
      </w:r>
      <w:r>
        <w:rPr>
          <w:rFonts w:ascii="宋体" w:hAnsi="宋体" w:cs="宋体" w:eastAsia="宋体" w:hint="default"/>
          <w:sz w:val="18"/>
          <w:szCs w:val="18"/>
        </w:rPr>
        <w:t>会计机构负责人：刘芳</w:t>
      </w:r>
    </w:p>
    <w:p>
      <w:pPr>
        <w:spacing w:after="0" w:line="58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672,749,444.99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534,682,074.45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542,398,381.25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421,257,571.80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1,176,237.36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1,972,270.73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38,394,924.17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26,943,984.01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41,909,207.89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24,542,041.68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57,405,457.58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69,733,951.12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3,626,879.29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2,127,195.33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5,026,959.65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2,997,150.00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616,991.32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1,936,622.62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8,318,708.80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9,970,423.35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18,559,029.44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9,246,002.44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26,944,790.99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31,242,826.30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1,670,681.75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186,398.15</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25,023,469.08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18,638,271.99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1,200,683.76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23,822,785.32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18,638,271.99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-5,162,063.06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-3,937,038.29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28,984,848.38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22,575,310.28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28,984,848.38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22,575,310.28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952,797,312.44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550,751,170.21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1,571,309.98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58,827,929.35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104,332,384.06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1,013,196,551.77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655,083,554.27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573,379,167.67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300,111,993.54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335,101,283.44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270,616,423.17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31,175,785.02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30,081,546.44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91,839,597.10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57,508,769.89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1,031,495,833.23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658,318,733.04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-18,299,281.46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-3,235,178.77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26,814.00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6,267,064.66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7,942,677.42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6,267,064.66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7,969,491.42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46,397,496.16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43,149,333.23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-35,586,928.63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37,510,567.53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43,149,333.23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-31,243,502.87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-35,179,841.81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3,153,790.00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3,153,790.00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172,153,790.00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12,240,797.26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14,049,660.41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622,641.51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241,863,438.77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194,368,410.41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3,136,561.23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-22,214,620.41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-1,463,354.85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148,990.80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-47,869,577.95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-60,480,650.19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492,438,682.20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552,919,332.39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444,569,104.25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492,438,682.20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619,188,690.10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529,137,069.06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1,571,309.98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62,322,462.04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24,383,857.76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683,082,462.12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553,520,926.82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472,917,699.67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448,930,255.52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132,464,376.36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107,233,085.01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1,967,310.87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14,987,915.01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42,835,376.09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33,940,182.99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650,184,762.99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605,091,438.53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32,897,699.13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-51,570,511.71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26,814.00</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891,100.56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2,993,050.77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25,891,100.56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33,019,864.77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43,456,467.18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39,770,491.93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9,872,610.00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94,156,467.18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49,643,101.93</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-68,265,366.62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-16,623,237.16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11,069,755.59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14,049,660.41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210,692,397.10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194,368,410.41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-31,692,397.10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-25,368,410.41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-1,171,680.31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848,309.26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-68,231,744.90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-92,713,850.02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243,260,286.41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335,974,136.43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175,028,541.51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243,260,286.41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30"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164,531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,207.36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148,748</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110.38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180,564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,989.45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15.12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,970.89</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,207.36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148,748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110.38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180,564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,989.45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,970.89</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650,024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,432.72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243,103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40,902,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257.14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10,375,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381.77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741,277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,343.50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243,103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48,860,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741.98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81.77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51,472,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626.78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654,166</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,316.00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8,006,6</w:t>
            </w:r>
          </w:p>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699,006</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,600.00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654,166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8,006,6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699,006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,600.00</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-7,958,4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-5,060,0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-5,060,0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-5,060,0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-4,141,8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83.28</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239,23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814,555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,640.08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391,851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221,467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,246.59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13,718,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296.89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64,314.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402"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6"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422,008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314,217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175,977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,127.17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-559,72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526,838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,316.45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96,075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422,008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,870.39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,750.00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314,217</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175,977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,127.17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-559,72</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7.74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526,838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,316.45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106,32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7,663.0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4,587,8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3,902,6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42.86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39,748,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654.44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18,374,</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393.31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748,852</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19,123,</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246.17</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7,663.0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32,319,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876.97</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-8,965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90.00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3,153,7</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90.00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086.97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086.97</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-13,786,</w:t>
            </w:r>
          </w:p>
          <w:p>
            <w:pPr>
              <w:pStyle w:val="TableParagraph"/>
              <w:spacing w:line="240" w:lineRule="auto" w:before="103"/>
              <w:ind w:left="127" w:right="0"/>
              <w:jc w:val="center"/>
              <w:rPr>
                <w:rFonts w:ascii="Times New Roman" w:hAnsi="Times New Roman" w:cs="Times New Roman" w:eastAsia="Times New Roman" w:hint="default"/>
                <w:sz w:val="18"/>
                <w:szCs w:val="18"/>
              </w:rPr>
            </w:pPr>
            <w:r>
              <w:rPr>
                <w:rFonts w:ascii="Times New Roman"/>
                <w:sz w:val="18"/>
              </w:rPr>
              <w:t>531.03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3"/>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31.03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2"/>
              <w:ind w:left="312" w:right="0"/>
              <w:jc w:val="left"/>
              <w:rPr>
                <w:rFonts w:ascii="Times New Roman" w:hAnsi="Times New Roman" w:cs="Times New Roman" w:eastAsia="Times New Roman" w:hint="default"/>
                <w:sz w:val="18"/>
                <w:szCs w:val="18"/>
              </w:rPr>
            </w:pPr>
            <w:r>
              <w:rPr>
                <w:rFonts w:ascii="Times New Roman"/>
                <w:sz w:val="18"/>
              </w:rPr>
              <w:t>8.70</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148,748</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110.38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180,564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,989.45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15.12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,970.89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202,400,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164,156,2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96.02</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15,599,11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97,434,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304.45</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9"/>
              <w:ind w:left="28" w:right="0"/>
              <w:jc w:val="left"/>
              <w:rPr>
                <w:rFonts w:ascii="Times New Roman" w:hAnsi="Times New Roman" w:cs="Times New Roman" w:eastAsia="Times New Roman" w:hint="default"/>
                <w:sz w:val="18"/>
                <w:szCs w:val="18"/>
              </w:rPr>
            </w:pPr>
            <w:r>
              <w:rPr>
                <w:rFonts w:ascii="Times New Roman"/>
                <w:sz w:val="18"/>
              </w:rPr>
              <w:t>479,589,7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10.85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202,400,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164,156,2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96.02</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15,599,11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97,434,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304.45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479,589,7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10.85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36,833,6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654,166,3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21,026,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363.54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714,924,8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48.38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848.38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28,984,84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8.38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36,833,6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654,166,3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691,000,0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36,833,6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654,166,3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691,000,0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2,898,484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-7,958,4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-5,060,00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84.84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-5,060,0</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-5,060,00</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239,233,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818,322,6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18,497,59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118,460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1,194,514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,559.23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96,075,0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421,633,9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59.05</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vMerge w:val="restart"/>
            <w:tcBorders>
              <w:top w:val="single" w:sz="18"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88,645,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525.20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439,377,3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96,075,0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421,633,9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59.05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180,318,7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88,645,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525.20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439,377,3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106,325,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-257,477,</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663.03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8,788,7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40,212,39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7.25</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22,575,31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0.28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-8,965,0</w:t>
            </w:r>
          </w:p>
          <w:p>
            <w:pPr>
              <w:pStyle w:val="TableParagraph"/>
              <w:spacing w:line="240" w:lineRule="auto" w:before="102"/>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-142,187,</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663.03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6.97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-8,965,0</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-171,353,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29,166,08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6.97</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-13,786,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531.03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31.03</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-115,290,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202,400,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164,156,2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15,599,11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97,434,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479,589,7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10.85</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8" w:firstLine="420"/>
        <w:jc w:val="both"/>
      </w:pPr>
      <w:r>
        <w:rPr/>
        <w:t>科大国创软件股份有限公司（以下简称</w:t>
      </w:r>
      <w:r>
        <w:rPr>
          <w:rFonts w:ascii="Times New Roman" w:hAnsi="Times New Roman" w:cs="Times New Roman" w:eastAsia="Times New Roman" w:hint="default"/>
        </w:rPr>
        <w:t>“</w:t>
      </w:r>
      <w:r>
        <w:rPr/>
        <w:t>科大国创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），系由科大恒星电子商务技</w:t>
      </w:r>
      <w:r>
        <w:rPr>
          <w:w w:val="100"/>
        </w:rPr>
        <w:t> </w:t>
      </w:r>
      <w:r>
        <w:rPr>
          <w:spacing w:val="-4"/>
        </w:rPr>
        <w:t>术有限公司（原名为</w:t>
      </w:r>
      <w:r>
        <w:rPr>
          <w:rFonts w:ascii="Times New Roman" w:hAnsi="Times New Roman" w:cs="Times New Roman" w:eastAsia="Times New Roman" w:hint="default"/>
          <w:spacing w:val="-4"/>
        </w:rPr>
        <w:t>“</w:t>
      </w:r>
      <w:r>
        <w:rPr>
          <w:spacing w:val="-4"/>
        </w:rPr>
        <w:t>安徽科大恒星电子商务技术有限公司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8</w:t>
      </w:r>
      <w:r>
        <w:rPr>
          <w:spacing w:val="-4"/>
        </w:rPr>
        <w:t>月更名）整体变更设立的股份有限公</w:t>
      </w:r>
      <w:r>
        <w:rPr>
          <w:spacing w:val="-20"/>
        </w:rPr>
        <w:t> </w:t>
      </w:r>
      <w:r>
        <w:rPr>
          <w:spacing w:val="-20"/>
        </w:rPr>
      </w:r>
      <w:r>
        <w:rPr>
          <w:spacing w:val="-2"/>
        </w:rPr>
        <w:t>司。本公司经中国证券监督管理委员会证监许可［</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1302</w:t>
      </w:r>
      <w:r>
        <w:rPr>
          <w:spacing w:val="-2"/>
        </w:rPr>
        <w:t>号文批准，首次向社会公开发行人民币普通</w:t>
      </w:r>
      <w:r>
        <w:rPr>
          <w:spacing w:val="-40"/>
        </w:rPr>
        <w:t> </w:t>
      </w:r>
      <w:r>
        <w:rPr>
          <w:spacing w:val="-40"/>
        </w:rPr>
      </w:r>
      <w:r>
        <w:rPr/>
        <w:t>股</w:t>
      </w:r>
      <w:r>
        <w:rPr>
          <w:rFonts w:ascii="Times New Roman" w:hAnsi="Times New Roman" w:cs="Times New Roman" w:eastAsia="Times New Roman" w:hint="default"/>
        </w:rPr>
        <w:t>2,300.00</w:t>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月在深圳证券交易所上市，注册资本人民币</w:t>
      </w:r>
      <w:r>
        <w:rPr>
          <w:rFonts w:ascii="Times New Roman" w:hAnsi="Times New Roman" w:cs="Times New Roman" w:eastAsia="Times New Roman" w:hint="default"/>
        </w:rPr>
        <w:t>9,200.00</w:t>
      </w:r>
      <w:r>
        <w:rPr/>
        <w:t>万元。</w:t>
      </w:r>
    </w:p>
    <w:p>
      <w:pPr>
        <w:pStyle w:val="BodyText"/>
        <w:spacing w:line="256" w:lineRule="auto" w:before="125"/>
        <w:ind w:right="1118" w:firstLine="42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日，经科大国创股东大会审议通过，向</w:t>
      </w:r>
      <w:r>
        <w:rPr>
          <w:rFonts w:ascii="Times New Roman" w:hAnsi="Times New Roman" w:cs="Times New Roman" w:eastAsia="Times New Roman" w:hint="default"/>
          <w:spacing w:val="-2"/>
        </w:rPr>
        <w:t>314</w:t>
      </w:r>
      <w:r>
        <w:rPr>
          <w:spacing w:val="-2"/>
        </w:rPr>
        <w:t>名员工激励对象授予限制性股票</w:t>
      </w:r>
      <w:r>
        <w:rPr>
          <w:rFonts w:ascii="Times New Roman" w:hAnsi="Times New Roman" w:cs="Times New Roman" w:eastAsia="Times New Roman" w:hint="default"/>
          <w:spacing w:val="-2"/>
        </w:rPr>
        <w:t>407.50</w:t>
      </w:r>
      <w:r>
        <w:rPr>
          <w:spacing w:val="-2"/>
        </w:rPr>
        <w:t>万股，</w:t>
      </w:r>
      <w:r>
        <w:rPr>
          <w:w w:val="100"/>
        </w:rPr>
        <w:t> </w:t>
      </w:r>
      <w:r>
        <w:rPr/>
        <w:t>每股面值人民币</w:t>
      </w:r>
      <w:r>
        <w:rPr>
          <w:rFonts w:ascii="Times New Roman" w:hAnsi="Times New Roman" w:cs="Times New Roman" w:eastAsia="Times New Roman" w:hint="default"/>
        </w:rPr>
        <w:t>1</w:t>
      </w:r>
      <w:r>
        <w:rPr/>
        <w:t>元，申请增加注册资本人民币</w:t>
      </w:r>
      <w:r>
        <w:rPr>
          <w:rFonts w:ascii="Times New Roman" w:hAnsi="Times New Roman" w:cs="Times New Roman" w:eastAsia="Times New Roman" w:hint="default"/>
        </w:rPr>
        <w:t>4,075,000.00</w:t>
      </w:r>
      <w:r>
        <w:rPr/>
        <w:t>元，变更后的注册资本为人民币</w:t>
      </w:r>
      <w:r>
        <w:rPr>
          <w:rFonts w:ascii="Times New Roman" w:hAnsi="Times New Roman" w:cs="Times New Roman" w:eastAsia="Times New Roman" w:hint="default"/>
        </w:rPr>
        <w:t>96,075,000.00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w:t>
      </w:r>
    </w:p>
    <w:p>
      <w:pPr>
        <w:pStyle w:val="BodyText"/>
        <w:spacing w:line="256" w:lineRule="auto" w:before="142"/>
        <w:ind w:right="1129" w:firstLine="420"/>
        <w:jc w:val="both"/>
      </w:pPr>
      <w:r>
        <w:rPr/>
        <w:t>根据公司</w:t>
      </w:r>
      <w:r>
        <w:rPr>
          <w:rFonts w:ascii="Times New Roman" w:hAnsi="Times New Roman" w:cs="Times New Roman" w:eastAsia="Times New Roman" w:hint="default"/>
        </w:rPr>
        <w:t>2016</w:t>
      </w:r>
      <w:r>
        <w:rPr/>
        <w:t>年度股东大会决议的规定，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日公司由资本公积转增股本，增加注册资本人</w:t>
      </w:r>
      <w:r>
        <w:rPr>
          <w:w w:val="100"/>
        </w:rPr>
        <w:t> </w:t>
      </w:r>
      <w:r>
        <w:rPr/>
        <w:t>民币</w:t>
      </w:r>
      <w:r>
        <w:rPr>
          <w:rFonts w:ascii="Times New Roman" w:hAnsi="Times New Roman" w:cs="Times New Roman" w:eastAsia="Times New Roman" w:hint="default"/>
        </w:rPr>
        <w:t>115,290,000.00</w:t>
      </w:r>
      <w:r>
        <w:rPr/>
        <w:t>元，变更后的注册资本为人民币</w:t>
      </w:r>
      <w:r>
        <w:rPr>
          <w:rFonts w:ascii="Times New Roman" w:hAnsi="Times New Roman" w:cs="Times New Roman" w:eastAsia="Times New Roman" w:hint="default"/>
        </w:rPr>
        <w:t>211,365,000.00</w:t>
      </w:r>
      <w:r>
        <w:rPr/>
        <w:t>元。</w:t>
      </w:r>
    </w:p>
    <w:p>
      <w:pPr>
        <w:pStyle w:val="BodyText"/>
        <w:spacing w:line="264" w:lineRule="auto" w:before="125"/>
        <w:ind w:right="1126" w:firstLine="420"/>
        <w:jc w:val="both"/>
      </w:pPr>
      <w:r>
        <w:rPr>
          <w:spacing w:val="-2"/>
        </w:rPr>
        <w:t>根据公司</w:t>
      </w:r>
      <w:r>
        <w:rPr>
          <w:rFonts w:ascii="Times New Roman" w:hAnsi="Times New Roman" w:cs="Times New Roman" w:eastAsia="Times New Roman" w:hint="default"/>
          <w:spacing w:val="-2"/>
        </w:rPr>
        <w:t>2017</w:t>
      </w:r>
      <w:r>
        <w:rPr>
          <w:spacing w:val="-2"/>
        </w:rPr>
        <w:t>年第二次临时股东大会决议、第二届董事会第十六次会议决议、第二届董事会第十七次</w:t>
      </w:r>
      <w:r>
        <w:rPr>
          <w:w w:val="100"/>
        </w:rPr>
        <w:t> </w:t>
      </w:r>
      <w:r>
        <w:rPr>
          <w:spacing w:val="-2"/>
        </w:rPr>
        <w:t>会议决议、第二届监事会第十二次会议决议、第二届监事会第十三次会议决议以及修改后的章程规定，公</w:t>
      </w:r>
      <w:r>
        <w:rPr>
          <w:spacing w:val="-43"/>
        </w:rPr>
        <w:t> </w:t>
      </w:r>
      <w:r>
        <w:rPr>
          <w:spacing w:val="-43"/>
        </w:rPr>
      </w:r>
      <w:r>
        <w:rPr/>
        <w:t>司申请减少注册资本人民币</w:t>
      </w:r>
      <w:r>
        <w:rPr>
          <w:rFonts w:ascii="Times New Roman" w:hAnsi="Times New Roman" w:cs="Times New Roman" w:eastAsia="Times New Roman" w:hint="default"/>
        </w:rPr>
        <w:t>8,965,000.00</w:t>
      </w:r>
      <w:r>
        <w:rPr/>
        <w:t>元，变更后的注册资本为人民币</w:t>
      </w:r>
      <w:r>
        <w:rPr>
          <w:rFonts w:ascii="Times New Roman" w:hAnsi="Times New Roman" w:cs="Times New Roman" w:eastAsia="Times New Roman" w:hint="default"/>
        </w:rPr>
        <w:t>202,400,000.00</w:t>
      </w:r>
      <w:r>
        <w:rPr/>
        <w:t>元。</w:t>
      </w:r>
    </w:p>
    <w:p>
      <w:pPr>
        <w:pStyle w:val="BodyText"/>
        <w:spacing w:line="256" w:lineRule="auto" w:before="118"/>
        <w:ind w:right="1056" w:firstLine="420"/>
        <w:jc w:val="both"/>
      </w:pPr>
      <w:r>
        <w:rPr>
          <w:spacing w:val="-2"/>
        </w:rPr>
        <w:t>根据公司</w:t>
      </w:r>
      <w:r>
        <w:rPr>
          <w:rFonts w:ascii="Times New Roman" w:hAnsi="Times New Roman" w:cs="Times New Roman" w:eastAsia="Times New Roman" w:hint="default"/>
          <w:spacing w:val="-2"/>
        </w:rPr>
        <w:t>2018</w:t>
      </w:r>
      <w:r>
        <w:rPr>
          <w:spacing w:val="-2"/>
        </w:rPr>
        <w:t>年第一次临时股东大会决议和修改后的章程规定，经中国证券监督管理委员会《关于核</w:t>
      </w:r>
      <w:r>
        <w:rPr>
          <w:w w:val="100"/>
        </w:rPr>
        <w:t> </w:t>
      </w:r>
      <w:r>
        <w:rPr/>
        <w:t>准科大国创软件股份有限公司向孙路等发行股份购买资产并募集配套资金的批复》（证监许可</w:t>
      </w:r>
      <w:r>
        <w:rPr>
          <w:rFonts w:ascii="Times New Roman" w:hAnsi="Times New Roman" w:cs="Times New Roman" w:eastAsia="Times New Roman" w:hint="default"/>
        </w:rPr>
        <w:t>[2018]2063</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号）的批准，公司向孙路等</w:t>
      </w:r>
      <w:r>
        <w:rPr>
          <w:rFonts w:ascii="Times New Roman" w:hAnsi="Times New Roman" w:cs="Times New Roman" w:eastAsia="Times New Roman" w:hint="default"/>
        </w:rPr>
        <w:t>8</w:t>
      </w:r>
      <w:r>
        <w:rPr/>
        <w:t>名发行对象发行人民币普通股</w:t>
      </w:r>
      <w:r>
        <w:rPr>
          <w:rFonts w:ascii="Times New Roman" w:hAnsi="Times New Roman" w:cs="Times New Roman" w:eastAsia="Times New Roman" w:hint="default"/>
        </w:rPr>
        <w:t>36,833,684</w:t>
      </w:r>
      <w:r>
        <w:rPr/>
        <w:t>股，每股面值</w:t>
      </w:r>
      <w:r>
        <w:rPr>
          <w:rFonts w:ascii="Times New Roman" w:hAnsi="Times New Roman" w:cs="Times New Roman" w:eastAsia="Times New Roman" w:hint="default"/>
        </w:rPr>
        <w:t>1</w:t>
      </w:r>
      <w:r>
        <w:rPr/>
        <w:t>元，每股发行价为人</w:t>
      </w:r>
      <w:r>
        <w:rPr>
          <w:spacing w:val="-24"/>
        </w:rPr>
        <w:t> </w:t>
      </w:r>
      <w:r>
        <w:rPr>
          <w:spacing w:val="-24"/>
        </w:rPr>
      </w:r>
      <w:r>
        <w:rPr>
          <w:spacing w:val="-2"/>
        </w:rPr>
        <w:t>民币</w:t>
      </w:r>
      <w:r>
        <w:rPr>
          <w:rFonts w:ascii="Times New Roman" w:hAnsi="Times New Roman" w:cs="Times New Roman" w:eastAsia="Times New Roman" w:hint="default"/>
          <w:spacing w:val="-2"/>
        </w:rPr>
        <w:t>18.76</w:t>
      </w:r>
      <w:r>
        <w:rPr>
          <w:spacing w:val="-2"/>
        </w:rPr>
        <w:t>元，公司申请增加注册资本人民币</w:t>
      </w:r>
      <w:r>
        <w:rPr>
          <w:rFonts w:ascii="Times New Roman" w:hAnsi="Times New Roman" w:cs="Times New Roman" w:eastAsia="Times New Roman" w:hint="default"/>
          <w:spacing w:val="-2"/>
        </w:rPr>
        <w:t>36,833,684.00</w:t>
      </w:r>
      <w:r>
        <w:rPr>
          <w:spacing w:val="-2"/>
        </w:rPr>
        <w:t>元，变更后注册资本为人民币</w:t>
      </w:r>
      <w:r>
        <w:rPr>
          <w:rFonts w:ascii="Times New Roman" w:hAnsi="Times New Roman" w:cs="Times New Roman" w:eastAsia="Times New Roman" w:hint="default"/>
          <w:spacing w:val="-2"/>
        </w:rPr>
        <w:t>239,233,684.00</w:t>
      </w:r>
      <w:r>
        <w:rPr>
          <w:spacing w:val="-2"/>
        </w:rPr>
        <w:t>元。</w:t>
      </w:r>
    </w:p>
    <w:p>
      <w:pPr>
        <w:pStyle w:val="BodyText"/>
        <w:spacing w:line="357" w:lineRule="auto" w:before="125"/>
        <w:ind w:left="573" w:right="1133"/>
        <w:jc w:val="left"/>
      </w:pPr>
      <w:r>
        <w:rPr>
          <w:spacing w:val="-2"/>
        </w:rPr>
        <w:t>公司的住所：合肥市高新区文曲路</w:t>
      </w:r>
      <w:r>
        <w:rPr>
          <w:rFonts w:ascii="Times New Roman" w:hAnsi="Times New Roman" w:cs="Times New Roman" w:eastAsia="Times New Roman" w:hint="default"/>
          <w:spacing w:val="-2"/>
        </w:rPr>
        <w:t>355</w:t>
      </w:r>
      <w:r>
        <w:rPr>
          <w:spacing w:val="-2"/>
        </w:rPr>
        <w:t>号。法定代表人：董永东。</w:t>
      </w:r>
      <w:r>
        <w:rPr>
          <w:spacing w:val="-51"/>
        </w:rPr>
        <w:t> </w:t>
      </w:r>
      <w:r>
        <w:rPr>
          <w:spacing w:val="-51"/>
        </w:rPr>
      </w:r>
      <w:r>
        <w:rPr/>
        <w:t>公司统一社会信用代码：</w:t>
      </w:r>
      <w:r>
        <w:rPr>
          <w:rFonts w:ascii="Times New Roman" w:hAnsi="Times New Roman" w:cs="Times New Roman" w:eastAsia="Times New Roman" w:hint="default"/>
        </w:rPr>
        <w:t>91340100723329328P</w:t>
      </w:r>
      <w:r>
        <w:rPr/>
        <w:t>。</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公司经营范围：软件开发、系统集成、云计算大数据研发与服务；电子和信息及其他新技术研发、转</w:t>
      </w:r>
      <w:r>
        <w:rPr>
          <w:w w:val="100"/>
        </w:rPr>
        <w:t> </w:t>
      </w:r>
      <w:r>
        <w:rPr>
          <w:spacing w:val="-2"/>
        </w:rPr>
        <w:t>让及产品生产、销售；自动控制、安全防范、智能楼宇、智能交通、公路交通机电工程和建筑智能化工程</w:t>
      </w:r>
      <w:r>
        <w:rPr>
          <w:spacing w:val="-42"/>
        </w:rPr>
        <w:t> </w:t>
      </w:r>
      <w:r>
        <w:rPr>
          <w:spacing w:val="-42"/>
        </w:rPr>
      </w:r>
      <w:r>
        <w:rPr>
          <w:spacing w:val="-2"/>
        </w:rPr>
        <w:t>的设计与施工；互联网技术服务；第一类增值电信业务中的互联网接入服务业务，第二类增值电信业务中</w:t>
      </w:r>
      <w:r>
        <w:rPr>
          <w:spacing w:val="-44"/>
        </w:rPr>
        <w:t> </w:t>
      </w:r>
      <w:r>
        <w:rPr>
          <w:spacing w:val="-44"/>
        </w:rPr>
      </w:r>
      <w:r>
        <w:rPr>
          <w:spacing w:val="-2"/>
        </w:rPr>
        <w:t>的国内呼叫中心业务和信息服务（仅限互联网信息服务）业务；信息工程咨询、监理、培训及服务。上述</w:t>
      </w:r>
      <w:r>
        <w:rPr>
          <w:spacing w:val="-42"/>
        </w:rPr>
        <w:t> </w:t>
      </w:r>
      <w:r>
        <w:rPr>
          <w:spacing w:val="-42"/>
        </w:rPr>
      </w:r>
      <w:r>
        <w:rPr/>
        <w:t>产品的批发。（依法须经批准的项目，经相关部门批准后方可开展经营活动）</w:t>
      </w:r>
    </w:p>
    <w:p>
      <w:pPr>
        <w:pStyle w:val="BodyText"/>
        <w:spacing w:line="240" w:lineRule="auto" w:before="127"/>
        <w:ind w:left="573" w:right="1133"/>
        <w:jc w:val="left"/>
      </w:pPr>
      <w:r>
        <w:rPr/>
        <w:t>财务报告批准报出日：本财务报表业经本公司董事会于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日决议批准报出。</w:t>
      </w:r>
    </w:p>
    <w:p>
      <w:pPr>
        <w:pStyle w:val="BodyText"/>
        <w:spacing w:line="240" w:lineRule="auto" w:before="141"/>
        <w:ind w:left="573" w:right="1133"/>
        <w:jc w:val="left"/>
      </w:pPr>
      <w:r>
        <w:rPr/>
        <w:t>（</w:t>
      </w:r>
      <w:r>
        <w:rPr>
          <w:rFonts w:ascii="Times New Roman" w:hAnsi="Times New Roman" w:cs="Times New Roman" w:eastAsia="Times New Roman" w:hint="default"/>
        </w:rPr>
        <w:t>1</w:t>
      </w:r>
      <w:r>
        <w:rPr/>
        <w:t>）本公司本期纳入合并范围的子公司</w:t>
      </w:r>
    </w:p>
    <w:p>
      <w:pPr>
        <w:spacing w:line="240" w:lineRule="auto" w:before="10"/>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099"/>
        <w:gridCol w:w="3867"/>
        <w:gridCol w:w="2019"/>
        <w:gridCol w:w="1284"/>
        <w:gridCol w:w="1390"/>
      </w:tblGrid>
      <w:tr>
        <w:trPr>
          <w:trHeight w:val="350" w:hRule="exact"/>
        </w:trPr>
        <w:tc>
          <w:tcPr>
            <w:tcW w:w="1099" w:type="dxa"/>
            <w:vMerge w:val="restart"/>
            <w:tcBorders>
              <w:top w:val="single" w:sz="6" w:space="0" w:color="000000"/>
              <w:left w:val="single" w:sz="6" w:space="0" w:color="000000"/>
              <w:right w:val="single" w:sz="6"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867" w:type="dxa"/>
            <w:vMerge w:val="restart"/>
            <w:tcBorders>
              <w:top w:val="single" w:sz="6" w:space="0" w:color="000000"/>
              <w:left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019" w:type="dxa"/>
            <w:vMerge w:val="restart"/>
            <w:tcBorders>
              <w:top w:val="single" w:sz="6" w:space="0" w:color="000000"/>
              <w:left w:val="single" w:sz="6" w:space="0" w:color="000000"/>
              <w:right w:val="single" w:sz="6" w:space="0" w:color="000000"/>
            </w:tcBorders>
          </w:tcPr>
          <w:p>
            <w:pPr>
              <w:pStyle w:val="TableParagraph"/>
              <w:spacing w:line="272" w:lineRule="exact"/>
              <w:ind w:left="475"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674" w:type="dxa"/>
            <w:gridSpan w:val="2"/>
            <w:tcBorders>
              <w:top w:val="single" w:sz="6" w:space="0" w:color="000000"/>
              <w:left w:val="single" w:sz="6" w:space="0" w:color="000000"/>
              <w:bottom w:val="single" w:sz="8" w:space="0" w:color="000000"/>
              <w:right w:val="nil" w:sz="6" w:space="0" w:color="auto"/>
            </w:tcBorders>
          </w:tcPr>
          <w:p>
            <w:pPr>
              <w:pStyle w:val="TableParagraph"/>
              <w:spacing w:line="288" w:lineRule="exact"/>
              <w:ind w:left="61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6" w:hRule="exact"/>
        </w:trPr>
        <w:tc>
          <w:tcPr>
            <w:tcW w:w="1099" w:type="dxa"/>
            <w:vMerge/>
            <w:tcBorders>
              <w:left w:val="single" w:sz="6" w:space="0" w:color="000000"/>
              <w:bottom w:val="single" w:sz="8" w:space="0" w:color="000000"/>
              <w:right w:val="single" w:sz="6" w:space="0" w:color="000000"/>
            </w:tcBorders>
          </w:tcPr>
          <w:p>
            <w:pPr/>
          </w:p>
        </w:tc>
        <w:tc>
          <w:tcPr>
            <w:tcW w:w="3867" w:type="dxa"/>
            <w:vMerge/>
            <w:tcBorders>
              <w:left w:val="single" w:sz="6" w:space="0" w:color="000000"/>
              <w:bottom w:val="single" w:sz="8" w:space="0" w:color="000000"/>
              <w:right w:val="single" w:sz="6" w:space="0" w:color="000000"/>
            </w:tcBorders>
          </w:tcPr>
          <w:p>
            <w:pPr/>
          </w:p>
        </w:tc>
        <w:tc>
          <w:tcPr>
            <w:tcW w:w="2019" w:type="dxa"/>
            <w:vMerge/>
            <w:tcBorders>
              <w:left w:val="single" w:sz="6" w:space="0" w:color="000000"/>
              <w:bottom w:val="single" w:sz="8" w:space="0" w:color="000000"/>
              <w:right w:val="single" w:sz="6" w:space="0" w:color="000000"/>
            </w:tcBorders>
          </w:tcPr>
          <w:p>
            <w:pP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安徽科大国创云网科技有限公司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云网科技</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贵州科大国创大数据科技有限公司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贵州大数据</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苏州科大国创信息技术有限公司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苏州国创</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国创恒星（合肥）软件技术有限公司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国创恒星</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安徽慧联运科技有限公司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慧联运</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60.00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安徽慧通互联物流科技有限公司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慧通物流</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60.00</w:t>
            </w:r>
          </w:p>
        </w:tc>
      </w:tr>
      <w:tr>
        <w:trPr>
          <w:trHeight w:val="346"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安徽中科国创高可信软件有限公司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中科国创</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68.50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8</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株式会社科大国创</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日本国创</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安徽科大国创智能科技有限公司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智能科技</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10</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安徽科大国创软件科技有限公司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国创软件</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80.00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11</w:t>
            </w:r>
          </w:p>
        </w:tc>
        <w:tc>
          <w:tcPr>
            <w:tcW w:w="386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安徽贵博新能科技有限公司</w:t>
            </w:r>
          </w:p>
        </w:tc>
        <w:tc>
          <w:tcPr>
            <w:tcW w:w="201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贵博新能</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100.00</w:t>
            </w:r>
          </w:p>
        </w:tc>
        <w:tc>
          <w:tcPr>
            <w:tcW w:w="13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t>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57" w:lineRule="auto" w:before="141"/>
        <w:ind w:left="573" w:right="6473"/>
        <w:jc w:val="left"/>
      </w:pPr>
      <w:r>
        <w:rPr>
          <w:spacing w:val="-2"/>
        </w:rPr>
        <w:t>（</w:t>
      </w:r>
      <w:r>
        <w:rPr>
          <w:rFonts w:ascii="Times New Roman" w:hAnsi="Times New Roman" w:cs="Times New Roman" w:eastAsia="Times New Roman" w:hint="default"/>
          <w:spacing w:val="-2"/>
        </w:rPr>
        <w:t>2</w:t>
      </w:r>
      <w:r>
        <w:rPr>
          <w:spacing w:val="-2"/>
        </w:rPr>
        <w:t>）本公司本期合并财务报表范围变化</w:t>
      </w:r>
      <w:r>
        <w:rPr>
          <w:spacing w:val="-72"/>
        </w:rPr>
        <w:t> </w:t>
      </w:r>
      <w:r>
        <w:rPr>
          <w:spacing w:val="-72"/>
        </w:rPr>
      </w:r>
      <w:r>
        <w:rPr/>
        <w:t>本期新增子公司：</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936"/>
        <w:gridCol w:w="4052"/>
        <w:gridCol w:w="2024"/>
        <w:gridCol w:w="2648"/>
      </w:tblGrid>
      <w:tr>
        <w:trPr>
          <w:trHeight w:val="348" w:hRule="exact"/>
        </w:trPr>
        <w:tc>
          <w:tcPr>
            <w:tcW w:w="936"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05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02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2648"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348" w:hRule="exact"/>
        </w:trPr>
        <w:tc>
          <w:tcPr>
            <w:tcW w:w="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405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贵州科大国创大数据科技有限公司</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贵州大数据</w:t>
            </w:r>
          </w:p>
        </w:tc>
        <w:tc>
          <w:tcPr>
            <w:tcW w:w="2648"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48" w:hRule="exact"/>
        </w:trPr>
        <w:tc>
          <w:tcPr>
            <w:tcW w:w="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405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安徽科大国创软件科技有限公司</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国创软件</w:t>
            </w:r>
          </w:p>
        </w:tc>
        <w:tc>
          <w:tcPr>
            <w:tcW w:w="2648"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348" w:hRule="exact"/>
        </w:trPr>
        <w:tc>
          <w:tcPr>
            <w:tcW w:w="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405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安徽贵博新能科技有限公司</w:t>
            </w:r>
          </w:p>
        </w:tc>
        <w:tc>
          <w:tcPr>
            <w:tcW w:w="202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贵博新能</w:t>
            </w:r>
          </w:p>
        </w:tc>
        <w:tc>
          <w:tcPr>
            <w:tcW w:w="2648"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33"/>
        <w:jc w:val="left"/>
      </w:pPr>
      <w:r>
        <w:rPr>
          <w:spacing w:val="-2"/>
        </w:rPr>
        <w:t>本公司以持续经营为基础，根据实际发生的交易和事项，按照企业会计准则及其应用指南和准则解释的规</w:t>
      </w:r>
      <w:r>
        <w:rPr>
          <w:spacing w:val="-43"/>
        </w:rPr>
        <w:t> </w:t>
      </w:r>
      <w:r>
        <w:rPr>
          <w:spacing w:val="-43"/>
        </w:rPr>
      </w:r>
      <w:r>
        <w:rPr/>
        <w:t>定进行确认和计量，在此基础上编制财务报表。</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3"/>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w:t>
      </w:r>
      <w:r>
        <w:rPr>
          <w:spacing w:val="-41"/>
        </w:rPr>
        <w:t> </w:t>
      </w:r>
      <w:r>
        <w:rPr>
          <w:spacing w:val="-41"/>
        </w:rPr>
      </w:r>
      <w:r>
        <w:rPr/>
        <w:t>司以持续经营为基础编制财务报表是合理的。</w:t>
      </w:r>
    </w:p>
    <w:p>
      <w:pPr>
        <w:spacing w:after="0" w:line="25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9"/>
        <w:ind w:left="153" w:right="82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273" w:lineRule="auto" w:before="86"/>
        <w:ind w:right="1133"/>
        <w:jc w:val="left"/>
      </w:pPr>
      <w:r>
        <w:rPr>
          <w:spacing w:val="-2"/>
        </w:rPr>
        <w:t>本公司下列重要会计政策、会计估计根据企业会计准则制定。未提及的业务按企业会计准则中相关会计政</w:t>
      </w:r>
      <w:r>
        <w:rPr>
          <w:spacing w:val="-43"/>
        </w:rPr>
        <w:t> </w:t>
      </w:r>
      <w:r>
        <w:rPr>
          <w:spacing w:val="-43"/>
        </w:rPr>
      </w:r>
      <w:r>
        <w:rPr/>
        <w:t>策执行。</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3"/>
        <w:jc w:val="left"/>
      </w:pPr>
      <w:r>
        <w:rPr>
          <w:spacing w:val="-2"/>
        </w:rPr>
        <w:t>本公司所编制的财务报表符合企业会计准则的要求，真实、完整地反映了公司的财务状况、经营成果、所</w:t>
      </w:r>
      <w:r>
        <w:rPr>
          <w:spacing w:val="-44"/>
        </w:rPr>
        <w:t> </w:t>
      </w:r>
      <w:r>
        <w:rPr>
          <w:spacing w:val="-44"/>
        </w:rPr>
      </w:r>
      <w:r>
        <w:rPr/>
        <w:t>有者权益变动和现金流量等有关信息。</w:t>
      </w:r>
    </w:p>
    <w:p>
      <w:pPr>
        <w:spacing w:line="240" w:lineRule="auto" w:before="7"/>
        <w:rPr>
          <w:rFonts w:ascii="宋体" w:hAnsi="宋体" w:cs="宋体" w:eastAsia="宋体" w:hint="default"/>
          <w:sz w:val="23"/>
          <w:szCs w:val="23"/>
        </w:rPr>
      </w:pPr>
    </w:p>
    <w:p>
      <w:pPr>
        <w:spacing w:line="506" w:lineRule="auto" w:before="0"/>
        <w:ind w:left="153" w:right="62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3"/>
        <w:ind w:right="1133"/>
        <w:jc w:val="left"/>
      </w:pPr>
      <w:r>
        <w:rPr/>
        <w:t>本公司正常营业周期为一年。</w:t>
      </w:r>
    </w:p>
    <w:p>
      <w:pPr>
        <w:spacing w:line="240" w:lineRule="auto" w:before="10"/>
        <w:rPr>
          <w:rFonts w:ascii="宋体" w:hAnsi="宋体" w:cs="宋体" w:eastAsia="宋体" w:hint="default"/>
          <w:sz w:val="25"/>
          <w:szCs w:val="25"/>
        </w:rPr>
      </w:pPr>
    </w:p>
    <w:p>
      <w:pPr>
        <w:spacing w:line="520" w:lineRule="auto" w:before="0"/>
        <w:ind w:left="153" w:right="26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本公司的记账本位币为人民币，境外子公司以所在国家或地区的货币为记账本位币。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357" w:lineRule="auto" w:before="49"/>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本公司在企业合并中取得的资产和负债，在合并日按取得被合并方在最终控制方合并财务报表中的账</w:t>
      </w:r>
    </w:p>
    <w:p>
      <w:pPr>
        <w:pStyle w:val="BodyText"/>
        <w:spacing w:line="209" w:lineRule="exact"/>
        <w:ind w:right="0"/>
        <w:jc w:val="left"/>
      </w:pPr>
      <w:r>
        <w:rPr/>
        <w:t>面价值计量。其中，对于被合并方与本公司在企业合并前采用的会计政策不同的，基于重要性原则统一会</w:t>
      </w:r>
    </w:p>
    <w:p>
      <w:pPr>
        <w:pStyle w:val="BodyText"/>
        <w:spacing w:line="273" w:lineRule="auto" w:before="37"/>
        <w:ind w:right="0"/>
        <w:jc w:val="left"/>
      </w:pPr>
      <w:r>
        <w:rPr>
          <w:spacing w:val="-2"/>
        </w:rPr>
        <w:t>计政策，即按照本公司的会计政策对被合并方资产、负债的账面价值进行调整。本公司在企业合并中取得</w:t>
      </w:r>
      <w:r>
        <w:rPr>
          <w:spacing w:val="-43"/>
        </w:rPr>
        <w:t> </w:t>
      </w:r>
      <w:r>
        <w:rPr>
          <w:spacing w:val="-43"/>
        </w:rPr>
      </w:r>
      <w:r>
        <w:rPr>
          <w:spacing w:val="-5"/>
        </w:rPr>
        <w:t>的净资产账面价值与所支付对价的账面价值之间存在差额的，首先调整资本公积（资本溢价或股本溢价）， </w:t>
      </w:r>
      <w:r>
        <w:rPr>
          <w:spacing w:val="-5"/>
        </w:rPr>
      </w:r>
      <w:r>
        <w:rPr/>
        <w:t>资本公积（资本溢价或股本溢价）的余额不足冲减的，依次冲减盈余公积和未分配利润。</w:t>
      </w:r>
    </w:p>
    <w:p>
      <w:pPr>
        <w:spacing w:line="357" w:lineRule="auto" w:before="12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本公司在企业合并中取得的被购买方各项可辨认资产和负债，在购买日按其公允价值计量。其中，对</w:t>
      </w:r>
    </w:p>
    <w:p>
      <w:pPr>
        <w:pStyle w:val="BodyText"/>
        <w:spacing w:line="209" w:lineRule="exact"/>
        <w:ind w:right="0"/>
        <w:jc w:val="left"/>
      </w:pPr>
      <w:r>
        <w:rPr/>
        <w:t>于被购买方与本公司在企业合并前采用的会计政策不同的，基于重要性原则统一会计政策，即按照本公司</w:t>
      </w:r>
    </w:p>
    <w:p>
      <w:pPr>
        <w:pStyle w:val="BodyText"/>
        <w:spacing w:line="273" w:lineRule="auto" w:before="37"/>
        <w:ind w:right="1126"/>
        <w:jc w:val="both"/>
      </w:pPr>
      <w:r>
        <w:rPr>
          <w:spacing w:val="-2"/>
        </w:rPr>
        <w:t>的会计政策对被购买方资产、负债的账面价值进行调整。本公司在购买日的合并成本大于企业合并中取得</w:t>
      </w:r>
      <w:r>
        <w:rPr>
          <w:spacing w:val="-43"/>
        </w:rPr>
        <w:t> </w:t>
      </w:r>
      <w:r>
        <w:rPr>
          <w:spacing w:val="-43"/>
        </w:rPr>
      </w:r>
      <w:r>
        <w:rPr>
          <w:spacing w:val="-2"/>
        </w:rPr>
        <w:t>的被购买方可辨认资产、负债公允价值的差额，确认为商誉；如果合并成本小于企业合并中取得的被购买</w:t>
      </w:r>
      <w:r>
        <w:rPr>
          <w:spacing w:val="-44"/>
        </w:rPr>
        <w:t> </w:t>
      </w:r>
      <w:r>
        <w:rPr>
          <w:spacing w:val="-44"/>
        </w:rPr>
      </w:r>
      <w:r>
        <w:rPr>
          <w:spacing w:val="-2"/>
        </w:rPr>
        <w:t>方可辨认资产、负债公允价值的差额，首先对合并成本以及在企业合并中取得的被购买方可辨认资产、负</w:t>
      </w:r>
      <w:r>
        <w:rPr>
          <w:spacing w:val="-43"/>
        </w:rPr>
        <w:t> </w:t>
      </w:r>
      <w:r>
        <w:rPr>
          <w:spacing w:val="-43"/>
        </w:rPr>
      </w:r>
      <w:r>
        <w:rPr>
          <w:spacing w:val="-2"/>
        </w:rPr>
        <w:t>债的公允价值进行复核，经复核后合并成本仍小于取得的被购买方可辨认资产、负债公允价值的，其差额</w:t>
      </w:r>
      <w:r>
        <w:rPr>
          <w:spacing w:val="-42"/>
        </w:rPr>
        <w:t> </w:t>
      </w:r>
      <w:r>
        <w:rPr>
          <w:spacing w:val="-42"/>
        </w:rPr>
      </w:r>
      <w:r>
        <w:rPr/>
        <w:t>确认为合并当期损益。</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134" w:right="8116"/>
        <w:jc w:val="center"/>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256" w:lineRule="auto" w:before="141"/>
        <w:ind w:right="1133" w:firstLine="42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不仅包括根据表决权（或类似表决权）本身或者结</w:t>
      </w:r>
      <w:r>
        <w:rPr>
          <w:w w:val="100"/>
        </w:rPr>
        <w:t> </w:t>
      </w:r>
      <w:r>
        <w:rPr/>
        <w:t>合其他安排确定的子公司，也包括基于一项或多项合同安排决定的结构化主体。</w:t>
      </w:r>
    </w:p>
    <w:p>
      <w:pPr>
        <w:pStyle w:val="BodyText"/>
        <w:spacing w:line="273" w:lineRule="auto" w:before="142"/>
        <w:ind w:right="1126" w:firstLine="420"/>
        <w:jc w:val="both"/>
      </w:pPr>
      <w:r>
        <w:rPr>
          <w:spacing w:val="-2"/>
        </w:rPr>
        <w:t>控制是指本公司拥有对被投资方的权力，通过参与被投资方的相关活动而享有可变回报，并且有能力</w:t>
      </w:r>
      <w:r>
        <w:rPr>
          <w:w w:val="100"/>
        </w:rPr>
        <w:t> </w:t>
      </w:r>
      <w:r>
        <w:rPr>
          <w:spacing w:val="-2"/>
        </w:rPr>
        <w:t>运用对被投资方的权力影响其回报金额。子公司是指被本公司控制的主体（含企业、被投资单位中可分割</w:t>
      </w:r>
      <w:r>
        <w:rPr>
          <w:spacing w:val="-44"/>
        </w:rPr>
        <w:t> </w:t>
      </w:r>
      <w:r>
        <w:rPr>
          <w:spacing w:val="-44"/>
        </w:rPr>
      </w:r>
      <w:r>
        <w:rPr>
          <w:spacing w:val="-2"/>
        </w:rPr>
        <w:t>的部分，以及企业所控制的结构化主体等），结构化主体是指在确定其控制方时没有将表决权或类似权利</w:t>
      </w:r>
      <w:r>
        <w:rPr>
          <w:spacing w:val="-43"/>
        </w:rPr>
        <w:t> </w:t>
      </w:r>
      <w:r>
        <w:rPr>
          <w:spacing w:val="-43"/>
        </w:rPr>
      </w:r>
      <w:r>
        <w:rPr/>
        <w:t>作为决定性因素而设计的主体（注：有时也称为特殊目的主体）。</w:t>
      </w:r>
    </w:p>
    <w:p>
      <w:pPr>
        <w:pStyle w:val="BodyText"/>
        <w:spacing w:line="367" w:lineRule="auto" w:before="12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）合并财务报表的编制方法</w:t>
      </w:r>
      <w:r>
        <w:rPr>
          <w:rFonts w:ascii="宋体" w:hAnsi="宋体" w:cs="宋体" w:eastAsia="宋体" w:hint="default"/>
          <w:b/>
          <w:bCs/>
          <w:w w:val="100"/>
        </w:rPr>
        <w:t> </w:t>
      </w:r>
      <w:r>
        <w:rPr/>
        <w:t>本公司以自身和子公司的财务报表为基础，根据其他有关资料，编制合并财务报表。</w:t>
      </w:r>
      <w:r>
        <w:rPr>
          <w:w w:val="100"/>
        </w:rPr>
        <w:t> </w:t>
      </w:r>
      <w:r>
        <w:rPr>
          <w:spacing w:val="-2"/>
        </w:rPr>
        <w:t>本公司编制合并财务报表，将整个企业集团视为一个会计主体，依据相关企业会计准则的确认、计量</w:t>
      </w:r>
    </w:p>
    <w:p>
      <w:pPr>
        <w:pStyle w:val="BodyText"/>
        <w:spacing w:line="201" w:lineRule="exact"/>
        <w:ind w:right="1133"/>
        <w:jc w:val="left"/>
      </w:pPr>
      <w:r>
        <w:rPr/>
        <w:t>和列报要求，按照统一的会计政策，反映企业集团整体财务状况、经营成果和现金流量。</w:t>
      </w:r>
    </w:p>
    <w:p>
      <w:pPr>
        <w:pStyle w:val="BodyText"/>
        <w:spacing w:line="240" w:lineRule="auto" w:before="157"/>
        <w:ind w:left="573" w:right="1133"/>
        <w:jc w:val="left"/>
      </w:pPr>
      <w:r>
        <w:rPr/>
        <w:t>①合并母公司与子公司的资产、负债、所有者权益、收入、费用和现金流等项目。</w:t>
      </w:r>
    </w:p>
    <w:p>
      <w:pPr>
        <w:pStyle w:val="BodyText"/>
        <w:spacing w:line="240" w:lineRule="auto" w:before="157"/>
        <w:ind w:left="573" w:right="1133"/>
        <w:jc w:val="left"/>
      </w:pPr>
      <w:r>
        <w:rPr/>
        <w:t>②抵销母公司对子公司的长期股权投资与母公司在子公司所有者权益中所享有的份额。</w:t>
      </w:r>
    </w:p>
    <w:p>
      <w:pPr>
        <w:pStyle w:val="BodyText"/>
        <w:spacing w:line="273" w:lineRule="auto" w:before="157"/>
        <w:ind w:right="1133" w:firstLine="420"/>
        <w:jc w:val="left"/>
      </w:pPr>
      <w:r>
        <w:rPr>
          <w:spacing w:val="-2"/>
        </w:rPr>
        <w:t>③抵销母公司与子公司、子公司相互之间发生的内部交易的影响。内部交易表明相关资产发生减值损</w:t>
      </w:r>
      <w:r>
        <w:rPr>
          <w:w w:val="100"/>
        </w:rPr>
        <w:t> </w:t>
      </w:r>
      <w:r>
        <w:rPr/>
        <w:t>失的，应当全额确认该部分损失。</w:t>
      </w:r>
    </w:p>
    <w:p>
      <w:pPr>
        <w:pStyle w:val="BodyText"/>
        <w:spacing w:line="240" w:lineRule="auto" w:before="127"/>
        <w:ind w:left="573" w:right="1133"/>
        <w:jc w:val="left"/>
      </w:pPr>
      <w:r>
        <w:rPr/>
        <w:t>④站在企业集团角度对特殊交易事项予以调整。</w:t>
      </w:r>
    </w:p>
    <w:p>
      <w:pPr>
        <w:pStyle w:val="Heading3"/>
        <w:spacing w:line="240" w:lineRule="auto" w:before="157"/>
        <w:ind w:left="575" w:right="1133"/>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141"/>
        <w:ind w:left="573" w:right="1133"/>
        <w:jc w:val="left"/>
      </w:pPr>
      <w:r>
        <w:rPr/>
        <w:t>①增加子公司或业务</w:t>
      </w:r>
    </w:p>
    <w:p>
      <w:pPr>
        <w:pStyle w:val="BodyText"/>
        <w:spacing w:line="240" w:lineRule="auto" w:before="157"/>
        <w:ind w:left="573" w:right="1133"/>
        <w:jc w:val="left"/>
      </w:pPr>
      <w:r>
        <w:rPr>
          <w:rFonts w:ascii="Times New Roman" w:hAnsi="Times New Roman" w:cs="Times New Roman" w:eastAsia="Times New Roman" w:hint="default"/>
        </w:rPr>
        <w:t>A.</w:t>
      </w:r>
      <w:r>
        <w:rPr/>
        <w:t>同一控制下企业合并增加的子公司或业务</w:t>
      </w:r>
    </w:p>
    <w:p>
      <w:pPr>
        <w:pStyle w:val="BodyText"/>
        <w:spacing w:line="256" w:lineRule="auto" w:before="141"/>
        <w:ind w:right="0" w:firstLine="420"/>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）编制合并资产负债表时，调整合并资产负债表的期初数，同时对比较报表的相关项目进行调整，</w:t>
      </w:r>
      <w:r>
        <w:rPr>
          <w:w w:val="100"/>
        </w:rPr>
        <w:t> </w:t>
      </w:r>
      <w:r>
        <w:rPr/>
        <w:t>视同合并后的报告主体自最终控制方开始控制时点起一直存在。</w:t>
      </w:r>
    </w:p>
    <w:p>
      <w:pPr>
        <w:pStyle w:val="BodyText"/>
        <w:spacing w:line="264" w:lineRule="auto" w:before="142"/>
        <w:ind w:right="1133" w:firstLine="42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w:t>
      </w:r>
      <w:r>
        <w:rPr>
          <w:w w:val="100"/>
        </w:rPr>
        <w:t> </w:t>
      </w:r>
      <w:r>
        <w:rPr>
          <w:spacing w:val="-2"/>
        </w:rPr>
        <w:t>并利润表，同时对比较报表的相关项目进行调整，视同合并后的报告主体自最终控制方开始控制时点起一</w:t>
      </w:r>
      <w:r>
        <w:rPr>
          <w:spacing w:val="-42"/>
        </w:rPr>
        <w:t> </w:t>
      </w:r>
      <w:r>
        <w:rPr>
          <w:spacing w:val="-42"/>
        </w:rPr>
      </w:r>
      <w:r>
        <w:rPr/>
        <w:t>直存在。</w:t>
      </w:r>
    </w:p>
    <w:p>
      <w:pPr>
        <w:pStyle w:val="BodyText"/>
        <w:spacing w:line="264" w:lineRule="auto" w:before="136"/>
        <w:ind w:right="1133" w:firstLine="42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w:t>
      </w:r>
      <w:r>
        <w:rPr>
          <w:w w:val="100"/>
        </w:rPr>
        <w:t> </w:t>
      </w:r>
      <w:r>
        <w:rPr>
          <w:spacing w:val="-2"/>
        </w:rPr>
        <w:t>金流量表，同时对比较报表的相关项目进行调整，视同合并后的报告主体自最终控制方开始控制时点起一</w:t>
      </w:r>
      <w:r>
        <w:rPr>
          <w:spacing w:val="-42"/>
        </w:rPr>
        <w:t> </w:t>
      </w:r>
      <w:r>
        <w:rPr>
          <w:spacing w:val="-42"/>
        </w:rPr>
      </w:r>
      <w:r>
        <w:rPr/>
        <w:t>直存在。</w:t>
      </w:r>
    </w:p>
    <w:p>
      <w:pPr>
        <w:pStyle w:val="BodyText"/>
        <w:spacing w:line="240" w:lineRule="auto" w:before="136"/>
        <w:ind w:left="573" w:right="1133"/>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141"/>
        <w:ind w:left="573" w:right="1133"/>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56" w:lineRule="auto" w:before="141"/>
        <w:ind w:right="1133" w:firstLine="420"/>
        <w:jc w:val="left"/>
      </w:pPr>
      <w:r>
        <w:rPr>
          <w:spacing w:val="-2"/>
        </w:rPr>
        <w:t>（</w:t>
      </w:r>
      <w:r>
        <w:rPr>
          <w:rFonts w:ascii="Times New Roman" w:hAnsi="Times New Roman" w:cs="Times New Roman" w:eastAsia="Times New Roman" w:hint="default"/>
          <w:spacing w:val="-2"/>
        </w:rPr>
        <w:t>b</w:t>
      </w:r>
      <w:r>
        <w:rPr>
          <w:spacing w:val="-2"/>
        </w:rPr>
        <w:t>）编制合并利润表时，将该子公司以及业务购买日至报告期末的收入、费用、利润纳入合并利润</w:t>
      </w:r>
      <w:r>
        <w:rPr>
          <w:w w:val="100"/>
        </w:rPr>
        <w:t> </w:t>
      </w:r>
      <w:r>
        <w:rPr/>
        <w:t>表。</w:t>
      </w:r>
    </w:p>
    <w:p>
      <w:pPr>
        <w:pStyle w:val="BodyText"/>
        <w:spacing w:line="240" w:lineRule="auto" w:before="142"/>
        <w:ind w:left="573" w:right="1133"/>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141"/>
        <w:ind w:left="573" w:right="1133"/>
        <w:jc w:val="left"/>
      </w:pPr>
      <w:r>
        <w:rPr/>
        <w:t>②处置子公司或业务</w:t>
      </w:r>
    </w:p>
    <w:p>
      <w:pPr>
        <w:pStyle w:val="BodyText"/>
        <w:spacing w:line="240" w:lineRule="auto" w:before="154"/>
        <w:ind w:left="573" w:right="1133"/>
        <w:jc w:val="left"/>
      </w:pPr>
      <w:r>
        <w:rPr>
          <w:rFonts w:ascii="Times New Roman" w:hAnsi="Times New Roman" w:cs="Times New Roman" w:eastAsia="Times New Roman" w:hint="default"/>
        </w:rPr>
        <w:t>A.</w:t>
      </w:r>
      <w:r>
        <w:rPr/>
        <w:t>编制合并资产负债表时，不调整合并资产负债表的期初数。</w:t>
      </w:r>
    </w:p>
    <w:p>
      <w:pPr>
        <w:spacing w:after="0" w:line="240" w:lineRule="auto"/>
        <w:jc w:val="left"/>
        <w:sectPr>
          <w:footerReference w:type="default" r:id="rId14"/>
          <w:pgSz w:w="11910" w:h="16840"/>
          <w:pgMar w:footer="979" w:header="745" w:top="1060" w:bottom="1160" w:left="980" w:right="0"/>
        </w:sectPr>
      </w:pPr>
    </w:p>
    <w:p>
      <w:pPr>
        <w:spacing w:line="240" w:lineRule="auto" w:before="10"/>
        <w:rPr>
          <w:rFonts w:ascii="宋体" w:hAnsi="宋体" w:cs="宋体" w:eastAsia="宋体" w:hint="default"/>
          <w:sz w:val="24"/>
          <w:szCs w:val="24"/>
        </w:rPr>
      </w:pPr>
    </w:p>
    <w:p>
      <w:pPr>
        <w:pStyle w:val="BodyText"/>
        <w:spacing w:line="357" w:lineRule="auto" w:before="36"/>
        <w:ind w:left="573" w:right="1133"/>
        <w:jc w:val="left"/>
      </w:pPr>
      <w:r>
        <w:rPr>
          <w:rFonts w:ascii="Times New Roman" w:hAnsi="Times New Roman" w:cs="Times New Roman" w:eastAsia="Times New Roman" w:hint="default"/>
          <w:spacing w:val="-2"/>
        </w:rPr>
        <w:t>B.</w:t>
      </w:r>
      <w:r>
        <w:rPr>
          <w:spacing w:val="-2"/>
        </w:rPr>
        <w:t>编制合并利润表时，将该子公司以及业务期初至处置日的收入、费用、利润纳入合并利润表。</w:t>
      </w:r>
      <w:r>
        <w:rPr>
          <w:spacing w:val="-26"/>
        </w:rPr>
        <w:t> </w:t>
      </w:r>
      <w:r>
        <w:rPr>
          <w:spacing w:val="-26"/>
        </w:rPr>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3"/>
        <w:spacing w:line="240" w:lineRule="auto" w:before="27"/>
        <w:ind w:left="575" w:right="1133"/>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273" w:lineRule="auto" w:before="141"/>
        <w:ind w:right="1126" w:firstLine="420"/>
        <w:jc w:val="both"/>
      </w:pPr>
      <w:r>
        <w:rPr>
          <w:spacing w:val="-2"/>
        </w:rPr>
        <w:t>①子公司持有本公司的长期股权投资，应当视为本公司的库存股，作为所有者权益的减项，在合并资</w:t>
      </w:r>
      <w:r>
        <w:rPr>
          <w:w w:val="100"/>
        </w:rPr>
        <w:t> </w:t>
      </w:r>
      <w:r>
        <w:rPr/>
        <w:t>产负债表中所有者权益项目下以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273" w:lineRule="auto" w:before="108"/>
        <w:ind w:right="1126" w:firstLine="420"/>
        <w:jc w:val="both"/>
      </w:pPr>
      <w:r>
        <w:rPr>
          <w:spacing w:val="-2"/>
        </w:rPr>
        <w:t>子公司相互之间持有的长期股权投资，比照本公司对子公司的股权投资的抵销方法，将长期股权投资</w:t>
      </w:r>
      <w:r>
        <w:rPr>
          <w:w w:val="100"/>
        </w:rPr>
        <w:t> </w:t>
      </w:r>
      <w:r>
        <w:rPr/>
        <w:t>与其对应的子公司所有者权益中所享有的份额相互抵销。</w:t>
      </w:r>
    </w:p>
    <w:p>
      <w:pPr>
        <w:pStyle w:val="BodyText"/>
        <w:spacing w:line="264" w:lineRule="auto" w:before="127"/>
        <w:ind w:right="1126" w:firstLine="420"/>
        <w:jc w:val="both"/>
      </w:pPr>
      <w:r>
        <w:rPr>
          <w:spacing w:val="-2"/>
        </w:rPr>
        <w:t>②</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一般风险准备</w:t>
      </w:r>
      <w:r>
        <w:rPr>
          <w:rFonts w:ascii="Times New Roman" w:hAnsi="Times New Roman" w:cs="Times New Roman" w:eastAsia="Times New Roman" w:hint="default"/>
          <w:spacing w:val="-2"/>
        </w:rPr>
        <w:t>”</w:t>
      </w:r>
      <w:r>
        <w:rPr>
          <w:spacing w:val="-2"/>
        </w:rPr>
        <w:t>项目由于既不属于实收资本（或股本）、资本公积，也与留存收益、</w:t>
      </w:r>
      <w:r>
        <w:rPr>
          <w:w w:val="100"/>
        </w:rPr>
        <w:t> </w:t>
      </w:r>
      <w:r>
        <w:rPr>
          <w:spacing w:val="-2"/>
        </w:rPr>
        <w:t>未分配利润不同，在长期股权投资与子公司所有者权益相互抵销后，按归属于母公司所有者的份额予以恢</w:t>
      </w:r>
      <w:r>
        <w:rPr>
          <w:spacing w:val="-44"/>
        </w:rPr>
        <w:t> </w:t>
      </w:r>
      <w:r>
        <w:rPr>
          <w:spacing w:val="-44"/>
        </w:rPr>
      </w:r>
      <w:r>
        <w:rPr/>
        <w:t>复。</w:t>
      </w:r>
    </w:p>
    <w:p>
      <w:pPr>
        <w:pStyle w:val="BodyText"/>
        <w:spacing w:line="273" w:lineRule="auto" w:before="136"/>
        <w:ind w:right="1126" w:firstLine="420"/>
        <w:jc w:val="both"/>
      </w:pPr>
      <w:r>
        <w:rPr>
          <w:spacing w:val="-2"/>
        </w:rPr>
        <w:t>③因抵销未实现内部销售损益导致合并资产负债表中资产、负债的账面价值与其在所属纳税主体的计</w:t>
      </w:r>
      <w:r>
        <w:rPr>
          <w:w w:val="100"/>
        </w:rPr>
        <w:t> </w:t>
      </w:r>
      <w:r>
        <w:rPr>
          <w:spacing w:val="-2"/>
        </w:rPr>
        <w:t>税基础之间产生暂时性差异的，在合并资产负债表中确认递延所得税资产或递延所得税负债，同时调整合</w:t>
      </w:r>
      <w:r>
        <w:rPr>
          <w:spacing w:val="-43"/>
        </w:rPr>
        <w:t> </w:t>
      </w:r>
      <w:r>
        <w:rPr>
          <w:spacing w:val="-43"/>
        </w:rPr>
      </w:r>
      <w:r>
        <w:rPr/>
        <w:t>并利润表中的所得税费用，但与直接计入所有者权益的交易或事项及企业合并相关的递延所得税除外。</w:t>
      </w:r>
    </w:p>
    <w:p>
      <w:pPr>
        <w:pStyle w:val="BodyText"/>
        <w:spacing w:line="256" w:lineRule="auto" w:before="127"/>
        <w:ind w:right="1128" w:firstLine="420"/>
        <w:jc w:val="both"/>
      </w:pPr>
      <w:r>
        <w:rPr/>
        <w:t>④本公司向子公司出售资产所发生的未实现内部交易损益，应当全额抵销</w:t>
      </w:r>
      <w:r>
        <w:rPr>
          <w:rFonts w:ascii="Times New Roman" w:hAnsi="Times New Roman" w:cs="Times New Roman" w:eastAsia="Times New Roman" w:hint="default"/>
        </w:rPr>
        <w:t>“</w:t>
      </w:r>
      <w:r>
        <w:rPr/>
        <w:t>归属于母公司所有者的净</w:t>
      </w:r>
      <w:r>
        <w:rPr>
          <w:w w:val="100"/>
        </w:rPr>
        <w:t> </w:t>
      </w:r>
      <w:r>
        <w:rPr/>
        <w:t>利润</w:t>
      </w:r>
      <w:r>
        <w:rPr>
          <w:rFonts w:ascii="Times New Roman" w:hAnsi="Times New Roman" w:cs="Times New Roman" w:eastAsia="Times New Roman" w:hint="default"/>
        </w:rPr>
        <w:t>”</w:t>
      </w:r>
      <w:r>
        <w:rPr/>
        <w:t>。子公司向本公司出售资产所发生的未实现内部交易损益，应当按照本公司对该子公司的分配比例</w:t>
      </w:r>
      <w:r>
        <w:rPr>
          <w:w w:val="100"/>
        </w:rPr>
        <w:t> </w:t>
      </w:r>
      <w:r>
        <w:rPr>
          <w:spacing w:val="-2"/>
        </w:rPr>
        <w:t>在</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w:t>
      </w:r>
      <w:r>
        <w:rPr>
          <w:spacing w:val="-19"/>
        </w:rPr>
        <w:t> </w:t>
      </w:r>
      <w:r>
        <w:rPr>
          <w:spacing w:val="-19"/>
        </w:rPr>
      </w:r>
      <w:r>
        <w:rPr>
          <w:spacing w:val="-4"/>
          <w:w w:val="100"/>
        </w:rPr>
        <w:t>内部交易损益，应当按照本公司对出售方子公司的分配比例在</w:t>
      </w:r>
      <w:r>
        <w:rPr>
          <w:rFonts w:ascii="Times New Roman" w:hAnsi="Times New Roman" w:cs="Times New Roman" w:eastAsia="Times New Roman" w:hint="default"/>
          <w:spacing w:val="-4"/>
          <w:w w:val="100"/>
        </w:rPr>
        <w:t>“</w:t>
      </w:r>
      <w:r>
        <w:rPr>
          <w:spacing w:val="-4"/>
          <w:w w:val="100"/>
        </w:rPr>
        <w:t>归属于母公司所有者的净利润</w:t>
      </w:r>
      <w:r>
        <w:rPr>
          <w:rFonts w:ascii="Times New Roman" w:hAnsi="Times New Roman" w:cs="Times New Roman" w:eastAsia="Times New Roman" w:hint="default"/>
          <w:spacing w:val="-4"/>
          <w:w w:val="100"/>
        </w:rPr>
        <w:t>”</w:t>
      </w:r>
      <w:r>
        <w:rPr>
          <w:spacing w:val="-4"/>
          <w:w w:val="100"/>
        </w:rPr>
        <w:t>和</w:t>
      </w:r>
      <w:r>
        <w:rPr>
          <w:rFonts w:ascii="Times New Roman" w:hAnsi="Times New Roman" w:cs="Times New Roman" w:eastAsia="Times New Roman" w:hint="default"/>
          <w:spacing w:val="-4"/>
          <w:w w:val="100"/>
        </w:rPr>
        <w:t>“</w:t>
      </w:r>
      <w:r>
        <w:rPr>
          <w:spacing w:val="-4"/>
          <w:w w:val="100"/>
        </w:rPr>
        <w:t>少数股东</w:t>
      </w:r>
      <w:r>
        <w:rPr>
          <w:spacing w:val="-72"/>
          <w:w w:val="100"/>
        </w:rPr>
        <w:t> </w:t>
      </w:r>
      <w:r>
        <w:rPr>
          <w:spacing w:val="-72"/>
          <w:w w:val="100"/>
        </w:rPr>
      </w:r>
      <w:r>
        <w:rPr/>
        <w:t>损益</w:t>
      </w:r>
      <w:r>
        <w:rPr>
          <w:rFonts w:ascii="Times New Roman" w:hAnsi="Times New Roman" w:cs="Times New Roman" w:eastAsia="Times New Roman" w:hint="default"/>
        </w:rPr>
        <w:t>”</w:t>
      </w:r>
      <w:r>
        <w:rPr/>
        <w:t>之间分配抵销。</w:t>
      </w:r>
    </w:p>
    <w:p>
      <w:pPr>
        <w:pStyle w:val="BodyText"/>
        <w:spacing w:line="273" w:lineRule="auto" w:before="125"/>
        <w:ind w:right="1126" w:firstLine="420"/>
        <w:jc w:val="both"/>
      </w:pPr>
      <w:r>
        <w:rPr>
          <w:spacing w:val="-2"/>
        </w:rPr>
        <w:t>⑤子公司少数股东分担的当期亏损超过了少数股东在该子公司期初所有者权益中所享有的份额的，其</w:t>
      </w:r>
      <w:r>
        <w:rPr>
          <w:w w:val="100"/>
        </w:rPr>
        <w:t> </w:t>
      </w:r>
      <w:r>
        <w:rPr/>
        <w:t>余额仍应当冲减少数股东权益。</w:t>
      </w:r>
    </w:p>
    <w:p>
      <w:pPr>
        <w:pStyle w:val="Heading3"/>
        <w:spacing w:line="240" w:lineRule="auto" w:before="128"/>
        <w:ind w:left="575" w:right="1133"/>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432" w:lineRule="exact" w:before="41"/>
        <w:ind w:left="573" w:right="1133"/>
        <w:jc w:val="left"/>
      </w:pPr>
      <w:r>
        <w:rPr/>
        <w:t>①购买少数股东股权</w:t>
      </w:r>
      <w:r>
        <w:rPr>
          <w:w w:val="100"/>
        </w:rPr>
        <w:t> </w:t>
      </w:r>
      <w:r>
        <w:rPr>
          <w:spacing w:val="-2"/>
        </w:rPr>
        <w:t>本公司购买子公司少数股东拥有的子公司股权，在个别财务报表中，购买少数股权新取得的长期股权</w:t>
      </w:r>
    </w:p>
    <w:p>
      <w:pPr>
        <w:pStyle w:val="BodyText"/>
        <w:spacing w:line="255" w:lineRule="exact"/>
        <w:ind w:right="0"/>
        <w:jc w:val="left"/>
      </w:pPr>
      <w:r>
        <w:rPr/>
        <w:t>投资的投资成本按照所支付对价的公允价值计量。在合并财务报表中，因购买少数股权新取得的长期股权</w:t>
      </w:r>
    </w:p>
    <w:p>
      <w:pPr>
        <w:pStyle w:val="BodyText"/>
        <w:spacing w:line="273" w:lineRule="auto" w:before="37"/>
        <w:ind w:right="1133"/>
        <w:jc w:val="left"/>
      </w:pPr>
      <w:r>
        <w:rPr>
          <w:spacing w:val="-2"/>
        </w:rPr>
        <w:t>投资与按照新增持股比例计算应享有子公司自购买日或合并日开始持续计算的净资产份额之间的差额，应</w:t>
      </w:r>
      <w:r>
        <w:rPr>
          <w:spacing w:val="-43"/>
        </w:rPr>
        <w:t> </w:t>
      </w:r>
      <w:r>
        <w:rPr>
          <w:spacing w:val="-43"/>
        </w:rPr>
      </w:r>
      <w:r>
        <w:rPr/>
        <w:t>当调整资本公积（资本溢价或股本溢价），资本公积不足冲减的，依次冲减盈余公积和未分配利润。</w:t>
      </w:r>
    </w:p>
    <w:p>
      <w:pPr>
        <w:pStyle w:val="BodyText"/>
        <w:spacing w:line="240" w:lineRule="auto" w:before="127"/>
        <w:ind w:left="573" w:right="1133"/>
        <w:jc w:val="left"/>
      </w:pPr>
      <w:r>
        <w:rPr/>
        <w:t>②通过多次交易分步取得子公司控制权的</w:t>
      </w:r>
    </w:p>
    <w:p>
      <w:pPr>
        <w:pStyle w:val="BodyText"/>
        <w:spacing w:line="430" w:lineRule="atLeast" w:before="18"/>
        <w:ind w:left="573" w:right="1133"/>
        <w:jc w:val="left"/>
      </w:pPr>
      <w:r>
        <w:rPr>
          <w:rFonts w:ascii="Times New Roman" w:hAnsi="Times New Roman" w:cs="Times New Roman" w:eastAsia="Times New Roman" w:hint="default"/>
        </w:rPr>
        <w:t>A.</w:t>
      </w:r>
      <w:r>
        <w:rPr/>
        <w:t>通过多次交易分步实现同一控制下企业合并</w:t>
      </w:r>
      <w:r>
        <w:rPr>
          <w:w w:val="100"/>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w:t>
      </w:r>
    </w:p>
    <w:p>
      <w:pPr>
        <w:pStyle w:val="BodyText"/>
        <w:spacing w:line="273" w:lineRule="auto" w:before="22"/>
        <w:ind w:right="0"/>
        <w:jc w:val="left"/>
      </w:pPr>
      <w:r>
        <w:rPr>
          <w:spacing w:val="-2"/>
        </w:rPr>
        <w:t>表中，在合并日之前的每次交易中，股权投资均确认为长期股权投资且其初始投资成本按照所对应的持股</w:t>
      </w:r>
      <w:r>
        <w:rPr>
          <w:spacing w:val="-42"/>
        </w:rPr>
        <w:t> </w:t>
      </w:r>
      <w:r>
        <w:rPr>
          <w:spacing w:val="-42"/>
        </w:rPr>
      </w:r>
      <w:r>
        <w:rPr>
          <w:spacing w:val="-2"/>
        </w:rPr>
        <w:t>比例计算的对被合并方净资产在最终控制方合并财务报表中的账面价值份额确定，长期股权投资的初始成</w:t>
      </w:r>
      <w:r>
        <w:rPr>
          <w:spacing w:val="-43"/>
        </w:rPr>
        <w:t> </w:t>
      </w:r>
      <w:r>
        <w:rPr>
          <w:spacing w:val="-43"/>
        </w:rPr>
      </w:r>
      <w:r>
        <w:rPr>
          <w:spacing w:val="-5"/>
        </w:rPr>
        <w:t>本与支付对价的账面价值的差额调整资本公积（资本溢价或股本溢价），资本公积（资本溢价或股本溢价）</w:t>
      </w:r>
      <w:r>
        <w:rPr>
          <w:spacing w:val="-8"/>
        </w:rPr>
        <w:t> </w:t>
      </w:r>
      <w:r>
        <w:rPr>
          <w:spacing w:val="-8"/>
        </w:rPr>
      </w:r>
      <w:r>
        <w:rPr>
          <w:spacing w:val="-2"/>
        </w:rPr>
        <w:t>不足冲减的，依次冲减盈余公积和未分配利润。在后续计量时，长期股权投资按照成本法核算，但不涉及</w:t>
      </w:r>
      <w:r>
        <w:rPr>
          <w:spacing w:val="-50"/>
        </w:rPr>
        <w:t> </w:t>
      </w:r>
      <w:r>
        <w:rPr>
          <w:spacing w:val="-50"/>
        </w:rPr>
      </w:r>
      <w:r>
        <w:rPr>
          <w:spacing w:val="-2"/>
        </w:rPr>
        <w:t>合并财务报表编制问题。在合并日，本公司对子公司的长期股权投资初始成本按照对子公司累计持股比例</w:t>
      </w:r>
      <w:r>
        <w:rPr>
          <w:spacing w:val="-42"/>
        </w:rPr>
        <w:t> </w:t>
      </w:r>
      <w:r>
        <w:rPr>
          <w:spacing w:val="-42"/>
        </w:rPr>
      </w:r>
      <w:r>
        <w:rPr>
          <w:spacing w:val="-2"/>
        </w:rPr>
        <w:t>计算的对被合并方净资产在最终控制方合并财务报表中的账面价值份额确定，初始投资成本与达到合并前</w:t>
      </w:r>
      <w:r>
        <w:rPr>
          <w:spacing w:val="-43"/>
        </w:rPr>
        <w:t> </w:t>
      </w:r>
      <w:r>
        <w:rPr>
          <w:spacing w:val="-43"/>
        </w:rPr>
      </w:r>
      <w:r>
        <w:rPr/>
        <w:t>的长期股权投资账面价值加上合并日取得进一步股份新支付对价的账面价值之和的差额，调整资本公积</w:t>
      </w:r>
    </w:p>
    <w:p>
      <w:pPr>
        <w:pStyle w:val="BodyText"/>
        <w:spacing w:line="273" w:lineRule="auto" w:before="7"/>
        <w:ind w:right="1126"/>
        <w:jc w:val="both"/>
      </w:pPr>
      <w:r>
        <w:rPr>
          <w:spacing w:val="-2"/>
        </w:rPr>
        <w:t>（资本溢价或股本溢价），资本公积（资本溢价或股本溢价）不足冲减的，依次冲减盈余公积和未分配利</w:t>
      </w:r>
      <w:r>
        <w:rPr>
          <w:spacing w:val="-43"/>
        </w:rPr>
        <w:t> </w:t>
      </w:r>
      <w:r>
        <w:rPr>
          <w:spacing w:val="-43"/>
        </w:rPr>
      </w:r>
      <w:r>
        <w:rPr>
          <w:spacing w:val="-2"/>
        </w:rPr>
        <w:t>润。同时编制合并日的合并财务报表，并且本公司在合并财务报表中，视同参与合并的各方在最终控制方</w:t>
      </w:r>
      <w:r>
        <w:rPr>
          <w:spacing w:val="-42"/>
        </w:rPr>
        <w:t> </w:t>
      </w:r>
      <w:r>
        <w:rPr>
          <w:spacing w:val="-42"/>
        </w:rPr>
      </w:r>
      <w:r>
        <w:rPr/>
        <w:t>开始控制时即以目前的状态存在进行调整。</w:t>
      </w:r>
    </w:p>
    <w:p>
      <w:pPr>
        <w:spacing w:after="0" w:line="273" w:lineRule="auto"/>
        <w:jc w:val="both"/>
        <w:sectPr>
          <w:footerReference w:type="default" r:id="rId15"/>
          <w:pgSz w:w="11910" w:h="16840"/>
          <w:pgMar w:footer="979" w:header="745" w:top="1060" w:bottom="1160" w:left="980" w:right="0"/>
          <w:pgNumType w:start="101"/>
        </w:sectPr>
      </w:pPr>
    </w:p>
    <w:p>
      <w:pPr>
        <w:spacing w:line="240" w:lineRule="auto" w:before="10"/>
        <w:rPr>
          <w:rFonts w:ascii="宋体" w:hAnsi="宋体" w:cs="宋体" w:eastAsia="宋体" w:hint="default"/>
          <w:sz w:val="24"/>
          <w:szCs w:val="24"/>
        </w:rPr>
      </w:pPr>
    </w:p>
    <w:p>
      <w:pPr>
        <w:pStyle w:val="BodyText"/>
        <w:spacing w:line="256" w:lineRule="auto" w:before="36"/>
        <w:ind w:right="1125" w:firstLine="420"/>
        <w:jc w:val="both"/>
      </w:pPr>
      <w:r>
        <w:rPr>
          <w:spacing w:val="-2"/>
        </w:rPr>
        <w:t>各项交易的条款、条件以及经济影响符合下列一种或多种情况的，通常将多次交易作为</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进行会计处理：</w:t>
      </w:r>
    </w:p>
    <w:p>
      <w:pPr>
        <w:pStyle w:val="BodyText"/>
        <w:spacing w:line="240" w:lineRule="auto" w:before="142"/>
        <w:ind w:left="573" w:right="1133"/>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141"/>
        <w:ind w:left="573" w:right="1133"/>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141"/>
        <w:ind w:left="573" w:right="1133"/>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430" w:lineRule="atLeast" w:before="2"/>
        <w:ind w:left="573" w:right="1133"/>
        <w:jc w:val="left"/>
      </w:pPr>
      <w:r>
        <w:rPr/>
        <w:t>（</w:t>
      </w:r>
      <w:r>
        <w:rPr>
          <w:rFonts w:ascii="Times New Roman" w:hAnsi="Times New Roman" w:cs="Times New Roman" w:eastAsia="Times New Roman" w:hint="default"/>
        </w:rPr>
        <w:t>d</w:t>
      </w:r>
      <w:r>
        <w:rPr/>
        <w:t>）一项交易单独考虑时是不经济的，但是和其他交易一并考虑时是经济的。</w:t>
      </w:r>
      <w:r>
        <w:rPr>
          <w:w w:val="100"/>
        </w:rPr>
        <w:t>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w:t>
      </w:r>
    </w:p>
    <w:p>
      <w:pPr>
        <w:pStyle w:val="BodyText"/>
        <w:spacing w:line="273" w:lineRule="auto" w:before="21"/>
        <w:ind w:right="1126"/>
        <w:jc w:val="both"/>
      </w:pPr>
      <w:r>
        <w:rPr>
          <w:spacing w:val="-2"/>
        </w:rPr>
        <w:t>允价值确认为金融资产（以公允价值计量且其变动计入当期损益的金融资产或可供出售金融资产）或按照</w:t>
      </w:r>
      <w:r>
        <w:rPr>
          <w:spacing w:val="-44"/>
        </w:rPr>
        <w:t> </w:t>
      </w:r>
      <w:r>
        <w:rPr>
          <w:spacing w:val="-44"/>
        </w:rPr>
      </w:r>
      <w:r>
        <w:rPr>
          <w:spacing w:val="-2"/>
        </w:rPr>
        <w:t>权益法核算的长期股权投资。在合并日，本公司在个别财务报表中，根据合并后应享有的子公司净资产在</w:t>
      </w:r>
      <w:r>
        <w:rPr>
          <w:spacing w:val="-44"/>
        </w:rPr>
        <w:t> </w:t>
      </w:r>
      <w:r>
        <w:rPr>
          <w:spacing w:val="-44"/>
        </w:rPr>
      </w:r>
      <w:r>
        <w:rPr>
          <w:spacing w:val="-2"/>
        </w:rPr>
        <w:t>最终控制方合并财务报表中的账面价值的份额，确定长期股权投资的初始投资成本。合并日长期股权投资</w:t>
      </w:r>
      <w:r>
        <w:rPr>
          <w:spacing w:val="-44"/>
        </w:rPr>
        <w:t> </w:t>
      </w:r>
      <w:r>
        <w:rPr>
          <w:spacing w:val="-44"/>
        </w:rPr>
      </w:r>
      <w:r>
        <w:rPr>
          <w:spacing w:val="-2"/>
        </w:rPr>
        <w:t>的初始投资成本，与达到合并前的长期股权投资账面价值加上合并日进一步取得股份新支付对价的账面价</w:t>
      </w:r>
      <w:r>
        <w:rPr>
          <w:spacing w:val="-43"/>
        </w:rPr>
        <w:t> </w:t>
      </w:r>
      <w:r>
        <w:rPr>
          <w:spacing w:val="-43"/>
        </w:rPr>
      </w:r>
      <w:r>
        <w:rPr>
          <w:spacing w:val="-2"/>
        </w:rPr>
        <w:t>值之和的差额，调整资本公积（资本溢价或股本溢价），资本公积不足冲减的，依次冲减盈余公积和未分</w:t>
      </w:r>
      <w:r>
        <w:rPr>
          <w:spacing w:val="-43"/>
        </w:rPr>
        <w:t> </w:t>
      </w:r>
      <w:r>
        <w:rPr>
          <w:spacing w:val="-43"/>
        </w:rPr>
      </w:r>
      <w:r>
        <w:rPr/>
        <w:t>配利润。</w:t>
      </w:r>
    </w:p>
    <w:p>
      <w:pPr>
        <w:pStyle w:val="BodyText"/>
        <w:spacing w:line="273" w:lineRule="auto" w:before="127"/>
        <w:ind w:right="1126" w:firstLine="420"/>
        <w:jc w:val="both"/>
      </w:pPr>
      <w:r>
        <w:rPr>
          <w:spacing w:val="-2"/>
        </w:rPr>
        <w:t>本公司在合并财务报表中，视同参与合并的各方在最终控制方开始控制时即以目前的状态存在进行调</w:t>
      </w:r>
      <w:r>
        <w:rPr>
          <w:w w:val="100"/>
        </w:rPr>
        <w:t> </w:t>
      </w:r>
      <w:r>
        <w:rPr>
          <w:spacing w:val="-2"/>
        </w:rPr>
        <w:t>整，在编制合并财务报表时，以不早于合并方和被合并方处于最终控制方的控制之下的时点为限，将被合</w:t>
      </w:r>
      <w:r>
        <w:rPr>
          <w:spacing w:val="-44"/>
        </w:rPr>
        <w:t> </w:t>
      </w:r>
      <w:r>
        <w:rPr>
          <w:spacing w:val="-44"/>
        </w:rPr>
      </w:r>
      <w:r>
        <w:rPr>
          <w:spacing w:val="-2"/>
        </w:rPr>
        <w:t>并方的有关资产、负债并入合并方合并财务报表的比较报表中，并将合并增加的净资产在比较报表中调整</w:t>
      </w:r>
      <w:r>
        <w:rPr>
          <w:spacing w:val="-44"/>
        </w:rPr>
        <w:t> </w:t>
      </w:r>
      <w:r>
        <w:rPr>
          <w:spacing w:val="-44"/>
        </w:rPr>
      </w:r>
      <w:r>
        <w:rPr>
          <w:spacing w:val="-2"/>
        </w:rPr>
        <w:t>所有者权益项下的相关项目。因合并方的资本公积（资本溢价或股本溢价）余额不足，被合并方在合并前</w:t>
      </w:r>
      <w:r>
        <w:rPr>
          <w:spacing w:val="-47"/>
        </w:rPr>
        <w:t> </w:t>
      </w:r>
      <w:r>
        <w:rPr>
          <w:spacing w:val="-47"/>
        </w:rPr>
      </w:r>
      <w:r>
        <w:rPr>
          <w:spacing w:val="-2"/>
        </w:rPr>
        <w:t>实现的留存收益中归属于合并方的部分在合并财务报表中未予以全额恢复的，本公司在报表附注中对这一</w:t>
      </w:r>
      <w:r>
        <w:rPr>
          <w:spacing w:val="-43"/>
        </w:rPr>
        <w:t> </w:t>
      </w:r>
      <w:r>
        <w:rPr>
          <w:spacing w:val="-43"/>
        </w:rPr>
      </w:r>
      <w:r>
        <w:rPr>
          <w:spacing w:val="-2"/>
        </w:rPr>
        <w:t>情况进行说明，包括被合并方在合并前实现的留存收益金额、归属于本公司的金额及因资本公积余额不足</w:t>
      </w:r>
      <w:r>
        <w:rPr>
          <w:spacing w:val="-42"/>
        </w:rPr>
        <w:t> </w:t>
      </w:r>
      <w:r>
        <w:rPr>
          <w:spacing w:val="-42"/>
        </w:rPr>
      </w:r>
      <w:r>
        <w:rPr/>
        <w:t>在合并资产负债表中未转入留存收益的金额等。</w:t>
      </w:r>
    </w:p>
    <w:p>
      <w:pPr>
        <w:pStyle w:val="BodyText"/>
        <w:spacing w:line="273" w:lineRule="auto" w:before="128"/>
        <w:ind w:right="1126" w:firstLine="420"/>
        <w:jc w:val="both"/>
      </w:pPr>
      <w:r>
        <w:rPr>
          <w:spacing w:val="-2"/>
        </w:rPr>
        <w:t>合并方在取得被合并方控制权之前持有的股权投资且按权益法核算的，在取得原股权之日与合并方和</w:t>
      </w:r>
      <w:r>
        <w:rPr>
          <w:w w:val="100"/>
        </w:rPr>
        <w:t> </w:t>
      </w:r>
      <w:r>
        <w:rPr>
          <w:spacing w:val="-2"/>
        </w:rPr>
        <w:t>被合并方同处于同一方最终控制之日孰晚日起至合并日之间已确认有关损益、其他综合收益以及其他所有</w:t>
      </w:r>
      <w:r>
        <w:rPr>
          <w:spacing w:val="-43"/>
        </w:rPr>
        <w:t> </w:t>
      </w:r>
      <w:r>
        <w:rPr>
          <w:spacing w:val="-43"/>
        </w:rPr>
      </w:r>
      <w:r>
        <w:rPr/>
        <w:t>者权益变动，应分别冲减比较报表期间的期初留存收益。</w:t>
      </w:r>
    </w:p>
    <w:p>
      <w:pPr>
        <w:pStyle w:val="BodyText"/>
        <w:spacing w:line="432" w:lineRule="exact" w:before="27"/>
        <w:ind w:left="573" w:right="1133"/>
        <w:jc w:val="left"/>
      </w:pPr>
      <w:r>
        <w:rPr>
          <w:rFonts w:ascii="Times New Roman" w:hAnsi="Times New Roman" w:cs="Times New Roman" w:eastAsia="Times New Roman" w:hint="default"/>
        </w:rPr>
        <w:t>B.</w:t>
      </w:r>
      <w:r>
        <w:rPr/>
        <w:t>通过多次交易分步实现非同一控制下企业合并</w:t>
      </w:r>
      <w:r>
        <w:rPr>
          <w:w w:val="100"/>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w:t>
      </w:r>
    </w:p>
    <w:p>
      <w:pPr>
        <w:pStyle w:val="BodyText"/>
        <w:spacing w:line="255" w:lineRule="exact"/>
        <w:ind w:right="0"/>
        <w:jc w:val="both"/>
      </w:pPr>
      <w:r>
        <w:rPr/>
        <w:t>表中，在合并日之前的每次交易中，股权投资均确认为长期股权投资且其初始投资成本按照所支付对价的</w:t>
      </w:r>
    </w:p>
    <w:p>
      <w:pPr>
        <w:pStyle w:val="BodyText"/>
        <w:spacing w:line="273" w:lineRule="auto" w:before="37"/>
        <w:ind w:right="1126"/>
        <w:jc w:val="both"/>
      </w:pPr>
      <w:r>
        <w:rPr>
          <w:spacing w:val="-2"/>
        </w:rPr>
        <w:t>公允价值确定。在后续计量时，长期股权投资按照成本法核算，但不涉及合并财务报表编制问题。在合并</w:t>
      </w:r>
      <w:r>
        <w:rPr>
          <w:spacing w:val="-50"/>
        </w:rPr>
        <w:t> </w:t>
      </w:r>
      <w:r>
        <w:rPr>
          <w:spacing w:val="-50"/>
        </w:rPr>
      </w:r>
      <w:r>
        <w:rPr>
          <w:spacing w:val="-2"/>
        </w:rPr>
        <w:t>日，在个别财务报表中，按照原持有的长期股权投资的账面价值加上新增投资成本（进一步取得股份所支</w:t>
      </w:r>
      <w:r>
        <w:rPr>
          <w:spacing w:val="-42"/>
        </w:rPr>
        <w:t> </w:t>
      </w:r>
      <w:r>
        <w:rPr>
          <w:spacing w:val="-42"/>
        </w:rPr>
      </w:r>
      <w:r>
        <w:rPr>
          <w:spacing w:val="-2"/>
        </w:rPr>
        <w:t>付对价的公允价值）之和，作为合并日长期股权投资的初始投资成本。在合并财务报表中，初始投资成本</w:t>
      </w:r>
      <w:r>
        <w:rPr>
          <w:spacing w:val="-50"/>
        </w:rPr>
        <w:t> </w:t>
      </w:r>
      <w:r>
        <w:rPr>
          <w:spacing w:val="-50"/>
        </w:rPr>
      </w:r>
      <w:r>
        <w:rPr/>
        <w:t>与对子公司可辨认净资产公允价值所享有的份额进行抵销，差额确认为商誉或计入合并当期损益。</w:t>
      </w:r>
    </w:p>
    <w:p>
      <w:pPr>
        <w:pStyle w:val="BodyText"/>
        <w:spacing w:line="271" w:lineRule="auto" w:before="127"/>
        <w:ind w:right="1126" w:firstLine="420"/>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w:t>
      </w:r>
      <w:r>
        <w:rPr>
          <w:w w:val="100"/>
        </w:rPr>
        <w:t> </w:t>
      </w:r>
      <w:r>
        <w:rPr>
          <w:spacing w:val="-2"/>
        </w:rPr>
        <w:t>允价值确认为金融资产（以公允价值计量且其变动计入当期损益的金融资产或可供出售金融资产）或按照</w:t>
      </w:r>
      <w:r>
        <w:rPr>
          <w:spacing w:val="-44"/>
        </w:rPr>
        <w:t> </w:t>
      </w:r>
      <w:r>
        <w:rPr>
          <w:spacing w:val="-44"/>
        </w:rPr>
      </w:r>
      <w:r>
        <w:rPr>
          <w:spacing w:val="-2"/>
        </w:rPr>
        <w:t>权益法核算的长期股权投资。在合并日，在个别财务报表中，按照原持有的股权投资（金融资产或按照权</w:t>
      </w:r>
      <w:r>
        <w:rPr>
          <w:spacing w:val="-46"/>
        </w:rPr>
        <w:t> </w:t>
      </w:r>
      <w:r>
        <w:rPr>
          <w:spacing w:val="-46"/>
        </w:rPr>
      </w:r>
      <w:r>
        <w:rPr>
          <w:spacing w:val="-2"/>
        </w:rPr>
        <w:t>益法核算的长期股权投资）的账面价值加上新增投资成本之和，作为改按成本法核算长期股权投资的初始</w:t>
      </w:r>
      <w:r>
        <w:rPr>
          <w:spacing w:val="-44"/>
        </w:rPr>
        <w:t> </w:t>
      </w:r>
      <w:r>
        <w:rPr>
          <w:spacing w:val="-44"/>
        </w:rPr>
      </w:r>
      <w:r>
        <w:rPr>
          <w:spacing w:val="-2"/>
        </w:rPr>
        <w:t>成本。在合并财务报表中，对于购买日之前持有的被购买方的股权，按照该股权在购买日的公允价值进行</w:t>
      </w:r>
      <w:r>
        <w:rPr>
          <w:spacing w:val="-45"/>
        </w:rPr>
        <w:t> </w:t>
      </w:r>
      <w:r>
        <w:rPr>
          <w:spacing w:val="-45"/>
        </w:rPr>
      </w:r>
      <w:r>
        <w:rPr>
          <w:spacing w:val="-2"/>
        </w:rPr>
        <w:t>重新计量，公允价值与其账面价值的差额计入当期投资收益；购买日之前持有的被购买方的股权涉及权益</w:t>
      </w:r>
      <w:r>
        <w:rPr>
          <w:spacing w:val="-42"/>
        </w:rPr>
        <w:t> </w:t>
      </w:r>
      <w:r>
        <w:rPr>
          <w:spacing w:val="-42"/>
        </w:rPr>
      </w:r>
      <w:r>
        <w:rPr>
          <w:spacing w:val="-2"/>
        </w:rPr>
        <w:t>法核算下的其他综合收益等的，与其相关的其他综合收益等转为购买日所属当期收益，但由于被合并方重</w:t>
      </w:r>
      <w:r>
        <w:rPr>
          <w:spacing w:val="-42"/>
        </w:rPr>
        <w:t> </w:t>
      </w:r>
      <w:r>
        <w:rPr>
          <w:spacing w:val="-42"/>
        </w:rPr>
      </w:r>
      <w:r>
        <w:rPr>
          <w:spacing w:val="-2"/>
        </w:rPr>
        <w:t>新计量设定受益计划净资产或净负债变动而产生的其他综合收益除外。本公司在附注中披露其在购买日之</w:t>
      </w:r>
      <w:r>
        <w:rPr>
          <w:spacing w:val="-43"/>
        </w:rPr>
        <w:t> </w:t>
      </w:r>
      <w:r>
        <w:rPr>
          <w:spacing w:val="-43"/>
        </w:rPr>
      </w:r>
      <w:r>
        <w:rPr/>
        <w:t>前持有的被购买方的股权在购买日的公允价值、按照公允价值重新计量产生的相关利得或损失的金额。</w:t>
      </w:r>
    </w:p>
    <w:p>
      <w:pPr>
        <w:pStyle w:val="BodyText"/>
        <w:spacing w:line="240" w:lineRule="auto" w:before="130"/>
        <w:ind w:left="573" w:right="1133"/>
        <w:jc w:val="left"/>
      </w:pPr>
      <w:r>
        <w:rPr/>
        <w:t>③本公司处置对子公司长期股权投资但未丧失控制权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母公司在不丧失控制权的情况下部分处置对子公司的长期股权投资，在合并财务报表中，处置价款与</w:t>
      </w:r>
      <w:r>
        <w:rPr>
          <w:w w:val="100"/>
        </w:rPr>
        <w:t> </w:t>
      </w:r>
      <w:r>
        <w:rPr>
          <w:spacing w:val="-2"/>
        </w:rPr>
        <w:t>处置长期股权投资相对应享有子公司自购买日或合并日开始持续计算的净资产份额之间的差额，调整资本</w:t>
      </w:r>
      <w:r>
        <w:rPr>
          <w:spacing w:val="-43"/>
        </w:rPr>
        <w:t> </w:t>
      </w:r>
      <w:r>
        <w:rPr>
          <w:spacing w:val="-43"/>
        </w:rPr>
      </w:r>
      <w:r>
        <w:rPr/>
        <w:t>公积（资本溢价或股本溢价），资本公积不足冲减的，调整留存收益。</w:t>
      </w:r>
    </w:p>
    <w:p>
      <w:pPr>
        <w:pStyle w:val="BodyText"/>
        <w:spacing w:line="240" w:lineRule="auto" w:before="127"/>
        <w:ind w:left="573" w:right="1133"/>
        <w:jc w:val="left"/>
      </w:pPr>
      <w:r>
        <w:rPr/>
        <w:t>④本公司处置对子公司长期股权投资且丧失控制权</w:t>
      </w:r>
    </w:p>
    <w:p>
      <w:pPr>
        <w:pStyle w:val="BodyText"/>
        <w:spacing w:line="357" w:lineRule="auto" w:before="157"/>
        <w:ind w:left="573" w:right="1133"/>
        <w:jc w:val="left"/>
      </w:pPr>
      <w:r>
        <w:rPr>
          <w:rFonts w:ascii="Times New Roman" w:hAnsi="Times New Roman" w:cs="Times New Roman" w:eastAsia="Times New Roman" w:hint="default"/>
        </w:rPr>
        <w:t>A.</w:t>
      </w:r>
      <w:r>
        <w:rPr/>
        <w:t>一次交易处置</w:t>
      </w:r>
      <w:r>
        <w:rPr>
          <w:w w:val="100"/>
        </w:rPr>
        <w:t> </w:t>
      </w:r>
      <w:r>
        <w:rPr>
          <w:spacing w:val="-2"/>
        </w:rPr>
        <w:t>本公司因处置部分股权投资等原因丧失了对被投资方的控制权的，在编制合并财务报表时，对于剩余</w:t>
      </w:r>
    </w:p>
    <w:p>
      <w:pPr>
        <w:pStyle w:val="BodyText"/>
        <w:spacing w:line="209" w:lineRule="exact"/>
        <w:ind w:right="0"/>
        <w:jc w:val="both"/>
      </w:pPr>
      <w:r>
        <w:rPr/>
        <w:t>股权，按照其在丧失控制权日的公允价值进行重新计量。处置股权取得的对价与剩余股权公允价值之和，</w:t>
      </w:r>
    </w:p>
    <w:p>
      <w:pPr>
        <w:pStyle w:val="BodyText"/>
        <w:spacing w:line="273" w:lineRule="auto" w:before="37"/>
        <w:ind w:right="1104"/>
        <w:jc w:val="both"/>
      </w:pPr>
      <w:r>
        <w:rPr>
          <w:spacing w:val="-2"/>
        </w:rPr>
        <w:t>减去按原持股比例计算应享有原有子公司自购买日或合并日开始持续计算的净资产的份额之间的差额，计</w:t>
      </w:r>
      <w:r>
        <w:rPr>
          <w:spacing w:val="-43"/>
        </w:rPr>
        <w:t> </w:t>
      </w:r>
      <w:r>
        <w:rPr>
          <w:spacing w:val="-43"/>
        </w:rPr>
      </w:r>
      <w:r>
        <w:rPr>
          <w:spacing w:val="-2"/>
        </w:rPr>
        <w:t>入丧失控制权当期的投资收益，同时冲减商誉（注：如果原企业合并为非同一控制下的且存在商誉的）。</w:t>
      </w:r>
      <w:r>
        <w:rPr>
          <w:spacing w:val="-21"/>
        </w:rPr>
        <w:t> </w:t>
      </w:r>
      <w:r>
        <w:rPr>
          <w:spacing w:val="-21"/>
        </w:rPr>
      </w:r>
      <w:r>
        <w:rPr/>
        <w:t>与原有子公司股权投资相关的其他综合收益等，在丧失控制权时转为当期投资收益。</w:t>
      </w:r>
    </w:p>
    <w:p>
      <w:pPr>
        <w:pStyle w:val="BodyText"/>
        <w:spacing w:line="273" w:lineRule="auto" w:before="128"/>
        <w:ind w:right="1126" w:firstLine="420"/>
        <w:jc w:val="both"/>
      </w:pPr>
      <w:r>
        <w:rPr>
          <w:spacing w:val="-2"/>
        </w:rPr>
        <w:t>此外，与原子公司的股权投资相关的其他综合收益、其他所有者权益变动，在丧失控制权时转入当期</w:t>
      </w:r>
      <w:r>
        <w:rPr>
          <w:w w:val="100"/>
        </w:rPr>
        <w:t> </w:t>
      </w:r>
      <w:r>
        <w:rPr/>
        <w:t>损益，由于被投资方重新计量设定受益计划净负债或净资产变动而产生的其他综合收益除外。</w:t>
      </w:r>
    </w:p>
    <w:p>
      <w:pPr>
        <w:pStyle w:val="BodyText"/>
        <w:spacing w:line="357" w:lineRule="auto" w:before="127"/>
        <w:ind w:left="573" w:right="2653"/>
        <w:jc w:val="left"/>
      </w:pPr>
      <w:r>
        <w:rPr>
          <w:rFonts w:ascii="Times New Roman" w:hAnsi="Times New Roman" w:cs="Times New Roman" w:eastAsia="Times New Roman" w:hint="default"/>
        </w:rPr>
        <w:t>B.</w:t>
      </w:r>
      <w:r>
        <w:rPr/>
        <w:t>多次交易分步处置</w:t>
      </w:r>
      <w:r>
        <w:rPr>
          <w:w w:val="100"/>
        </w:rPr>
        <w:t> </w:t>
      </w:r>
      <w:r>
        <w:rPr>
          <w:spacing w:val="-2"/>
        </w:rPr>
        <w:t>在合并财务报表中，应首先判断分步交易是否属于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p>
    <w:p>
      <w:pPr>
        <w:pStyle w:val="BodyText"/>
        <w:spacing w:line="256" w:lineRule="auto" w:before="27"/>
        <w:ind w:right="1128" w:firstLine="420"/>
        <w:jc w:val="both"/>
      </w:pPr>
      <w:r>
        <w:rPr>
          <w:spacing w:val="-4"/>
        </w:rPr>
        <w:t>如果分步交易不属于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的，则在丧失对子公司控制权之前的各项交易，应按照</w:t>
      </w:r>
      <w:r>
        <w:rPr>
          <w:rFonts w:ascii="Times New Roman" w:hAnsi="Times New Roman" w:cs="Times New Roman" w:eastAsia="Times New Roman" w:hint="default"/>
          <w:spacing w:val="-4"/>
        </w:rPr>
        <w:t>“</w:t>
      </w:r>
      <w:r>
        <w:rPr>
          <w:spacing w:val="-4"/>
        </w:rPr>
        <w:t>母公司处置</w:t>
      </w:r>
      <w:r>
        <w:rPr>
          <w:w w:val="100"/>
        </w:rPr>
        <w:t> </w:t>
      </w:r>
      <w:r>
        <w:rPr/>
        <w:t>对子公司长期股权投资但未丧失控制权</w:t>
      </w:r>
      <w:r>
        <w:rPr>
          <w:rFonts w:ascii="Times New Roman" w:hAnsi="Times New Roman" w:cs="Times New Roman" w:eastAsia="Times New Roman" w:hint="default"/>
        </w:rPr>
        <w:t>”</w:t>
      </w:r>
      <w:r>
        <w:rPr/>
        <w:t>的有关规定处理。</w:t>
      </w:r>
    </w:p>
    <w:p>
      <w:pPr>
        <w:pStyle w:val="BodyText"/>
        <w:spacing w:line="264" w:lineRule="auto" w:before="125"/>
        <w:ind w:right="1126" w:firstLine="42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w:t>
      </w:r>
      <w:r>
        <w:rPr>
          <w:w w:val="100"/>
        </w:rPr>
        <w:t> </w:t>
      </w:r>
      <w:r>
        <w:rPr>
          <w:spacing w:val="-2"/>
        </w:rPr>
        <w:t>计处理；其中，对于丧失控制权之前每一次交易，处置价款与处置投资对应的享有该子公司净资产份额的</w:t>
      </w:r>
      <w:r>
        <w:rPr>
          <w:spacing w:val="-43"/>
        </w:rPr>
        <w:t> </w:t>
      </w:r>
      <w:r>
        <w:rPr>
          <w:spacing w:val="-43"/>
        </w:rPr>
      </w:r>
      <w:r>
        <w:rPr/>
        <w:t>差额，在合并财务报表中应当确认为其他综合收益，在丧失控制权时一并转入丧失控制权当期的损益。</w:t>
      </w:r>
    </w:p>
    <w:p>
      <w:pPr>
        <w:pStyle w:val="BodyText"/>
        <w:spacing w:line="432" w:lineRule="exact" w:before="36"/>
        <w:ind w:left="573" w:right="1133"/>
        <w:jc w:val="left"/>
      </w:pPr>
      <w:r>
        <w:rPr/>
        <w:t>⑤因子公司的少数股东增资而稀释母公司拥有的股权比例</w:t>
      </w:r>
      <w:r>
        <w:rPr>
          <w:w w:val="100"/>
        </w:rPr>
        <w:t> </w:t>
      </w:r>
      <w:r>
        <w:rPr>
          <w:spacing w:val="-3"/>
        </w:rPr>
        <w:t>子公司的其他股东（少数股东）对子公司进行增资，由此稀释了母公司对子公司的股权比例。在合并</w:t>
      </w:r>
    </w:p>
    <w:p>
      <w:pPr>
        <w:pStyle w:val="BodyText"/>
        <w:spacing w:line="255" w:lineRule="exact"/>
        <w:ind w:right="0"/>
        <w:jc w:val="both"/>
      </w:pPr>
      <w:r>
        <w:rPr/>
        <w:t>财务报表中，按照增资前的母公司股权比例计算其在增资前子公司账面净资产中的份额，该份额与增资后</w:t>
      </w:r>
    </w:p>
    <w:p>
      <w:pPr>
        <w:pStyle w:val="BodyText"/>
        <w:spacing w:line="273" w:lineRule="auto" w:before="37"/>
        <w:ind w:right="1126"/>
        <w:jc w:val="both"/>
      </w:pPr>
      <w:r>
        <w:rPr>
          <w:spacing w:val="-2"/>
        </w:rPr>
        <w:t>按照母公司持股比例计算的在增资后子公司账面净资产份额之间的差额调整资本公积（资本溢价或股本溢</w:t>
      </w:r>
      <w:r>
        <w:rPr>
          <w:spacing w:val="-43"/>
        </w:rPr>
        <w:t> </w:t>
      </w:r>
      <w:r>
        <w:rPr>
          <w:spacing w:val="-43"/>
        </w:rPr>
      </w:r>
      <w:r>
        <w:rPr/>
        <w:t>价），资本公积（资本溢价或股本溢价）不足冲减的，调整留存收益。</w:t>
      </w:r>
    </w:p>
    <w:p>
      <w:pPr>
        <w:spacing w:line="600" w:lineRule="atLeast" w:before="0"/>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合营安排，是指一项由两个或两个以上的参与方共同控制的安排。本公司合营安排分为共同经营和合</w:t>
      </w:r>
    </w:p>
    <w:p>
      <w:pPr>
        <w:pStyle w:val="BodyText"/>
        <w:spacing w:line="240" w:lineRule="auto" w:before="37"/>
        <w:ind w:right="0"/>
        <w:jc w:val="both"/>
      </w:pPr>
      <w:r>
        <w:rPr/>
        <w:t>营企业。</w:t>
      </w:r>
    </w:p>
    <w:p>
      <w:pPr>
        <w:pStyle w:val="BodyText"/>
        <w:spacing w:line="357" w:lineRule="auto" w:before="157"/>
        <w:ind w:left="573" w:right="265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100"/>
        </w:rPr>
        <w:t> </w:t>
      </w:r>
      <w:r>
        <w:rPr>
          <w:spacing w:val="-2"/>
        </w:rPr>
        <w:t>共同经营是指本公司享有该安排相关资产且承担该安排相关负债的合营安排。</w:t>
      </w:r>
    </w:p>
    <w:p>
      <w:pPr>
        <w:pStyle w:val="BodyText"/>
        <w:spacing w:line="273" w:lineRule="auto" w:before="54"/>
        <w:ind w:right="1140" w:firstLine="420"/>
        <w:jc w:val="both"/>
      </w:pPr>
      <w:r>
        <w:rPr>
          <w:spacing w:val="2"/>
        </w:rPr>
        <w:t>本公司确认其与共同经营中利益份额相关的下列项目，并按照相关企业会计准则的规定进行会计处</w:t>
      </w:r>
      <w:r>
        <w:rPr>
          <w:w w:val="100"/>
        </w:rPr>
        <w:t> </w:t>
      </w:r>
      <w:r>
        <w:rPr/>
        <w:t>理：</w:t>
      </w:r>
    </w:p>
    <w:p>
      <w:pPr>
        <w:pStyle w:val="BodyText"/>
        <w:spacing w:line="240" w:lineRule="auto" w:before="127"/>
        <w:ind w:left="573" w:right="1133"/>
        <w:jc w:val="left"/>
      </w:pPr>
      <w:r>
        <w:rPr/>
        <w:t>①</w:t>
      </w:r>
      <w:r>
        <w:rPr>
          <w:spacing w:val="-24"/>
        </w:rPr>
        <w:t> </w:t>
      </w:r>
      <w:r>
        <w:rPr/>
        <w:t>确认单独所持有的资产，以及按其份额确认共同持有的资产；</w:t>
      </w:r>
    </w:p>
    <w:p>
      <w:pPr>
        <w:pStyle w:val="BodyText"/>
        <w:spacing w:line="240" w:lineRule="auto" w:before="157"/>
        <w:ind w:left="573" w:right="1133"/>
        <w:jc w:val="left"/>
      </w:pPr>
      <w:r>
        <w:rPr/>
        <w:t>②</w:t>
      </w:r>
      <w:r>
        <w:rPr>
          <w:spacing w:val="-24"/>
        </w:rPr>
        <w:t> </w:t>
      </w:r>
      <w:r>
        <w:rPr/>
        <w:t>确认单独所承担的负债，以及按其份额确认共同承担的负债；</w:t>
      </w:r>
    </w:p>
    <w:p>
      <w:pPr>
        <w:pStyle w:val="BodyText"/>
        <w:spacing w:line="240" w:lineRule="auto" w:before="157"/>
        <w:ind w:left="573" w:right="1133"/>
        <w:jc w:val="left"/>
      </w:pPr>
      <w:r>
        <w:rPr/>
        <w:t>③</w:t>
      </w:r>
      <w:r>
        <w:rPr>
          <w:spacing w:val="-23"/>
        </w:rPr>
        <w:t> </w:t>
      </w:r>
      <w:r>
        <w:rPr/>
        <w:t>确认出售其享有的共同经营产出份额所产生的收入；</w:t>
      </w:r>
    </w:p>
    <w:p>
      <w:pPr>
        <w:pStyle w:val="BodyText"/>
        <w:spacing w:line="240" w:lineRule="auto" w:before="154"/>
        <w:ind w:left="573" w:right="1133"/>
        <w:jc w:val="left"/>
      </w:pPr>
      <w:r>
        <w:rPr/>
        <w:t>④</w:t>
      </w:r>
      <w:r>
        <w:rPr>
          <w:spacing w:val="-24"/>
        </w:rPr>
        <w:t> </w:t>
      </w:r>
      <w:r>
        <w:rPr/>
        <w:t>按其份额确认共同经营因出售产出所产生的收入；</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⑤</w:t>
      </w:r>
      <w:r>
        <w:rPr>
          <w:spacing w:val="-24"/>
        </w:rPr>
        <w:t> </w:t>
      </w:r>
      <w:r>
        <w:rPr/>
        <w:t>确认单独所发生的费用，以及按其份额确认共同经营发生的费用。</w:t>
      </w:r>
    </w:p>
    <w:p>
      <w:pPr>
        <w:spacing w:line="357" w:lineRule="auto" w:before="157"/>
        <w:ind w:left="573" w:right="42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）合营企业</w:t>
      </w:r>
      <w:r>
        <w:rPr>
          <w:rFonts w:ascii="宋体" w:hAnsi="宋体" w:cs="宋体" w:eastAsia="宋体" w:hint="default"/>
          <w:b/>
          <w:bCs/>
          <w:w w:val="100"/>
          <w:sz w:val="21"/>
          <w:szCs w:val="21"/>
        </w:rPr>
        <w:t> </w:t>
      </w:r>
      <w:r>
        <w:rPr>
          <w:rFonts w:ascii="宋体" w:hAnsi="宋体" w:cs="宋体" w:eastAsia="宋体" w:hint="default"/>
          <w:spacing w:val="-2"/>
          <w:sz w:val="21"/>
          <w:szCs w:val="21"/>
        </w:rPr>
        <w:t>合营企业是指本公司仅对该安排的净资产享有权利的合营安排。</w:t>
      </w:r>
    </w:p>
    <w:p>
      <w:pPr>
        <w:pStyle w:val="BodyText"/>
        <w:spacing w:line="250" w:lineRule="exact"/>
        <w:ind w:left="573" w:right="1133"/>
        <w:jc w:val="left"/>
      </w:pPr>
      <w:r>
        <w:rPr/>
        <w:t>本公司按照长期股权投资有关权益法核算的规定对合营企业的投资进行会计处理。</w:t>
      </w:r>
    </w:p>
    <w:p>
      <w:pPr>
        <w:spacing w:line="600" w:lineRule="atLeast" w:before="25"/>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现金指企业库存现金及可以随时用于支付的存款。现金等价物指持有的期限短（一般是指从购买日起</w:t>
      </w:r>
    </w:p>
    <w:p>
      <w:pPr>
        <w:pStyle w:val="BodyText"/>
        <w:spacing w:line="240" w:lineRule="auto" w:before="37"/>
        <w:ind w:right="0"/>
        <w:jc w:val="both"/>
      </w:pPr>
      <w:r>
        <w:rPr/>
        <w:t>三个月内到期）、流动性强、易于转换为已知金额现金、价值变动风险很小的投资。</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本公司外币交易初始确认时采用交易发生日的即期汇率或即期汇率的近似汇率折算为记账本位币。</w:t>
      </w:r>
    </w:p>
    <w:p>
      <w:pPr>
        <w:spacing w:line="357" w:lineRule="auto" w:before="54"/>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在资产负债表日，对于外币货币性项目，采用资产负债表日的即期汇率折算。因资产负债表日即期汇</w:t>
      </w:r>
    </w:p>
    <w:p>
      <w:pPr>
        <w:pStyle w:val="BodyText"/>
        <w:spacing w:line="209" w:lineRule="exact"/>
        <w:ind w:right="0"/>
        <w:jc w:val="both"/>
      </w:pPr>
      <w:r>
        <w:rPr/>
        <w:t>率与初始确认时或前一资产负债表日即期汇率不同而产生的汇兑差额，计入当期损益。</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）外币报表折算方法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对企业境外经营财务报表进行折算前先调整境外经营的会计期间和会计政策，使之与企业会计期间和</w:t>
      </w:r>
    </w:p>
    <w:p>
      <w:pPr>
        <w:pStyle w:val="BodyText"/>
        <w:spacing w:line="209" w:lineRule="exact"/>
        <w:ind w:right="0"/>
        <w:jc w:val="both"/>
      </w:pPr>
      <w:r>
        <w:rPr>
          <w:spacing w:val="-5"/>
        </w:rPr>
        <w:t>会计政策相一致，再根据调整后会计政策及会计期间编制相应货币（记账本位币以外的货币）的财务报表，</w:t>
      </w:r>
    </w:p>
    <w:p>
      <w:pPr>
        <w:pStyle w:val="BodyText"/>
        <w:spacing w:line="240" w:lineRule="auto" w:before="37"/>
        <w:ind w:right="0"/>
        <w:jc w:val="both"/>
      </w:pPr>
      <w:r>
        <w:rPr/>
        <w:t>再按照以下方法对境外经营财务报表进行折算：</w:t>
      </w:r>
    </w:p>
    <w:p>
      <w:pPr>
        <w:pStyle w:val="BodyText"/>
        <w:spacing w:line="256" w:lineRule="auto" w:before="157"/>
        <w:ind w:right="1133" w:firstLine="420"/>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25"/>
        <w:ind w:left="573" w:right="1133"/>
        <w:jc w:val="left"/>
      </w:pPr>
      <w:r>
        <w:rPr/>
        <w:t>②利润表中的收入和费用项目，采用交易发生日的即期汇率或即期汇率的近似汇率折算。</w:t>
      </w:r>
    </w:p>
    <w:p>
      <w:pPr>
        <w:pStyle w:val="BodyText"/>
        <w:spacing w:line="273" w:lineRule="auto" w:before="157"/>
        <w:ind w:right="1133" w:firstLine="420"/>
        <w:jc w:val="left"/>
      </w:pPr>
      <w:r>
        <w:rPr>
          <w:spacing w:val="-2"/>
        </w:rPr>
        <w:t>③产生的外币财务报表折算差额，在编制合并财务报表时，在合并资产负债表中所有者权益项目下单</w:t>
      </w:r>
      <w:r>
        <w:rPr>
          <w:w w:val="100"/>
        </w:rPr>
        <w:t> </w:t>
      </w:r>
      <w:r>
        <w:rPr/>
        <w:t>独列示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p>
    <w:p>
      <w:pPr>
        <w:pStyle w:val="BodyText"/>
        <w:spacing w:line="271" w:lineRule="auto" w:before="29"/>
        <w:ind w:right="1133" w:firstLine="420"/>
        <w:jc w:val="left"/>
      </w:pPr>
      <w:r>
        <w:rPr>
          <w:spacing w:val="-2"/>
        </w:rPr>
        <w:t>④外币现金流量以及境外子公司的现金流量，采用现金流量发生日的即期汇率或即期汇率的近似汇率</w:t>
      </w:r>
      <w:r>
        <w:rPr>
          <w:w w:val="100"/>
        </w:rPr>
        <w:t> </w:t>
      </w:r>
      <w:r>
        <w:rPr/>
        <w:t>折算。汇率变动对现金的影响额应当作为调节项目，在现金流量表中单独列报。</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432" w:lineRule="exact" w:before="41"/>
        <w:ind w:left="573" w:right="1133"/>
        <w:jc w:val="left"/>
      </w:pPr>
      <w:r>
        <w:rPr/>
        <w:t>①以公允价值计量且其变动计入当期损益的金融资产</w:t>
      </w:r>
      <w:r>
        <w:rPr>
          <w:w w:val="100"/>
        </w:rPr>
        <w:t> </w:t>
      </w:r>
      <w:r>
        <w:rPr>
          <w:spacing w:val="-2"/>
        </w:rPr>
        <w:t>包括交易性金融资产和直接指定为以公允价值计量且其变动计入当期损益的金融资产，前者主要是指</w:t>
      </w:r>
    </w:p>
    <w:p>
      <w:pPr>
        <w:pStyle w:val="BodyText"/>
        <w:spacing w:line="255" w:lineRule="exact"/>
        <w:ind w:right="0"/>
        <w:jc w:val="both"/>
      </w:pPr>
      <w:r>
        <w:rPr/>
        <w:t>本公司为了近期内出售而持有的股票、债券、基金以及不作为有效套期工具的衍生工具投资。这类资产在</w:t>
      </w:r>
    </w:p>
    <w:p>
      <w:pPr>
        <w:pStyle w:val="BodyText"/>
        <w:spacing w:line="273" w:lineRule="auto" w:before="37"/>
        <w:ind w:right="1126"/>
        <w:jc w:val="both"/>
      </w:pPr>
      <w:r>
        <w:rPr>
          <w:spacing w:val="-2"/>
        </w:rPr>
        <w:t>初始计量时按照取得时的公允价值作为初始确认金额，相关的交易费用在发生时计入当期损益。支付的价</w:t>
      </w:r>
      <w:r>
        <w:rPr>
          <w:spacing w:val="-43"/>
        </w:rPr>
        <w:t> </w:t>
      </w:r>
      <w:r>
        <w:rPr>
          <w:spacing w:val="-43"/>
        </w:rPr>
      </w:r>
      <w:r>
        <w:rPr>
          <w:spacing w:val="-2"/>
        </w:rPr>
        <w:t>款中包含已宣告但尚未发放的现金股利或已到付息但尚未领取的债券利息，单独确认为应收项目。在持有</w:t>
      </w:r>
      <w:r>
        <w:rPr>
          <w:spacing w:val="-43"/>
        </w:rPr>
        <w:t> </w:t>
      </w:r>
      <w:r>
        <w:rPr>
          <w:spacing w:val="-43"/>
        </w:rPr>
      </w:r>
      <w:r>
        <w:rPr>
          <w:spacing w:val="-2"/>
        </w:rPr>
        <w:t>期间取得利息或现金股利，确认为投资收益。资产负债表日，本公司将这类金融资产以公允价值计量且其</w:t>
      </w:r>
      <w:r>
        <w:rPr>
          <w:spacing w:val="-45"/>
        </w:rPr>
        <w:t> </w:t>
      </w:r>
      <w:r>
        <w:rPr>
          <w:spacing w:val="-45"/>
        </w:rPr>
      </w:r>
      <w:r>
        <w:rPr>
          <w:spacing w:val="-2"/>
        </w:rPr>
        <w:t>变动计入当期损益。这类金融资产在处置时，其公允价值与初始入账金额之间的差额确认为投资收益，同</w:t>
      </w:r>
      <w:r>
        <w:rPr>
          <w:spacing w:val="-42"/>
        </w:rPr>
        <w:t> </w:t>
      </w:r>
      <w:r>
        <w:rPr>
          <w:spacing w:val="-42"/>
        </w:rPr>
      </w:r>
      <w:r>
        <w:rPr/>
        <w:t>时调整公允价值变动损益。</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②持有至到期投资</w:t>
      </w:r>
    </w:p>
    <w:p>
      <w:pPr>
        <w:pStyle w:val="BodyText"/>
        <w:spacing w:line="273" w:lineRule="auto" w:before="157"/>
        <w:ind w:right="1126" w:firstLine="420"/>
        <w:jc w:val="both"/>
      </w:pPr>
      <w:r>
        <w:rPr>
          <w:spacing w:val="-2"/>
        </w:rPr>
        <w:t>主要是指到期日固定、回收金额固定或可确定，且本公司具有明确意图和能力持有至到期的国债、公</w:t>
      </w:r>
      <w:r>
        <w:rPr>
          <w:w w:val="100"/>
        </w:rPr>
        <w:t> </w:t>
      </w:r>
      <w:r>
        <w:rPr>
          <w:spacing w:val="-2"/>
        </w:rPr>
        <w:t>司债券等。这类金融资产按照取得时的公允价值和相关交易费用之和作为初始确认金额。支付价款中包含</w:t>
      </w:r>
      <w:r>
        <w:rPr>
          <w:spacing w:val="-43"/>
        </w:rPr>
        <w:t> </w:t>
      </w:r>
      <w:r>
        <w:rPr>
          <w:spacing w:val="-43"/>
        </w:rPr>
      </w:r>
      <w:r>
        <w:rPr>
          <w:spacing w:val="-2"/>
        </w:rPr>
        <w:t>的已到付息期但尚未发放的债券利息，单独确认为应收项目。持有至到期投资在持有期间按照摊余成本和</w:t>
      </w:r>
      <w:r>
        <w:rPr>
          <w:spacing w:val="-43"/>
        </w:rPr>
        <w:t> </w:t>
      </w:r>
      <w:r>
        <w:rPr>
          <w:spacing w:val="-43"/>
        </w:rPr>
      </w:r>
      <w:r>
        <w:rPr>
          <w:spacing w:val="-2"/>
        </w:rPr>
        <w:t>实际利率计算确认利息收入，计入投资收益。处置持有至到期投资时，将所取得价款与该投资账面价值之</w:t>
      </w:r>
      <w:r>
        <w:rPr>
          <w:spacing w:val="-43"/>
        </w:rPr>
        <w:t> </w:t>
      </w:r>
      <w:r>
        <w:rPr>
          <w:spacing w:val="-43"/>
        </w:rPr>
      </w:r>
      <w:r>
        <w:rPr/>
        <w:t>间的差额计入投资收益。</w:t>
      </w:r>
    </w:p>
    <w:p>
      <w:pPr>
        <w:pStyle w:val="BodyText"/>
        <w:spacing w:line="432" w:lineRule="exact" w:before="27"/>
        <w:ind w:left="573" w:right="1133"/>
        <w:jc w:val="left"/>
      </w:pPr>
      <w:r>
        <w:rPr/>
        <w:t>③应收款项</w:t>
      </w:r>
      <w:r>
        <w:rPr>
          <w:spacing w:val="-102"/>
        </w:rPr>
        <w:t> </w:t>
      </w:r>
      <w:r>
        <w:rPr>
          <w:spacing w:val="-102"/>
        </w:rPr>
      </w:r>
      <w:r>
        <w:rPr>
          <w:spacing w:val="-2"/>
        </w:rPr>
        <w:t>应收款项主要包括应收账款和其他应收款等。应收账款是指本公司销售商品或提供劳务形成的应收款</w:t>
      </w:r>
    </w:p>
    <w:p>
      <w:pPr>
        <w:pStyle w:val="BodyText"/>
        <w:spacing w:line="255" w:lineRule="exact"/>
        <w:ind w:right="1133"/>
        <w:jc w:val="left"/>
      </w:pPr>
      <w:r>
        <w:rPr/>
        <w:t>项。应收账款按从购货方应收的合同或协议价款作为初始确认金额。</w:t>
      </w:r>
    </w:p>
    <w:p>
      <w:pPr>
        <w:pStyle w:val="BodyText"/>
        <w:spacing w:line="432" w:lineRule="exact" w:before="57"/>
        <w:ind w:left="573" w:right="1133"/>
        <w:jc w:val="left"/>
      </w:pPr>
      <w:r>
        <w:rPr/>
        <w:t>④可供出售金融资产</w:t>
      </w:r>
      <w:r>
        <w:rPr>
          <w:w w:val="100"/>
        </w:rPr>
        <w:t> </w:t>
      </w:r>
      <w:r>
        <w:rPr>
          <w:spacing w:val="-2"/>
        </w:rPr>
        <w:t>主要是指本公司没有划分为以公允价值计量且其变动计入当期损益的金融资产、持有至到期投资、贷</w:t>
      </w:r>
    </w:p>
    <w:p>
      <w:pPr>
        <w:pStyle w:val="BodyText"/>
        <w:spacing w:line="255" w:lineRule="exact"/>
        <w:ind w:right="0"/>
        <w:jc w:val="left"/>
      </w:pPr>
      <w:r>
        <w:rPr/>
        <w:t>款和应收款项的金融资产。可供出售金融资产按照取得该金融资产的公允价值和相关交易费用之和作为初</w:t>
      </w:r>
    </w:p>
    <w:p>
      <w:pPr>
        <w:pStyle w:val="BodyText"/>
        <w:spacing w:line="273" w:lineRule="auto" w:before="37"/>
        <w:ind w:right="1133"/>
        <w:jc w:val="left"/>
      </w:pPr>
      <w:r>
        <w:rPr>
          <w:spacing w:val="-2"/>
        </w:rPr>
        <w:t>始确认金额。支付的价款中包含的已到付息期但尚未领取的债券利息或已宣告但尚未发放的现金股利，单</w:t>
      </w:r>
      <w:r>
        <w:rPr>
          <w:spacing w:val="-44"/>
        </w:rPr>
        <w:t> </w:t>
      </w:r>
      <w:r>
        <w:rPr>
          <w:spacing w:val="-44"/>
        </w:rPr>
      </w:r>
      <w:r>
        <w:rPr/>
        <w:t>独确认为应收项目。可供出售金融资产持有期间取得的利息或现金股利计入投资收益。</w:t>
      </w:r>
    </w:p>
    <w:p>
      <w:pPr>
        <w:pStyle w:val="BodyText"/>
        <w:spacing w:line="273" w:lineRule="auto" w:before="127"/>
        <w:ind w:right="1104" w:firstLine="420"/>
        <w:jc w:val="both"/>
      </w:pPr>
      <w:r>
        <w:rPr>
          <w:spacing w:val="-2"/>
        </w:rPr>
        <w:t>可供出售金融资产是外币货币性金融资产的，其形成的汇兑损益应当计入当期损益。采用实际利率法</w:t>
      </w:r>
      <w:r>
        <w:rPr>
          <w:w w:val="100"/>
        </w:rPr>
        <w:t> </w:t>
      </w:r>
      <w:r>
        <w:rPr>
          <w:spacing w:val="-2"/>
        </w:rPr>
        <w:t>计算的可供出售债务工具投资的利息，计入当期损益；可供出售权益工具投资的现金股利，在被投资单位</w:t>
      </w:r>
      <w:r>
        <w:rPr>
          <w:spacing w:val="-43"/>
        </w:rPr>
        <w:t> </w:t>
      </w:r>
      <w:r>
        <w:rPr>
          <w:spacing w:val="-43"/>
        </w:rPr>
      </w:r>
      <w:r>
        <w:rPr>
          <w:spacing w:val="-2"/>
        </w:rPr>
        <w:t>宣告发放股利时计入当期损益。资产负债表日，可供出售金融资产以公允价值计量，且其变动计入其他综</w:t>
      </w:r>
      <w:r>
        <w:rPr>
          <w:spacing w:val="-43"/>
        </w:rPr>
        <w:t> </w:t>
      </w:r>
      <w:r>
        <w:rPr>
          <w:spacing w:val="-43"/>
        </w:rPr>
      </w:r>
      <w:r>
        <w:rPr>
          <w:spacing w:val="-2"/>
        </w:rPr>
        <w:t>合收益。处置可供出售金融资产时，将取得的价款与该金融资产账面价值之间差额计入投资收益；同时，</w:t>
      </w:r>
      <w:r>
        <w:rPr>
          <w:spacing w:val="-21"/>
        </w:rPr>
        <w:t> </w:t>
      </w:r>
      <w:r>
        <w:rPr>
          <w:spacing w:val="-21"/>
        </w:rPr>
      </w:r>
      <w:r>
        <w:rPr/>
        <w:t>将原计入所有者权益的公允价值变动累计额对应处置部分的金额转出，计入投资收益。</w:t>
      </w:r>
    </w:p>
    <w:p>
      <w:pPr>
        <w:pStyle w:val="Heading3"/>
        <w:spacing w:line="240" w:lineRule="auto" w:before="127"/>
        <w:ind w:left="575" w:right="1133"/>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273" w:lineRule="auto" w:before="141"/>
        <w:ind w:right="1126" w:firstLine="420"/>
        <w:jc w:val="both"/>
      </w:pPr>
      <w:r>
        <w:rPr>
          <w:spacing w:val="-2"/>
        </w:rPr>
        <w:t>①以公允价值计量且其变动计入当期损益的金融负债，包括交易性金融负债和指定为以公允价值计量</w:t>
      </w:r>
      <w:r>
        <w:rPr>
          <w:w w:val="100"/>
        </w:rPr>
        <w:t> </w:t>
      </w:r>
      <w:r>
        <w:rPr>
          <w:spacing w:val="-2"/>
        </w:rPr>
        <w:t>且其变动计入当期损益的金融负债；这类金融负债初始确认时以公允价值计量，相关交易费用直接计入当</w:t>
      </w:r>
      <w:r>
        <w:rPr>
          <w:spacing w:val="-44"/>
        </w:rPr>
        <w:t> </w:t>
      </w:r>
      <w:r>
        <w:rPr>
          <w:spacing w:val="-44"/>
        </w:rPr>
      </w:r>
      <w:r>
        <w:rPr/>
        <w:t>期损益，资产负债表日将公允价值变动计入当期损益。</w:t>
      </w:r>
    </w:p>
    <w:p>
      <w:pPr>
        <w:pStyle w:val="BodyText"/>
        <w:spacing w:line="240" w:lineRule="auto" w:before="127"/>
        <w:ind w:left="573" w:right="1133"/>
        <w:jc w:val="left"/>
      </w:pPr>
      <w:r>
        <w:rPr/>
        <w:t>②其他金融负债，是指以公允价值计量且其变动计入当期损益的金融负债以外的金融负债。</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100"/>
          <w:sz w:val="21"/>
          <w:szCs w:val="21"/>
        </w:rPr>
        <w:t> </w:t>
      </w:r>
      <w:r>
        <w:rPr>
          <w:rFonts w:ascii="宋体" w:hAnsi="宋体" w:cs="宋体" w:eastAsia="宋体" w:hint="default"/>
          <w:spacing w:val="-2"/>
          <w:sz w:val="21"/>
          <w:szCs w:val="21"/>
        </w:rPr>
        <w:t>因持有意图或能力发生改变，使某项投资不再适合划分为持有至到期投资的，本公司将其重分类为可</w:t>
      </w:r>
    </w:p>
    <w:p>
      <w:pPr>
        <w:pStyle w:val="BodyText"/>
        <w:spacing w:line="209" w:lineRule="exact"/>
        <w:ind w:right="0"/>
        <w:jc w:val="left"/>
      </w:pPr>
      <w:r>
        <w:rPr/>
        <w:t>供出售金融资产，并以公允价值进行后续计量。持有至到期投资部分出售或重分类的金额较大，且不属于</w:t>
      </w:r>
    </w:p>
    <w:p>
      <w:pPr>
        <w:pStyle w:val="BodyText"/>
        <w:spacing w:line="264" w:lineRule="auto" w:before="37"/>
        <w:ind w:left="0" w:right="1107"/>
        <w:jc w:val="right"/>
      </w:pPr>
      <w:r>
        <w:rPr>
          <w:spacing w:val="-2"/>
        </w:rPr>
        <w:t>《企业会计准则第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金融工具确认和计量》第十六条所指的例外情况，使该投资的剩余部分不再适</w:t>
      </w:r>
      <w:r>
        <w:rPr>
          <w:spacing w:val="-83"/>
        </w:rPr>
        <w:t> </w:t>
      </w:r>
      <w:r>
        <w:rPr>
          <w:spacing w:val="-83"/>
        </w:rPr>
      </w:r>
      <w:r>
        <w:rPr>
          <w:spacing w:val="-2"/>
        </w:rPr>
        <w:t>合划分为持有至到期投资的，本公司应当将该投资的剩余部分重分类为可供出售金融资产，并以公允价值</w:t>
      </w:r>
      <w:r>
        <w:rPr>
          <w:spacing w:val="-83"/>
        </w:rPr>
        <w:t> </w:t>
      </w:r>
      <w:r>
        <w:rPr>
          <w:spacing w:val="-83"/>
        </w:rPr>
      </w:r>
      <w:r>
        <w:rPr>
          <w:spacing w:val="-2"/>
        </w:rPr>
        <w:t>进行后续计量，但在本会计年度及以后两个完整的会计年度内不再将该金融资产划分为持有至到期投资。</w:t>
      </w:r>
    </w:p>
    <w:p>
      <w:pPr>
        <w:pStyle w:val="BodyText"/>
        <w:spacing w:line="273" w:lineRule="auto" w:before="136"/>
        <w:ind w:right="1126" w:firstLine="420"/>
        <w:jc w:val="both"/>
      </w:pPr>
      <w:r>
        <w:rPr>
          <w:spacing w:val="-2"/>
        </w:rPr>
        <w:t>重分类日，该投资的账面价值与公允价值之间的差额计入其他综合收益，在该可供出售金融资产发生</w:t>
      </w:r>
      <w:r>
        <w:rPr>
          <w:w w:val="100"/>
        </w:rPr>
        <w:t> </w:t>
      </w:r>
      <w:r>
        <w:rPr/>
        <w:t>减值或终止确认时转出，计入当期损益。</w:t>
      </w:r>
    </w:p>
    <w:p>
      <w:pPr>
        <w:spacing w:line="357" w:lineRule="auto" w:before="127"/>
        <w:ind w:left="573" w:right="26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100"/>
          <w:sz w:val="21"/>
          <w:szCs w:val="21"/>
        </w:rPr>
        <w:t> </w:t>
      </w:r>
      <w:r>
        <w:rPr>
          <w:rFonts w:ascii="宋体" w:hAnsi="宋体" w:cs="宋体" w:eastAsia="宋体" w:hint="default"/>
          <w:spacing w:val="-2"/>
          <w:sz w:val="21"/>
          <w:szCs w:val="21"/>
        </w:rPr>
        <w:t>除特殊情况外，金融负债与权益工具按照下列原则进行区分：</w:t>
      </w:r>
    </w:p>
    <w:p>
      <w:pPr>
        <w:pStyle w:val="BodyText"/>
        <w:spacing w:line="273" w:lineRule="auto" w:before="54"/>
        <w:ind w:right="1126" w:firstLine="420"/>
        <w:jc w:val="both"/>
      </w:pPr>
      <w:r>
        <w:rPr>
          <w:spacing w:val="-2"/>
        </w:rPr>
        <w:t>①如果本公司不能无条件地避免以交付现金或其他金融资产来履行一项合同义务，则该合同义务符合</w:t>
      </w:r>
      <w:r>
        <w:rPr>
          <w:w w:val="100"/>
        </w:rPr>
        <w:t> </w:t>
      </w:r>
      <w:r>
        <w:rPr>
          <w:spacing w:val="-2"/>
        </w:rPr>
        <w:t>金融负债的定义。有些金融工具虽然没有明确地包含交付现金或其他金融资产义务的条款和条件，但有可</w:t>
      </w:r>
      <w:r>
        <w:rPr>
          <w:spacing w:val="-44"/>
        </w:rPr>
        <w:t> </w:t>
      </w:r>
      <w:r>
        <w:rPr>
          <w:spacing w:val="-44"/>
        </w:rPr>
      </w:r>
      <w:r>
        <w:rPr/>
        <w:t>能通过其他条款和条件间接地形成合同义务。</w:t>
      </w:r>
    </w:p>
    <w:p>
      <w:pPr>
        <w:pStyle w:val="BodyText"/>
        <w:spacing w:line="240" w:lineRule="auto" w:before="127"/>
        <w:ind w:left="573" w:right="0"/>
        <w:jc w:val="left"/>
      </w:pPr>
      <w:r>
        <w:rPr/>
        <w:t>②如果一项金融工具须用或可用本公司自身权益工具进行结算，需要考虑用于结算该工具的本公司自</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身权益工具，是作为现金或其他金融资产的替代品，还是为了使该工具持有方享有在发行方扣除所有负债</w:t>
      </w:r>
      <w:r>
        <w:rPr>
          <w:spacing w:val="-44"/>
        </w:rPr>
        <w:t> </w:t>
      </w:r>
      <w:r>
        <w:rPr>
          <w:spacing w:val="-44"/>
        </w:rPr>
      </w:r>
      <w:r>
        <w:rPr>
          <w:spacing w:val="-2"/>
        </w:rPr>
        <w:t>后的资产中的剩余权益。如果是前者，该工具是发行方的金融负债；如果是后者，该工具是发行方的权益</w:t>
      </w:r>
      <w:r>
        <w:rPr>
          <w:spacing w:val="-50"/>
        </w:rPr>
        <w:t> </w:t>
      </w:r>
      <w:r>
        <w:rPr>
          <w:spacing w:val="-50"/>
        </w:rPr>
      </w:r>
      <w:r>
        <w:rPr>
          <w:spacing w:val="-2"/>
        </w:rPr>
        <w:t>工具。在某些情况下，一项金融工具合同规定本公司须用或可用自身权益工具结算该金融工具，其中合同</w:t>
      </w:r>
      <w:r>
        <w:rPr>
          <w:spacing w:val="-43"/>
        </w:rPr>
        <w:t> </w:t>
      </w:r>
      <w:r>
        <w:rPr>
          <w:spacing w:val="-43"/>
        </w:rPr>
      </w:r>
      <w:r>
        <w:rPr>
          <w:spacing w:val="-2"/>
        </w:rPr>
        <w:t>权利或合同义务的金额等于可获取或需交付的自身权益工具的数量乘以其结算时的公允价值，则无论该合</w:t>
      </w:r>
      <w:r>
        <w:rPr>
          <w:spacing w:val="-42"/>
        </w:rPr>
        <w:t> </w:t>
      </w:r>
      <w:r>
        <w:rPr>
          <w:spacing w:val="-42"/>
        </w:rPr>
      </w:r>
      <w:r>
        <w:rPr>
          <w:spacing w:val="2"/>
        </w:rPr>
        <w:t>同权利或合同义务的金额是固定的，还是完全或部分地基于除本公司自身权益工具的市场价格以外变量</w:t>
      </w:r>
    </w:p>
    <w:p>
      <w:pPr>
        <w:pStyle w:val="BodyText"/>
        <w:spacing w:line="240" w:lineRule="auto" w:before="7"/>
        <w:ind w:right="0"/>
        <w:jc w:val="both"/>
      </w:pPr>
      <w:r>
        <w:rPr/>
        <w:t>（例如利率、某种商品的价格或某项金融工具的价格）的变动而变动，该合同分类为金融负债。</w:t>
      </w:r>
    </w:p>
    <w:p>
      <w:pPr>
        <w:spacing w:line="357" w:lineRule="auto" w:before="157"/>
        <w:ind w:left="573" w:right="64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）金融资产转移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54"/>
        <w:ind w:left="573" w:right="1133"/>
        <w:jc w:val="left"/>
      </w:pPr>
      <w:r>
        <w:rPr>
          <w:rFonts w:ascii="Times New Roman" w:hAnsi="Times New Roman" w:cs="Times New Roman" w:eastAsia="Times New Roman" w:hint="default"/>
        </w:rPr>
        <w:t>A.</w:t>
      </w:r>
      <w:r>
        <w:rPr/>
        <w:t>将收取金融资产现金流量的合同权利转移给另一方；</w:t>
      </w:r>
    </w:p>
    <w:p>
      <w:pPr>
        <w:pStyle w:val="BodyText"/>
        <w:spacing w:line="259" w:lineRule="auto" w:before="141"/>
        <w:ind w:right="1126" w:firstLine="420"/>
        <w:jc w:val="both"/>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w:t>
      </w:r>
      <w:r>
        <w:rPr>
          <w:w w:val="100"/>
        </w:rPr>
        <w:t> </w:t>
      </w:r>
      <w:r>
        <w:rPr/>
        <w:t>现金流量支付给一个或多个收款方的合同义务。</w:t>
      </w:r>
    </w:p>
    <w:p>
      <w:pPr>
        <w:pStyle w:val="BodyText"/>
        <w:spacing w:line="432" w:lineRule="exact" w:before="40"/>
        <w:ind w:left="573" w:right="1133"/>
        <w:jc w:val="left"/>
      </w:pPr>
      <w:r>
        <w:rPr/>
        <w:t>①终止确认所转移的金融资产</w:t>
      </w:r>
      <w:r>
        <w:rPr>
          <w:w w:val="100"/>
        </w:rPr>
        <w:t> </w:t>
      </w:r>
      <w:r>
        <w:rPr>
          <w:spacing w:val="-2"/>
        </w:rPr>
        <w:t>已将金融资产所有权上几乎所有的风险和报酬转移给转入方的，或既没有转移也没有保留金融资产所</w:t>
      </w:r>
    </w:p>
    <w:p>
      <w:pPr>
        <w:pStyle w:val="BodyText"/>
        <w:spacing w:line="255" w:lineRule="exact"/>
        <w:ind w:right="0"/>
        <w:jc w:val="both"/>
      </w:pPr>
      <w:r>
        <w:rPr/>
        <w:t>有权上几乎所有的风险和报酬的，但放弃了对该金融资产控制的，终止确认该金融资产。</w:t>
      </w:r>
    </w:p>
    <w:p>
      <w:pPr>
        <w:pStyle w:val="BodyText"/>
        <w:spacing w:line="273" w:lineRule="auto" w:before="157"/>
        <w:ind w:right="1126" w:firstLine="420"/>
        <w:jc w:val="both"/>
      </w:pPr>
      <w:r>
        <w:rPr>
          <w:spacing w:val="-2"/>
        </w:rPr>
        <w:t>在判断是否已放弃对所转移金融资产的控制时，注重转入方出售该金融资产的实际能力。转入方能够</w:t>
      </w:r>
      <w:r>
        <w:rPr>
          <w:w w:val="100"/>
        </w:rPr>
        <w:t> </w:t>
      </w:r>
      <w:r>
        <w:rPr>
          <w:spacing w:val="-2"/>
        </w:rPr>
        <w:t>单独将转入的金融资产整体出售给与其不存在关联方关系的第三方，且没有额外条件对此项出售加以限制</w:t>
      </w:r>
      <w:r>
        <w:rPr>
          <w:spacing w:val="-43"/>
        </w:rPr>
        <w:t> </w:t>
      </w:r>
      <w:r>
        <w:rPr>
          <w:spacing w:val="-43"/>
        </w:rPr>
      </w:r>
      <w:r>
        <w:rPr/>
        <w:t>的，表明企业已放弃对该金融资产的控制。</w:t>
      </w:r>
    </w:p>
    <w:p>
      <w:pPr>
        <w:pStyle w:val="BodyText"/>
        <w:spacing w:line="376" w:lineRule="auto" w:before="127"/>
        <w:ind w:left="573" w:right="1133"/>
        <w:jc w:val="left"/>
      </w:pP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p>
    <w:p>
      <w:pPr>
        <w:pStyle w:val="BodyText"/>
        <w:spacing w:line="256" w:lineRule="auto" w:before="8"/>
        <w:ind w:right="1126" w:firstLine="420"/>
        <w:jc w:val="both"/>
      </w:pP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w:t>
      </w:r>
      <w:r>
        <w:rPr>
          <w:w w:val="100"/>
        </w:rPr>
        <w:t> </w:t>
      </w:r>
      <w:r>
        <w:rPr/>
        <w:t>供出售金融资产的情形）之和。</w:t>
      </w:r>
    </w:p>
    <w:p>
      <w:pPr>
        <w:pStyle w:val="BodyText"/>
        <w:spacing w:line="273" w:lineRule="auto" w:before="142"/>
        <w:ind w:right="1126" w:firstLine="420"/>
        <w:jc w:val="both"/>
      </w:pPr>
      <w:r>
        <w:rPr>
          <w:spacing w:val="-2"/>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7"/>
        </w:rPr>
        <w:t> </w:t>
      </w:r>
      <w:r>
        <w:rPr>
          <w:spacing w:val="-47"/>
        </w:rPr>
      </w:r>
      <w:r>
        <w:rPr/>
        <w:t>对公允价值进行分摊，并将下列两项金额的差额计入当期损益：</w:t>
      </w:r>
    </w:p>
    <w:p>
      <w:pPr>
        <w:pStyle w:val="BodyText"/>
        <w:spacing w:line="432" w:lineRule="exact" w:before="27"/>
        <w:ind w:left="573" w:right="1133"/>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w:t>
      </w:r>
    </w:p>
    <w:p>
      <w:pPr>
        <w:pStyle w:val="BodyText"/>
        <w:spacing w:line="255" w:lineRule="exact"/>
        <w:ind w:right="0"/>
        <w:jc w:val="both"/>
      </w:pPr>
      <w:r>
        <w:rPr/>
        <w:t>（涉及转移的金融资产为可供出售金融资产的情形）之和。</w:t>
      </w:r>
    </w:p>
    <w:p>
      <w:pPr>
        <w:pStyle w:val="BodyText"/>
        <w:spacing w:line="432" w:lineRule="exact" w:before="57"/>
        <w:ind w:left="573" w:right="1133"/>
        <w:jc w:val="left"/>
      </w:pPr>
      <w:r>
        <w:rPr/>
        <w:t>②继续涉入所转移的金融资产</w:t>
      </w:r>
      <w:r>
        <w:rPr>
          <w:w w:val="100"/>
        </w:rPr>
        <w:t> </w:t>
      </w:r>
      <w:r>
        <w:rPr>
          <w:spacing w:val="-2"/>
        </w:rPr>
        <w:t>既没有转移也没有保留金融资产所有权上几乎所有的风险和报酬的，且未放弃对该金融资产控制的，</w:t>
      </w:r>
    </w:p>
    <w:p>
      <w:pPr>
        <w:pStyle w:val="BodyText"/>
        <w:spacing w:line="255" w:lineRule="exact"/>
        <w:ind w:right="0"/>
        <w:jc w:val="both"/>
      </w:pPr>
      <w:r>
        <w:rPr/>
        <w:t>应当按照其继续涉入所转移金融资产的程度确认有关金融资产，并相应确认有关负债。</w:t>
      </w:r>
    </w:p>
    <w:p>
      <w:pPr>
        <w:pStyle w:val="BodyText"/>
        <w:spacing w:line="240" w:lineRule="auto" w:before="157"/>
        <w:ind w:left="573" w:right="1133"/>
        <w:jc w:val="left"/>
      </w:pPr>
      <w:r>
        <w:rPr/>
        <w:t>继续涉入所转移金融资产的程度，是指该金融资产价值变动使企业面临的风险水平。</w:t>
      </w:r>
    </w:p>
    <w:p>
      <w:pPr>
        <w:pStyle w:val="BodyText"/>
        <w:spacing w:line="430" w:lineRule="atLeast" w:before="2"/>
        <w:ind w:left="573" w:right="1133"/>
        <w:jc w:val="left"/>
      </w:pPr>
      <w:r>
        <w:rPr/>
        <w:t>③继续确认所转移的金融资产</w:t>
      </w:r>
      <w:r>
        <w:rPr>
          <w:w w:val="100"/>
        </w:rPr>
        <w:t> </w:t>
      </w:r>
      <w:r>
        <w:rPr>
          <w:spacing w:val="-2"/>
        </w:rPr>
        <w:t>仍保留与所转移金融资产所有权上几乎所有的风险和报酬的，应当继续确认所转移金融资产整体，并</w:t>
      </w:r>
    </w:p>
    <w:p>
      <w:pPr>
        <w:pStyle w:val="BodyText"/>
        <w:spacing w:line="240" w:lineRule="auto" w:before="37"/>
        <w:ind w:right="0"/>
        <w:jc w:val="both"/>
      </w:pPr>
      <w:r>
        <w:rPr/>
        <w:t>将收到的对价确认为一项金融负债。</w:t>
      </w:r>
    </w:p>
    <w:p>
      <w:pPr>
        <w:pStyle w:val="BodyText"/>
        <w:spacing w:line="273" w:lineRule="auto" w:before="157"/>
        <w:ind w:right="1126" w:firstLine="420"/>
        <w:jc w:val="both"/>
      </w:pPr>
      <w:r>
        <w:rPr>
          <w:spacing w:val="-2"/>
        </w:rPr>
        <w:t>该金融资产与确认的相关金融负债不得相互抵销。在随后的会计期间，企业应当继续确认该金融资产</w:t>
      </w:r>
      <w:r>
        <w:rPr>
          <w:w w:val="100"/>
        </w:rPr>
        <w:t> </w:t>
      </w:r>
      <w:r>
        <w:rPr>
          <w:spacing w:val="-2"/>
        </w:rPr>
        <w:t>产生的收入和该金融负债产生的费用。所转移的金融资产以摊余成本计量的，确认的相关负债不得指定为</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以公允价值计量且其变动计入当期损益的金融负债。</w:t>
      </w:r>
    </w:p>
    <w:p>
      <w:pPr>
        <w:pStyle w:val="BodyText"/>
        <w:spacing w:line="367" w:lineRule="auto" w:before="15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）金融负债终止确认</w:t>
      </w:r>
      <w:r>
        <w:rPr>
          <w:rFonts w:ascii="宋体" w:hAnsi="宋体" w:cs="宋体" w:eastAsia="宋体" w:hint="default"/>
          <w:b/>
          <w:bCs/>
          <w:w w:val="100"/>
        </w:rPr>
        <w:t> </w:t>
      </w:r>
      <w:r>
        <w:rPr/>
        <w:t>金融负债的现时义务全部或部分已经解除的，终止确认该金融负债或其一部分。</w:t>
      </w:r>
      <w:r>
        <w:rPr>
          <w:w w:val="100"/>
        </w:rPr>
        <w:t> </w:t>
      </w:r>
      <w:r>
        <w:rPr>
          <w:spacing w:val="-2"/>
        </w:rPr>
        <w:t>将用于偿付金融负债的资产转入某个机构或设立信托，偿付债务的现时义务仍存在的，不终止确认该</w:t>
      </w:r>
    </w:p>
    <w:p>
      <w:pPr>
        <w:pStyle w:val="BodyText"/>
        <w:spacing w:line="201" w:lineRule="exact"/>
        <w:ind w:right="1133"/>
        <w:jc w:val="left"/>
      </w:pPr>
      <w:r>
        <w:rPr/>
        <w:t>金融负债，也不终止确认转出的资产。</w:t>
      </w:r>
    </w:p>
    <w:p>
      <w:pPr>
        <w:pStyle w:val="BodyText"/>
        <w:spacing w:line="273" w:lineRule="auto" w:before="157"/>
        <w:ind w:right="1133" w:firstLine="420"/>
        <w:jc w:val="left"/>
      </w:pPr>
      <w:r>
        <w:rPr>
          <w:spacing w:val="-2"/>
        </w:rPr>
        <w:t>与债权人之间签订协议，以承担新金融负债方式替换现存金融负债，且新金融负债与现存金融负债的</w:t>
      </w:r>
      <w:r>
        <w:rPr>
          <w:w w:val="100"/>
        </w:rPr>
        <w:t> </w:t>
      </w:r>
      <w:r>
        <w:rPr/>
        <w:t>合同条款实质上不同的，终止确认现存金融负债，并同时确认新金融负债。</w:t>
      </w:r>
    </w:p>
    <w:p>
      <w:pPr>
        <w:pStyle w:val="BodyText"/>
        <w:spacing w:line="273" w:lineRule="auto" w:before="127"/>
        <w:ind w:right="1133" w:firstLine="420"/>
        <w:jc w:val="left"/>
      </w:pPr>
      <w:r>
        <w:rPr>
          <w:spacing w:val="-2"/>
        </w:rPr>
        <w:t>对现存金融负债全部或部分的合同条款作出实质性修改的，终止确认现存金融负债或其一部分，同时</w:t>
      </w:r>
      <w:r>
        <w:rPr>
          <w:w w:val="100"/>
        </w:rPr>
        <w:t> </w:t>
      </w:r>
      <w:r>
        <w:rPr/>
        <w:t>将修改条款后的金融负债确认为一项新金融负债。</w:t>
      </w:r>
    </w:p>
    <w:p>
      <w:pPr>
        <w:pStyle w:val="BodyText"/>
        <w:spacing w:line="273" w:lineRule="auto" w:before="127"/>
        <w:ind w:right="1133" w:firstLine="420"/>
        <w:jc w:val="left"/>
      </w:pPr>
      <w:r>
        <w:rPr>
          <w:spacing w:val="-2"/>
        </w:rPr>
        <w:t>金融负债全部或部分终止确认的，将终止确认部分的账面价值与支付的对价（包括转出的非现金资产</w:t>
      </w:r>
      <w:r>
        <w:rPr>
          <w:w w:val="100"/>
        </w:rPr>
        <w:t> </w:t>
      </w:r>
      <w:r>
        <w:rPr/>
        <w:t>或承担的新金融负债）之间的差额，计入当期损益。</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金融资产和金融负债应当在资产负债表内分别列示，不得相互抵销。但同时满足下列条件的，以相互</w:t>
      </w:r>
    </w:p>
    <w:p>
      <w:pPr>
        <w:pStyle w:val="BodyText"/>
        <w:spacing w:line="209" w:lineRule="exact"/>
        <w:ind w:right="1133"/>
        <w:jc w:val="left"/>
      </w:pPr>
      <w:r>
        <w:rPr/>
        <w:t>抵销后的净额在资产负债表内列示：</w:t>
      </w:r>
    </w:p>
    <w:p>
      <w:pPr>
        <w:pStyle w:val="BodyText"/>
        <w:spacing w:line="376" w:lineRule="auto" w:before="157"/>
        <w:ind w:left="573" w:right="1133"/>
        <w:jc w:val="left"/>
      </w:pP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pStyle w:val="Heading3"/>
        <w:spacing w:line="240" w:lineRule="auto" w:before="37"/>
        <w:ind w:left="575" w:right="1133"/>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67" w:lineRule="auto" w:before="141"/>
        <w:ind w:left="573" w:right="4273"/>
        <w:jc w:val="left"/>
      </w:pPr>
      <w:r>
        <w:rPr/>
        <w:t>①金融资产发生减值的客观证据：</w:t>
      </w:r>
      <w:r>
        <w:rPr>
          <w:w w:val="100"/>
        </w:rPr>
        <w:t> </w:t>
      </w:r>
      <w:r>
        <w:rPr>
          <w:rFonts w:ascii="Times New Roman" w:hAnsi="Times New Roman" w:cs="Times New Roman" w:eastAsia="Times New Roman" w:hint="default"/>
        </w:rPr>
        <w:t>A.</w:t>
      </w:r>
      <w:r>
        <w:rPr/>
        <w:t>发行方或债务人发生严重财务困难；</w:t>
      </w:r>
      <w:r>
        <w:rPr>
          <w:w w:val="100"/>
        </w:rPr>
        <w:t> </w:t>
      </w:r>
      <w:r>
        <w:rPr>
          <w:rFonts w:ascii="Times New Roman" w:hAnsi="Times New Roman" w:cs="Times New Roman" w:eastAsia="Times New Roman" w:hint="default"/>
          <w:spacing w:val="-2"/>
        </w:rPr>
        <w:t>B.</w:t>
      </w:r>
      <w:r>
        <w:rPr>
          <w:spacing w:val="-2"/>
        </w:rPr>
        <w:t>债务人违反了合同条款，如偿付利息或本金发生违约或逾期等；</w:t>
      </w:r>
    </w:p>
    <w:p>
      <w:pPr>
        <w:pStyle w:val="BodyText"/>
        <w:spacing w:line="357" w:lineRule="auto" w:before="18"/>
        <w:ind w:left="573" w:right="1133"/>
        <w:jc w:val="left"/>
      </w:pPr>
      <w:r>
        <w:rPr>
          <w:rFonts w:ascii="Times New Roman" w:hAnsi="Times New Roman" w:cs="Times New Roman" w:eastAsia="Times New Roman" w:hint="default"/>
        </w:rPr>
        <w:t>C.</w:t>
      </w:r>
      <w:r>
        <w:rPr/>
        <w:t>债权人出于经济或法律等方面的考虑，对发生财务困难的债务人作出让步；</w:t>
      </w:r>
      <w:r>
        <w:rPr>
          <w:w w:val="100"/>
        </w:rPr>
        <w:t> </w:t>
      </w:r>
      <w:r>
        <w:rPr>
          <w:rFonts w:ascii="Times New Roman" w:hAnsi="Times New Roman" w:cs="Times New Roman" w:eastAsia="Times New Roman" w:hint="default"/>
        </w:rPr>
        <w:t>D.</w:t>
      </w:r>
      <w:r>
        <w:rPr/>
        <w:t>债务人可能倒闭或进行其他财务重组；</w:t>
      </w:r>
      <w:r>
        <w:rPr>
          <w:w w:val="100"/>
        </w:rPr>
        <w:t>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256" w:lineRule="auto" w:before="27"/>
        <w:ind w:right="1133" w:firstLine="420"/>
        <w:jc w:val="left"/>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w:t>
      </w:r>
      <w:r>
        <w:rPr>
          <w:w w:val="100"/>
        </w:rPr>
        <w:t> </w:t>
      </w:r>
      <w:r>
        <w:rPr/>
        <w:t>价后发现，该组金融资产自初始确认以来的预计未来现金流量确已减少且可计量；</w:t>
      </w:r>
    </w:p>
    <w:p>
      <w:pPr>
        <w:pStyle w:val="BodyText"/>
        <w:spacing w:line="259" w:lineRule="auto" w:before="142"/>
        <w:ind w:right="1133" w:firstLine="420"/>
        <w:jc w:val="left"/>
      </w:pPr>
      <w:r>
        <w:rPr>
          <w:rFonts w:ascii="Times New Roman" w:hAnsi="Times New Roman" w:cs="Times New Roman" w:eastAsia="Times New Roman" w:hint="default"/>
          <w:spacing w:val="-2"/>
        </w:rPr>
        <w:t>G.</w:t>
      </w:r>
      <w:r>
        <w:rPr>
          <w:spacing w:val="-2"/>
        </w:rPr>
        <w:t>债务人经营所处的技术、市场、经济或法律环境等发生重大不利变化，使权益工具投资人可能无法</w:t>
      </w:r>
      <w:r>
        <w:rPr>
          <w:w w:val="100"/>
        </w:rPr>
        <w:t> </w:t>
      </w:r>
      <w:r>
        <w:rPr/>
        <w:t>收回投资成本；</w:t>
      </w:r>
    </w:p>
    <w:p>
      <w:pPr>
        <w:pStyle w:val="BodyText"/>
        <w:spacing w:line="357" w:lineRule="auto" w:before="140"/>
        <w:ind w:left="573" w:right="1575"/>
        <w:jc w:val="left"/>
      </w:pPr>
      <w:r>
        <w:rPr>
          <w:rFonts w:ascii="Times New Roman" w:hAnsi="Times New Roman" w:cs="Times New Roman" w:eastAsia="Times New Roman" w:hint="default"/>
          <w:spacing w:val="-2"/>
        </w:rPr>
        <w:t>H.</w:t>
      </w:r>
      <w:r>
        <w:rPr>
          <w:spacing w:val="-2"/>
        </w:rPr>
        <w:t>权益工具投资的公允价值发生严重或非暂时性下跌；</w:t>
      </w:r>
      <w:r>
        <w:rPr>
          <w:spacing w:val="-59"/>
        </w:rPr>
        <w:t> </w:t>
      </w:r>
      <w:r>
        <w:rPr>
          <w:spacing w:val="-59"/>
        </w:rPr>
      </w:r>
      <w:r>
        <w:rPr>
          <w:rFonts w:ascii="Times New Roman" w:hAnsi="Times New Roman" w:cs="Times New Roman" w:eastAsia="Times New Roman" w:hint="default"/>
        </w:rPr>
        <w:t>I.</w:t>
      </w:r>
      <w:r>
        <w:rPr/>
        <w:t>其他表明金融资产发生减值的客观证据。</w:t>
      </w:r>
    </w:p>
    <w:p>
      <w:pPr>
        <w:pStyle w:val="BodyText"/>
        <w:spacing w:line="240" w:lineRule="auto" w:before="27"/>
        <w:ind w:left="573" w:right="1133"/>
        <w:jc w:val="left"/>
      </w:pPr>
      <w:r>
        <w:rPr/>
        <w:t>②金融资产的减值测试（不包括应收款项）</w:t>
      </w:r>
    </w:p>
    <w:p>
      <w:pPr>
        <w:pStyle w:val="BodyText"/>
        <w:spacing w:line="357" w:lineRule="auto" w:before="157"/>
        <w:ind w:left="573" w:right="1133"/>
        <w:jc w:val="left"/>
      </w:pPr>
      <w:r>
        <w:rPr>
          <w:rFonts w:ascii="Times New Roman" w:hAnsi="Times New Roman" w:cs="Times New Roman" w:eastAsia="Times New Roman" w:hint="default"/>
        </w:rPr>
        <w:t>A</w:t>
      </w:r>
      <w:r>
        <w:rPr/>
        <w:t>．持有至到期投资减值测试</w:t>
      </w:r>
      <w:r>
        <w:rPr>
          <w:w w:val="100"/>
        </w:rPr>
        <w:t> </w:t>
      </w:r>
      <w:r>
        <w:rPr>
          <w:spacing w:val="-2"/>
        </w:rPr>
        <w:t>持有至到期投资发生减值时，将该持有至到期投资的账面价值减记至预计未来现金流量（不包括尚未</w:t>
      </w:r>
    </w:p>
    <w:p>
      <w:pPr>
        <w:pStyle w:val="BodyText"/>
        <w:spacing w:line="209" w:lineRule="exact"/>
        <w:ind w:right="1133"/>
        <w:jc w:val="left"/>
      </w:pPr>
      <w:r>
        <w:rPr/>
        <w:t>发生的未来信用损失）现值，减记的金额确认为资产减值损失，计入当期损益。</w:t>
      </w:r>
    </w:p>
    <w:p>
      <w:pPr>
        <w:spacing w:after="0" w:line="209"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7"/>
        </w:rPr>
        <w:t>预计未来现金流量现值，按照该持有至到期投资的原实际利率折现确定，并考虑相关担保物的价值（取</w:t>
      </w:r>
      <w:r>
        <w:rPr>
          <w:w w:val="100"/>
        </w:rPr>
        <w:t> </w:t>
      </w:r>
      <w:r>
        <w:rPr>
          <w:spacing w:val="-2"/>
        </w:rPr>
        <w:t>得和出售该担保物发生的费用予以扣除）。原实际利率是初始确认该持有至到期投资时计算确定的实际利</w:t>
      </w:r>
      <w:r>
        <w:rPr>
          <w:spacing w:val="-43"/>
        </w:rPr>
        <w:t> </w:t>
      </w:r>
      <w:r>
        <w:rPr>
          <w:spacing w:val="-43"/>
        </w:rPr>
      </w:r>
      <w:r>
        <w:rPr>
          <w:spacing w:val="-2"/>
        </w:rPr>
        <w:t>率。对于浮动利率的持有至到期投资，在计算未来现金流量现值时可采用合同规定的现行实际利率作为折</w:t>
      </w:r>
      <w:r>
        <w:rPr>
          <w:spacing w:val="-44"/>
        </w:rPr>
        <w:t> </w:t>
      </w:r>
      <w:r>
        <w:rPr>
          <w:spacing w:val="-44"/>
        </w:rPr>
      </w:r>
      <w:r>
        <w:rPr/>
        <w:t>现率。</w:t>
      </w:r>
    </w:p>
    <w:p>
      <w:pPr>
        <w:pStyle w:val="BodyText"/>
        <w:spacing w:line="273" w:lineRule="auto" w:before="127"/>
        <w:ind w:right="1126" w:firstLine="420"/>
        <w:jc w:val="both"/>
      </w:pPr>
      <w:r>
        <w:rPr>
          <w:spacing w:val="-2"/>
        </w:rPr>
        <w:t>即使合同条款因债务方或金融资产发行方发生财务困难而重新商定或修改，在确认减值损失时，仍用</w:t>
      </w:r>
      <w:r>
        <w:rPr>
          <w:w w:val="100"/>
        </w:rPr>
        <w:t> </w:t>
      </w:r>
      <w:r>
        <w:rPr/>
        <w:t>条款修改前所计算的该金融资产的原实际利率计算。</w:t>
      </w:r>
    </w:p>
    <w:p>
      <w:pPr>
        <w:pStyle w:val="BodyText"/>
        <w:spacing w:line="273" w:lineRule="auto" w:before="127"/>
        <w:ind w:right="1126" w:firstLine="420"/>
        <w:jc w:val="both"/>
      </w:pPr>
      <w:r>
        <w:rPr>
          <w:spacing w:val="-2"/>
        </w:rPr>
        <w:t>对持有至到期投资确认减值损失后，如有客观证据表明该持有至到期投资价值已恢复，且客观上与确</w:t>
      </w:r>
      <w:r>
        <w:rPr>
          <w:w w:val="100"/>
        </w:rPr>
        <w:t> </w:t>
      </w:r>
      <w:r>
        <w:rPr>
          <w:spacing w:val="-2"/>
        </w:rPr>
        <w:t>认该损失后发生的事项有关（如债务人的信用评级已提高等），原确认的减值损失予以转回，计入当期损</w:t>
      </w:r>
      <w:r>
        <w:rPr>
          <w:spacing w:val="-47"/>
        </w:rPr>
        <w:t> </w:t>
      </w:r>
      <w:r>
        <w:rPr>
          <w:spacing w:val="-47"/>
        </w:rPr>
      </w:r>
      <w:r>
        <w:rPr/>
        <w:t>益。</w:t>
      </w:r>
    </w:p>
    <w:p>
      <w:pPr>
        <w:pStyle w:val="BodyText"/>
        <w:spacing w:line="273" w:lineRule="auto" w:before="127"/>
        <w:ind w:right="1126" w:firstLine="420"/>
        <w:jc w:val="both"/>
      </w:pPr>
      <w:r>
        <w:rPr>
          <w:spacing w:val="-2"/>
        </w:rPr>
        <w:t>持有至到期投资发生减值后，利息收入按照确定减值损失时对未来现金流量进行折现采用的折现率作</w:t>
      </w:r>
      <w:r>
        <w:rPr>
          <w:w w:val="100"/>
        </w:rPr>
        <w:t> </w:t>
      </w:r>
      <w:r>
        <w:rPr/>
        <w:t>为利率计算确认。</w:t>
      </w:r>
    </w:p>
    <w:p>
      <w:pPr>
        <w:pStyle w:val="BodyText"/>
        <w:spacing w:line="357" w:lineRule="auto" w:before="128"/>
        <w:ind w:left="573" w:right="1133"/>
        <w:jc w:val="left"/>
      </w:pPr>
      <w:r>
        <w:rPr>
          <w:rFonts w:ascii="Times New Roman" w:hAnsi="Times New Roman" w:cs="Times New Roman" w:eastAsia="Times New Roman" w:hint="default"/>
        </w:rPr>
        <w:t>B.</w:t>
      </w:r>
      <w:r>
        <w:rPr/>
        <w:t>可供出售金融资产减值测试</w:t>
      </w:r>
      <w:r>
        <w:rPr>
          <w:w w:val="100"/>
        </w:rPr>
        <w:t> </w:t>
      </w:r>
      <w:r>
        <w:rPr>
          <w:spacing w:val="-2"/>
        </w:rPr>
        <w:t>在资产负债表日本公司对可供出售金融资产的减值情况进行分析，判断该项金融资产公允价值是否持</w:t>
      </w:r>
    </w:p>
    <w:p>
      <w:pPr>
        <w:pStyle w:val="BodyText"/>
        <w:spacing w:line="225" w:lineRule="exact"/>
        <w:ind w:right="0"/>
        <w:jc w:val="both"/>
      </w:pPr>
      <w:r>
        <w:rPr/>
        <w:t>续下降。通常情况下，如果可供出售金融资产的期末公允价值相对于成本的下跌幅度已达到或超过</w:t>
      </w:r>
      <w:r>
        <w:rPr>
          <w:rFonts w:ascii="Times New Roman" w:hAnsi="Times New Roman" w:cs="Times New Roman" w:eastAsia="Times New Roman" w:hint="default"/>
        </w:rPr>
        <w:t>50%</w:t>
      </w:r>
      <w:r>
        <w:rPr/>
        <w:t>，</w:t>
      </w:r>
    </w:p>
    <w:p>
      <w:pPr>
        <w:pStyle w:val="BodyText"/>
        <w:spacing w:line="264" w:lineRule="auto" w:before="21"/>
        <w:ind w:right="1131"/>
        <w:jc w:val="both"/>
      </w:pPr>
      <w:r>
        <w:rPr/>
        <w:t>或者持续下跌时间已达到或超过</w:t>
      </w:r>
      <w:r>
        <w:rPr>
          <w:rFonts w:ascii="Times New Roman" w:hAnsi="Times New Roman" w:cs="Times New Roman" w:eastAsia="Times New Roman" w:hint="default"/>
        </w:rPr>
        <w:t>12</w:t>
      </w:r>
      <w:r>
        <w:rPr/>
        <w:t>个月，在综合考虑各种相关因素后，</w:t>
      </w:r>
      <w:r>
        <w:rPr>
          <w:spacing w:val="69"/>
        </w:rPr>
        <w:t> </w:t>
      </w:r>
      <w:r>
        <w:rPr/>
        <w:t>预期这种下降趋势属于非暂时性</w:t>
      </w:r>
      <w:r>
        <w:rPr>
          <w:spacing w:val="-95"/>
        </w:rPr>
        <w:t> </w:t>
      </w:r>
      <w:r>
        <w:rPr>
          <w:spacing w:val="-95"/>
        </w:rPr>
      </w:r>
      <w:r>
        <w:rPr>
          <w:spacing w:val="-2"/>
        </w:rPr>
        <w:t>的，可以认定该可供出售金融资产已发生减值，确认减值损失。可供出售金融资产发生减值的，在确认减</w:t>
      </w:r>
      <w:r>
        <w:rPr>
          <w:spacing w:val="-50"/>
        </w:rPr>
        <w:t> </w:t>
      </w:r>
      <w:r>
        <w:rPr>
          <w:spacing w:val="-50"/>
        </w:rPr>
      </w:r>
      <w:r>
        <w:rPr/>
        <w:t>值损失时，将原直接计入所有者权益的公允价值下降形成的累计损失一并转出，计入资产减值损失。</w:t>
      </w:r>
    </w:p>
    <w:p>
      <w:pPr>
        <w:pStyle w:val="BodyText"/>
        <w:spacing w:line="432" w:lineRule="exact" w:before="36"/>
        <w:ind w:left="573" w:right="1133"/>
        <w:jc w:val="left"/>
      </w:pPr>
      <w:r>
        <w:rPr/>
        <w:t>可供出售债务工具金融资产是否发生减值，可参照上述可供出售权益工具投资进行分析判断。</w:t>
      </w:r>
      <w:r>
        <w:rPr>
          <w:w w:val="100"/>
        </w:rPr>
        <w:t> </w:t>
      </w:r>
      <w:r>
        <w:rPr/>
        <w:t>可供出售权益工具投资发生的减值损失，不得通过损益转回。</w:t>
      </w:r>
      <w:r>
        <w:rPr>
          <w:w w:val="100"/>
        </w:rPr>
        <w:t> </w:t>
      </w:r>
      <w:r>
        <w:rPr>
          <w:spacing w:val="-2"/>
        </w:rPr>
        <w:t>可供出售债务工具金融资产发生减值后，利息收入按照确定减值损失时对未来现金流量进行折现采用</w:t>
      </w:r>
    </w:p>
    <w:p>
      <w:pPr>
        <w:pStyle w:val="BodyText"/>
        <w:spacing w:line="256" w:lineRule="exact"/>
        <w:ind w:right="0"/>
        <w:jc w:val="both"/>
      </w:pPr>
      <w:r>
        <w:rPr/>
        <w:t>的折现率作为利率计算确认。</w:t>
      </w:r>
    </w:p>
    <w:p>
      <w:pPr>
        <w:pStyle w:val="BodyText"/>
        <w:spacing w:line="273" w:lineRule="auto" w:before="157"/>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本公司以主要市场的价格计量相关资产或负债的公允价值，不存在主要市场的，本公司以最有利市场</w:t>
      </w:r>
    </w:p>
    <w:p>
      <w:pPr>
        <w:pStyle w:val="BodyText"/>
        <w:spacing w:line="209" w:lineRule="exact"/>
        <w:ind w:right="0"/>
        <w:jc w:val="both"/>
      </w:pPr>
      <w:r>
        <w:rPr/>
        <w:t>的价格计量相关资产或负债的公允价值。</w:t>
      </w:r>
    </w:p>
    <w:p>
      <w:pPr>
        <w:pStyle w:val="BodyText"/>
        <w:spacing w:line="273" w:lineRule="auto" w:before="157"/>
        <w:ind w:right="1126" w:firstLine="420"/>
        <w:jc w:val="both"/>
      </w:pPr>
      <w:r>
        <w:rPr>
          <w:spacing w:val="-2"/>
        </w:rPr>
        <w:t>主要市场，是指相关资产或负债交易量最大和交易活跃程度最高的市场；最有利市场，是指在考虑交</w:t>
      </w:r>
      <w:r>
        <w:rPr>
          <w:w w:val="100"/>
        </w:rPr>
        <w:t> </w:t>
      </w: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8"/>
        <w:ind w:left="573" w:right="1133"/>
        <w:jc w:val="left"/>
      </w:pPr>
      <w:r>
        <w:rPr/>
        <w:t>①估值技术</w:t>
      </w:r>
      <w:r>
        <w:rPr>
          <w:spacing w:val="-102"/>
        </w:rPr>
        <w:t> </w:t>
      </w:r>
      <w:r>
        <w:rPr>
          <w:spacing w:val="-102"/>
        </w:rPr>
      </w:r>
      <w:r>
        <w:rPr>
          <w:spacing w:val="-2"/>
        </w:rPr>
        <w:t>本公司采用在当期情况下适用并且有足够可利用数据和其他信息支持的估值技术，使用的估值技术主</w:t>
      </w:r>
    </w:p>
    <w:p>
      <w:pPr>
        <w:pStyle w:val="BodyText"/>
        <w:spacing w:line="255" w:lineRule="exact"/>
        <w:ind w:right="0"/>
        <w:jc w:val="both"/>
      </w:pPr>
      <w:r>
        <w:rPr/>
        <w:t>要包括市场法、收益法和成本法。本公司使用与其中一种或多种估值技术相一致的方法计量公允价值，使</w:t>
      </w:r>
    </w:p>
    <w:p>
      <w:pPr>
        <w:pStyle w:val="BodyText"/>
        <w:spacing w:line="273" w:lineRule="auto" w:before="37"/>
        <w:ind w:right="1126"/>
        <w:jc w:val="both"/>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126" w:firstLine="420"/>
        <w:jc w:val="both"/>
      </w:pPr>
      <w:r>
        <w:rPr>
          <w:spacing w:val="-2"/>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33"/>
        <w:jc w:val="left"/>
      </w:pPr>
      <w:r>
        <w:rPr/>
        <w:t>②公允价值层次</w:t>
      </w:r>
      <w:r>
        <w:rPr>
          <w:spacing w:val="-103"/>
        </w:rPr>
        <w:t> </w:t>
      </w:r>
      <w:r>
        <w:rPr>
          <w:spacing w:val="-103"/>
        </w:rPr>
      </w:r>
      <w:r>
        <w:rPr>
          <w:spacing w:val="-2"/>
        </w:rPr>
        <w:t>本公司将公允价值计量所使用的输入值划分为三个层次，并首先使用第一层次输入值，其次使用第二</w:t>
      </w:r>
    </w:p>
    <w:p>
      <w:pPr>
        <w:pStyle w:val="BodyText"/>
        <w:spacing w:line="273" w:lineRule="auto" w:before="7"/>
        <w:ind w:right="1126"/>
        <w:jc w:val="both"/>
      </w:pPr>
      <w:r>
        <w:rPr>
          <w:spacing w:val="-2"/>
        </w:rPr>
        <w:t>层次输入值，最后使用第三层次输入值。第一层次输入值是在计量日能够取得的相同资产或负债在活跃市</w:t>
      </w:r>
      <w:r>
        <w:rPr>
          <w:spacing w:val="-43"/>
        </w:rPr>
        <w:t> </w:t>
      </w:r>
      <w:r>
        <w:rPr>
          <w:spacing w:val="-43"/>
        </w:rPr>
      </w:r>
      <w:r>
        <w:rPr>
          <w:spacing w:val="2"/>
        </w:rPr>
        <w:t>场上未经调整的报价。第二层次输入值是除第一层次输入值外相关资产或负债直接或间接可观察的输入</w:t>
      </w:r>
      <w:r>
        <w:rPr>
          <w:spacing w:val="-16"/>
        </w:rPr>
        <w:t> </w:t>
      </w:r>
      <w:r>
        <w:rPr>
          <w:spacing w:val="-16"/>
        </w:rPr>
      </w:r>
      <w:r>
        <w:rPr/>
        <w:t>值。第三层次输入值是相关资产或负债的不可观察输入值。</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单项金额重大的判断依据或金额标准：本公司将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以上应收账款，</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万元以上其他应收款确定为单项金额 重大。</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 账面价值的差额，确认减值损失，并据此计提相应的坏账准 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38" w:lineRule="auto" w:before="49"/>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注：对公司货款分期收回的长期应收款在项目实施期间以及按照合同约定的收款日前，不计提坏账准备，合同约定的收款日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作为账龄的起始日，按应收款项的账龄信用风险特征组合减值方法计提坏账准备。 组合中，采用余额百分比法计提坏账准备的：</w:t>
      </w:r>
    </w:p>
    <w:p>
      <w:pPr>
        <w:spacing w:line="340" w:lineRule="auto" w:before="43"/>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单项金额不重大但已有客观证据表明其发生了减值</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8"/>
        <w:rPr>
          <w:rFonts w:ascii="宋体" w:hAnsi="宋体" w:cs="宋体" w:eastAsia="宋体" w:hint="default"/>
          <w:sz w:val="13"/>
          <w:szCs w:val="13"/>
        </w:rPr>
      </w:pPr>
    </w:p>
    <w:p>
      <w:pPr>
        <w:pStyle w:val="BodyText"/>
        <w:spacing w:line="355" w:lineRule="auto"/>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存货是指本公司在日常活动中持有以备出售的产成品、处在生产过程中的在产品、在生产过程或提供</w:t>
      </w:r>
    </w:p>
    <w:p>
      <w:pPr>
        <w:pStyle w:val="BodyText"/>
        <w:spacing w:line="211" w:lineRule="exact"/>
        <w:ind w:right="1133"/>
        <w:jc w:val="left"/>
      </w:pPr>
      <w:r>
        <w:rPr/>
        <w:t>劳务过程中耗用的材料和外购的商品等，包括原材料、在产品、产成品等。</w:t>
      </w:r>
    </w:p>
    <w:p>
      <w:pPr>
        <w:spacing w:line="430" w:lineRule="atLeast" w:before="1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本公司存货发出时采用个别计价法计价和加权平均法计价，具体情况：</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解决方案业务的存货发出时</w:t>
      </w:r>
    </w:p>
    <w:p>
      <w:pPr>
        <w:pStyle w:val="BodyText"/>
        <w:spacing w:line="240" w:lineRule="auto" w:before="21"/>
        <w:ind w:right="1133"/>
        <w:jc w:val="left"/>
      </w:pPr>
      <w:r>
        <w:rPr/>
        <w:t>采用个别计价法；</w:t>
      </w:r>
      <w:r>
        <w:rPr>
          <w:rFonts w:ascii="Times New Roman" w:hAnsi="Times New Roman" w:cs="Times New Roman" w:eastAsia="Times New Roman" w:hint="default"/>
        </w:rPr>
        <w:t>BMS</w:t>
      </w:r>
      <w:r>
        <w:rPr/>
        <w:t>产品相关的存货发出时采用加权平均法。</w:t>
      </w:r>
    </w:p>
    <w:p>
      <w:pPr>
        <w:spacing w:line="357" w:lineRule="auto" w:before="141"/>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本公司存货采用永续盘存制，每年至少盘点一次，盘盈及盘亏金额计入当年度损益。</w:t>
      </w:r>
    </w:p>
    <w:p>
      <w:pPr>
        <w:pStyle w:val="Heading3"/>
        <w:spacing w:line="256" w:lineRule="auto" w:before="54"/>
        <w:ind w:right="1135" w:firstLine="422"/>
        <w:jc w:val="both"/>
        <w:rPr>
          <w:b w:val="0"/>
          <w:bCs w:val="0"/>
        </w:rPr>
      </w:pPr>
      <w:r>
        <w:rPr/>
        <w:t>（</w:t>
      </w:r>
      <w:r>
        <w:rPr>
          <w:rFonts w:ascii="Times New Roman" w:hAnsi="Times New Roman" w:cs="Times New Roman" w:eastAsia="Times New Roman" w:hint="default"/>
        </w:rPr>
        <w:t>4</w:t>
      </w:r>
      <w:r>
        <w:rPr/>
        <w:t>）存货跌价准备的计提方法资产负债表日按成本与可变现净值孰低计量，存货成本高于其可变现</w:t>
      </w:r>
      <w:r>
        <w:rPr>
          <w:w w:val="100"/>
        </w:rPr>
        <w:t> </w:t>
      </w:r>
      <w:r>
        <w:rPr/>
        <w:t>净值的，计提存货跌价准备，计入当期损益。</w:t>
      </w:r>
      <w:r>
        <w:rPr>
          <w:b w:val="0"/>
          <w:bCs w:val="0"/>
        </w:rPr>
      </w:r>
    </w:p>
    <w:p>
      <w:pPr>
        <w:pStyle w:val="BodyText"/>
        <w:spacing w:line="273" w:lineRule="auto" w:before="142"/>
        <w:ind w:right="1126" w:firstLine="420"/>
        <w:jc w:val="both"/>
      </w:pPr>
      <w:r>
        <w:rPr>
          <w:spacing w:val="-2"/>
        </w:rPr>
        <w:t>在确定存货的可变现净值时，以取得的可靠证据为基础，并且考虑持有存货的目的、资产负债表日后</w:t>
      </w:r>
      <w:r>
        <w:rPr>
          <w:w w:val="100"/>
        </w:rPr>
        <w:t> </w:t>
      </w:r>
      <w:r>
        <w:rPr/>
        <w:t>事项的影响等因素。</w:t>
      </w:r>
    </w:p>
    <w:p>
      <w:pPr>
        <w:pStyle w:val="BodyText"/>
        <w:spacing w:line="273" w:lineRule="auto" w:before="127"/>
        <w:ind w:right="1126" w:firstLine="420"/>
        <w:jc w:val="both"/>
      </w:pPr>
      <w:r>
        <w:rPr>
          <w:spacing w:val="-2"/>
        </w:rPr>
        <w:t>①产成品、商品和用于出售的材料等直接用于出售的存货，在正常生产经营过程中，以该存货的估计</w:t>
      </w:r>
      <w:r>
        <w:rPr>
          <w:w w:val="100"/>
        </w:rPr>
        <w:t> </w:t>
      </w:r>
      <w:r>
        <w:rPr>
          <w:spacing w:val="-2"/>
        </w:rPr>
        <w:t>售价减去估计的销售费用和相关税费后的金额确定其可变现净值。为执行销售合同或者劳务合同而持有的</w:t>
      </w:r>
      <w:r>
        <w:rPr>
          <w:spacing w:val="-43"/>
        </w:rPr>
        <w:t> </w:t>
      </w:r>
      <w:r>
        <w:rPr>
          <w:spacing w:val="-43"/>
        </w:rPr>
      </w:r>
      <w:r>
        <w:rPr>
          <w:spacing w:val="-2"/>
        </w:rPr>
        <w:t>存货，以合同价格作为其可变现净值的计量基础；如果持有存货的数量多于销售合同订购数量，超出部分</w:t>
      </w:r>
      <w:r>
        <w:rPr>
          <w:spacing w:val="-44"/>
        </w:rPr>
        <w:t> </w:t>
      </w:r>
      <w:r>
        <w:rPr>
          <w:spacing w:val="-44"/>
        </w:rPr>
      </w:r>
      <w:r>
        <w:rPr>
          <w:spacing w:val="-2"/>
        </w:rPr>
        <w:t>的存货可变现净值以一般销售价格为计量基础。用于出售的材料等，以市场价格作为其可变现净值的计量</w:t>
      </w:r>
      <w:r>
        <w:rPr>
          <w:spacing w:val="-44"/>
        </w:rPr>
        <w:t> </w:t>
      </w:r>
      <w:r>
        <w:rPr>
          <w:spacing w:val="-44"/>
        </w:rPr>
      </w:r>
      <w:r>
        <w:rPr/>
        <w:t>基础。</w:t>
      </w:r>
    </w:p>
    <w:p>
      <w:pPr>
        <w:pStyle w:val="BodyText"/>
        <w:spacing w:line="273" w:lineRule="auto" w:before="128"/>
        <w:ind w:right="1126" w:firstLine="420"/>
        <w:jc w:val="both"/>
      </w:pPr>
      <w:r>
        <w:rPr>
          <w:spacing w:val="-2"/>
        </w:rPr>
        <w:t>②需要经过加工的材料存货，在正常生产经营过程中，以所生产的产成品的估计售价减去至完工时估</w:t>
      </w:r>
      <w:r>
        <w:rPr>
          <w:w w:val="100"/>
        </w:rPr>
        <w:t> </w:t>
      </w:r>
      <w:r>
        <w:rPr>
          <w:spacing w:val="-2"/>
        </w:rPr>
        <w:t>计将要发生的成本、估计的销售费用和相关税费后的金额确定其可变现净值。如果用其生产的产成品的可</w:t>
      </w:r>
      <w:r>
        <w:rPr>
          <w:spacing w:val="-43"/>
        </w:rPr>
        <w:t> </w:t>
      </w:r>
      <w:r>
        <w:rPr>
          <w:spacing w:val="-43"/>
        </w:rPr>
      </w:r>
      <w:r>
        <w:rPr>
          <w:spacing w:val="-2"/>
        </w:rPr>
        <w:t>变现净值高于成本，则该材料按成本计量；如果材料价格的下降表明产成品的可变现净值低于成本，则该</w:t>
      </w:r>
      <w:r>
        <w:rPr>
          <w:spacing w:val="-43"/>
        </w:rPr>
        <w:t> </w:t>
      </w:r>
      <w:r>
        <w:rPr>
          <w:spacing w:val="-43"/>
        </w:rPr>
      </w:r>
      <w:r>
        <w:rPr/>
        <w:t>材料按可变现净值计量，按其差额计提存货跌价准备。</w:t>
      </w:r>
    </w:p>
    <w:p>
      <w:pPr>
        <w:pStyle w:val="BodyText"/>
        <w:spacing w:line="240" w:lineRule="auto" w:before="127"/>
        <w:ind w:left="573" w:right="1133"/>
        <w:jc w:val="left"/>
      </w:pPr>
      <w:r>
        <w:rPr/>
        <w:t>③存货跌价准备一般按单个存货项目计提；对于数量繁多、单价较低的存货，按存货类别计提。</w:t>
      </w:r>
    </w:p>
    <w:p>
      <w:pPr>
        <w:pStyle w:val="BodyText"/>
        <w:spacing w:line="273" w:lineRule="auto" w:before="157"/>
        <w:ind w:right="1126" w:firstLine="420"/>
        <w:jc w:val="both"/>
      </w:pPr>
      <w:r>
        <w:rPr>
          <w:spacing w:val="-2"/>
        </w:rPr>
        <w:t>④资产负债表日如果以前减记存货价值的影响因素已经消失，则减记的金额予以恢复，并在原已计提</w:t>
      </w:r>
      <w:r>
        <w:rPr>
          <w:w w:val="100"/>
        </w:rPr>
        <w:t> </w:t>
      </w:r>
      <w:r>
        <w:rPr/>
        <w:t>的存货跌价准备的金额内转回，转回的金额计入当期损益。</w:t>
      </w:r>
    </w:p>
    <w:p>
      <w:pPr>
        <w:spacing w:after="0" w:line="273" w:lineRule="auto"/>
        <w:jc w:val="both"/>
        <w:sectPr>
          <w:footerReference w:type="default" r:id="rId16"/>
          <w:pgSz w:w="11910" w:h="16840"/>
          <w:pgMar w:footer="979" w:header="745" w:top="1060" w:bottom="116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本公司长期股权投资包括对被投资单位实施控制、重大影响的权益性投资，以及对合营企业的权益性</w:t>
      </w:r>
      <w:r>
        <w:rPr>
          <w:w w:val="100"/>
        </w:rPr>
        <w:t> </w:t>
      </w:r>
      <w:r>
        <w:rPr/>
        <w:t>投资。本公司能够对被投资单位施加重大影响的，为本公司的联营企业。</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209" w:lineRule="exact"/>
        <w:ind w:right="0"/>
        <w:jc w:val="both"/>
      </w:pPr>
      <w:r>
        <w:rPr/>
        <w:t>的参与方一致同意后才能决策。在判断是否存在共同控制时，首先判断所有参与方或参与方组合是否集体</w:t>
      </w:r>
    </w:p>
    <w:p>
      <w:pPr>
        <w:pStyle w:val="BodyText"/>
        <w:spacing w:line="273" w:lineRule="auto" w:before="37"/>
        <w:ind w:right="1126"/>
        <w:jc w:val="both"/>
      </w:pPr>
      <w:r>
        <w:rPr>
          <w:spacing w:val="-2"/>
        </w:rPr>
        <w:t>控制该安排，如果所有参与方或一组参与方必须一致行动才能决定某项安排的相关活动，则认为所有参与</w:t>
      </w:r>
      <w:r>
        <w:rPr>
          <w:spacing w:val="-44"/>
        </w:rPr>
        <w:t> </w:t>
      </w:r>
      <w:r>
        <w:rPr>
          <w:spacing w:val="-44"/>
        </w:rPr>
      </w:r>
      <w:r>
        <w:rPr>
          <w:spacing w:val="-2"/>
        </w:rPr>
        <w:t>方或一组参与方集体控制该安排。其次再判断该安排相关活动的决策是否必须经过这些集体控制该安排的</w:t>
      </w:r>
      <w:r>
        <w:rPr>
          <w:spacing w:val="-43"/>
        </w:rPr>
        <w:t> </w:t>
      </w:r>
      <w:r>
        <w:rPr>
          <w:spacing w:val="-43"/>
        </w:rPr>
      </w:r>
      <w:r>
        <w:rPr>
          <w:spacing w:val="-2"/>
        </w:rPr>
        <w:t>参与方一致同意。如果存在两个或两个以上的参与方组合能够集体控制某项安排的，不构成共同控制。判</w:t>
      </w:r>
      <w:r>
        <w:rPr>
          <w:spacing w:val="-43"/>
        </w:rPr>
        <w:t> </w:t>
      </w:r>
      <w:r>
        <w:rPr>
          <w:spacing w:val="-43"/>
        </w:rPr>
      </w:r>
      <w:r>
        <w:rPr/>
        <w:t>断是否存在共同控制时，不考虑享有的保护性权利。</w:t>
      </w:r>
    </w:p>
    <w:p>
      <w:pPr>
        <w:pStyle w:val="BodyText"/>
        <w:spacing w:line="273" w:lineRule="auto" w:before="128"/>
        <w:ind w:right="112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他方一起共同控制这些政策的制定。在确定能否对被投资单位施加重大影响时，考虑投资方直接或间接持</w:t>
      </w:r>
      <w:r>
        <w:rPr>
          <w:spacing w:val="-43"/>
        </w:rPr>
        <w:t> </w:t>
      </w:r>
      <w:r>
        <w:rPr>
          <w:spacing w:val="-43"/>
        </w:rPr>
      </w:r>
      <w:r>
        <w:rPr>
          <w:spacing w:val="2"/>
        </w:rPr>
        <w:t>有被投资单位的表决权股份以及投资方及其他方持有的当期可执行潜在表决权在假定转换为对被投资方</w:t>
      </w:r>
      <w:r>
        <w:rPr>
          <w:spacing w:val="-30"/>
        </w:rPr>
        <w:t> </w:t>
      </w:r>
      <w:r>
        <w:rPr>
          <w:spacing w:val="-30"/>
        </w:rPr>
      </w:r>
      <w:r>
        <w:rPr>
          <w:spacing w:val="-2"/>
        </w:rPr>
        <w:t>单位的股权后产生的影响，包括被投资单位发行的当期可转换的认股权证、股份期权及可转换公司债券等</w:t>
      </w:r>
      <w:r>
        <w:rPr>
          <w:spacing w:val="-43"/>
        </w:rPr>
        <w:t> </w:t>
      </w:r>
      <w:r>
        <w:rPr>
          <w:spacing w:val="-43"/>
        </w:rPr>
      </w:r>
      <w:r>
        <w:rPr/>
        <w:t>的影响。</w:t>
      </w:r>
    </w:p>
    <w:p>
      <w:pPr>
        <w:pStyle w:val="BodyText"/>
        <w:spacing w:line="264" w:lineRule="auto" w:before="127"/>
        <w:ind w:right="1129" w:firstLine="42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w:t>
      </w:r>
      <w:r>
        <w:rPr>
          <w:w w:val="100"/>
        </w:rPr>
        <w:t> </w:t>
      </w:r>
      <w:r>
        <w:rPr>
          <w:spacing w:val="2"/>
        </w:rPr>
        <w:t>般认为对被投资单位具有重大影响，除非有明确证据表明该种情况下不能参与被投资单位的生产经营决</w:t>
      </w:r>
      <w:r>
        <w:rPr>
          <w:spacing w:val="-30"/>
        </w:rPr>
        <w:t> </w:t>
      </w:r>
      <w:r>
        <w:rPr>
          <w:spacing w:val="-30"/>
        </w:rPr>
      </w:r>
      <w:r>
        <w:rPr/>
        <w:t>策，不形成重大影响。</w:t>
      </w:r>
    </w:p>
    <w:p>
      <w:pPr>
        <w:pStyle w:val="Heading3"/>
        <w:spacing w:line="240" w:lineRule="auto" w:before="136"/>
        <w:ind w:left="575" w:right="1133"/>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141"/>
        <w:ind w:left="573" w:right="1133"/>
        <w:jc w:val="left"/>
      </w:pPr>
      <w:r>
        <w:rPr/>
        <w:t>①企业合并形成的长期股权投资，按照下列规定确定其投资成本：</w:t>
      </w:r>
    </w:p>
    <w:p>
      <w:pPr>
        <w:pStyle w:val="BodyText"/>
        <w:spacing w:line="266" w:lineRule="auto" w:before="157"/>
        <w:ind w:right="1126" w:firstLine="42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spacing w:val="-4"/>
        </w:rPr>
        <w:t>同一控制下的企业合并，合并方以支付现金、转让非现金资产或承担债务方式作为合并对价的，在</w:t>
      </w:r>
      <w:r>
        <w:rPr>
          <w:w w:val="100"/>
        </w:rPr>
        <w:t> </w:t>
      </w:r>
      <w:r>
        <w:rPr>
          <w:spacing w:val="2"/>
        </w:rPr>
        <w:t>合并日按照被合并方所有者权益在最终控制方合并财务报表中的账面价值的份额作为长期股权投资的初</w:t>
      </w:r>
      <w:r>
        <w:rPr>
          <w:spacing w:val="-30"/>
        </w:rPr>
        <w:t> </w:t>
      </w:r>
      <w:r>
        <w:rPr>
          <w:spacing w:val="-30"/>
        </w:rPr>
      </w:r>
      <w:r>
        <w:rPr>
          <w:spacing w:val="-2"/>
        </w:rPr>
        <w:t>始投资成本。长期股权投资初始投资成本与支付的现金、转让的非现金资产以及所承担债务账面价值之间</w:t>
      </w:r>
      <w:r>
        <w:rPr>
          <w:spacing w:val="-43"/>
        </w:rPr>
        <w:t> </w:t>
      </w:r>
      <w:r>
        <w:rPr>
          <w:spacing w:val="-43"/>
        </w:rPr>
      </w:r>
      <w:r>
        <w:rPr/>
        <w:t>的差额，调整资本公积；资本公积不足冲减的，调整留存收益；</w:t>
      </w:r>
    </w:p>
    <w:p>
      <w:pPr>
        <w:pStyle w:val="BodyText"/>
        <w:spacing w:line="266" w:lineRule="auto" w:before="134"/>
        <w:ind w:right="1126" w:firstLine="42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3"/>
        </w:rPr>
        <w:t> </w:t>
      </w:r>
      <w:r>
        <w:rPr>
          <w:spacing w:val="-4"/>
        </w:rPr>
        <w:t>同一控制下的企业合并，合并方以发行权益性证券作为合并对价的，在合并日按照被合并方所有者</w:t>
      </w:r>
      <w:r>
        <w:rPr>
          <w:w w:val="100"/>
        </w:rPr>
        <w:t> </w:t>
      </w:r>
      <w:r>
        <w:rPr>
          <w:spacing w:val="-2"/>
        </w:rPr>
        <w:t>权益在最终控制方合并财务报表中的账面价值的份额作为长期股权投资的初始投资成本。按照发行股份的</w:t>
      </w:r>
      <w:r>
        <w:rPr>
          <w:spacing w:val="-43"/>
        </w:rPr>
        <w:t> </w:t>
      </w:r>
      <w:r>
        <w:rPr>
          <w:spacing w:val="-43"/>
        </w:rPr>
      </w:r>
      <w:r>
        <w:rPr>
          <w:spacing w:val="-2"/>
        </w:rPr>
        <w:t>面值总额作为股本，长期股权投资初始投资成本与所发行股份面值总额之间的差额，调整资本公积；资本</w:t>
      </w:r>
      <w:r>
        <w:rPr>
          <w:spacing w:val="-42"/>
        </w:rPr>
        <w:t> </w:t>
      </w:r>
      <w:r>
        <w:rPr>
          <w:spacing w:val="-42"/>
        </w:rPr>
      </w:r>
      <w:r>
        <w:rPr/>
        <w:t>公积不足冲减的，调整留存收益；</w:t>
      </w:r>
    </w:p>
    <w:p>
      <w:pPr>
        <w:pStyle w:val="BodyText"/>
        <w:spacing w:line="266" w:lineRule="auto" w:before="134"/>
        <w:ind w:right="1126" w:firstLine="42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4"/>
        </w:rPr>
        <w:t> </w:t>
      </w:r>
      <w:r>
        <w:rPr>
          <w:spacing w:val="-4"/>
        </w:rPr>
        <w:t>非同一控制下的企业合并，以购买日为取得对被购买方的控制权而付出的资产、发生或承担的负债</w:t>
      </w:r>
      <w:r>
        <w:rPr>
          <w:w w:val="100"/>
        </w:rPr>
        <w:t> </w:t>
      </w:r>
      <w:r>
        <w:rPr>
          <w:spacing w:val="-2"/>
        </w:rPr>
        <w:t>以及发行的权益性证券的公允价值确定为合并成本作为长期股权投资的初始投资成本。合并方为企业合并</w:t>
      </w:r>
      <w:r>
        <w:rPr>
          <w:spacing w:val="-43"/>
        </w:rPr>
        <w:t> </w:t>
      </w:r>
      <w:r>
        <w:rPr>
          <w:spacing w:val="-43"/>
        </w:rPr>
      </w:r>
      <w:r>
        <w:rPr/>
        <w:t>发生的审计、法律服务、评估咨询等中介费用以及其他相关管理费用，于发生时计入当期损益。</w:t>
      </w:r>
    </w:p>
    <w:p>
      <w:pPr>
        <w:pStyle w:val="BodyText"/>
        <w:spacing w:line="273" w:lineRule="auto" w:before="134"/>
        <w:ind w:right="1126" w:firstLine="420"/>
        <w:jc w:val="both"/>
      </w:pPr>
      <w:r>
        <w:rPr>
          <w:spacing w:val="-2"/>
        </w:rPr>
        <w:t>②除企业合并形成的长期股权投资以外，其他方式取得的长期股权投资，按照下列规定确定其投资成</w:t>
      </w:r>
      <w:r>
        <w:rPr>
          <w:w w:val="100"/>
        </w:rPr>
        <w:t> </w:t>
      </w:r>
      <w:r>
        <w:rPr/>
        <w:t>本：</w:t>
      </w:r>
    </w:p>
    <w:p>
      <w:pPr>
        <w:pStyle w:val="BodyText"/>
        <w:spacing w:line="256" w:lineRule="auto" w:before="127"/>
        <w:ind w:right="1126" w:firstLine="42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spacing w:val="-4"/>
        </w:rPr>
        <w:t>以支付现金取得的长期股权投资，按照实际支付的购买价款作为投资成本。初始投资成本包括与取</w:t>
      </w:r>
      <w:r>
        <w:rPr>
          <w:w w:val="100"/>
        </w:rPr>
        <w:t> </w:t>
      </w:r>
      <w:r>
        <w:rPr/>
        <w:t>得长期股权投资直接相关的费用、税金及其他必要支出；</w:t>
      </w:r>
    </w:p>
    <w:p>
      <w:pPr>
        <w:pStyle w:val="BodyText"/>
        <w:spacing w:line="240" w:lineRule="auto" w:before="142"/>
        <w:ind w:left="573" w:right="1133"/>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
        </w:rPr>
        <w:t> </w:t>
      </w:r>
      <w:r>
        <w:rPr>
          <w:spacing w:val="-2"/>
        </w:rPr>
        <w:t>以发行权益性证券取得的长期股权投资，按照发行权益性证券的公允价值作为初始投资成本；</w:t>
      </w:r>
    </w:p>
    <w:p>
      <w:pPr>
        <w:pStyle w:val="BodyText"/>
        <w:spacing w:line="256" w:lineRule="auto" w:before="141"/>
        <w:ind w:right="1126" w:firstLine="420"/>
        <w:jc w:val="both"/>
      </w:pPr>
      <w:r>
        <w:rPr>
          <w:rFonts w:ascii="Times New Roman" w:hAnsi="Times New Roman" w:cs="Times New Roman" w:eastAsia="Times New Roman" w:hint="default"/>
          <w:w w:val="100"/>
        </w:rPr>
        <w:t>C.</w:t>
      </w:r>
      <w:r>
        <w:rPr>
          <w:rFonts w:ascii="Times New Roman" w:hAnsi="Times New Roman" w:cs="Times New Roman" w:eastAsia="Times New Roman" w:hint="default"/>
          <w:spacing w:val="47"/>
          <w:w w:val="100"/>
        </w:rPr>
        <w:t> </w:t>
      </w:r>
      <w:r>
        <w:rPr>
          <w:spacing w:val="-4"/>
          <w:w w:val="100"/>
        </w:rPr>
        <w:t>通过非货币性资产交换取得的长期股权投资，如果该项交换具有商业实质且换入资产或换出资产的</w:t>
      </w:r>
      <w:r>
        <w:rPr>
          <w:w w:val="100"/>
        </w:rPr>
        <w:t> </w:t>
      </w:r>
      <w:r>
        <w:rPr>
          <w:spacing w:val="-2"/>
        </w:rPr>
        <w:t>公允价值能可靠计量，则以换出资产的公允价值和相关税费作为初始投资成本，换出资产的公允价值与账</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面价值之间的差额计入当期损益；若非货币资产交换不同时具备上述两个条件，则按换出资产的账面价值</w:t>
      </w:r>
      <w:r>
        <w:rPr>
          <w:spacing w:val="-44"/>
        </w:rPr>
        <w:t> </w:t>
      </w:r>
      <w:r>
        <w:rPr>
          <w:spacing w:val="-44"/>
        </w:rPr>
      </w:r>
      <w:r>
        <w:rPr/>
        <w:t>和相关税费作为初始投资成本。</w:t>
      </w:r>
    </w:p>
    <w:p>
      <w:pPr>
        <w:pStyle w:val="BodyText"/>
        <w:spacing w:line="256" w:lineRule="auto" w:before="127"/>
        <w:ind w:right="1126" w:firstLine="42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28"/>
        </w:rPr>
        <w:t> </w:t>
      </w:r>
      <w:r>
        <w:rPr>
          <w:spacing w:val="-4"/>
        </w:rPr>
        <w:t>通过债务重组取得的长期股权投资，按取得的股权的公允价值作为初始投资成本，初始投资成本与</w:t>
      </w:r>
      <w:r>
        <w:rPr>
          <w:w w:val="100"/>
        </w:rPr>
        <w:t> </w:t>
      </w:r>
      <w:r>
        <w:rPr/>
        <w:t>债权账面价值之间的差额计入当期损益。</w:t>
      </w:r>
    </w:p>
    <w:p>
      <w:pPr>
        <w:spacing w:line="357" w:lineRule="auto" w:before="142"/>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本公司能够对被投资单位实施控制的长期股权投资采用成本法核算；对联营企业和合营企业的长期股</w:t>
      </w:r>
    </w:p>
    <w:p>
      <w:pPr>
        <w:pStyle w:val="BodyText"/>
        <w:spacing w:line="209" w:lineRule="exact"/>
        <w:ind w:right="0"/>
        <w:jc w:val="both"/>
      </w:pPr>
      <w:r>
        <w:rPr/>
        <w:t>权投资采用权益法核算。</w:t>
      </w:r>
    </w:p>
    <w:p>
      <w:pPr>
        <w:pStyle w:val="BodyText"/>
        <w:spacing w:line="430" w:lineRule="atLeast" w:before="2"/>
        <w:ind w:left="573" w:right="1133"/>
        <w:jc w:val="left"/>
      </w:pPr>
      <w:r>
        <w:rPr/>
        <w:t>①成本法</w:t>
      </w:r>
      <w:r>
        <w:rPr>
          <w:w w:val="100"/>
        </w:rPr>
        <w:t> </w:t>
      </w:r>
      <w:r>
        <w:rPr>
          <w:spacing w:val="-2"/>
        </w:rPr>
        <w:t>采用成本法核算的长期股权投资，追加或收回投资时调整长期股权投资的成本；被投资单位宣告分派</w:t>
      </w:r>
    </w:p>
    <w:p>
      <w:pPr>
        <w:pStyle w:val="BodyText"/>
        <w:spacing w:line="240" w:lineRule="auto" w:before="37"/>
        <w:ind w:right="0"/>
        <w:jc w:val="both"/>
      </w:pPr>
      <w:r>
        <w:rPr/>
        <w:t>的现金股利或利润，确认为当期投资收益。</w:t>
      </w:r>
    </w:p>
    <w:p>
      <w:pPr>
        <w:pStyle w:val="BodyText"/>
        <w:spacing w:line="376" w:lineRule="auto" w:before="157"/>
        <w:ind w:left="573" w:right="4993"/>
        <w:jc w:val="left"/>
      </w:pPr>
      <w:r>
        <w:rPr/>
        <w:t>②权益法</w:t>
      </w:r>
      <w:r>
        <w:rPr>
          <w:w w:val="100"/>
        </w:rPr>
        <w:t> </w:t>
      </w:r>
      <w:r>
        <w:rPr>
          <w:spacing w:val="-2"/>
        </w:rPr>
        <w:t>按照权益法核算的长期股权投资，一般会计处理为：</w:t>
      </w:r>
    </w:p>
    <w:p>
      <w:pPr>
        <w:pStyle w:val="BodyText"/>
        <w:spacing w:line="273" w:lineRule="auto" w:before="37"/>
        <w:ind w:right="1126" w:firstLine="420"/>
        <w:jc w:val="both"/>
      </w:pPr>
      <w:r>
        <w:rPr>
          <w:spacing w:val="-2"/>
        </w:rPr>
        <w:t>本公司长期股权投资的投资成本大于投资时应享有被投资单位可辨认净资产公允价值份额的，不调整</w:t>
      </w:r>
      <w:r>
        <w:rPr>
          <w:w w:val="100"/>
        </w:rPr>
        <w:t> </w:t>
      </w:r>
      <w:r>
        <w:rPr>
          <w:spacing w:val="-2"/>
        </w:rPr>
        <w:t>长期股权投资的初始投资成本；长期股权投资的初始投资成本小于投资时应享有被投资单位可辨认净资产</w:t>
      </w:r>
      <w:r>
        <w:rPr>
          <w:spacing w:val="-43"/>
        </w:rPr>
        <w:t> </w:t>
      </w:r>
      <w:r>
        <w:rPr>
          <w:spacing w:val="-43"/>
        </w:rPr>
      </w:r>
      <w:r>
        <w:rPr/>
        <w:t>公允价值份额的，其差额计入当期损益，同时调整长期股权投资的成本。</w:t>
      </w:r>
    </w:p>
    <w:p>
      <w:pPr>
        <w:pStyle w:val="BodyText"/>
        <w:spacing w:line="273" w:lineRule="auto" w:before="127"/>
        <w:ind w:right="1126" w:firstLine="420"/>
        <w:jc w:val="both"/>
      </w:pPr>
      <w:r>
        <w:rPr>
          <w:spacing w:val="-2"/>
        </w:rPr>
        <w:t>本公司按照应享有或应分担的被投资单位实现的净损益和其他综合收益的份额，分别确认投资收益和</w:t>
      </w:r>
      <w:r>
        <w:rPr>
          <w:w w:val="100"/>
        </w:rPr>
        <w:t> </w:t>
      </w:r>
      <w:r>
        <w:rPr>
          <w:spacing w:val="-2"/>
        </w:rPr>
        <w:t>其他综合收益，同时调整长期股权投资的账面价值；本公司按照被投资单位宣告分派的利润或现金股利计</w:t>
      </w:r>
      <w:r>
        <w:rPr>
          <w:spacing w:val="-43"/>
        </w:rPr>
        <w:t> </w:t>
      </w:r>
      <w:r>
        <w:rPr>
          <w:spacing w:val="-43"/>
        </w:rPr>
      </w:r>
      <w:r>
        <w:rPr>
          <w:spacing w:val="-2"/>
        </w:rPr>
        <w:t>算应享有的部分，相应减少长期股权投资的账面价值；被投资单位除净损益、其他综合收益和利润分配以</w:t>
      </w:r>
      <w:r>
        <w:rPr>
          <w:spacing w:val="-44"/>
        </w:rPr>
        <w:t> </w:t>
      </w:r>
      <w:r>
        <w:rPr>
          <w:spacing w:val="-44"/>
        </w:rPr>
      </w:r>
      <w:r>
        <w:rPr>
          <w:spacing w:val="-2"/>
        </w:rPr>
        <w:t>外所有者权益的其他变动，调整长期股权投资的账面价值并计入所有者权益。在确认应享有被投资单位净</w:t>
      </w:r>
      <w:r>
        <w:rPr>
          <w:spacing w:val="-44"/>
        </w:rPr>
        <w:t> </w:t>
      </w:r>
      <w:r>
        <w:rPr>
          <w:spacing w:val="-44"/>
        </w:rPr>
      </w:r>
      <w:r>
        <w:rPr>
          <w:spacing w:val="-2"/>
        </w:rPr>
        <w:t>损益的份额时，以取得投资时被投资单位可辨认净资产的公允价值为基础，对被投资单位的净利润进行调</w:t>
      </w:r>
      <w:r>
        <w:rPr>
          <w:spacing w:val="-42"/>
        </w:rPr>
        <w:t> </w:t>
      </w:r>
      <w:r>
        <w:rPr>
          <w:spacing w:val="-42"/>
        </w:rPr>
      </w:r>
      <w:r>
        <w:rPr>
          <w:spacing w:val="-2"/>
        </w:rPr>
        <w:t>整后确认。被投资单位采用的会计政策及会计期间与本公司不一致的，应按照本公司的会计政策及会计期</w:t>
      </w:r>
      <w:r>
        <w:rPr>
          <w:spacing w:val="-42"/>
        </w:rPr>
        <w:t> </w:t>
      </w:r>
      <w:r>
        <w:rPr>
          <w:spacing w:val="-42"/>
        </w:rPr>
      </w:r>
      <w:r>
        <w:rPr>
          <w:spacing w:val="-2"/>
        </w:rPr>
        <w:t>间对被投资单位的财务报表进行调整，并据以确认投资收益和其他综合收益等。本公司与联营企业及合营</w:t>
      </w:r>
      <w:r>
        <w:rPr>
          <w:spacing w:val="-44"/>
        </w:rPr>
        <w:t> </w:t>
      </w:r>
      <w:r>
        <w:rPr>
          <w:spacing w:val="-44"/>
        </w:rPr>
      </w:r>
      <w:r>
        <w:rPr>
          <w:spacing w:val="-2"/>
        </w:rPr>
        <w:t>企业之间发生的未实现内部交易损益按照享有的比例计算归属于本公司的部分予以抵销，在此基础上确认</w:t>
      </w:r>
      <w:r>
        <w:rPr>
          <w:spacing w:val="-43"/>
        </w:rPr>
        <w:t> </w:t>
      </w:r>
      <w:r>
        <w:rPr>
          <w:spacing w:val="-43"/>
        </w:rPr>
      </w:r>
      <w:r>
        <w:rPr/>
        <w:t>投资损益。本公司与被投资单位发生的未实现内部交易损失属于资产减值损失的，应全额确认。</w:t>
      </w:r>
    </w:p>
    <w:p>
      <w:pPr>
        <w:pStyle w:val="BodyText"/>
        <w:spacing w:line="273" w:lineRule="auto" w:before="127"/>
        <w:ind w:right="1126" w:firstLine="420"/>
        <w:jc w:val="both"/>
      </w:pPr>
      <w:r>
        <w:rPr>
          <w:spacing w:val="-2"/>
        </w:rPr>
        <w:t>因追加投资等原因能够对被投资单位施加重大影响或实施共同控制但不构成控制的，按照原持有的股</w:t>
      </w:r>
      <w:r>
        <w:rPr>
          <w:w w:val="100"/>
        </w:rPr>
        <w:t> </w:t>
      </w:r>
      <w:r>
        <w:rPr>
          <w:spacing w:val="-2"/>
        </w:rPr>
        <w:t>权投资的公允价值加上新增投资成本之和，作为改按权益法核算的初始投资成本。原持有的股权投资分类</w:t>
      </w:r>
      <w:r>
        <w:rPr>
          <w:spacing w:val="-43"/>
        </w:rPr>
        <w:t> </w:t>
      </w:r>
      <w:r>
        <w:rPr>
          <w:spacing w:val="-43"/>
        </w:rPr>
      </w:r>
      <w:r>
        <w:rPr>
          <w:spacing w:val="-2"/>
        </w:rPr>
        <w:t>为可供出售金融资产的，其公允价值与账面价值之间的差额，以及原计入其他综合收益的累计公允价值变</w:t>
      </w:r>
      <w:r>
        <w:rPr>
          <w:spacing w:val="-42"/>
        </w:rPr>
        <w:t> </w:t>
      </w:r>
      <w:r>
        <w:rPr>
          <w:spacing w:val="-42"/>
        </w:rPr>
      </w:r>
      <w:r>
        <w:rPr/>
        <w:t>动应当转入改按权益法核算的当期损益。</w:t>
      </w:r>
    </w:p>
    <w:p>
      <w:pPr>
        <w:pStyle w:val="BodyText"/>
        <w:spacing w:line="273" w:lineRule="auto" w:before="127"/>
        <w:ind w:right="1126" w:firstLine="420"/>
        <w:jc w:val="both"/>
      </w:pPr>
      <w:r>
        <w:rPr>
          <w:spacing w:val="-2"/>
        </w:rPr>
        <w:t>因处置部分股权投资等原因丧失了对被投资单位的共同控制或重大影响的，处置后的剩余股权改按公</w:t>
      </w:r>
      <w:r>
        <w:rPr>
          <w:w w:val="100"/>
        </w:rPr>
        <w:t> </w:t>
      </w:r>
      <w:r>
        <w:rPr>
          <w:spacing w:val="-2"/>
        </w:rPr>
        <w:t>允价值计量，其在丧失共同控制或重大影响之日的公允价值与账面价值之间的差额计入当期损益。原股权</w:t>
      </w:r>
      <w:r>
        <w:rPr>
          <w:spacing w:val="-44"/>
        </w:rPr>
        <w:t> </w:t>
      </w:r>
      <w:r>
        <w:rPr>
          <w:spacing w:val="-44"/>
        </w:rPr>
      </w:r>
      <w:r>
        <w:rPr>
          <w:spacing w:val="-2"/>
        </w:rPr>
        <w:t>投资因采用权益法核算而确认的其他综合收益，在终止采用权益法核算时采用与被投资单位直接处置相关</w:t>
      </w:r>
      <w:r>
        <w:rPr>
          <w:spacing w:val="-43"/>
        </w:rPr>
        <w:t> </w:t>
      </w:r>
      <w:r>
        <w:rPr>
          <w:spacing w:val="-43"/>
        </w:rPr>
      </w:r>
      <w:r>
        <w:rPr/>
        <w:t>资产或负债相同的基础进行会计处理。</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3" w:right="1128" w:firstLine="0"/>
        <w:jc w:val="both"/>
        <w:rPr>
          <w:rFonts w:ascii="宋体" w:hAnsi="宋体" w:cs="宋体" w:eastAsia="宋体" w:hint="default"/>
          <w:sz w:val="18"/>
          <w:szCs w:val="18"/>
        </w:rPr>
      </w:pPr>
      <w:r>
        <w:rPr>
          <w:rFonts w:ascii="宋体" w:hAnsi="宋体" w:cs="宋体" w:eastAsia="宋体" w:hint="default"/>
          <w:spacing w:val="-2"/>
          <w:sz w:val="18"/>
          <w:szCs w:val="18"/>
        </w:rPr>
        <w:t>固定资产在同时满足下列条件时，按取得时的实际成本予以确认：①与该固定资产有关的经济利益很可能流入企业。②该固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定资产的成本能够可靠地计量。固定资产发生的后续支出，符合固定资产确认条件的计入固定资产成本；不符合固定资产确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认条件的在发生时计入当期损益。</w:t>
      </w:r>
    </w:p>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23.75-11.88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5"/>
        <w:rPr>
          <w:rFonts w:ascii="宋体" w:hAnsi="宋体" w:cs="宋体" w:eastAsia="宋体" w:hint="default"/>
          <w:b/>
          <w:bCs/>
          <w:sz w:val="6"/>
          <w:szCs w:val="6"/>
        </w:rPr>
      </w:pPr>
    </w:p>
    <w:p>
      <w:pPr>
        <w:spacing w:line="316" w:lineRule="auto"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对于已经计提减值准备的固定资产，在计提折旧时扣除已计提的固定资产减值准备。 </w:t>
      </w:r>
      <w:r>
        <w:rPr>
          <w:rFonts w:ascii="宋体" w:hAnsi="宋体" w:cs="宋体" w:eastAsia="宋体" w:hint="default"/>
          <w:spacing w:val="-2"/>
          <w:sz w:val="18"/>
          <w:szCs w:val="18"/>
        </w:rPr>
        <w:t>每年年度终了，公司对固定资产的使用寿命、预计净残值和折旧方法进行复核。使用寿命预计数与原先估计数有差异的，调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整固定资产使用寿命。</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line="316" w:lineRule="auto" w:before="0"/>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本公司在租入的固定资产实质上转移了与资产有关的全部风险和报酬时确认该项固定资产的租赁为融资租赁。融资租赁取得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的固定资产的成本，按租赁开始日租赁资产公允价值与最低租赁付款额现值两者中较低者确定。融资租入的固定资产采用与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自有固定资产相一致的折旧政策计提租赁资产折旧。能够合理确定租赁期届满时将会取得租赁资产所有权的，在租赁资产使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用年限内计提折旧；无法合理确定租赁期届满时能够取得租赁资产所有权的，在租赁期与租赁资产使用寿命两者中较短的期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间内计提折旧。</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53"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6"/>
        <w:rPr>
          <w:rFonts w:ascii="宋体" w:hAnsi="宋体" w:cs="宋体" w:eastAsia="宋体" w:hint="default"/>
          <w:sz w:val="13"/>
          <w:szCs w:val="13"/>
        </w:rPr>
      </w:pPr>
    </w:p>
    <w:p>
      <w:pPr>
        <w:pStyle w:val="BodyText"/>
        <w:spacing w:line="240" w:lineRule="auto"/>
        <w:ind w:left="573" w:right="1133"/>
        <w:jc w:val="left"/>
      </w:pPr>
      <w:r>
        <w:rPr/>
        <w:t>（</w:t>
      </w:r>
      <w:r>
        <w:rPr>
          <w:rFonts w:ascii="Times New Roman" w:hAnsi="Times New Roman" w:cs="Times New Roman" w:eastAsia="Times New Roman" w:hint="default"/>
        </w:rPr>
        <w:t>1</w:t>
      </w:r>
      <w:r>
        <w:rPr/>
        <w:t>）在建工程以立项项目分类核算。</w:t>
      </w:r>
    </w:p>
    <w:p>
      <w:pPr>
        <w:pStyle w:val="BodyText"/>
        <w:spacing w:line="256" w:lineRule="auto" w:before="141"/>
        <w:ind w:left="573" w:right="1133"/>
        <w:jc w:val="left"/>
      </w:pPr>
      <w:r>
        <w:rPr/>
        <w:t>（</w:t>
      </w: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273" w:lineRule="auto" w:before="22"/>
        <w:ind w:right="0"/>
        <w:jc w:val="left"/>
      </w:pPr>
      <w:r>
        <w:rPr>
          <w:spacing w:val="-2"/>
        </w:rPr>
        <w:t>包括建筑费用、机器设备原价、其他为使在建工程达到预定可使用状态所发生的必要支出以及在资产达到</w:t>
      </w:r>
      <w:r>
        <w:rPr>
          <w:spacing w:val="-42"/>
        </w:rPr>
        <w:t> </w:t>
      </w:r>
      <w:r>
        <w:rPr>
          <w:spacing w:val="-42"/>
        </w:rPr>
      </w:r>
      <w:r>
        <w:rPr>
          <w:spacing w:val="-2"/>
        </w:rPr>
        <w:t>预定可使用状态之前为该项目专门借款所发生的借款费用及占用的一般借款发生的借款费用。本公司在工</w:t>
      </w:r>
      <w:r>
        <w:rPr>
          <w:spacing w:val="-43"/>
        </w:rPr>
        <w:t> </w:t>
      </w:r>
      <w:r>
        <w:rPr>
          <w:spacing w:val="-43"/>
        </w:rPr>
      </w:r>
      <w:r>
        <w:rPr>
          <w:spacing w:val="-2"/>
        </w:rPr>
        <w:t>程安装或建设完成达到预定可使用状态时将在建工程转入固定资产。所建造的已达到预定可使用状态、但</w:t>
      </w:r>
      <w:r>
        <w:rPr>
          <w:spacing w:val="-44"/>
        </w:rPr>
        <w:t> </w:t>
      </w:r>
      <w:r>
        <w:rPr>
          <w:spacing w:val="-44"/>
        </w:rPr>
      </w:r>
      <w:r>
        <w:rPr>
          <w:spacing w:val="-5"/>
        </w:rPr>
        <w:t>尚未办理竣工决算的固定资产，自达到预定可使用状态之日起，根据工程预算、造价或者工程实际成本等， </w:t>
      </w:r>
      <w:r>
        <w:rPr>
          <w:spacing w:val="-5"/>
        </w:rPr>
      </w:r>
      <w:r>
        <w:rPr>
          <w:spacing w:val="-2"/>
        </w:rPr>
        <w:t>按估计的价值转入固定资产，并按本公司固定资产折旧政策计提固定资产的折旧，待办理竣工决算后，再</w:t>
      </w:r>
      <w:r>
        <w:rPr>
          <w:spacing w:val="-43"/>
        </w:rPr>
        <w:t> </w:t>
      </w:r>
      <w:r>
        <w:rPr>
          <w:spacing w:val="-43"/>
        </w:rPr>
      </w:r>
      <w:r>
        <w:rPr/>
        <w:t>按实际成本调整原来的暂估价值，但不调整原已计提的折旧额。</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本公司发生的可直接归属于符合资本化条件的资产的购建或生产的借款费用在同时满足下列条件时</w:t>
      </w:r>
    </w:p>
    <w:p>
      <w:pPr>
        <w:pStyle w:val="BodyText"/>
        <w:spacing w:line="209" w:lineRule="exact"/>
        <w:ind w:right="1133"/>
        <w:jc w:val="left"/>
      </w:pPr>
      <w:r>
        <w:rPr/>
        <w:t>予以资本化计入相关资产成本：</w:t>
      </w:r>
    </w:p>
    <w:p>
      <w:pPr>
        <w:pStyle w:val="BodyText"/>
        <w:spacing w:line="240" w:lineRule="auto" w:before="157"/>
        <w:ind w:left="573" w:right="1133"/>
        <w:jc w:val="left"/>
      </w:pPr>
      <w:r>
        <w:rPr/>
        <w:t>①资产支出已经发生；</w:t>
      </w:r>
    </w:p>
    <w:p>
      <w:pPr>
        <w:pStyle w:val="BodyText"/>
        <w:spacing w:line="240" w:lineRule="auto" w:before="157"/>
        <w:ind w:left="573" w:right="1133"/>
        <w:jc w:val="left"/>
      </w:pPr>
      <w:r>
        <w:rPr/>
        <w:t>②借款费用已经发生；</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③为使资产达到预定可使用状态所必要的购建或者生产活动已经开始。</w:t>
      </w:r>
    </w:p>
    <w:p>
      <w:pPr>
        <w:pStyle w:val="BodyText"/>
        <w:spacing w:line="432" w:lineRule="exact" w:before="57"/>
        <w:ind w:left="573" w:right="1133"/>
        <w:jc w:val="left"/>
      </w:pPr>
      <w:r>
        <w:rPr/>
        <w:t>其他的借款利息、折价或溢价和汇兑差额，计入发生当期的损益。</w:t>
      </w:r>
      <w:r>
        <w:rPr>
          <w:w w:val="100"/>
        </w:rPr>
        <w:t> </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BodyText"/>
        <w:spacing w:line="255" w:lineRule="exact"/>
        <w:ind w:right="1133"/>
        <w:jc w:val="left"/>
      </w:pPr>
      <w:r>
        <w:rPr/>
        <w:t>借款费用的资本化。</w:t>
      </w:r>
    </w:p>
    <w:p>
      <w:pPr>
        <w:pStyle w:val="BodyText"/>
        <w:spacing w:line="273" w:lineRule="auto" w:before="157"/>
        <w:ind w:right="1133" w:firstLine="420"/>
        <w:jc w:val="left"/>
      </w:pPr>
      <w:r>
        <w:rPr>
          <w:spacing w:val="2"/>
        </w:rPr>
        <w:t>当购建或者生产符合资本化条件的资产达到预定可使用或者可销售状态时，停止其借款费用的资本</w:t>
      </w:r>
      <w:r>
        <w:rPr>
          <w:w w:val="100"/>
        </w:rPr>
        <w:t> </w:t>
      </w:r>
      <w:r>
        <w:rPr/>
        <w:t>化；以后发生的借款费用于发生当期确认为费用。</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为购建或者生产符合资本化条件的资产而借入专门借款的，以专门借款当期实际发生的利息费用，减</w:t>
      </w:r>
    </w:p>
    <w:p>
      <w:pPr>
        <w:pStyle w:val="BodyText"/>
        <w:spacing w:line="209" w:lineRule="exact"/>
        <w:ind w:right="0"/>
        <w:jc w:val="left"/>
      </w:pPr>
      <w:r>
        <w:rPr/>
        <w:t>去将尚未动用的借款资金存入银行取得的利息收入或者进行暂时性投资取得的投资收益后的金额，确定为</w:t>
      </w:r>
    </w:p>
    <w:p>
      <w:pPr>
        <w:pStyle w:val="BodyText"/>
        <w:spacing w:line="309" w:lineRule="auto" w:before="37"/>
        <w:ind w:left="573" w:right="1133" w:hanging="420"/>
        <w:jc w:val="left"/>
      </w:pPr>
      <w:r>
        <w:rPr/>
        <w:t>专门借款利息费用的资本化金额。</w:t>
      </w:r>
      <w:r>
        <w:rPr>
          <w:w w:val="100"/>
        </w:rPr>
        <w:t> </w:t>
      </w:r>
      <w:r>
        <w:rPr>
          <w:spacing w:val="-2"/>
        </w:rPr>
        <w:t>购建或者生产符合资本化条件的资产占用了一般借款的，一般借款应予资本化的利息金额按累计资产</w:t>
      </w:r>
    </w:p>
    <w:p>
      <w:pPr>
        <w:pStyle w:val="BodyText"/>
        <w:spacing w:line="251" w:lineRule="exact"/>
        <w:ind w:right="0"/>
        <w:jc w:val="left"/>
      </w:pPr>
      <w:r>
        <w:rPr/>
        <w:t>支出超过专门借款部分的资产支出加权平均数乘以所占用一般借款的资本化率，计算确定一般借款应予资</w:t>
      </w:r>
    </w:p>
    <w:p>
      <w:pPr>
        <w:pStyle w:val="BodyText"/>
        <w:spacing w:line="240" w:lineRule="auto" w:before="37"/>
        <w:ind w:right="1133"/>
        <w:jc w:val="left"/>
      </w:pPr>
      <w:r>
        <w:rPr/>
        <w:t>本化的利息金额。资本化率根据一般借款加权平均利率计算确定。</w:t>
      </w:r>
    </w:p>
    <w:p>
      <w:pPr>
        <w:spacing w:line="240" w:lineRule="auto" w:before="8"/>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8"/>
        <w:rPr>
          <w:rFonts w:ascii="宋体" w:hAnsi="宋体" w:cs="宋体" w:eastAsia="宋体" w:hint="default"/>
          <w:sz w:val="13"/>
          <w:szCs w:val="13"/>
        </w:rPr>
      </w:pPr>
    </w:p>
    <w:p>
      <w:pPr>
        <w:spacing w:line="374" w:lineRule="auto" w:before="0"/>
        <w:ind w:left="573" w:right="7693"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按取得时的实际成本入账。</w:t>
      </w:r>
    </w:p>
    <w:p>
      <w:pPr>
        <w:pStyle w:val="Heading3"/>
        <w:spacing w:line="240" w:lineRule="auto" w:before="39"/>
        <w:ind w:left="573" w:right="1133"/>
        <w:jc w:val="left"/>
        <w:rPr>
          <w:b w:val="0"/>
          <w:bCs w:val="0"/>
        </w:rPr>
      </w:pPr>
      <w:r>
        <w:rPr>
          <w:rFonts w:ascii="宋体" w:hAnsi="宋体" w:cs="宋体" w:eastAsia="宋体" w:hint="default"/>
          <w:b w:val="0"/>
          <w:bCs w:val="0"/>
        </w:rPr>
        <w:t>②</w:t>
      </w:r>
      <w:r>
        <w:rPr/>
        <w:t>无形资产使用寿命及摊销</w:t>
      </w:r>
      <w:r>
        <w:rPr>
          <w:b w:val="0"/>
          <w:bCs w:val="0"/>
        </w:rPr>
      </w:r>
    </w:p>
    <w:p>
      <w:pPr>
        <w:pStyle w:val="BodyText"/>
        <w:spacing w:line="240" w:lineRule="auto" w:before="15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5"/>
        </w:rPr>
        <w:t> </w:t>
      </w:r>
      <w:r>
        <w:rPr/>
        <w:t>使用寿命有限的无形资产的使用寿命估计情况：</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85"/>
        <w:gridCol w:w="2052"/>
        <w:gridCol w:w="5319"/>
      </w:tblGrid>
      <w:tr>
        <w:trPr>
          <w:trHeight w:val="430" w:hRule="exact"/>
        </w:trPr>
        <w:tc>
          <w:tcPr>
            <w:tcW w:w="24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31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8"/>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4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31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法定使用权</w:t>
            </w:r>
          </w:p>
        </w:tc>
      </w:tr>
      <w:tr>
        <w:trPr>
          <w:trHeight w:val="427" w:hRule="exact"/>
        </w:trPr>
        <w:tc>
          <w:tcPr>
            <w:tcW w:w="24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2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31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r>
        <w:trPr>
          <w:trHeight w:val="427" w:hRule="exact"/>
        </w:trPr>
        <w:tc>
          <w:tcPr>
            <w:tcW w:w="24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软件及专有技术</w:t>
            </w:r>
          </w:p>
        </w:tc>
        <w:tc>
          <w:tcPr>
            <w:tcW w:w="2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531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spacing w:line="240" w:lineRule="auto" w:before="6"/>
        <w:rPr>
          <w:rFonts w:ascii="宋体" w:hAnsi="宋体" w:cs="宋体" w:eastAsia="宋体" w:hint="default"/>
          <w:sz w:val="5"/>
          <w:szCs w:val="5"/>
        </w:rPr>
      </w:pPr>
    </w:p>
    <w:p>
      <w:pPr>
        <w:pStyle w:val="BodyText"/>
        <w:spacing w:line="273" w:lineRule="auto" w:before="36"/>
        <w:ind w:right="1126" w:firstLine="420"/>
        <w:jc w:val="both"/>
      </w:pPr>
      <w:r>
        <w:rPr>
          <w:spacing w:val="-2"/>
        </w:rPr>
        <w:t>每年年度终了，公司对使用寿命有限的无形资产的使用寿命及摊销方法进行复核。经复核，本期末无</w:t>
      </w:r>
      <w:r>
        <w:rPr>
          <w:w w:val="100"/>
        </w:rPr>
        <w:t> </w:t>
      </w:r>
      <w:r>
        <w:rPr/>
        <w:t>形资产的使用寿命及摊销方法与以前估计未有不同。</w:t>
      </w:r>
    </w:p>
    <w:p>
      <w:pPr>
        <w:pStyle w:val="BodyText"/>
        <w:spacing w:line="264" w:lineRule="auto" w:before="127"/>
        <w:ind w:right="1126" w:firstLine="420"/>
        <w:jc w:val="both"/>
      </w:pPr>
      <w:r>
        <w:rPr>
          <w:rFonts w:ascii="Times New Roman" w:hAnsi="Times New Roman" w:cs="Times New Roman" w:eastAsia="Times New Roman" w:hint="default"/>
          <w:spacing w:val="-2"/>
        </w:rPr>
        <w:t>B.</w:t>
      </w:r>
      <w:r>
        <w:rPr>
          <w:spacing w:val="-2"/>
        </w:rPr>
        <w:t>无法预见无形资产为企业带来经济利益期限的，视为使用寿命不确定的无形资产。对于使用寿命不</w:t>
      </w:r>
      <w:r>
        <w:rPr>
          <w:w w:val="100"/>
        </w:rPr>
        <w:t> </w:t>
      </w:r>
      <w:r>
        <w:rPr>
          <w:spacing w:val="-2"/>
        </w:rPr>
        <w:t>确定的无形资产，公司在每年年度终了对使用寿命不确定的无形资产的使用寿命进行复核，如果重新复核</w:t>
      </w:r>
      <w:r>
        <w:rPr>
          <w:spacing w:val="-43"/>
        </w:rPr>
        <w:t> </w:t>
      </w:r>
      <w:r>
        <w:rPr>
          <w:spacing w:val="-43"/>
        </w:rPr>
      </w:r>
      <w:r>
        <w:rPr/>
        <w:t>后仍为不确定的，于在资产负债表日进行减值测试。</w:t>
      </w:r>
    </w:p>
    <w:p>
      <w:pPr>
        <w:pStyle w:val="BodyText"/>
        <w:spacing w:line="357" w:lineRule="auto" w:before="136"/>
        <w:ind w:left="573" w:right="1133"/>
        <w:jc w:val="left"/>
      </w:pPr>
      <w:r>
        <w:rPr>
          <w:rFonts w:ascii="Times New Roman" w:hAnsi="Times New Roman" w:cs="Times New Roman" w:eastAsia="Times New Roman" w:hint="default"/>
        </w:rPr>
        <w:t>C.</w:t>
      </w:r>
      <w:r>
        <w:rPr/>
        <w:t>无形资产的摊销</w:t>
      </w:r>
      <w:r>
        <w:rPr>
          <w:w w:val="100"/>
        </w:rPr>
        <w:t> </w:t>
      </w:r>
      <w:r>
        <w:rPr>
          <w:spacing w:val="-2"/>
        </w:rPr>
        <w:t>对于使用寿命有限的无形资产，本公司在取得时判定其使用寿命，在使用寿命内采用直线法系统合理</w:t>
      </w:r>
    </w:p>
    <w:p>
      <w:pPr>
        <w:pStyle w:val="BodyText"/>
        <w:spacing w:line="209" w:lineRule="exact"/>
        <w:ind w:right="0"/>
        <w:jc w:val="left"/>
      </w:pPr>
      <w:r>
        <w:rPr/>
        <w:t>摊销，摊销金额按受益项目计入当期损益</w:t>
      </w:r>
      <w:r>
        <w:rPr>
          <w:color w:val="FF0000"/>
        </w:rPr>
        <w:t>。</w:t>
      </w:r>
      <w:r>
        <w:rPr/>
        <w:t>具体应摊销金额为其成本扣除预计残值后的金额。已计提减值</w:t>
      </w:r>
    </w:p>
    <w:p>
      <w:pPr>
        <w:spacing w:after="0" w:line="209"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准备的无形资产，还应扣除已计提的无形资产减值准备累计金额，残值为零。但下列情况除外：有第三方</w:t>
      </w:r>
      <w:r>
        <w:rPr>
          <w:spacing w:val="-47"/>
        </w:rPr>
        <w:t> </w:t>
      </w:r>
      <w:r>
        <w:rPr>
          <w:spacing w:val="-47"/>
        </w:rPr>
      </w:r>
      <w:r>
        <w:rPr>
          <w:spacing w:val="-2"/>
        </w:rPr>
        <w:t>承诺在无形资产使用寿命结束时购买该无形资产或可以根据活跃市场得到预计残值信息，并且该市场在无</w:t>
      </w:r>
      <w:r>
        <w:rPr>
          <w:spacing w:val="-43"/>
        </w:rPr>
        <w:t> </w:t>
      </w:r>
      <w:r>
        <w:rPr>
          <w:spacing w:val="-43"/>
        </w:rPr>
      </w:r>
      <w:r>
        <w:rPr/>
        <w:t>形资产使用寿命结束时很可能存在。</w:t>
      </w:r>
    </w:p>
    <w:p>
      <w:pPr>
        <w:pStyle w:val="BodyText"/>
        <w:spacing w:line="273" w:lineRule="auto" w:before="48"/>
        <w:ind w:right="1126" w:firstLine="420"/>
        <w:jc w:val="both"/>
      </w:pPr>
      <w:r>
        <w:rPr>
          <w:spacing w:val="-2"/>
        </w:rPr>
        <w:t>对使用寿命不确定的无形资产，不予摊销。每年年度终了对使用寿命不确定的无形资产的使用寿命进</w:t>
      </w:r>
      <w:r>
        <w:rPr>
          <w:w w:val="100"/>
        </w:rPr>
        <w:t> </w:t>
      </w:r>
      <w:r>
        <w:rPr>
          <w:spacing w:val="-2"/>
        </w:rPr>
        <w:t>行复核，如果有证据表明无形资产的使用寿命是有限的，估计其使用寿命并在预计使用年限内系统合理摊</w:t>
      </w:r>
      <w:r>
        <w:rPr>
          <w:spacing w:val="-43"/>
        </w:rPr>
        <w:t> </w:t>
      </w:r>
      <w:r>
        <w:rPr>
          <w:spacing w:val="-43"/>
        </w:rPr>
      </w:r>
      <w:r>
        <w:rPr/>
        <w:t>销。</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③划分内部研究开发项目的研究阶段和开发阶段具体标准</w:t>
      </w:r>
      <w:r>
        <w:rPr>
          <w:b w:val="0"/>
          <w:bCs w:val="0"/>
        </w:rPr>
      </w:r>
    </w:p>
    <w:p>
      <w:pPr>
        <w:pStyle w:val="BodyText"/>
        <w:spacing w:line="256" w:lineRule="auto" w:before="157"/>
        <w:ind w:right="1133" w:firstLine="420"/>
        <w:jc w:val="left"/>
      </w:pPr>
      <w:r>
        <w:rPr>
          <w:rFonts w:ascii="Times New Roman" w:hAnsi="Times New Roman" w:cs="Times New Roman" w:eastAsia="Times New Roman" w:hint="default"/>
          <w:spacing w:val="-2"/>
        </w:rPr>
        <w:t>A.</w:t>
      </w:r>
      <w:r>
        <w:rPr>
          <w:spacing w:val="-2"/>
        </w:rPr>
        <w:t>本公司将为进一步开发活动进行的资料及相关方面的准备活动作为研究阶段，无形资产研究阶段的</w:t>
      </w:r>
      <w:r>
        <w:rPr>
          <w:w w:val="100"/>
        </w:rPr>
        <w:t> </w:t>
      </w:r>
      <w:r>
        <w:rPr/>
        <w:t>支出在发生时计入当期损益。</w:t>
      </w:r>
    </w:p>
    <w:p>
      <w:pPr>
        <w:pStyle w:val="BodyText"/>
        <w:spacing w:line="240" w:lineRule="auto" w:before="143"/>
        <w:ind w:left="573" w:right="1133"/>
        <w:jc w:val="left"/>
      </w:pPr>
      <w:r>
        <w:rPr>
          <w:rFonts w:ascii="Times New Roman" w:hAnsi="Times New Roman" w:cs="Times New Roman" w:eastAsia="Times New Roman" w:hint="default"/>
        </w:rPr>
        <w:t>B.</w:t>
      </w:r>
      <w:r>
        <w:rPr/>
        <w:t>在本公司已完成研究阶段的工作后再进行的开发活动作为开发阶段。</w:t>
      </w:r>
    </w:p>
    <w:p>
      <w:pPr>
        <w:pStyle w:val="BodyText"/>
        <w:spacing w:line="369" w:lineRule="auto" w:before="141"/>
        <w:ind w:left="573" w:right="1575" w:firstLine="2"/>
        <w:jc w:val="left"/>
      </w:pPr>
      <w:r>
        <w:rPr>
          <w:rFonts w:ascii="宋体" w:hAnsi="宋体" w:cs="宋体" w:eastAsia="宋体" w:hint="default"/>
          <w:b/>
          <w:bCs/>
        </w:rPr>
        <w:t>④开发阶段支出资本化的具体条件</w:t>
      </w:r>
      <w:r>
        <w:rPr>
          <w:rFonts w:ascii="宋体" w:hAnsi="宋体" w:cs="宋体" w:eastAsia="宋体" w:hint="default"/>
          <w:b/>
          <w:bCs/>
          <w:w w:val="100"/>
        </w:rPr>
        <w:t> </w:t>
      </w:r>
      <w:r>
        <w:rPr/>
        <w:t>开发阶段的支出同时满足下列条件时，才能确认为无形资产：</w:t>
      </w:r>
      <w:r>
        <w:rPr>
          <w:w w:val="100"/>
        </w:rPr>
        <w:t> </w:t>
      </w:r>
      <w:r>
        <w:rPr>
          <w:rFonts w:ascii="Times New Roman" w:hAnsi="Times New Roman" w:cs="Times New Roman" w:eastAsia="Times New Roman" w:hint="default"/>
          <w:spacing w:val="-2"/>
        </w:rPr>
        <w:t>A.</w:t>
      </w:r>
      <w:r>
        <w:rPr>
          <w:spacing w:val="-2"/>
        </w:rPr>
        <w:t>完成该无形资产以使其能够使用或出售在技术上具有可行性；</w:t>
      </w:r>
      <w:r>
        <w:rPr>
          <w:spacing w:val="-52"/>
        </w:rPr>
        <w:t> </w:t>
      </w:r>
      <w:r>
        <w:rPr>
          <w:spacing w:val="-52"/>
        </w:rPr>
      </w:r>
      <w:r>
        <w:rPr>
          <w:rFonts w:ascii="Times New Roman" w:hAnsi="Times New Roman" w:cs="Times New Roman" w:eastAsia="Times New Roman" w:hint="default"/>
        </w:rPr>
        <w:t>B.</w:t>
      </w:r>
      <w:r>
        <w:rPr/>
        <w:t>具有完成该无形资产并使用或出售的意图；</w:t>
      </w:r>
    </w:p>
    <w:p>
      <w:pPr>
        <w:pStyle w:val="BodyText"/>
        <w:spacing w:line="256" w:lineRule="auto" w:before="15"/>
        <w:ind w:right="1133" w:firstLine="42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256" w:lineRule="auto" w:before="142"/>
        <w:ind w:right="1133" w:firstLine="420"/>
        <w:jc w:val="left"/>
      </w:pPr>
      <w:r>
        <w:rPr>
          <w:rFonts w:ascii="Times New Roman" w:hAnsi="Times New Roman" w:cs="Times New Roman" w:eastAsia="Times New Roman" w:hint="default"/>
          <w:spacing w:val="-2"/>
        </w:rPr>
        <w:t>D.</w:t>
      </w:r>
      <w:r>
        <w:rPr>
          <w:spacing w:val="-2"/>
        </w:rPr>
        <w:t>有足够的技术、财务资源和其他资源支持，以完成该无形资产的开发，并有能力使用或出售该无形</w:t>
      </w:r>
      <w:r>
        <w:rPr>
          <w:w w:val="100"/>
        </w:rPr>
        <w:t> </w:t>
      </w:r>
      <w:r>
        <w:rPr/>
        <w:t>资产；</w:t>
      </w:r>
    </w:p>
    <w:p>
      <w:pPr>
        <w:pStyle w:val="BodyText"/>
        <w:spacing w:line="240" w:lineRule="auto" w:before="22"/>
        <w:ind w:left="573" w:right="1133"/>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本公司在资产负债表日对长期股权投资进行逐项检查，根据被投资单位经营政策、法律环境、市场需</w:t>
      </w:r>
    </w:p>
    <w:p>
      <w:pPr>
        <w:pStyle w:val="BodyText"/>
        <w:spacing w:line="209" w:lineRule="exact"/>
        <w:ind w:right="0"/>
        <w:jc w:val="both"/>
      </w:pPr>
      <w:r>
        <w:rPr/>
        <w:t>求、行业及盈利能力等的各种变化判断长期股权投资是否存在减值迹象。当长期股权投资可收回金额低于</w:t>
      </w:r>
    </w:p>
    <w:p>
      <w:pPr>
        <w:pStyle w:val="BodyText"/>
        <w:spacing w:line="273" w:lineRule="auto" w:before="37"/>
        <w:ind w:right="1126"/>
        <w:jc w:val="both"/>
      </w:pP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本公司在资产负债表日对各项固定资产进行判断，当存在减值迹象，估计可收回金额低于其账面价值</w:t>
      </w:r>
    </w:p>
    <w:p>
      <w:pPr>
        <w:pStyle w:val="BodyText"/>
        <w:spacing w:line="209" w:lineRule="exact"/>
        <w:ind w:right="0"/>
        <w:jc w:val="both"/>
      </w:pPr>
      <w:r>
        <w:rPr/>
        <w:t>时，账面价值减记至可收回金额，减记的金额确认为资产减值损失，计入当期损益，同时计提相应的资产</w:t>
      </w:r>
    </w:p>
    <w:p>
      <w:pPr>
        <w:pStyle w:val="BodyText"/>
        <w:spacing w:line="273" w:lineRule="auto" w:before="37"/>
        <w:ind w:right="1131"/>
        <w:jc w:val="both"/>
      </w:pPr>
      <w:r>
        <w:rPr>
          <w:spacing w:val="-3"/>
        </w:rPr>
        <w:t>减值准备。资产减值损失一经确认，在以后会计期间不再转回。当存在下列迹象的，按固定资产单项项目</w:t>
      </w:r>
      <w:r>
        <w:rPr>
          <w:spacing w:val="-5"/>
        </w:rPr>
        <w:t> </w:t>
      </w:r>
      <w:r>
        <w:rPr>
          <w:spacing w:val="-5"/>
        </w:rPr>
      </w:r>
      <w:r>
        <w:rPr/>
        <w:t>全额计提减值准备：</w:t>
      </w:r>
    </w:p>
    <w:p>
      <w:pPr>
        <w:pStyle w:val="BodyText"/>
        <w:spacing w:line="240" w:lineRule="auto" w:before="127"/>
        <w:ind w:left="573" w:right="1133"/>
        <w:jc w:val="left"/>
      </w:pPr>
      <w:r>
        <w:rPr/>
        <w:t>①长期闲置不用，在可预见的未来不会再使用，且已无转让价值的固定资产；</w:t>
      </w:r>
    </w:p>
    <w:p>
      <w:pPr>
        <w:pStyle w:val="BodyText"/>
        <w:spacing w:line="240" w:lineRule="auto" w:before="157"/>
        <w:ind w:left="573" w:right="1133"/>
        <w:jc w:val="left"/>
      </w:pPr>
      <w:r>
        <w:rPr/>
        <w:t>②由于技术进步等原因，已不可使用的固定资产；</w:t>
      </w:r>
    </w:p>
    <w:p>
      <w:pPr>
        <w:pStyle w:val="BodyText"/>
        <w:spacing w:line="240" w:lineRule="auto" w:before="157"/>
        <w:ind w:left="573" w:right="1133"/>
        <w:jc w:val="left"/>
      </w:pPr>
      <w:r>
        <w:rPr/>
        <w:t>③虽然固定资产尚可使用，但使用后产生大量不合格品的固定资产；</w:t>
      </w:r>
    </w:p>
    <w:p>
      <w:pPr>
        <w:pStyle w:val="BodyText"/>
        <w:spacing w:line="240" w:lineRule="auto" w:before="157"/>
        <w:ind w:left="573" w:right="1133"/>
        <w:jc w:val="left"/>
      </w:pPr>
      <w:r>
        <w:rPr/>
        <w:t>④已遭毁损，以至于不再具有使用价值和转让价值的固定资产；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⑤其他实质上已经不能再给公司带来经济利益的固定资产。</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本公司于资产负债表日对在建工程进行全面检查，如果有证据表明在建工程已经发生了减值，估计可</w:t>
      </w:r>
    </w:p>
    <w:p>
      <w:pPr>
        <w:pStyle w:val="BodyText"/>
        <w:spacing w:line="209" w:lineRule="exact"/>
        <w:ind w:right="0"/>
        <w:jc w:val="left"/>
      </w:pPr>
      <w:r>
        <w:rPr/>
        <w:t>收回金额低于其账面价值时，账面价值减记至可收回金额，减记的金额确认为资产减值损失，计入当期损</w:t>
      </w:r>
    </w:p>
    <w:p>
      <w:pPr>
        <w:pStyle w:val="BodyText"/>
        <w:spacing w:line="273" w:lineRule="auto" w:before="37"/>
        <w:ind w:right="1133"/>
        <w:jc w:val="left"/>
      </w:pPr>
      <w:r>
        <w:rPr>
          <w:spacing w:val="-2"/>
        </w:rPr>
        <w:t>益，同时计提相应的资产减值准备。资产减值损失一经确认，在以后会计期间不再转回。存在下列一项或</w:t>
      </w:r>
      <w:r>
        <w:rPr>
          <w:spacing w:val="-50"/>
        </w:rPr>
        <w:t> </w:t>
      </w:r>
      <w:r>
        <w:rPr>
          <w:spacing w:val="-50"/>
        </w:rPr>
      </w:r>
      <w:r>
        <w:rPr/>
        <w:t>若干项情况的，对在建工程进行减值测试：</w:t>
      </w:r>
    </w:p>
    <w:p>
      <w:pPr>
        <w:pStyle w:val="BodyText"/>
        <w:spacing w:line="240" w:lineRule="auto" w:before="127"/>
        <w:ind w:left="573" w:right="1133"/>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141"/>
        <w:ind w:left="573" w:right="0"/>
        <w:jc w:val="left"/>
      </w:pPr>
      <w:r>
        <w:rPr>
          <w:spacing w:val="-5"/>
        </w:rPr>
        <w:t>②所建项目无论在性能上，还是在技术上已经落后，并且给企业带来的经济利益具有很大的不确定性；</w:t>
      </w:r>
    </w:p>
    <w:p>
      <w:pPr>
        <w:pStyle w:val="BodyText"/>
        <w:spacing w:line="240" w:lineRule="auto" w:before="157"/>
        <w:ind w:left="573" w:right="1133"/>
        <w:jc w:val="left"/>
      </w:pPr>
      <w:r>
        <w:rPr/>
        <w:t>③其他足以证明在建工程已经发生减值的情形。</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当无形资产的可收回金额低于其账面价值时，将资产的账面价值减记至可收回金额，减记的金额确认</w:t>
      </w:r>
    </w:p>
    <w:p>
      <w:pPr>
        <w:pStyle w:val="BodyText"/>
        <w:spacing w:line="209" w:lineRule="exact"/>
        <w:ind w:right="0"/>
        <w:jc w:val="left"/>
      </w:pPr>
      <w:r>
        <w:rPr/>
        <w:t>为资产减值损失，计入当期损益，同时计提相应的无形资产减值准备。无形资产减值损失一经确认，在以</w:t>
      </w:r>
    </w:p>
    <w:p>
      <w:pPr>
        <w:pStyle w:val="BodyText"/>
        <w:spacing w:line="240" w:lineRule="auto" w:before="37"/>
        <w:ind w:right="1133"/>
        <w:jc w:val="left"/>
      </w:pPr>
      <w:r>
        <w:rPr/>
        <w:t>后会计期间不再转回。存在下列一项或多项以下情况的，对无形资产进行减值测试：</w:t>
      </w:r>
    </w:p>
    <w:p>
      <w:pPr>
        <w:pStyle w:val="BodyText"/>
        <w:spacing w:line="240" w:lineRule="auto" w:before="157"/>
        <w:ind w:left="573" w:right="1133"/>
        <w:jc w:val="left"/>
      </w:pPr>
      <w:r>
        <w:rPr/>
        <w:t>①该无形资产已被其他新技术等所替代，使其为企业创造经济利益的能力受到重大不利影响；</w:t>
      </w:r>
    </w:p>
    <w:p>
      <w:pPr>
        <w:pStyle w:val="BodyText"/>
        <w:spacing w:line="240" w:lineRule="auto" w:before="157"/>
        <w:ind w:left="573" w:right="1133"/>
        <w:jc w:val="left"/>
      </w:pPr>
      <w:r>
        <w:rPr/>
        <w:t>②该无形资产的市价在当期大幅下跌，并在剩余年限内可能不会回升；</w:t>
      </w:r>
    </w:p>
    <w:p>
      <w:pPr>
        <w:pStyle w:val="BodyText"/>
        <w:spacing w:line="240" w:lineRule="auto" w:before="157"/>
        <w:ind w:left="573" w:right="1133"/>
        <w:jc w:val="left"/>
      </w:pPr>
      <w:r>
        <w:rPr/>
        <w:t>③其他足以表明该无形资产的账面价值已超过可收回金额的情况。</w:t>
      </w:r>
    </w:p>
    <w:p>
      <w:pPr>
        <w:pStyle w:val="BodyText"/>
        <w:spacing w:line="357" w:lineRule="auto" w:before="15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）商誉减值测试</w:t>
      </w:r>
      <w:r>
        <w:rPr>
          <w:rFonts w:ascii="宋体" w:hAnsi="宋体" w:cs="宋体" w:eastAsia="宋体" w:hint="default"/>
          <w:b/>
          <w:bCs/>
          <w:w w:val="100"/>
        </w:rPr>
        <w:t> </w:t>
      </w:r>
      <w:r>
        <w:rPr>
          <w:spacing w:val="-2"/>
        </w:rPr>
        <w:t>企业合并形成的商誉，至少在每年年度终了进行减值测试。本公司在对包含商誉的相关资产组或者资</w:t>
      </w:r>
    </w:p>
    <w:p>
      <w:pPr>
        <w:pStyle w:val="BodyText"/>
        <w:spacing w:line="209" w:lineRule="exact"/>
        <w:ind w:right="1133"/>
        <w:jc w:val="left"/>
      </w:pPr>
      <w:r>
        <w:rPr/>
        <w:t>产组组合进行减值测试时，如与商誉相关的资产组或者资产组组合存在减值迹象的，按以下步骤处理：</w:t>
      </w:r>
    </w:p>
    <w:p>
      <w:pPr>
        <w:pStyle w:val="BodyText"/>
        <w:spacing w:line="273" w:lineRule="auto" w:before="37"/>
        <w:ind w:right="1125" w:firstLine="420"/>
        <w:jc w:val="both"/>
      </w:pPr>
      <w:r>
        <w:rPr>
          <w:spacing w:val="-2"/>
        </w:rPr>
        <w:t>首先对不包含商誉的资产组或者资产组组合进行减值测试，计算可收回金额，并与相关资产账面价值</w:t>
      </w:r>
      <w:r>
        <w:rPr>
          <w:w w:val="100"/>
        </w:rPr>
        <w:t> </w:t>
      </w:r>
      <w:r>
        <w:rPr>
          <w:spacing w:val="-2"/>
        </w:rPr>
        <w:t>比较，确认相应的减值损失；然后再对包含商誉的资产组或者资产组这组合进行减值测试，比较这些相关</w:t>
      </w:r>
      <w:r>
        <w:rPr>
          <w:spacing w:val="-44"/>
        </w:rPr>
        <w:t> </w:t>
      </w:r>
      <w:r>
        <w:rPr>
          <w:spacing w:val="-44"/>
        </w:rPr>
      </w:r>
      <w:r>
        <w:rPr>
          <w:spacing w:val="-2"/>
        </w:rPr>
        <w:t>资产组或者资产组组合的账面价值（包括所分摊的商誉的账面价值部分）与其可收回金额，如相关资产组</w:t>
      </w:r>
      <w:r>
        <w:rPr>
          <w:spacing w:val="-44"/>
        </w:rPr>
        <w:t> </w:t>
      </w:r>
      <w:r>
        <w:rPr>
          <w:spacing w:val="-44"/>
        </w:rPr>
      </w:r>
      <w:r>
        <w:rPr>
          <w:spacing w:val="-2"/>
        </w:rPr>
        <w:t>或者资产组组合的可收回金额低于其账面价值的，就其差额确认减值损失。减值损失金额首先抵减分摊至</w:t>
      </w:r>
      <w:r>
        <w:rPr>
          <w:spacing w:val="-42"/>
        </w:rPr>
        <w:t> </w:t>
      </w:r>
      <w:r>
        <w:rPr>
          <w:spacing w:val="-42"/>
        </w:rPr>
      </w:r>
      <w:r>
        <w:rPr>
          <w:spacing w:val="-2"/>
        </w:rPr>
        <w:t>资产组或者资产组组合中商誉的账面价值；再根据资产组或者资产组组合中除商誉之外的其他各项资产的</w:t>
      </w:r>
      <w:r>
        <w:rPr>
          <w:spacing w:val="-42"/>
        </w:rPr>
        <w:t> </w:t>
      </w:r>
      <w:r>
        <w:rPr>
          <w:spacing w:val="-42"/>
        </w:rPr>
      </w:r>
      <w:r>
        <w:rPr/>
        <w:t>账面价值所占比重，按比例抵减其他各项资产的账面价值。</w:t>
      </w:r>
    </w:p>
    <w:p>
      <w:pPr>
        <w:spacing w:line="240" w:lineRule="auto" w:before="7"/>
        <w:rPr>
          <w:rFonts w:ascii="宋体" w:hAnsi="宋体" w:cs="宋体" w:eastAsia="宋体" w:hint="default"/>
          <w:sz w:val="23"/>
          <w:szCs w:val="23"/>
        </w:rPr>
      </w:pPr>
    </w:p>
    <w:p>
      <w:pPr>
        <w:spacing w:line="520" w:lineRule="auto" w:before="0"/>
        <w:ind w:left="15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长期待摊费用核算本公司已经发生但应由本期和以后各期负担的分摊期限在一年以上的各项费用。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3"/>
        <w:spacing w:line="240" w:lineRule="auto" w:before="49"/>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68"/>
        <w:ind w:left="573" w:right="1133"/>
        <w:jc w:val="left"/>
      </w:pPr>
      <w:r>
        <w:rPr/>
        <w:t>①职工基本薪酬（工资、奖金、津贴、补贴）</w:t>
      </w:r>
      <w:r>
        <w:rPr>
          <w:w w:val="100"/>
        </w:rPr>
        <w:t> </w:t>
      </w:r>
      <w:r>
        <w:rPr>
          <w:spacing w:val="-2"/>
        </w:rPr>
        <w:t>本公司在职工为其提供服务的会计期间，将实际发生的短期薪酬确认为负债，并计入当期损益，其他</w:t>
      </w:r>
    </w:p>
    <w:p>
      <w:pPr>
        <w:pStyle w:val="BodyText"/>
        <w:spacing w:line="240" w:lineRule="auto" w:before="37"/>
        <w:ind w:right="1133"/>
        <w:jc w:val="left"/>
      </w:pPr>
      <w:r>
        <w:rPr/>
        <w:t>会计准则要求或允许计入资产成本的除外。</w:t>
      </w:r>
    </w:p>
    <w:p>
      <w:pPr>
        <w:pStyle w:val="BodyText"/>
        <w:spacing w:line="376" w:lineRule="auto" w:before="157"/>
        <w:ind w:left="573" w:right="1133"/>
        <w:jc w:val="left"/>
      </w:pPr>
      <w:r>
        <w:rPr/>
        <w:t>②职工福利费</w:t>
      </w:r>
      <w:r>
        <w:rPr>
          <w:w w:val="100"/>
        </w:rPr>
        <w:t> </w:t>
      </w:r>
      <w:r>
        <w:rPr>
          <w:spacing w:val="-2"/>
        </w:rPr>
        <w:t>本公司发生的职工福利费，在实际发生时根据实际发生额计入当期损益或相关资产成本。职工福利费</w:t>
      </w:r>
    </w:p>
    <w:p>
      <w:pPr>
        <w:spacing w:after="0" w:line="37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为非货币性福利的，按照公允价值计量。</w:t>
      </w:r>
    </w:p>
    <w:p>
      <w:pPr>
        <w:pStyle w:val="BodyText"/>
        <w:spacing w:line="240" w:lineRule="auto" w:before="157"/>
        <w:ind w:left="0" w:right="1126"/>
        <w:jc w:val="right"/>
      </w:pPr>
      <w:r>
        <w:rPr>
          <w:spacing w:val="-2"/>
        </w:rPr>
        <w:t>③医疗保险费、工伤保险费、生育保险费等社会保险费和住房公积金，以及工会经费和职工教育经费</w:t>
      </w:r>
    </w:p>
    <w:p>
      <w:pPr>
        <w:pStyle w:val="BodyText"/>
        <w:spacing w:line="273" w:lineRule="auto" w:before="157"/>
        <w:ind w:right="1126" w:firstLine="420"/>
        <w:jc w:val="both"/>
      </w:pPr>
      <w:r>
        <w:rPr>
          <w:spacing w:val="-2"/>
        </w:rPr>
        <w:t>本公司为职工缴纳的医疗保险费、工伤保险费、生育保险费等社会保险费和住房公积金，以及按规定</w:t>
      </w:r>
      <w:r>
        <w:rPr>
          <w:w w:val="100"/>
        </w:rPr>
        <w:t> </w:t>
      </w:r>
      <w:r>
        <w:rPr>
          <w:spacing w:val="-2"/>
        </w:rPr>
        <w:t>提取的工会经费和职工教育经费，在职工为其提供服务的会计期间，根据规定的计提基础和计提比例计算</w:t>
      </w:r>
      <w:r>
        <w:rPr>
          <w:spacing w:val="-44"/>
        </w:rPr>
        <w:t> </w:t>
      </w:r>
      <w:r>
        <w:rPr>
          <w:spacing w:val="-44"/>
        </w:rPr>
      </w:r>
      <w:r>
        <w:rPr/>
        <w:t>确定相应的职工薪酬金额，并确认相应负债，计入当期损益或相关资产成本。</w:t>
      </w:r>
    </w:p>
    <w:p>
      <w:pPr>
        <w:pStyle w:val="BodyText"/>
        <w:spacing w:line="432" w:lineRule="exact" w:before="27"/>
        <w:ind w:left="573" w:right="1133"/>
        <w:jc w:val="left"/>
      </w:pPr>
      <w:r>
        <w:rPr/>
        <w:t>④短期带薪缺勤</w:t>
      </w:r>
      <w:r>
        <w:rPr>
          <w:spacing w:val="-103"/>
        </w:rPr>
        <w:t> </w:t>
      </w:r>
      <w:r>
        <w:rPr>
          <w:spacing w:val="-103"/>
        </w:rPr>
      </w:r>
      <w:r>
        <w:rPr>
          <w:spacing w:val="-2"/>
        </w:rPr>
        <w:t>本公司在职工提供服务从而增加了其未来享有的带薪缺勤权利时，确认与累积带薪缺勤相关的职工薪</w:t>
      </w:r>
    </w:p>
    <w:p>
      <w:pPr>
        <w:pStyle w:val="BodyText"/>
        <w:spacing w:line="255" w:lineRule="exact"/>
        <w:ind w:right="0"/>
        <w:jc w:val="left"/>
      </w:pPr>
      <w:r>
        <w:rPr/>
        <w:t>酬，并以累积未行使权利而增加的预期支付金额计量。本公司在职工实际发生缺勤的会计期间确认与非累</w:t>
      </w:r>
    </w:p>
    <w:p>
      <w:pPr>
        <w:pStyle w:val="BodyText"/>
        <w:spacing w:line="240" w:lineRule="auto" w:before="37"/>
        <w:ind w:right="1133"/>
        <w:jc w:val="left"/>
      </w:pPr>
      <w:r>
        <w:rPr/>
        <w:t>积带薪缺勤相关的职工薪酬。</w:t>
      </w:r>
    </w:p>
    <w:p>
      <w:pPr>
        <w:pStyle w:val="BodyText"/>
        <w:spacing w:line="376" w:lineRule="auto" w:before="157"/>
        <w:ind w:left="573" w:right="2653"/>
        <w:jc w:val="left"/>
      </w:pPr>
      <w:r>
        <w:rPr/>
        <w:t>⑤短期利润分享计划</w:t>
      </w:r>
      <w:r>
        <w:rPr>
          <w:w w:val="100"/>
        </w:rPr>
        <w:t> </w:t>
      </w:r>
      <w:r>
        <w:rPr>
          <w:spacing w:val="-2"/>
        </w:rPr>
        <w:t>利润分享计划同时满足下列条件的，本公司确认相关的应付职工薪酬：</w:t>
      </w:r>
    </w:p>
    <w:p>
      <w:pPr>
        <w:pStyle w:val="BodyText"/>
        <w:spacing w:line="256" w:lineRule="auto" w:before="37"/>
        <w:ind w:left="573" w:right="1133"/>
        <w:jc w:val="left"/>
      </w:pPr>
      <w:r>
        <w:rPr>
          <w:rFonts w:ascii="Times New Roman" w:hAnsi="Times New Roman" w:cs="Times New Roman" w:eastAsia="Times New Roman" w:hint="default"/>
          <w:spacing w:val="-2"/>
        </w:rPr>
        <w:t>A.</w:t>
      </w:r>
      <w:r>
        <w:rPr>
          <w:spacing w:val="-2"/>
        </w:rPr>
        <w:t>企业因过去事项导致现在具有支付职工薪酬的法定义务或推定义务；</w:t>
      </w:r>
      <w:r>
        <w:rPr>
          <w:spacing w:val="-45"/>
        </w:rPr>
        <w:t> </w:t>
      </w:r>
      <w:r>
        <w:rPr>
          <w:spacing w:val="-45"/>
        </w:rPr>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68"/>
        <w:ind w:left="573" w:right="1133"/>
        <w:jc w:val="left"/>
      </w:pPr>
      <w:r>
        <w:rPr/>
        <w:t>①设定提存计划</w:t>
      </w:r>
      <w:r>
        <w:rPr>
          <w:spacing w:val="-103"/>
        </w:rPr>
        <w:t> </w:t>
      </w:r>
      <w:r>
        <w:rPr>
          <w:spacing w:val="-103"/>
        </w:rPr>
      </w:r>
      <w:r>
        <w:rPr>
          <w:spacing w:val="-2"/>
        </w:rPr>
        <w:t>本公司在职工为其提供服务的会计期间，将根据设定提存计划计算的应缴存金额确认为负债，并计入</w:t>
      </w:r>
    </w:p>
    <w:p>
      <w:pPr>
        <w:pStyle w:val="BodyText"/>
        <w:spacing w:line="240" w:lineRule="auto" w:before="37"/>
        <w:ind w:right="1133"/>
        <w:jc w:val="left"/>
      </w:pPr>
      <w:r>
        <w:rPr/>
        <w:t>当期损益或相关资产成本。</w:t>
      </w:r>
    </w:p>
    <w:p>
      <w:pPr>
        <w:pStyle w:val="BodyText"/>
        <w:spacing w:line="273" w:lineRule="auto" w:before="157"/>
        <w:ind w:right="1126" w:firstLine="420"/>
        <w:jc w:val="both"/>
      </w:pPr>
      <w:r>
        <w:rPr>
          <w:spacing w:val="-2"/>
        </w:rPr>
        <w:t>根据设定提存计划，预期不会在职工提供相关服务的年度报告期结束后十二个月内支付全部应缴存金</w:t>
      </w:r>
      <w:r>
        <w:rPr>
          <w:w w:val="100"/>
        </w:rPr>
        <w:t> </w:t>
      </w:r>
      <w:r>
        <w:rPr>
          <w:spacing w:val="-2"/>
        </w:rPr>
        <w:t>额的，本公司参照相应的折现率（根据资产负债表日与设定受益计划义务期限和币种相匹配的国债或活跃</w:t>
      </w:r>
      <w:r>
        <w:rPr>
          <w:spacing w:val="-42"/>
        </w:rPr>
        <w:t> </w:t>
      </w:r>
      <w:r>
        <w:rPr>
          <w:spacing w:val="-42"/>
        </w:rPr>
      </w:r>
      <w:r>
        <w:rPr/>
        <w:t>市场上的高质量公司债券的市场收益率确定），将全部应缴存金额以折现后的金额计量应付职工薪酬。</w:t>
      </w:r>
    </w:p>
    <w:p>
      <w:pPr>
        <w:pStyle w:val="BodyText"/>
        <w:spacing w:line="240" w:lineRule="auto" w:before="127"/>
        <w:ind w:left="573" w:right="1133"/>
        <w:jc w:val="left"/>
      </w:pPr>
      <w:r>
        <w:rPr/>
        <w:t>②设定受益计划</w:t>
      </w:r>
    </w:p>
    <w:p>
      <w:pPr>
        <w:pStyle w:val="BodyText"/>
        <w:spacing w:line="357" w:lineRule="auto" w:before="157"/>
        <w:ind w:left="573" w:right="1133"/>
        <w:jc w:val="left"/>
      </w:pPr>
      <w:r>
        <w:rPr>
          <w:rFonts w:ascii="Times New Roman" w:hAnsi="Times New Roman" w:cs="Times New Roman" w:eastAsia="Times New Roman" w:hint="default"/>
        </w:rPr>
        <w:t>A.</w:t>
      </w:r>
      <w:r>
        <w:rPr/>
        <w:t>确定设定受益计划义务的现值和当期服务成本</w:t>
      </w:r>
      <w:r>
        <w:rPr>
          <w:w w:val="100"/>
        </w:rPr>
        <w:t> </w:t>
      </w:r>
      <w:r>
        <w:rPr>
          <w:spacing w:val="-2"/>
        </w:rPr>
        <w:t>根据预期累计福利单位法，采用无偏且相互一致的精算假设对有关人口统计变量和财务变量等做出估</w:t>
      </w:r>
    </w:p>
    <w:p>
      <w:pPr>
        <w:pStyle w:val="BodyText"/>
        <w:spacing w:line="209" w:lineRule="exact"/>
        <w:ind w:right="0"/>
        <w:jc w:val="left"/>
      </w:pPr>
      <w:r>
        <w:rPr/>
        <w:t>计，计量设定受益计划所产生的义务，并确定相关义务的归属期间。本公司按照相应的折现率（根据资产</w:t>
      </w:r>
    </w:p>
    <w:p>
      <w:pPr>
        <w:pStyle w:val="BodyText"/>
        <w:spacing w:line="273" w:lineRule="auto" w:before="37"/>
        <w:ind w:right="1133"/>
        <w:jc w:val="left"/>
      </w:pPr>
      <w:r>
        <w:rPr>
          <w:spacing w:val="2"/>
        </w:rPr>
        <w:t>负债表日与设定受益计划义务期限和币种相匹配的国债或活跃市场上的高质量公司债券的市场收益率确</w:t>
      </w:r>
      <w:r>
        <w:rPr>
          <w:spacing w:val="-20"/>
        </w:rPr>
        <w:t> </w:t>
      </w:r>
      <w:r>
        <w:rPr>
          <w:spacing w:val="-20"/>
        </w:rPr>
      </w:r>
      <w:r>
        <w:rPr/>
        <w:t>定）将设定受益计划所产生的义务予以折现，以确定设定受益计划义务的现值和当期服务成本。</w:t>
      </w:r>
    </w:p>
    <w:p>
      <w:pPr>
        <w:pStyle w:val="BodyText"/>
        <w:spacing w:line="357" w:lineRule="auto" w:before="127"/>
        <w:ind w:left="573" w:right="1133"/>
        <w:jc w:val="left"/>
      </w:pPr>
      <w:r>
        <w:rPr>
          <w:rFonts w:ascii="Times New Roman" w:hAnsi="Times New Roman" w:cs="Times New Roman" w:eastAsia="Times New Roman" w:hint="default"/>
        </w:rPr>
        <w:t>B.</w:t>
      </w:r>
      <w:r>
        <w:rPr/>
        <w:t>确认设定受益计划净负债或净资产</w:t>
      </w:r>
      <w:r>
        <w:rPr>
          <w:w w:val="100"/>
        </w:rPr>
        <w:t> </w:t>
      </w:r>
      <w:r>
        <w:rPr>
          <w:spacing w:val="-2"/>
        </w:rPr>
        <w:t>设定受益计划存在资产的，本公司将设定受益计划义务现值减去设定受益计划资产公允价值所形成的</w:t>
      </w:r>
    </w:p>
    <w:p>
      <w:pPr>
        <w:pStyle w:val="BodyText"/>
        <w:spacing w:line="209" w:lineRule="exact"/>
        <w:ind w:right="1133"/>
        <w:jc w:val="left"/>
      </w:pPr>
      <w:r>
        <w:rPr/>
        <w:t>赤字或盈余确认为一项设定受益计划净负债或净资产。</w:t>
      </w:r>
    </w:p>
    <w:p>
      <w:pPr>
        <w:pStyle w:val="BodyText"/>
        <w:spacing w:line="273" w:lineRule="auto" w:before="157"/>
        <w:ind w:right="1126" w:firstLine="420"/>
        <w:jc w:val="both"/>
      </w:pPr>
      <w:r>
        <w:rPr>
          <w:spacing w:val="-2"/>
        </w:rPr>
        <w:t>设定受益计划存在盈余的，本公司以设定受益计划的盈余和资产上限两项的孰低者计量设定受益计划</w:t>
      </w:r>
      <w:r>
        <w:rPr>
          <w:w w:val="100"/>
        </w:rPr>
        <w:t> </w:t>
      </w:r>
      <w:r>
        <w:rPr/>
        <w:t>净资产。</w:t>
      </w:r>
    </w:p>
    <w:p>
      <w:pPr>
        <w:pStyle w:val="BodyText"/>
        <w:spacing w:line="357" w:lineRule="auto" w:before="127"/>
        <w:ind w:left="573" w:right="1133"/>
        <w:jc w:val="left"/>
      </w:pPr>
      <w:r>
        <w:rPr>
          <w:rFonts w:ascii="Times New Roman" w:hAnsi="Times New Roman" w:cs="Times New Roman" w:eastAsia="Times New Roman" w:hint="default"/>
        </w:rPr>
        <w:t>C.</w:t>
      </w:r>
      <w:r>
        <w:rPr/>
        <w:t>确定应计入资产成本或当期损益的金额</w:t>
      </w:r>
      <w:r>
        <w:rPr>
          <w:w w:val="100"/>
        </w:rPr>
        <w:t> </w:t>
      </w:r>
      <w:r>
        <w:rPr>
          <w:spacing w:val="-2"/>
        </w:rPr>
        <w:t>服务成本，包括当期服务成本、过去服务成本和结算利得或损失。其中，除了其他会计准则要求或允</w:t>
      </w:r>
    </w:p>
    <w:p>
      <w:pPr>
        <w:pStyle w:val="BodyText"/>
        <w:spacing w:line="209" w:lineRule="exact"/>
        <w:ind w:right="1133"/>
        <w:jc w:val="left"/>
      </w:pPr>
      <w:r>
        <w:rPr/>
        <w:t>许计入资产成本的当期服务成本之外，其他服务成本均计入当期损益。</w:t>
      </w:r>
    </w:p>
    <w:p>
      <w:pPr>
        <w:pStyle w:val="BodyText"/>
        <w:spacing w:line="240" w:lineRule="auto" w:before="154"/>
        <w:ind w:left="573" w:right="0"/>
        <w:jc w:val="left"/>
      </w:pPr>
      <w:r>
        <w:rPr/>
        <w:t>设定受益计划净负债或净资产的利息净额，包括计划资产的利息收益、设定受益计划义务的利息费用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367" w:lineRule="auto" w:before="36"/>
        <w:ind w:left="573" w:right="4273" w:hanging="420"/>
        <w:jc w:val="left"/>
      </w:pPr>
      <w:r>
        <w:rPr/>
        <w:t>以及资产上限影响的利息，均计入当期损益。</w:t>
      </w:r>
      <w:r>
        <w:rPr>
          <w:w w:val="100"/>
        </w:rPr>
        <w:t> </w:t>
      </w:r>
      <w:r>
        <w:rPr>
          <w:rFonts w:ascii="Times New Roman" w:hAnsi="Times New Roman" w:cs="Times New Roman" w:eastAsia="Times New Roman" w:hint="default"/>
        </w:rPr>
        <w:t>D.</w:t>
      </w:r>
      <w:r>
        <w:rPr/>
        <w:t>确定应计入其他综合收益的金额</w:t>
      </w:r>
      <w:r>
        <w:rPr>
          <w:w w:val="100"/>
        </w:rPr>
        <w:t> </w:t>
      </w:r>
      <w:r>
        <w:rPr>
          <w:spacing w:val="-2"/>
        </w:rPr>
        <w:t>重新计量设定受益计划净负债或净资产所产生的变动，包括：</w:t>
      </w:r>
    </w:p>
    <w:p>
      <w:pPr>
        <w:pStyle w:val="BodyText"/>
        <w:spacing w:line="256" w:lineRule="auto" w:before="46"/>
        <w:ind w:right="1133" w:firstLine="42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w:t>
      </w:r>
      <w:r>
        <w:rPr>
          <w:w w:val="100"/>
        </w:rPr>
        <w:t> </w:t>
      </w:r>
      <w:r>
        <w:rPr/>
        <w:t>或减少；</w:t>
      </w:r>
    </w:p>
    <w:p>
      <w:pPr>
        <w:pStyle w:val="BodyText"/>
        <w:spacing w:line="240" w:lineRule="auto" w:before="142"/>
        <w:ind w:left="573" w:right="1133"/>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256" w:lineRule="auto" w:before="141"/>
        <w:ind w:left="573" w:right="1112"/>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w:t>
      </w:r>
      <w:r>
        <w:rPr>
          <w:w w:val="100"/>
        </w:rPr>
        <w:t> </w:t>
      </w:r>
      <w:r>
        <w:rPr/>
        <w:t>上述重新计量设定受益计划净负债或净资产所产生的变动直接计入其他综合收益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t>并且在后续会计期</w:t>
      </w:r>
    </w:p>
    <w:p>
      <w:pPr>
        <w:pStyle w:val="BodyText"/>
        <w:spacing w:line="240" w:lineRule="auto" w:before="5"/>
        <w:ind w:right="1133"/>
        <w:jc w:val="left"/>
      </w:pPr>
      <w:r>
        <w:rPr/>
        <w:t>间不允许转回至损益，但本公司可以在权益范围内转移这些在其他综合收益中确认的金额。</w:t>
      </w:r>
    </w:p>
    <w:p>
      <w:pPr>
        <w:spacing w:line="600" w:lineRule="atLeast" w:before="28"/>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本公司向职工提供辞退福利的，在下列两者孰早日确认辞退福利产生的职工薪酬负债，并计入当期损</w:t>
      </w:r>
    </w:p>
    <w:p>
      <w:pPr>
        <w:pStyle w:val="BodyText"/>
        <w:spacing w:line="240" w:lineRule="auto" w:before="37"/>
        <w:ind w:right="1133"/>
        <w:jc w:val="left"/>
      </w:pPr>
      <w:r>
        <w:rPr/>
        <w:t>益：</w:t>
      </w:r>
    </w:p>
    <w:p>
      <w:pPr>
        <w:pStyle w:val="BodyText"/>
        <w:spacing w:line="240" w:lineRule="auto" w:before="157"/>
        <w:ind w:left="573" w:right="1133"/>
        <w:jc w:val="left"/>
      </w:pPr>
      <w:r>
        <w:rPr/>
        <w:t>①企业不能单方面撤回因解除劳动关系计划或裁减建议所提供的辞退福利时；</w:t>
      </w:r>
    </w:p>
    <w:p>
      <w:pPr>
        <w:pStyle w:val="BodyText"/>
        <w:spacing w:line="307" w:lineRule="auto" w:before="157"/>
        <w:ind w:left="573" w:right="1133"/>
        <w:jc w:val="left"/>
      </w:pPr>
      <w:r>
        <w:rPr/>
        <w:t>②企业确认与涉及支付辞退福利的重组相关的成本或费用时。</w:t>
      </w:r>
      <w:r>
        <w:rPr>
          <w:w w:val="100"/>
        </w:rPr>
        <w:t> </w:t>
      </w:r>
      <w:r>
        <w:rPr>
          <w:spacing w:val="-2"/>
        </w:rPr>
        <w:t>辞退福利预期在年度报告期结束后十二个月内不能完全支付的，参照相应的折现率（根据资产负债表</w:t>
      </w:r>
    </w:p>
    <w:p>
      <w:pPr>
        <w:pStyle w:val="BodyText"/>
        <w:spacing w:line="251" w:lineRule="exact"/>
        <w:ind w:right="0"/>
        <w:jc w:val="left"/>
      </w:pPr>
      <w:r>
        <w:rPr/>
        <w:t>日与设定受益计划义务期限和币种相匹配的国债或活跃市场上的高质量公司债券的市场收益率确定）将辞</w:t>
      </w:r>
    </w:p>
    <w:p>
      <w:pPr>
        <w:pStyle w:val="BodyText"/>
        <w:spacing w:line="240" w:lineRule="auto" w:before="37"/>
        <w:ind w:right="1133"/>
        <w:jc w:val="left"/>
      </w:pPr>
      <w:r>
        <w:rPr/>
        <w:t>退福利金额予以折现，以折现后的金额计量应付职工薪酬。</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68"/>
        <w:ind w:left="573" w:right="1133"/>
        <w:jc w:val="left"/>
      </w:pPr>
      <w:r>
        <w:rPr/>
        <w:t>①符合设定提存计划条件的</w:t>
      </w:r>
      <w:r>
        <w:rPr>
          <w:w w:val="100"/>
        </w:rPr>
        <w:t> </w:t>
      </w:r>
      <w:r>
        <w:rPr>
          <w:spacing w:val="-2"/>
        </w:rPr>
        <w:t>本公司向职工提供的其他长期职工福利，符合设定提存计划条件的，将全部应缴存金额以折现后的金</w:t>
      </w:r>
    </w:p>
    <w:p>
      <w:pPr>
        <w:pStyle w:val="BodyText"/>
        <w:spacing w:line="240" w:lineRule="auto" w:before="37"/>
        <w:ind w:right="1133"/>
        <w:jc w:val="left"/>
      </w:pPr>
      <w:r>
        <w:rPr/>
        <w:t>额计量应付职工薪酬。</w:t>
      </w:r>
    </w:p>
    <w:p>
      <w:pPr>
        <w:pStyle w:val="BodyText"/>
        <w:spacing w:line="376" w:lineRule="auto" w:before="157"/>
        <w:ind w:left="573" w:right="1575"/>
        <w:jc w:val="left"/>
      </w:pPr>
      <w:r>
        <w:rPr/>
        <w:t>②符合设定受益计划条件的</w:t>
      </w:r>
      <w:r>
        <w:rPr>
          <w:w w:val="100"/>
        </w:rPr>
        <w:t> </w:t>
      </w:r>
      <w:r>
        <w:rPr>
          <w:spacing w:val="-2"/>
        </w:rPr>
        <w:t>在报告期末，本公司将其他长期职工福利产生的职工薪酬成本确认为下列组成部分：</w:t>
      </w:r>
      <w:r>
        <w:rPr>
          <w:spacing w:val="-35"/>
        </w:rPr>
        <w:t> </w:t>
      </w:r>
      <w:r>
        <w:rPr>
          <w:spacing w:val="-35"/>
        </w:rPr>
      </w:r>
      <w:r>
        <w:rPr>
          <w:rFonts w:ascii="Times New Roman" w:hAnsi="Times New Roman" w:cs="Times New Roman" w:eastAsia="Times New Roman" w:hint="default"/>
        </w:rPr>
        <w:t>A.</w:t>
      </w:r>
      <w:r>
        <w:rPr/>
        <w:t>服务成本；</w:t>
      </w:r>
    </w:p>
    <w:p>
      <w:pPr>
        <w:pStyle w:val="BodyText"/>
        <w:spacing w:line="240" w:lineRule="auto" w:before="8"/>
        <w:ind w:left="573" w:right="1133"/>
        <w:jc w:val="left"/>
      </w:pPr>
      <w:r>
        <w:rPr>
          <w:rFonts w:ascii="Times New Roman" w:hAnsi="Times New Roman" w:cs="Times New Roman" w:eastAsia="Times New Roman" w:hint="default"/>
        </w:rPr>
        <w:t>B.</w:t>
      </w:r>
      <w:r>
        <w:rPr/>
        <w:t>其他长期职工福利净负债或净资产的利息净额；</w:t>
      </w:r>
    </w:p>
    <w:p>
      <w:pPr>
        <w:pStyle w:val="BodyText"/>
        <w:spacing w:line="290" w:lineRule="auto" w:before="142"/>
        <w:ind w:left="573" w:right="1133"/>
        <w:jc w:val="left"/>
      </w:pPr>
      <w:r>
        <w:rPr>
          <w:rFonts w:ascii="Times New Roman" w:hAnsi="Times New Roman" w:cs="Times New Roman" w:eastAsia="Times New Roman" w:hint="default"/>
        </w:rPr>
        <w:t>C.</w:t>
      </w:r>
      <w:r>
        <w:rPr/>
        <w:t>重新计量其他长期职工福利净负债或净资产所产生的变动。</w:t>
      </w:r>
      <w:r>
        <w:rPr>
          <w:w w:val="100"/>
        </w:rPr>
        <w:t> </w:t>
      </w:r>
      <w:r>
        <w:rPr>
          <w:spacing w:val="-2"/>
        </w:rPr>
        <w:t>为简化相关会计处理，上述项目的总净额计入当期损益或相关资产成本。</w:t>
      </w:r>
    </w:p>
    <w:p>
      <w:pPr>
        <w:spacing w:line="240" w:lineRule="auto" w:before="3"/>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40" w:lineRule="auto" w:before="54"/>
        <w:ind w:left="573" w:right="1133"/>
        <w:jc w:val="left"/>
      </w:pPr>
      <w:r>
        <w:rPr/>
        <w:t>①该义务是本公司承担的现时义务；</w:t>
      </w:r>
    </w:p>
    <w:p>
      <w:pPr>
        <w:pStyle w:val="BodyText"/>
        <w:spacing w:line="240" w:lineRule="auto" w:before="157"/>
        <w:ind w:left="573" w:right="1133"/>
        <w:jc w:val="left"/>
      </w:pPr>
      <w:r>
        <w:rPr/>
        <w:t>②该义务的履行很可能导致经济利益流出本公司；</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③该义务的金额能够可靠地计量。</w:t>
      </w:r>
    </w:p>
    <w:p>
      <w:pPr>
        <w:spacing w:line="256"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预计负债按照履行相关现时义务所需支出的最佳估计数进行初始计量，并综合考虑与或事项有关的风</w:t>
      </w:r>
    </w:p>
    <w:p>
      <w:pPr>
        <w:pStyle w:val="BodyText"/>
        <w:spacing w:line="273" w:lineRule="auto" w:before="22"/>
        <w:ind w:right="1126"/>
        <w:jc w:val="both"/>
      </w:pPr>
      <w:r>
        <w:rPr>
          <w:spacing w:val="-2"/>
        </w:rPr>
        <w:t>险、不确定性和货币时间价值等因素。每个资产负债表日对预计负债的账面价值进行复核。有确凿证据表</w:t>
      </w:r>
      <w:r>
        <w:rPr>
          <w:spacing w:val="-43"/>
        </w:rPr>
        <w:t> </w:t>
      </w:r>
      <w:r>
        <w:rPr>
          <w:spacing w:val="-43"/>
        </w:rPr>
      </w:r>
      <w:r>
        <w:rPr/>
        <w:t>明该账面价值不能反映当前最佳估计数的，按照当前最佳估计数对该账面价值进行调整。</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26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本公司股份支付包括以现金结算的股份支付和以权益结算的股份支付。</w:t>
      </w:r>
    </w:p>
    <w:p>
      <w:pPr>
        <w:pStyle w:val="Heading3"/>
        <w:spacing w:line="240" w:lineRule="auto" w:before="54"/>
        <w:ind w:left="575" w:right="113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273" w:lineRule="auto" w:before="142"/>
        <w:ind w:right="1126" w:firstLine="420"/>
        <w:jc w:val="both"/>
      </w:pPr>
      <w:r>
        <w:rPr>
          <w:spacing w:val="-2"/>
        </w:rPr>
        <w:t>①对于授予职工的股份，其公允价值按公司股份的市场价格计量，同时考虑授予股份所依据的条款和</w:t>
      </w:r>
      <w:r>
        <w:rPr>
          <w:w w:val="100"/>
        </w:rPr>
        <w:t> </w:t>
      </w:r>
      <w:r>
        <w:rPr/>
        <w:t>条件（不包括市场条件之外的可行权条件）进行调整。</w:t>
      </w:r>
    </w:p>
    <w:p>
      <w:pPr>
        <w:pStyle w:val="BodyText"/>
        <w:spacing w:line="273" w:lineRule="auto" w:before="127"/>
        <w:ind w:right="1126" w:firstLine="420"/>
        <w:jc w:val="both"/>
      </w:pPr>
      <w:r>
        <w:rPr>
          <w:spacing w:val="-2"/>
        </w:rPr>
        <w:t>②对于授予职工的股票期权，在许多情况下难以获得其市场价格。如果不存在条款和条件相似的交易</w:t>
      </w:r>
      <w:r>
        <w:rPr>
          <w:w w:val="100"/>
        </w:rPr>
        <w:t> </w:t>
      </w:r>
      <w:r>
        <w:rPr/>
        <w:t>期权，公司选择适用的期权定价模型估计所授予的期权的公允价值。</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在等待期内每个资产负债表日，公司根据最新取得的可行权职工人数变动等后续信息作出最佳估计，</w:t>
      </w:r>
    </w:p>
    <w:p>
      <w:pPr>
        <w:pStyle w:val="BodyText"/>
        <w:spacing w:line="209" w:lineRule="exact"/>
        <w:ind w:right="0"/>
        <w:jc w:val="both"/>
      </w:pPr>
      <w:r>
        <w:rPr/>
        <w:t>修正预计可行权的权益工具数量，以作出可行权权益工具的最佳估计。</w:t>
      </w:r>
    </w:p>
    <w:p>
      <w:pPr>
        <w:pStyle w:val="Heading3"/>
        <w:spacing w:line="240" w:lineRule="auto" w:before="157"/>
        <w:ind w:left="575" w:right="1133"/>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pStyle w:val="BodyText"/>
        <w:spacing w:line="273" w:lineRule="auto" w:before="141"/>
        <w:ind w:right="1126" w:firstLine="420"/>
        <w:jc w:val="both"/>
      </w:pPr>
      <w:r>
        <w:rPr>
          <w:spacing w:val="-2"/>
        </w:rPr>
        <w:t>①授予后立即可行权的以现金结算的股份支付，在授予日以本公司承担负债的公允价值计入相关成本</w:t>
      </w:r>
      <w:r>
        <w:rPr>
          <w:w w:val="100"/>
        </w:rPr>
        <w:t> </w:t>
      </w:r>
      <w:r>
        <w:rPr>
          <w:spacing w:val="-2"/>
        </w:rPr>
        <w:t>或费用，相应增加负债。并在结算前的每个资产负债表日和结算日对负债的公允价值重新计量，将其变动</w:t>
      </w:r>
      <w:r>
        <w:rPr>
          <w:spacing w:val="-42"/>
        </w:rPr>
        <w:t> </w:t>
      </w:r>
      <w:r>
        <w:rPr>
          <w:spacing w:val="-42"/>
        </w:rPr>
      </w:r>
      <w:r>
        <w:rPr/>
        <w:t>计入损益。</w:t>
      </w:r>
    </w:p>
    <w:p>
      <w:pPr>
        <w:pStyle w:val="BodyText"/>
        <w:spacing w:line="273" w:lineRule="auto" w:before="127"/>
        <w:ind w:right="1126" w:firstLine="420"/>
        <w:jc w:val="both"/>
      </w:pPr>
      <w:r>
        <w:rPr>
          <w:spacing w:val="-2"/>
        </w:rPr>
        <w:t>②完成等待期内的服务或达到规定业绩条件以后才可行权的以现金结算的股份支付，在等待期内的每</w:t>
      </w:r>
      <w:r>
        <w:rPr>
          <w:w w:val="100"/>
        </w:rPr>
        <w:t> </w:t>
      </w:r>
      <w:r>
        <w:rPr>
          <w:spacing w:val="-2"/>
        </w:rPr>
        <w:t>个资产负债表日以对可行权情况的最佳估计为基础，按本公司承担负债的公允价值金额，将当期取得的服</w:t>
      </w:r>
      <w:r>
        <w:rPr>
          <w:spacing w:val="-44"/>
        </w:rPr>
        <w:t> </w:t>
      </w:r>
      <w:r>
        <w:rPr>
          <w:spacing w:val="-44"/>
        </w:rPr>
      </w:r>
      <w:r>
        <w:rPr/>
        <w:t>务计入成本或费用和相应的负债。</w:t>
      </w:r>
    </w:p>
    <w:p>
      <w:pPr>
        <w:pStyle w:val="BodyText"/>
        <w:spacing w:line="273" w:lineRule="auto" w:before="127"/>
        <w:ind w:right="1126" w:firstLine="420"/>
        <w:jc w:val="both"/>
      </w:pPr>
      <w:r>
        <w:rPr>
          <w:spacing w:val="-2"/>
        </w:rPr>
        <w:t>③授予后立即可行权的换取职工服务的以权益结算的股份支付，在授予日以权益工具的公允价值计入</w:t>
      </w:r>
      <w:r>
        <w:rPr>
          <w:w w:val="100"/>
        </w:rPr>
        <w:t> </w:t>
      </w:r>
      <w:r>
        <w:rPr/>
        <w:t>相关成本或费用，相应增加资本公积。</w:t>
      </w:r>
    </w:p>
    <w:p>
      <w:pPr>
        <w:pStyle w:val="BodyText"/>
        <w:spacing w:line="273" w:lineRule="auto" w:before="127"/>
        <w:ind w:right="1126" w:firstLine="420"/>
        <w:jc w:val="both"/>
      </w:pPr>
      <w:r>
        <w:rPr>
          <w:spacing w:val="-2"/>
        </w:rPr>
        <w:t>④完成等待期内的服务或达到规定业绩条件以后才可行权换取职工服务的以权益结算的股份支付，在</w:t>
      </w:r>
      <w:r>
        <w:rPr>
          <w:w w:val="100"/>
        </w:rPr>
        <w:t> </w:t>
      </w:r>
      <w:r>
        <w:rPr>
          <w:spacing w:val="-2"/>
        </w:rPr>
        <w:t>等待期内的每个资产负债表日，以对可行权权益工具数量的最佳估计为基础，按权益工具授予日的公允价</w:t>
      </w:r>
      <w:r>
        <w:rPr>
          <w:spacing w:val="-43"/>
        </w:rPr>
        <w:t> </w:t>
      </w:r>
      <w:r>
        <w:rPr>
          <w:spacing w:val="-43"/>
        </w:rPr>
      </w:r>
      <w:r>
        <w:rPr/>
        <w:t>值，将当期取得的服务计入成本或费用和资本公积。</w:t>
      </w:r>
    </w:p>
    <w:p>
      <w:pPr>
        <w:spacing w:line="357" w:lineRule="auto" w:before="12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）股份支付计划修改的会计处理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本公司对股份支付计划进行修改时，若修改增加了所授予权益工具的公允价值，按照权益工具公允价</w:t>
      </w:r>
    </w:p>
    <w:p>
      <w:pPr>
        <w:pStyle w:val="BodyText"/>
        <w:spacing w:line="209" w:lineRule="exact"/>
        <w:ind w:right="0"/>
        <w:jc w:val="both"/>
      </w:pPr>
      <w:r>
        <w:rPr/>
        <w:t>值的增加相应地确认取得服务的增加；若修改增加了所授予权益工具的数量，则将增加的权益工具的公允</w:t>
      </w:r>
    </w:p>
    <w:p>
      <w:pPr>
        <w:pStyle w:val="BodyText"/>
        <w:spacing w:line="271" w:lineRule="auto" w:before="37"/>
        <w:ind w:right="1126"/>
        <w:jc w:val="both"/>
      </w:pPr>
      <w:r>
        <w:rPr>
          <w:spacing w:val="-2"/>
        </w:rPr>
        <w:t>价值相应地确认为取得服务的增加。权益工具公允价值的增加是指修改前后的权益工具在修改日的公允价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值之间的差额。若修改减少了股份支付公允价值总额或采用了其他不利于职工的方式修改股份支付计划的</w:t>
      </w:r>
      <w:r>
        <w:rPr>
          <w:spacing w:val="-43"/>
        </w:rPr>
        <w:t> </w:t>
      </w:r>
      <w:r>
        <w:rPr>
          <w:spacing w:val="-43"/>
        </w:rPr>
      </w:r>
      <w:r>
        <w:rPr>
          <w:spacing w:val="-2"/>
        </w:rPr>
        <w:t>条款和条件，则仍继续对取得的服务进行会计处理，视同该变更从未发生，除非本公司取消了部分或全部</w:t>
      </w:r>
      <w:r>
        <w:rPr>
          <w:spacing w:val="-43"/>
        </w:rPr>
        <w:t> </w:t>
      </w:r>
      <w:r>
        <w:rPr>
          <w:spacing w:val="-43"/>
        </w:rPr>
      </w:r>
      <w:r>
        <w:rPr/>
        <w:t>已授予的权益工具。</w:t>
      </w:r>
    </w:p>
    <w:p>
      <w:pPr>
        <w:spacing w:line="240" w:lineRule="auto" w:before="3"/>
        <w:rPr>
          <w:rFonts w:ascii="宋体" w:hAnsi="宋体" w:cs="宋体" w:eastAsia="宋体" w:hint="default"/>
          <w:sz w:val="17"/>
          <w:szCs w:val="17"/>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6</w:t>
      </w:r>
      <w:r>
        <w:rPr/>
        <w:t>）股份支付计划终止的会计处理</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BodyText"/>
        <w:spacing w:line="273" w:lineRule="auto" w:before="36"/>
        <w:ind w:right="1126" w:firstLine="420"/>
        <w:jc w:val="both"/>
      </w:pPr>
      <w:r>
        <w:rPr>
          <w:spacing w:val="-2"/>
        </w:rPr>
        <w:t>如果在等待期内取消了所授予的权益工具或结算了所授予的权益工具（因未满足可行权条件而被取消</w:t>
      </w:r>
      <w:r>
        <w:rPr>
          <w:w w:val="100"/>
        </w:rPr>
        <w:t> </w:t>
      </w:r>
      <w:r>
        <w:rPr/>
        <w:t>的除外），本公司：</w:t>
      </w:r>
    </w:p>
    <w:p>
      <w:pPr>
        <w:pStyle w:val="BodyText"/>
        <w:spacing w:line="240" w:lineRule="auto" w:before="127"/>
        <w:ind w:left="573" w:right="1133"/>
        <w:jc w:val="left"/>
      </w:pPr>
      <w:r>
        <w:rPr/>
        <w:t>①将取消或结算作为加速可行权处理，立即确认原本应在剩余等待期内确认的金额；</w:t>
      </w:r>
    </w:p>
    <w:p>
      <w:pPr>
        <w:pStyle w:val="BodyText"/>
        <w:spacing w:line="273" w:lineRule="auto" w:before="157"/>
        <w:ind w:right="1126" w:firstLine="420"/>
        <w:jc w:val="both"/>
      </w:pPr>
      <w:r>
        <w:rPr>
          <w:spacing w:val="-2"/>
        </w:rPr>
        <w:t>②在取消或结算时支付给职工的所有款项均作为权益的回购处理，回购支付的金额高于该权益工具在</w:t>
      </w:r>
      <w:r>
        <w:rPr>
          <w:w w:val="100"/>
        </w:rPr>
        <w:t> </w:t>
      </w:r>
      <w:r>
        <w:rPr/>
        <w:t>回购日公允价值的部分，计入当期费用。</w:t>
      </w:r>
    </w:p>
    <w:p>
      <w:pPr>
        <w:pStyle w:val="BodyText"/>
        <w:spacing w:line="273" w:lineRule="auto" w:before="127"/>
        <w:ind w:right="1126" w:firstLine="420"/>
        <w:jc w:val="both"/>
      </w:pPr>
      <w:r>
        <w:rPr>
          <w:spacing w:val="-2"/>
        </w:rPr>
        <w:t>本公司如果回购其职工已可行权的权益工具，冲减企业的所有者权益；回购支付的款项高于该权益工</w:t>
      </w:r>
      <w:r>
        <w:rPr>
          <w:w w:val="100"/>
        </w:rPr>
        <w:t> </w:t>
      </w:r>
      <w:r>
        <w:rPr/>
        <w:t>具在回购日公允价值的部分，计入当期损益。</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11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5"/>
        <w:rPr>
          <w:rFonts w:ascii="宋体" w:hAnsi="宋体" w:cs="宋体" w:eastAsia="宋体" w:hint="default"/>
          <w:sz w:val="12"/>
          <w:szCs w:val="12"/>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）软件产品和</w:t>
      </w:r>
      <w:r>
        <w:rPr>
          <w:rFonts w:ascii="Times New Roman" w:hAnsi="Times New Roman" w:cs="Times New Roman" w:eastAsia="Times New Roman" w:hint="default"/>
          <w:b/>
          <w:bCs/>
          <w:sz w:val="21"/>
          <w:szCs w:val="21"/>
        </w:rPr>
        <w:t>IT</w:t>
      </w:r>
      <w:r>
        <w:rPr>
          <w:rFonts w:ascii="宋体" w:hAnsi="宋体" w:cs="宋体" w:eastAsia="宋体" w:hint="default"/>
          <w:b/>
          <w:bCs/>
          <w:sz w:val="21"/>
          <w:szCs w:val="21"/>
        </w:rPr>
        <w:t>解决方案收入</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209" w:lineRule="exact"/>
        <w:ind w:right="0"/>
        <w:jc w:val="left"/>
      </w:pPr>
      <w:r>
        <w:rPr>
          <w:spacing w:val="-5"/>
        </w:rPr>
        <w:t>权，也没有对已售出的商品实施有效控制；收入的金额能够可靠地计量；相关的经济利益很可能流入企业；</w:t>
      </w:r>
    </w:p>
    <w:p>
      <w:pPr>
        <w:pStyle w:val="BodyText"/>
        <w:spacing w:line="376" w:lineRule="auto" w:before="37"/>
        <w:ind w:left="573" w:right="1133" w:hanging="420"/>
        <w:jc w:val="left"/>
      </w:pPr>
      <w:r>
        <w:rPr/>
        <w:t>相关的已发生或将发生的成本能够可靠地计量时，确认商品销售收入实现。</w:t>
      </w:r>
      <w:r>
        <w:rPr>
          <w:w w:val="100"/>
        </w:rPr>
        <w:t> </w:t>
      </w:r>
      <w:r>
        <w:rPr>
          <w:spacing w:val="-2"/>
        </w:rPr>
        <w:t>具体收入确认方法：软件产品和</w:t>
      </w:r>
      <w:r>
        <w:rPr>
          <w:rFonts w:ascii="Times New Roman" w:hAnsi="Times New Roman" w:cs="Times New Roman" w:eastAsia="Times New Roman" w:hint="default"/>
          <w:spacing w:val="-2"/>
        </w:rPr>
        <w:t>IT</w:t>
      </w:r>
      <w:r>
        <w:rPr>
          <w:spacing w:val="-2"/>
        </w:rPr>
        <w:t>解决方案业务在取得客户对账单据</w:t>
      </w:r>
      <w:r>
        <w:rPr>
          <w:rFonts w:ascii="Times New Roman" w:hAnsi="Times New Roman" w:cs="Times New Roman" w:eastAsia="Times New Roman" w:hint="default"/>
          <w:spacing w:val="-2"/>
        </w:rPr>
        <w:t>/</w:t>
      </w:r>
      <w:r>
        <w:rPr>
          <w:spacing w:val="-2"/>
        </w:rPr>
        <w:t>验收单据时确认收入。</w:t>
      </w:r>
    </w:p>
    <w:p>
      <w:pPr>
        <w:spacing w:line="357" w:lineRule="auto" w:before="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）行业软件开发收入</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209" w:lineRule="exact"/>
        <w:ind w:right="1133"/>
        <w:jc w:val="left"/>
      </w:pPr>
      <w:r>
        <w:rPr/>
        <w:t>务交易的完工进度，依据客户确认的项目完工进度确定。</w:t>
      </w:r>
    </w:p>
    <w:p>
      <w:pPr>
        <w:pStyle w:val="BodyText"/>
        <w:spacing w:line="256" w:lineRule="auto" w:before="157"/>
        <w:ind w:right="1126" w:firstLine="420"/>
        <w:jc w:val="both"/>
      </w:pPr>
      <w:r>
        <w:rPr>
          <w:spacing w:val="-4"/>
        </w:rPr>
        <w:t>提供劳务交易的结果能够可靠估计是指同时满足：</w:t>
      </w:r>
      <w:r>
        <w:rPr>
          <w:rFonts w:ascii="Times New Roman" w:hAnsi="Times New Roman" w:cs="Times New Roman" w:eastAsia="Times New Roman" w:hint="default"/>
          <w:spacing w:val="-4"/>
        </w:rPr>
        <w:t>A</w:t>
      </w:r>
      <w:r>
        <w:rPr>
          <w:spacing w:val="-4"/>
        </w:rPr>
        <w:t>、收入的金额能够可靠地计量；</w:t>
      </w:r>
      <w:r>
        <w:rPr>
          <w:rFonts w:ascii="Times New Roman" w:hAnsi="Times New Roman" w:cs="Times New Roman" w:eastAsia="Times New Roman" w:hint="default"/>
          <w:spacing w:val="-4"/>
        </w:rPr>
        <w:t>B</w:t>
      </w:r>
      <w:r>
        <w:rPr>
          <w:spacing w:val="-4"/>
        </w:rPr>
        <w:t>、相关的经济利</w:t>
      </w:r>
      <w:r>
        <w:rPr>
          <w:w w:val="100"/>
        </w:rPr>
        <w:t> </w:t>
      </w:r>
      <w:r>
        <w:rPr>
          <w:spacing w:val="-4"/>
        </w:rPr>
        <w:t>益很可能流入企业；</w:t>
      </w:r>
      <w:r>
        <w:rPr>
          <w:rFonts w:ascii="Times New Roman" w:hAnsi="Times New Roman" w:cs="Times New Roman" w:eastAsia="Times New Roman" w:hint="default"/>
          <w:spacing w:val="-4"/>
        </w:rPr>
        <w:t>C</w:t>
      </w:r>
      <w:r>
        <w:rPr>
          <w:spacing w:val="-4"/>
        </w:rPr>
        <w:t>、交易的完工程度能够可靠地确定；</w:t>
      </w:r>
      <w:r>
        <w:rPr>
          <w:rFonts w:ascii="Times New Roman" w:hAnsi="Times New Roman" w:cs="Times New Roman" w:eastAsia="Times New Roman" w:hint="default"/>
          <w:spacing w:val="-4"/>
        </w:rPr>
        <w:t>D</w:t>
      </w:r>
      <w:r>
        <w:rPr>
          <w:spacing w:val="-4"/>
        </w:rPr>
        <w:t>、交易中已发生和将发生的成本能够可靠地计</w:t>
      </w:r>
      <w:r>
        <w:rPr>
          <w:spacing w:val="-32"/>
        </w:rPr>
        <w:t> </w:t>
      </w:r>
      <w:r>
        <w:rPr>
          <w:spacing w:val="-32"/>
        </w:rPr>
      </w:r>
      <w:r>
        <w:rPr/>
        <w:t>量。</w:t>
      </w:r>
    </w:p>
    <w:p>
      <w:pPr>
        <w:pStyle w:val="BodyText"/>
        <w:spacing w:line="273" w:lineRule="auto" w:before="142"/>
        <w:ind w:right="1125" w:firstLine="420"/>
        <w:jc w:val="both"/>
      </w:pPr>
      <w:r>
        <w:rPr>
          <w:spacing w:val="-2"/>
        </w:rPr>
        <w:t>本公司按照已收或应收的合同或协议价款确定提供劳务收入总额，但已收或应收的合同或协议价款不</w:t>
      </w:r>
      <w:r>
        <w:rPr>
          <w:w w:val="100"/>
        </w:rPr>
        <w:t> </w:t>
      </w:r>
      <w:r>
        <w:rPr>
          <w:spacing w:val="-2"/>
        </w:rPr>
        <w:t>公允的除外。资产负债表日按照提供劳务收入总额乘以完工进度扣除以前会计期间累计已确认提供劳务收</w:t>
      </w:r>
      <w:r>
        <w:rPr>
          <w:spacing w:val="-42"/>
        </w:rPr>
        <w:t> </w:t>
      </w:r>
      <w:r>
        <w:rPr>
          <w:spacing w:val="-42"/>
        </w:rPr>
      </w:r>
      <w:r>
        <w:rPr/>
        <w:t>入后的金额，确认当期提供劳务收入。</w:t>
      </w:r>
    </w:p>
    <w:p>
      <w:pPr>
        <w:pStyle w:val="BodyText"/>
        <w:spacing w:line="240" w:lineRule="auto" w:before="127"/>
        <w:ind w:left="573" w:right="1133"/>
        <w:jc w:val="left"/>
      </w:pPr>
      <w:r>
        <w:rPr/>
        <w:t>在资产负债表日提供劳务交易结果不能够可靠估计的，分别下列情况处理：</w:t>
      </w:r>
    </w:p>
    <w:p>
      <w:pPr>
        <w:pStyle w:val="BodyText"/>
        <w:spacing w:line="256" w:lineRule="auto" w:before="157"/>
        <w:ind w:right="1136" w:firstLine="420"/>
        <w:jc w:val="both"/>
      </w:pPr>
      <w:r>
        <w:rPr>
          <w:rFonts w:ascii="Times New Roman" w:hAnsi="Times New Roman" w:cs="Times New Roman" w:eastAsia="Times New Roman" w:hint="default"/>
        </w:rPr>
        <w:t>1</w:t>
      </w:r>
      <w:r>
        <w:rPr/>
        <w:t>、已经发生的劳务成本预计能够得到补偿的，按照已经发生的劳务成本金额确认提供劳务收入，并</w:t>
      </w:r>
      <w:r>
        <w:rPr>
          <w:w w:val="100"/>
        </w:rPr>
        <w:t> </w:t>
      </w:r>
      <w:r>
        <w:rPr/>
        <w:t>按相同金额结转劳务成本。</w:t>
      </w:r>
    </w:p>
    <w:p>
      <w:pPr>
        <w:pStyle w:val="BodyText"/>
        <w:spacing w:line="256" w:lineRule="auto" w:before="142"/>
        <w:ind w:right="1136" w:firstLine="420"/>
        <w:jc w:val="both"/>
      </w:pPr>
      <w:r>
        <w:rPr>
          <w:rFonts w:ascii="Times New Roman" w:hAnsi="Times New Roman" w:cs="Times New Roman" w:eastAsia="Times New Roman" w:hint="default"/>
        </w:rPr>
        <w:t>2</w:t>
      </w:r>
      <w:r>
        <w:rPr/>
        <w:t>、已经发生的劳务成本预计不能够得到补偿的，将已经发生的劳务成本计入当期损益，不确认提供</w:t>
      </w:r>
      <w:r>
        <w:rPr>
          <w:w w:val="100"/>
        </w:rPr>
        <w:t> </w:t>
      </w:r>
      <w:r>
        <w:rPr/>
        <w:t>劳务收入。</w:t>
      </w:r>
    </w:p>
    <w:p>
      <w:pPr>
        <w:pStyle w:val="BodyText"/>
        <w:spacing w:line="268" w:lineRule="auto" w:before="142"/>
        <w:ind w:right="1126" w:firstLine="420"/>
        <w:jc w:val="both"/>
      </w:pPr>
      <w:r>
        <w:rPr>
          <w:spacing w:val="-2"/>
        </w:rPr>
        <w:t>具体收入确认方法：根据公司行业软件开发业务定价方式的不同，公司行业软件开发业务收入确认主</w:t>
      </w:r>
      <w:r>
        <w:rPr>
          <w:w w:val="100"/>
        </w:rPr>
        <w:t> </w:t>
      </w:r>
      <w:r>
        <w:rPr>
          <w:spacing w:val="-2"/>
        </w:rPr>
        <w:t>要有以下两种方式：①按已经完成的工作量占总工作量的比例确认完工进度：公司根据项目已经完成的工</w:t>
      </w:r>
      <w:r>
        <w:rPr>
          <w:spacing w:val="-43"/>
        </w:rPr>
        <w:t> </w:t>
      </w:r>
      <w:r>
        <w:rPr>
          <w:spacing w:val="-43"/>
        </w:rPr>
      </w:r>
      <w:r>
        <w:rPr>
          <w:spacing w:val="-2"/>
        </w:rPr>
        <w:t>作量占总工作量的比例并经客户确认后确定完工进度；②按实际结算工作量确认收入：公司根据合同按季</w:t>
      </w:r>
      <w:r>
        <w:rPr>
          <w:spacing w:val="-43"/>
        </w:rPr>
        <w:t> </w:t>
      </w:r>
      <w:r>
        <w:rPr>
          <w:spacing w:val="-43"/>
        </w:rPr>
      </w:r>
      <w:r>
        <w:rPr/>
        <w:t>度或月的实际工作量（人</w:t>
      </w:r>
      <w:r>
        <w:rPr>
          <w:rFonts w:ascii="Times New Roman" w:hAnsi="Times New Roman" w:cs="Times New Roman" w:eastAsia="Times New Roman" w:hint="default"/>
        </w:rPr>
        <w:t>/</w:t>
      </w:r>
      <w:r>
        <w:rPr/>
        <w:t>日或人</w:t>
      </w:r>
      <w:r>
        <w:rPr>
          <w:rFonts w:ascii="Times New Roman" w:hAnsi="Times New Roman" w:cs="Times New Roman" w:eastAsia="Times New Roman" w:hint="default"/>
        </w:rPr>
        <w:t>/</w:t>
      </w:r>
      <w:r>
        <w:rPr/>
        <w:t>月数）并经客户确认后确认收入。对于</w:t>
      </w:r>
      <w:r>
        <w:rPr>
          <w:rFonts w:ascii="Times New Roman" w:hAnsi="Times New Roman" w:cs="Times New Roman" w:eastAsia="Times New Roman" w:hint="default"/>
        </w:rPr>
        <w:t>IT</w:t>
      </w:r>
      <w:r>
        <w:rPr/>
        <w:t>解决方案业务中包含自行开发</w:t>
      </w:r>
      <w:r>
        <w:rPr>
          <w:spacing w:val="-25"/>
        </w:rPr>
        <w:t> </w:t>
      </w:r>
      <w:r>
        <w:rPr>
          <w:spacing w:val="-25"/>
        </w:rPr>
      </w:r>
      <w:r>
        <w:rPr/>
        <w:t>行业软件不能合理区分的，该部分行业软件按上述</w:t>
      </w:r>
      <w:r>
        <w:rPr>
          <w:rFonts w:ascii="Times New Roman" w:hAnsi="Times New Roman" w:cs="Times New Roman" w:eastAsia="Times New Roman" w:hint="default"/>
        </w:rPr>
        <w:t>IT</w:t>
      </w:r>
      <w:r>
        <w:rPr/>
        <w:t>解决方案的收入确认原则确认为</w:t>
      </w:r>
      <w:r>
        <w:rPr>
          <w:rFonts w:ascii="Times New Roman" w:hAnsi="Times New Roman" w:cs="Times New Roman" w:eastAsia="Times New Roman" w:hint="default"/>
        </w:rPr>
        <w:t>IT</w:t>
      </w:r>
      <w:r>
        <w:rPr/>
        <w:t>解决方案收入。</w:t>
      </w:r>
    </w:p>
    <w:p>
      <w:pPr>
        <w:spacing w:after="0" w:line="268" w:lineRule="auto"/>
        <w:jc w:val="both"/>
        <w:sectPr>
          <w:footerReference w:type="default" r:id="rId17"/>
          <w:pgSz w:w="11910" w:h="16840"/>
          <w:pgMar w:footer="979" w:header="745" w:top="1060" w:bottom="1160" w:left="980" w:right="0"/>
          <w:pgNumType w:start="120"/>
        </w:sectPr>
      </w:pPr>
    </w:p>
    <w:p>
      <w:pPr>
        <w:spacing w:line="240" w:lineRule="auto" w:before="10"/>
        <w:rPr>
          <w:rFonts w:ascii="宋体" w:hAnsi="宋体" w:cs="宋体" w:eastAsia="宋体" w:hint="default"/>
          <w:sz w:val="24"/>
          <w:szCs w:val="24"/>
        </w:rPr>
      </w:pPr>
    </w:p>
    <w:p>
      <w:pPr>
        <w:pStyle w:val="BodyText"/>
        <w:spacing w:line="357" w:lineRule="auto" w:before="36"/>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）技术服务收入</w:t>
      </w:r>
      <w:r>
        <w:rPr>
          <w:rFonts w:ascii="宋体" w:hAnsi="宋体" w:cs="宋体" w:eastAsia="宋体" w:hint="default"/>
          <w:b/>
          <w:bCs/>
          <w:w w:val="100"/>
        </w:rPr>
        <w:t> </w:t>
      </w:r>
      <w:r>
        <w:rPr>
          <w:spacing w:val="-2"/>
        </w:rPr>
        <w:t>公司技术服务收入具体确认方法：技术服务业务根据合同额和已提供服务期间占合同约定服务期间的</w:t>
      </w:r>
    </w:p>
    <w:p>
      <w:pPr>
        <w:pStyle w:val="BodyText"/>
        <w:spacing w:line="209" w:lineRule="exact"/>
        <w:ind w:right="1133"/>
        <w:jc w:val="left"/>
      </w:pPr>
      <w:r>
        <w:rPr/>
        <w:t>比例或已提供服务次数占合同约定服务总次数的比例确认收入。</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）让渡资产使用权收入</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09" w:lineRule="exact"/>
        <w:ind w:right="1133"/>
        <w:jc w:val="left"/>
      </w:pPr>
      <w:r>
        <w:rPr/>
        <w:t>使用权收入金额：</w:t>
      </w:r>
    </w:p>
    <w:p>
      <w:pPr>
        <w:pStyle w:val="BodyText"/>
        <w:spacing w:line="240" w:lineRule="auto" w:before="157"/>
        <w:ind w:left="573" w:right="1133"/>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41"/>
        <w:ind w:left="573" w:right="1133"/>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7"/>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42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政府补助同时满足下列条件的，才能予以确认：</w:t>
      </w:r>
    </w:p>
    <w:p>
      <w:pPr>
        <w:pStyle w:val="BodyText"/>
        <w:spacing w:line="240" w:lineRule="auto" w:before="54"/>
        <w:ind w:left="573" w:right="1133"/>
        <w:jc w:val="left"/>
      </w:pPr>
      <w:r>
        <w:rPr/>
        <w:t>①本公司能够满足政府补助所附条件；</w:t>
      </w:r>
    </w:p>
    <w:p>
      <w:pPr>
        <w:pStyle w:val="BodyText"/>
        <w:spacing w:line="240" w:lineRule="auto" w:before="157"/>
        <w:ind w:left="573" w:right="1133"/>
        <w:jc w:val="left"/>
      </w:pPr>
      <w:r>
        <w:rPr/>
        <w:t>②本公司能够收到政府补助。</w:t>
      </w:r>
    </w:p>
    <w:p>
      <w:pPr>
        <w:pStyle w:val="BodyText"/>
        <w:spacing w:line="357" w:lineRule="auto" w:before="15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）政府补助的计量</w:t>
      </w:r>
      <w:r>
        <w:rPr>
          <w:rFonts w:ascii="宋体" w:hAnsi="宋体" w:cs="宋体" w:eastAsia="宋体" w:hint="default"/>
          <w:b/>
          <w:bCs/>
          <w:w w:val="100"/>
        </w:rPr>
        <w:t> </w:t>
      </w:r>
      <w:r>
        <w:rPr>
          <w:spacing w:val="-2"/>
        </w:rPr>
        <w:t>政府补助为货币性资产的，按照收到或应收的金额计量。政府补助为非货币性资产的，按照公允价值</w:t>
      </w:r>
    </w:p>
    <w:p>
      <w:pPr>
        <w:pStyle w:val="BodyText"/>
        <w:spacing w:line="209" w:lineRule="exact"/>
        <w:ind w:right="1133"/>
        <w:jc w:val="left"/>
      </w:pPr>
      <w:r>
        <w:rPr/>
        <w:t>计量；公允价值不能可靠取得的，按照名义金额计量。</w:t>
      </w:r>
    </w:p>
    <w:p>
      <w:pPr>
        <w:pStyle w:val="Heading3"/>
        <w:spacing w:line="240" w:lineRule="auto" w:before="157"/>
        <w:ind w:left="575" w:right="1133"/>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432" w:lineRule="exact" w:before="41"/>
        <w:ind w:left="573" w:right="1133"/>
        <w:jc w:val="left"/>
      </w:pPr>
      <w:r>
        <w:rPr/>
        <w:t>①与资产相关的政府补助</w:t>
      </w:r>
      <w:r>
        <w:rPr>
          <w:w w:val="100"/>
        </w:rPr>
        <w:t> </w:t>
      </w:r>
      <w:r>
        <w:rPr>
          <w:spacing w:val="-2"/>
        </w:rPr>
        <w:t>公司取得的、用于购建或以其他方式形成长期资产的政府补助划分为与资产相关的政府补助。与资产</w:t>
      </w:r>
    </w:p>
    <w:p>
      <w:pPr>
        <w:pStyle w:val="BodyText"/>
        <w:spacing w:line="255" w:lineRule="exact"/>
        <w:ind w:right="0"/>
        <w:jc w:val="left"/>
      </w:pPr>
      <w:r>
        <w:rPr/>
        <w:t>相关的政府补助确认为递延收益，在相关资产使用期限内按照合理、系统的方法分期计入损益。按照名义</w:t>
      </w:r>
    </w:p>
    <w:p>
      <w:pPr>
        <w:pStyle w:val="BodyText"/>
        <w:spacing w:line="273" w:lineRule="auto" w:before="37"/>
        <w:ind w:right="0"/>
        <w:jc w:val="left"/>
      </w:pPr>
      <w:r>
        <w:rPr>
          <w:spacing w:val="-5"/>
        </w:rPr>
        <w:t>金额计量的政府补助，直接计入当期损益。相关资产在使用寿命结束前被出售、转让、报废或发生毁损的，</w:t>
      </w:r>
      <w:r>
        <w:rPr>
          <w:spacing w:val="-8"/>
        </w:rPr>
        <w:t> </w:t>
      </w:r>
      <w:r>
        <w:rPr>
          <w:spacing w:val="-8"/>
        </w:rPr>
      </w:r>
      <w:r>
        <w:rPr/>
        <w:t>将尚未分配的相关递延收益余额转入资产处置当期的损益。</w:t>
      </w:r>
    </w:p>
    <w:p>
      <w:pPr>
        <w:pStyle w:val="BodyText"/>
        <w:spacing w:line="432" w:lineRule="exact" w:before="27"/>
        <w:ind w:left="573" w:right="1133"/>
        <w:jc w:val="left"/>
      </w:pPr>
      <w:r>
        <w:rPr/>
        <w:t>②与收益相关的政府补助</w:t>
      </w:r>
      <w:r>
        <w:rPr>
          <w:w w:val="100"/>
        </w:rPr>
        <w:t> </w:t>
      </w:r>
      <w:r>
        <w:rPr>
          <w:spacing w:val="-2"/>
        </w:rPr>
        <w:t>除与资产相关的政府补助之外的政府补助划分为与收益相关的政府补助。与收益相关的政府补助，分</w:t>
      </w:r>
    </w:p>
    <w:p>
      <w:pPr>
        <w:pStyle w:val="BodyText"/>
        <w:spacing w:line="255" w:lineRule="exact"/>
        <w:ind w:right="1133"/>
        <w:jc w:val="left"/>
      </w:pPr>
      <w:r>
        <w:rPr/>
        <w:t>情况按照以下规定进行会计处理：</w:t>
      </w:r>
    </w:p>
    <w:p>
      <w:pPr>
        <w:pStyle w:val="BodyText"/>
        <w:spacing w:line="273" w:lineRule="auto" w:before="157"/>
        <w:ind w:right="1133" w:firstLine="420"/>
        <w:jc w:val="left"/>
      </w:pPr>
      <w:r>
        <w:rPr>
          <w:spacing w:val="-2"/>
        </w:rPr>
        <w:t>用于补偿本公司以后期间的相关成本费用或损失的，确认为递延收益，并在确认相关成本费用或损失</w:t>
      </w:r>
      <w:r>
        <w:rPr>
          <w:w w:val="100"/>
        </w:rPr>
        <w:t> </w:t>
      </w:r>
      <w:r>
        <w:rPr/>
        <w:t>的期间，计入当期损益；</w:t>
      </w:r>
    </w:p>
    <w:p>
      <w:pPr>
        <w:pStyle w:val="BodyText"/>
        <w:spacing w:line="432" w:lineRule="exact" w:before="27"/>
        <w:ind w:left="573" w:right="1133"/>
        <w:jc w:val="left"/>
      </w:pPr>
      <w:r>
        <w:rPr/>
        <w:t>用于补偿本公司已发生的相关成本费用或损失的，直接计入当期损益。</w:t>
      </w:r>
      <w:r>
        <w:rPr>
          <w:w w:val="100"/>
        </w:rPr>
        <w:t> </w:t>
      </w:r>
      <w:r>
        <w:rPr>
          <w:spacing w:val="-2"/>
        </w:rPr>
        <w:t>对于同时包含与资产相关部分和与收益相关部分的政府补助，区分不同部分分别进行会计处理；难以</w:t>
      </w:r>
    </w:p>
    <w:p>
      <w:pPr>
        <w:pStyle w:val="BodyText"/>
        <w:spacing w:line="255" w:lineRule="exact"/>
        <w:ind w:right="1133"/>
        <w:jc w:val="left"/>
      </w:pPr>
      <w:r>
        <w:rPr/>
        <w:t>区分的，整体归类为与收益相关的政府补助。</w:t>
      </w:r>
    </w:p>
    <w:p>
      <w:pPr>
        <w:pStyle w:val="BodyText"/>
        <w:spacing w:line="273" w:lineRule="auto" w:before="157"/>
        <w:ind w:right="1133" w:firstLine="420"/>
        <w:jc w:val="left"/>
      </w:pPr>
      <w:r>
        <w:rPr>
          <w:spacing w:val="-2"/>
        </w:rPr>
        <w:t>与本公司日常活动相关的政府补助，按照经济业务实质，计入其他收益。与本公司日常活动无关的政</w:t>
      </w:r>
      <w:r>
        <w:rPr>
          <w:w w:val="100"/>
        </w:rPr>
        <w:t> </w:t>
      </w:r>
      <w:r>
        <w:rPr/>
        <w:t>府补助，计入营业外收支。</w:t>
      </w:r>
    </w:p>
    <w:p>
      <w:pPr>
        <w:pStyle w:val="BodyText"/>
        <w:spacing w:line="376" w:lineRule="auto" w:before="127"/>
        <w:ind w:left="573" w:right="1133"/>
        <w:jc w:val="left"/>
      </w:pPr>
      <w:r>
        <w:rPr/>
        <w:t>③政策性优惠贷款贴息</w:t>
      </w:r>
      <w:r>
        <w:rPr>
          <w:w w:val="100"/>
        </w:rPr>
        <w:t> </w:t>
      </w:r>
      <w:r>
        <w:rPr>
          <w:spacing w:val="-2"/>
        </w:rPr>
        <w:t>财政将贴息资金拨付给贷款银行，由贷款银行以政策性优惠利率向本公司提供贷款的，以实际收到的</w:t>
      </w:r>
    </w:p>
    <w:p>
      <w:pPr>
        <w:spacing w:after="0" w:line="37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376" w:lineRule="auto" w:before="36"/>
        <w:ind w:left="573" w:right="1133" w:hanging="420"/>
        <w:jc w:val="left"/>
      </w:pPr>
      <w:r>
        <w:rPr>
          <w:spacing w:val="-2"/>
        </w:rPr>
        <w:t>借款金额作为借款的入账价值，按照借款本金和该政策性优惠利率计算相关借款费用。</w:t>
      </w:r>
      <w:r>
        <w:rPr>
          <w:spacing w:val="-32"/>
        </w:rPr>
        <w:t> </w:t>
      </w:r>
      <w:r>
        <w:rPr>
          <w:spacing w:val="-32"/>
        </w:rPr>
      </w:r>
      <w:r>
        <w:rPr/>
        <w:t>财政将贴息资金直接拨付给本公司，本公司将对应的贴息冲减相关借款费用。</w:t>
      </w:r>
    </w:p>
    <w:p>
      <w:pPr>
        <w:pStyle w:val="BodyText"/>
        <w:spacing w:line="307" w:lineRule="auto" w:before="37"/>
        <w:ind w:left="573" w:right="1133"/>
        <w:jc w:val="left"/>
      </w:pPr>
      <w:r>
        <w:rPr/>
        <w:t>④政府补助退回</w:t>
      </w:r>
      <w:r>
        <w:rPr>
          <w:spacing w:val="-103"/>
        </w:rPr>
        <w:t> </w:t>
      </w:r>
      <w:r>
        <w:rPr>
          <w:spacing w:val="-103"/>
        </w:rPr>
      </w:r>
      <w:r>
        <w:rPr>
          <w:spacing w:val="-2"/>
        </w:rPr>
        <w:t>已确认的政府补助需要返还时，初始确认时冲减相关资产账面价值的，调整资产账面价值；存在相关</w:t>
      </w:r>
    </w:p>
    <w:p>
      <w:pPr>
        <w:pStyle w:val="BodyText"/>
        <w:spacing w:line="253" w:lineRule="exact"/>
        <w:ind w:right="0"/>
        <w:jc w:val="left"/>
      </w:pPr>
      <w:r>
        <w:rPr/>
        <w:t>递延收益余额的，冲减相关递延收益账面余额，超出部分计入当期损益；属于其他情况的，直接计入当期</w:t>
      </w:r>
    </w:p>
    <w:p>
      <w:pPr>
        <w:pStyle w:val="BodyText"/>
        <w:spacing w:line="240" w:lineRule="auto" w:before="37"/>
        <w:ind w:right="1133"/>
        <w:jc w:val="left"/>
      </w:pPr>
      <w:r>
        <w:rPr/>
        <w:t>损益。</w:t>
      </w:r>
    </w:p>
    <w:p>
      <w:pPr>
        <w:spacing w:line="600" w:lineRule="atLeast" w:before="25"/>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本公司通常根据资产与负债在资产负债表日的账面价值与计税基础之间的暂时性差异，采用资产负债</w:t>
      </w:r>
    </w:p>
    <w:p>
      <w:pPr>
        <w:pStyle w:val="BodyText"/>
        <w:spacing w:line="273" w:lineRule="auto" w:before="37"/>
        <w:ind w:right="1133"/>
        <w:jc w:val="left"/>
      </w:pPr>
      <w:r>
        <w:rPr>
          <w:spacing w:val="2"/>
        </w:rPr>
        <w:t>表债务法将应纳税暂时性差异或可抵扣暂时性差异对所得税的影响额确认和计量递延所得税负债或递延</w:t>
      </w:r>
      <w:r>
        <w:rPr>
          <w:spacing w:val="-30"/>
        </w:rPr>
        <w:t> </w:t>
      </w:r>
      <w:r>
        <w:rPr>
          <w:spacing w:val="-30"/>
        </w:rPr>
      </w:r>
      <w:r>
        <w:rPr/>
        <w:t>所得税资产。本公司不对递延所得税资产和递延所得税负债进行折现。</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对于可抵扣暂时性差异，其对所得税的影响额按预计转回期间的所得税税率计算，并将该影响额确认</w:t>
      </w:r>
    </w:p>
    <w:p>
      <w:pPr>
        <w:pStyle w:val="BodyText"/>
        <w:spacing w:line="209" w:lineRule="exact"/>
        <w:ind w:right="0"/>
        <w:jc w:val="left"/>
      </w:pPr>
      <w:r>
        <w:rPr/>
        <w:t>为递延所得税资产，但是以本公司很可能取得用来抵扣可抵扣暂时性差异、可抵扣亏损和税款抵减的未来</w:t>
      </w:r>
    </w:p>
    <w:p>
      <w:pPr>
        <w:pStyle w:val="BodyText"/>
        <w:spacing w:line="240" w:lineRule="auto" w:before="37"/>
        <w:ind w:right="1133"/>
        <w:jc w:val="left"/>
      </w:pPr>
      <w:r>
        <w:rPr/>
        <w:t>应纳税所得额为限。</w:t>
      </w:r>
    </w:p>
    <w:p>
      <w:pPr>
        <w:pStyle w:val="BodyText"/>
        <w:spacing w:line="273" w:lineRule="auto" w:before="157"/>
        <w:ind w:right="1140" w:firstLine="420"/>
        <w:jc w:val="both"/>
      </w:pPr>
      <w:r>
        <w:rPr>
          <w:spacing w:val="2"/>
        </w:rPr>
        <w:t>同时具有下列特征的交易或事项中因资产或负债的初始确认所产生的可抵扣暂时性差异对所得税的</w:t>
      </w:r>
      <w:r>
        <w:rPr>
          <w:w w:val="100"/>
        </w:rPr>
        <w:t> </w:t>
      </w:r>
      <w:r>
        <w:rPr/>
        <w:t>影响额不确认为递延所得税资产：</w:t>
      </w:r>
    </w:p>
    <w:p>
      <w:pPr>
        <w:pStyle w:val="BodyText"/>
        <w:spacing w:line="240" w:lineRule="auto" w:before="12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p>
    <w:p>
      <w:pPr>
        <w:pStyle w:val="BodyText"/>
        <w:spacing w:line="357" w:lineRule="auto" w:before="141"/>
        <w:ind w:left="57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交易发生时既不影响会计利润也不影响应纳税所得额（或可抵扣亏损）。</w:t>
      </w:r>
      <w:r>
        <w:rPr>
          <w:w w:val="100"/>
        </w:rPr>
        <w:t> </w:t>
      </w:r>
      <w:r>
        <w:rPr>
          <w:spacing w:val="-2"/>
        </w:rPr>
        <w:t>本公司对与子公司、联营公司及合营企业投资相关的可抵扣暂时性差异，同时满足下列两项条件的，</w:t>
      </w:r>
    </w:p>
    <w:p>
      <w:pPr>
        <w:pStyle w:val="BodyText"/>
        <w:spacing w:line="209" w:lineRule="exact"/>
        <w:ind w:left="573" w:right="1133" w:hanging="420"/>
        <w:jc w:val="left"/>
      </w:pPr>
      <w:r>
        <w:rPr/>
        <w:t>其对所得税的影响额（才能）确认为递延所得税资产：</w:t>
      </w:r>
    </w:p>
    <w:p>
      <w:pPr>
        <w:pStyle w:val="BodyText"/>
        <w:spacing w:line="240" w:lineRule="auto" w:before="15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暂时性差异在可预见的未来很可能转回；</w:t>
      </w:r>
    </w:p>
    <w:p>
      <w:pPr>
        <w:pStyle w:val="BodyText"/>
        <w:spacing w:line="357" w:lineRule="auto" w:before="141"/>
        <w:ind w:left="57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未来很可能获得用来抵扣可抵扣暂时性差异的应纳税所得额；</w:t>
      </w:r>
      <w:r>
        <w:rPr>
          <w:w w:val="100"/>
        </w:rPr>
        <w:t> </w:t>
      </w:r>
      <w:r>
        <w:rPr>
          <w:spacing w:val="-2"/>
        </w:rPr>
        <w:t>资产负债表日，有确凿证据表明未来期间很可能获得足够的应纳税所得额用来抵扣可抵扣暂时性差异</w:t>
      </w:r>
    </w:p>
    <w:p>
      <w:pPr>
        <w:pStyle w:val="BodyText"/>
        <w:spacing w:line="209" w:lineRule="exact"/>
        <w:ind w:right="1133"/>
        <w:jc w:val="left"/>
      </w:pPr>
      <w:r>
        <w:rPr/>
        <w:t>的，确认以前期间未确认的递延所得税资产。</w:t>
      </w:r>
    </w:p>
    <w:p>
      <w:pPr>
        <w:pStyle w:val="BodyText"/>
        <w:spacing w:line="273" w:lineRule="auto" w:before="157"/>
        <w:ind w:right="1126" w:firstLine="420"/>
        <w:jc w:val="both"/>
      </w:pPr>
      <w:r>
        <w:rPr>
          <w:spacing w:val="-2"/>
        </w:rPr>
        <w:t>在资产负债表日，本公司对递延所得税资产的账面价值进行复核。如果未来期间很可能无法获得足够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357" w:lineRule="auto" w:before="12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本公司所有应纳税暂时性差异均按预计转回期间的所得税税率计量对所得税的影响，并将该影响额确</w:t>
      </w:r>
    </w:p>
    <w:p>
      <w:pPr>
        <w:pStyle w:val="BodyText"/>
        <w:spacing w:line="209" w:lineRule="exact"/>
        <w:ind w:right="1133"/>
        <w:jc w:val="left"/>
      </w:pPr>
      <w:r>
        <w:rPr/>
        <w:t>认为递延所得税负债，但下列情况的除外：</w:t>
      </w:r>
    </w:p>
    <w:p>
      <w:pPr>
        <w:pStyle w:val="BodyText"/>
        <w:spacing w:line="432" w:lineRule="exact" w:before="57"/>
        <w:ind w:left="573" w:right="1133"/>
        <w:jc w:val="left"/>
      </w:pPr>
      <w:r>
        <w:rPr/>
        <w:t>①因下列交易或事项中产生的应纳税暂时性差异对所得税的影响不确认为递延所得税负债：</w:t>
      </w:r>
      <w:r>
        <w:rPr>
          <w:w w:val="100"/>
        </w:rPr>
        <w:t> </w:t>
      </w: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w:t>
      </w:r>
    </w:p>
    <w:p>
      <w:pPr>
        <w:pStyle w:val="BodyText"/>
        <w:spacing w:line="255" w:lineRule="exact"/>
        <w:ind w:right="1133"/>
        <w:jc w:val="left"/>
      </w:pPr>
      <w:r>
        <w:rPr/>
        <w:t>影响会计利润也不影响应纳税所得额或可抵扣亏损。</w:t>
      </w:r>
    </w:p>
    <w:p>
      <w:pPr>
        <w:pStyle w:val="BodyText"/>
        <w:spacing w:line="240" w:lineRule="auto" w:before="157"/>
        <w:ind w:left="573" w:right="0"/>
        <w:jc w:val="left"/>
      </w:pPr>
      <w:r>
        <w:rPr/>
        <w:t>②本公司对与子公司、合营企业及联营企业投资相关的应纳税暂时性差异，其对所得税的影响额一般</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367" w:lineRule="auto" w:before="36"/>
        <w:ind w:left="573" w:right="2653" w:hanging="420"/>
        <w:jc w:val="left"/>
      </w:pPr>
      <w:r>
        <w:rPr>
          <w:spacing w:val="-2"/>
        </w:rPr>
        <w:t>确认为递延所得税负债，但同时满足以下两项条件的除外：</w:t>
      </w:r>
      <w:r>
        <w:rPr>
          <w:spacing w:val="-55"/>
        </w:rPr>
        <w:t> </w:t>
      </w:r>
      <w:r>
        <w:rPr>
          <w:spacing w:val="-55"/>
        </w:rPr>
      </w:r>
      <w:r>
        <w:rPr>
          <w:rFonts w:ascii="Times New Roman" w:hAnsi="Times New Roman" w:cs="Times New Roman" w:eastAsia="Times New Roman" w:hint="default"/>
        </w:rPr>
        <w:t>A.</w:t>
      </w:r>
      <w:r>
        <w:rPr/>
        <w:t>本公司能够控制暂时性差异转回的时间；</w:t>
      </w:r>
      <w:r>
        <w:rPr>
          <w:w w:val="100"/>
        </w:rPr>
        <w:t> </w:t>
      </w:r>
      <w:r>
        <w:rPr>
          <w:rFonts w:ascii="Times New Roman" w:hAnsi="Times New Roman" w:cs="Times New Roman" w:eastAsia="Times New Roman" w:hint="default"/>
        </w:rPr>
        <w:t>B.</w:t>
      </w:r>
      <w:r>
        <w:rPr/>
        <w:t>该暂时性差异在可预见的未来很可能不会转回。</w:t>
      </w:r>
    </w:p>
    <w:p>
      <w:pPr>
        <w:pStyle w:val="Heading3"/>
        <w:spacing w:line="240" w:lineRule="auto" w:before="18"/>
        <w:ind w:left="575" w:right="1133"/>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432" w:lineRule="exact" w:before="41"/>
        <w:ind w:left="573" w:right="1133"/>
        <w:jc w:val="left"/>
      </w:pPr>
      <w:r>
        <w:rPr/>
        <w:t>①与企业合并相关的递延所得税负债或资产</w:t>
      </w:r>
      <w:r>
        <w:rPr>
          <w:w w:val="100"/>
        </w:rPr>
        <w:t> </w:t>
      </w:r>
      <w:r>
        <w:rPr>
          <w:spacing w:val="-2"/>
        </w:rPr>
        <w:t>非同一控制下企业合并产生的应纳税暂时性差异或可抵扣暂时性差异，在确认递延所得税负债或递延</w:t>
      </w:r>
    </w:p>
    <w:p>
      <w:pPr>
        <w:pStyle w:val="BodyText"/>
        <w:spacing w:line="255" w:lineRule="exact"/>
        <w:ind w:right="0"/>
        <w:jc w:val="both"/>
      </w:pPr>
      <w:r>
        <w:rPr/>
        <w:t>所得税资产的同时，相关的递延所得税费用（或收益），通常调整企业合并中所确认的商誉。</w:t>
      </w:r>
    </w:p>
    <w:p>
      <w:pPr>
        <w:pStyle w:val="BodyText"/>
        <w:spacing w:line="430" w:lineRule="atLeast" w:before="2"/>
        <w:ind w:left="573" w:right="1133"/>
        <w:jc w:val="left"/>
      </w:pPr>
      <w:r>
        <w:rPr/>
        <w:t>②直接计入所有者权益的项目</w:t>
      </w:r>
      <w:r>
        <w:rPr>
          <w:w w:val="100"/>
        </w:rPr>
        <w:t> </w:t>
      </w:r>
      <w:r>
        <w:rPr>
          <w:spacing w:val="-2"/>
        </w:rPr>
        <w:t>与直接计入所有者权益的交易或者事项相关的当期所得税和递延所得税，计入所有者权益。暂时性差</w:t>
      </w:r>
    </w:p>
    <w:p>
      <w:pPr>
        <w:pStyle w:val="BodyText"/>
        <w:spacing w:line="273" w:lineRule="auto" w:before="37"/>
        <w:ind w:right="1104"/>
        <w:jc w:val="both"/>
      </w:pPr>
      <w:r>
        <w:rPr>
          <w:spacing w:val="-2"/>
        </w:rPr>
        <w:t>异对所得税的影响计入所有者权益的交易或事项包括：可供出售金融资产公允价值变动等形成的其他综合</w:t>
      </w:r>
      <w:r>
        <w:rPr>
          <w:spacing w:val="-43"/>
        </w:rPr>
        <w:t> </w:t>
      </w:r>
      <w:r>
        <w:rPr>
          <w:spacing w:val="-43"/>
        </w:rPr>
      </w:r>
      <w:r>
        <w:rPr>
          <w:spacing w:val="-2"/>
        </w:rPr>
        <w:t>收益、会计政策变更采用追溯调整法或对前期（重要）会计差错更正差异追溯重述法调整期初留存收益、</w:t>
      </w:r>
      <w:r>
        <w:rPr>
          <w:spacing w:val="-21"/>
        </w:rPr>
        <w:t> </w:t>
      </w:r>
      <w:r>
        <w:rPr>
          <w:spacing w:val="-21"/>
        </w:rPr>
      </w:r>
      <w:r>
        <w:rPr/>
        <w:t>同时包含负债成份及权益成份的混合金融工具在初始确认时计入所有者权益等。</w:t>
      </w:r>
    </w:p>
    <w:p>
      <w:pPr>
        <w:pStyle w:val="BodyText"/>
        <w:spacing w:line="240" w:lineRule="auto" w:before="127"/>
        <w:ind w:left="573" w:right="1133"/>
        <w:jc w:val="left"/>
      </w:pPr>
      <w:r>
        <w:rPr/>
        <w:t>③可弥补亏损和税款抵减</w:t>
      </w:r>
    </w:p>
    <w:p>
      <w:pPr>
        <w:pStyle w:val="BodyText"/>
        <w:spacing w:line="357" w:lineRule="auto" w:before="157"/>
        <w:ind w:left="573" w:right="1113"/>
        <w:jc w:val="left"/>
      </w:pPr>
      <w:r>
        <w:rPr>
          <w:rFonts w:ascii="Times New Roman" w:hAnsi="Times New Roman" w:cs="Times New Roman" w:eastAsia="Times New Roman" w:hint="default"/>
        </w:rPr>
        <w:t>A.</w:t>
      </w:r>
      <w:r>
        <w:rPr/>
        <w:t>本公司自身经营产生的可弥补亏损以及税款抵减</w:t>
      </w:r>
      <w:r>
        <w:rPr>
          <w:w w:val="100"/>
        </w:rPr>
        <w:t> </w:t>
      </w:r>
      <w:r>
        <w:rPr/>
        <w:t>可抵扣亏损是指按照税法规定计算确定的准予用以后年度的应纳税所得额弥补的亏损。</w:t>
      </w:r>
      <w:r>
        <w:rPr>
          <w:spacing w:val="85"/>
        </w:rPr>
        <w:t> </w:t>
      </w:r>
      <w:r>
        <w:rPr/>
        <w:t>对于按照税</w:t>
      </w:r>
    </w:p>
    <w:p>
      <w:pPr>
        <w:pStyle w:val="BodyText"/>
        <w:spacing w:line="209" w:lineRule="exact"/>
        <w:ind w:right="0"/>
        <w:jc w:val="both"/>
      </w:pPr>
      <w:r>
        <w:rPr/>
        <w:t>法规定可以结转以后年度的未弥补亏损（可抵扣亏损）和税款抵减，视同可抵扣暂时性差异处理。在预计</w:t>
      </w:r>
    </w:p>
    <w:p>
      <w:pPr>
        <w:pStyle w:val="BodyText"/>
        <w:spacing w:line="273" w:lineRule="auto" w:before="37"/>
        <w:ind w:right="1126"/>
        <w:jc w:val="both"/>
      </w:pPr>
      <w:r>
        <w:rPr>
          <w:spacing w:val="-2"/>
        </w:rPr>
        <w:t>可利用可弥补亏损或税款抵减的未来期间内很可能取得足够的应纳税所得额时，以很可能取得的应纳税所</w:t>
      </w:r>
      <w:r>
        <w:rPr>
          <w:spacing w:val="-43"/>
        </w:rPr>
        <w:t> </w:t>
      </w:r>
      <w:r>
        <w:rPr>
          <w:spacing w:val="-43"/>
        </w:rPr>
      </w:r>
      <w:r>
        <w:rPr/>
        <w:t>得额为限，确认相应的递延所得税资产，同时减少当期利润表中的所得税费用。</w:t>
      </w:r>
    </w:p>
    <w:p>
      <w:pPr>
        <w:pStyle w:val="BodyText"/>
        <w:spacing w:line="357" w:lineRule="auto" w:before="127"/>
        <w:ind w:left="573" w:right="1133"/>
        <w:jc w:val="left"/>
      </w:pPr>
      <w:r>
        <w:rPr>
          <w:rFonts w:ascii="Times New Roman" w:hAnsi="Times New Roman" w:cs="Times New Roman" w:eastAsia="Times New Roman" w:hint="default"/>
        </w:rPr>
        <w:t>B.</w:t>
      </w:r>
      <w:r>
        <w:rPr/>
        <w:t>因企业合并而形成的可弥补的被合并企业的未弥补亏损</w:t>
      </w:r>
      <w:r>
        <w:rPr>
          <w:w w:val="100"/>
        </w:rPr>
        <w:t> </w:t>
      </w:r>
      <w:r>
        <w:rPr>
          <w:spacing w:val="-2"/>
        </w:rPr>
        <w:t>在企业合并中，本公司取得被购买方的可抵扣暂时性差异，在购买日不符合递延所得税资产确认条件</w:t>
      </w:r>
    </w:p>
    <w:p>
      <w:pPr>
        <w:pStyle w:val="BodyText"/>
        <w:spacing w:line="225" w:lineRule="exact"/>
        <w:ind w:right="0"/>
        <w:jc w:val="both"/>
      </w:pPr>
      <w:r>
        <w:rPr/>
        <w:t>的，不予以确认。购买日后</w:t>
      </w:r>
      <w:r>
        <w:rPr>
          <w:rFonts w:ascii="Times New Roman" w:hAnsi="Times New Roman" w:cs="Times New Roman" w:eastAsia="Times New Roman" w:hint="default"/>
        </w:rPr>
        <w:t>12</w:t>
      </w:r>
      <w:r>
        <w:rPr/>
        <w:t>个月内，如取得新的或进一步的信息表明购买日的相关情况已经存在，预期</w:t>
      </w:r>
    </w:p>
    <w:p>
      <w:pPr>
        <w:pStyle w:val="BodyText"/>
        <w:spacing w:line="273" w:lineRule="auto" w:before="21"/>
        <w:ind w:right="1126"/>
        <w:jc w:val="both"/>
      </w:pP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32" w:lineRule="exact" w:before="27"/>
        <w:ind w:left="573" w:right="1133"/>
        <w:jc w:val="left"/>
      </w:pPr>
      <w:r>
        <w:rPr/>
        <w:t>④合并抵销形成的暂时性差异</w:t>
      </w:r>
      <w:r>
        <w:rPr>
          <w:w w:val="100"/>
        </w:rPr>
        <w:t> </w:t>
      </w:r>
      <w:r>
        <w:rPr>
          <w:spacing w:val="-2"/>
        </w:rPr>
        <w:t>本公司在编制合并财务报表时，因抵销未实现内部销售损益导致合并资产负债表中资产、负债的账面</w:t>
      </w:r>
    </w:p>
    <w:p>
      <w:pPr>
        <w:pStyle w:val="BodyText"/>
        <w:spacing w:line="255" w:lineRule="exact"/>
        <w:ind w:right="0"/>
        <w:jc w:val="both"/>
      </w:pPr>
      <w:r>
        <w:rPr/>
        <w:t>价值与其在所属纳税主体的计税基础之间产生暂时性差异的，在合并资产负债表中确认递延所得税资产或</w:t>
      </w:r>
    </w:p>
    <w:p>
      <w:pPr>
        <w:pStyle w:val="BodyText"/>
        <w:spacing w:line="273" w:lineRule="auto" w:before="37"/>
        <w:ind w:right="1126"/>
        <w:jc w:val="both"/>
      </w:pPr>
      <w:r>
        <w:rPr>
          <w:spacing w:val="-2"/>
        </w:rPr>
        <w:t>递延所得税负债，同时调整合并利润表中的所得税费用，但与直接计入所有者权益的交易或事项及企业合</w:t>
      </w:r>
      <w:r>
        <w:rPr>
          <w:spacing w:val="-43"/>
        </w:rPr>
        <w:t> </w:t>
      </w:r>
      <w:r>
        <w:rPr>
          <w:spacing w:val="-43"/>
        </w:rPr>
      </w:r>
      <w:r>
        <w:rPr/>
        <w:t>并相关的递延所得税除外。</w:t>
      </w:r>
    </w:p>
    <w:p>
      <w:pPr>
        <w:pStyle w:val="BodyText"/>
        <w:spacing w:line="307" w:lineRule="auto" w:before="128"/>
        <w:ind w:left="573" w:right="1133"/>
        <w:jc w:val="left"/>
      </w:pPr>
      <w:r>
        <w:rPr/>
        <w:t>⑤以权益结算的股份支付</w:t>
      </w:r>
      <w:r>
        <w:rPr>
          <w:w w:val="100"/>
        </w:rPr>
        <w:t> </w:t>
      </w:r>
      <w:r>
        <w:rPr>
          <w:spacing w:val="-2"/>
        </w:rPr>
        <w:t>如果税法规定与股份支付相关的支出允许税前扣除，在按照会计准则规定确认成本费用的期间内，本</w:t>
      </w:r>
    </w:p>
    <w:p>
      <w:pPr>
        <w:pStyle w:val="BodyText"/>
        <w:spacing w:line="253" w:lineRule="exact"/>
        <w:ind w:right="0"/>
        <w:jc w:val="both"/>
      </w:pPr>
      <w:r>
        <w:rPr/>
        <w:t>公司根据会计期末取得信息估计可税前扣除的金额计算确定其计税基础及由此产生的暂时性差异，符合确</w:t>
      </w:r>
    </w:p>
    <w:p>
      <w:pPr>
        <w:pStyle w:val="BodyText"/>
        <w:spacing w:line="273" w:lineRule="auto" w:before="37"/>
        <w:ind w:right="1126"/>
        <w:jc w:val="both"/>
      </w:pPr>
      <w:r>
        <w:rPr>
          <w:spacing w:val="-2"/>
        </w:rPr>
        <w:t>认条件的情况下确认相关的递延所得税。其中预计未来期间可税前扣除的金额超过按照会计准则规定确认</w:t>
      </w:r>
      <w:r>
        <w:rPr>
          <w:spacing w:val="-43"/>
        </w:rPr>
        <w:t> </w:t>
      </w:r>
      <w:r>
        <w:rPr>
          <w:spacing w:val="-43"/>
        </w:rPr>
      </w:r>
      <w:r>
        <w:rPr/>
        <w:t>的与股份支付相关的成本费用，超过部分的所得税影响应直接计入所得税权益。</w:t>
      </w:r>
    </w:p>
    <w:p>
      <w:pPr>
        <w:spacing w:line="240" w:lineRule="auto" w:before="4"/>
        <w:rPr>
          <w:rFonts w:ascii="宋体" w:hAnsi="宋体" w:cs="宋体" w:eastAsia="宋体" w:hint="default"/>
          <w:sz w:val="23"/>
          <w:szCs w:val="23"/>
        </w:rPr>
      </w:pPr>
    </w:p>
    <w:p>
      <w:pPr>
        <w:pStyle w:val="Heading3"/>
        <w:spacing w:line="506" w:lineRule="auto"/>
        <w:ind w:left="575" w:right="6473" w:hanging="423"/>
        <w:jc w:val="left"/>
        <w:rPr>
          <w:b w:val="0"/>
          <w:bCs w:val="0"/>
        </w:rPr>
      </w:pPr>
      <w:r>
        <w:rPr>
          <w:rFonts w:ascii="Times New Roman" w:hAnsi="Times New Roman" w:cs="Times New Roman" w:eastAsia="Times New Roman" w:hint="default"/>
          <w:spacing w:val="-1"/>
        </w:rPr>
        <w:t>26</w:t>
      </w:r>
      <w:r>
        <w:rPr>
          <w:spacing w:val="-1"/>
        </w:rPr>
        <w:t>、其他重要的会计政策和会计估计</w:t>
      </w:r>
      <w:r>
        <w:rPr>
          <w:spacing w:val="-88"/>
        </w:rPr>
        <w:t> </w:t>
      </w:r>
      <w:r>
        <w:rPr>
          <w:spacing w:val="-88"/>
        </w:rPr>
      </w:r>
      <w:r>
        <w:rPr/>
        <w:t>回购公司股份</w:t>
      </w:r>
      <w:r>
        <w:rPr>
          <w:b w:val="0"/>
          <w:bCs w:val="0"/>
        </w:rPr>
      </w:r>
    </w:p>
    <w:p>
      <w:pPr>
        <w:spacing w:after="0" w:line="506"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BodyText"/>
        <w:spacing w:line="268" w:lineRule="auto" w:before="36"/>
        <w:ind w:right="1128" w:firstLine="420"/>
        <w:jc w:val="both"/>
      </w:pPr>
      <w:r>
        <w:rPr/>
        <w:t>（</w:t>
      </w:r>
      <w:r>
        <w:rPr>
          <w:rFonts w:ascii="Times New Roman" w:hAnsi="Times New Roman" w:cs="Times New Roman" w:eastAsia="Times New Roman" w:hint="default"/>
        </w:rPr>
        <w:t>1</w:t>
      </w:r>
      <w:r>
        <w:rPr/>
        <w:t>）本公司按法定程序报经批准采用收购本公司股票方式减资的，按注销股票面值总额减少股本，</w:t>
      </w:r>
      <w:r>
        <w:rPr>
          <w:w w:val="100"/>
        </w:rPr>
        <w:t> </w:t>
      </w:r>
      <w:r>
        <w:rPr>
          <w:spacing w:val="-2"/>
        </w:rPr>
        <w:t>购回股票支付的价款（含交易费用）与股票面值的差额调整所有者权益，超过面值总额的部分，依次冲减</w:t>
      </w:r>
      <w:r>
        <w:rPr>
          <w:spacing w:val="-50"/>
        </w:rPr>
        <w:t> </w:t>
      </w:r>
      <w:r>
        <w:rPr>
          <w:spacing w:val="-50"/>
        </w:rPr>
      </w:r>
      <w:r>
        <w:rPr>
          <w:spacing w:val="-7"/>
        </w:rPr>
        <w:t>资本公积（股本溢价）、盈余公积和未分配利润；低于面值总额的，低于面值总额的部分增加资本公积（股</w:t>
      </w:r>
      <w:r>
        <w:rPr>
          <w:spacing w:val="-19"/>
        </w:rPr>
        <w:t> </w:t>
      </w:r>
      <w:r>
        <w:rPr>
          <w:spacing w:val="-19"/>
        </w:rPr>
      </w:r>
      <w:r>
        <w:rPr/>
        <w:t>本溢价）。</w:t>
      </w:r>
    </w:p>
    <w:p>
      <w:pPr>
        <w:pStyle w:val="BodyText"/>
        <w:spacing w:line="240" w:lineRule="auto" w:before="132"/>
        <w:ind w:left="573" w:right="0"/>
        <w:jc w:val="left"/>
      </w:pPr>
      <w:r>
        <w:rPr/>
        <w:t>（</w:t>
      </w:r>
      <w:r>
        <w:rPr>
          <w:rFonts w:ascii="Times New Roman" w:hAnsi="Times New Roman" w:cs="Times New Roman" w:eastAsia="Times New Roman" w:hint="default"/>
        </w:rPr>
        <w:t>2</w:t>
      </w:r>
      <w:r>
        <w:rPr/>
        <w:t>）公司回购的股份在注销或者转让之前，作为库存股管理，回购股份的全部支出转作库存股成本。</w:t>
      </w:r>
    </w:p>
    <w:p>
      <w:pPr>
        <w:pStyle w:val="BodyText"/>
        <w:spacing w:line="256" w:lineRule="auto" w:before="141"/>
        <w:ind w:right="1136" w:firstLine="420"/>
        <w:jc w:val="both"/>
      </w:pPr>
      <w:r>
        <w:rPr/>
        <w:t>（</w:t>
      </w:r>
      <w:r>
        <w:rPr>
          <w:rFonts w:ascii="Times New Roman" w:hAnsi="Times New Roman" w:cs="Times New Roman" w:eastAsia="Times New Roman" w:hint="default"/>
        </w:rPr>
        <w:t>3</w:t>
      </w:r>
      <w:r>
        <w:rPr/>
        <w:t>）库存股转让时，转让收入高于库存股成本的部分，增加资本公积（股本溢价）；低于库存股成</w:t>
      </w:r>
      <w:r>
        <w:rPr>
          <w:w w:val="100"/>
        </w:rPr>
        <w:t> </w:t>
      </w:r>
      <w:r>
        <w:rPr/>
        <w:t>本的部分，依次冲减资本公积（股本溢价）、盈余公积、未分配利润。</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日发布了《关</w:t>
            </w:r>
          </w:p>
          <w:p>
            <w:pPr>
              <w:pStyle w:val="TableParagraph"/>
              <w:spacing w:line="309"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[2018]15</w:t>
            </w:r>
            <w:r>
              <w:rPr>
                <w:rFonts w:ascii="Times New Roman" w:hAnsi="Times New Roman" w:cs="Times New Roman" w:eastAsia="Times New Roman" w:hint="default"/>
                <w:spacing w:val="16"/>
                <w:sz w:val="18"/>
                <w:szCs w:val="18"/>
              </w:rPr>
              <w:t> </w:t>
            </w:r>
            <w:r>
              <w:rPr>
                <w:rFonts w:ascii="宋体" w:hAnsi="宋体" w:cs="宋体" w:eastAsia="宋体" w:hint="default"/>
                <w:spacing w:val="-24"/>
                <w:sz w:val="18"/>
                <w:szCs w:val="18"/>
              </w:rPr>
              <w:t>号），要求执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行企业会计准则的非金融企业应当按照 企业会计准则和通知要求编制财务报 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日，公司第二届董事会 第二十八次会议、第二届监事会第二十 三次会议审议通过了《关于会计政策变 </w:t>
            </w:r>
            <w:r>
              <w:rPr>
                <w:rFonts w:ascii="宋体" w:hAnsi="宋体" w:cs="宋体" w:eastAsia="宋体" w:hint="default"/>
                <w:spacing w:val="-7"/>
                <w:sz w:val="18"/>
                <w:szCs w:val="18"/>
              </w:rPr>
              <w:t>更的议案》，同意公司相关会计政策的变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更。公司独立董事发表了同意的独立意 </w:t>
            </w:r>
            <w:r>
              <w:rPr>
                <w:rFonts w:ascii="宋体" w:hAnsi="宋体" w:cs="宋体" w:eastAsia="宋体" w:hint="default"/>
                <w:spacing w:val="-3"/>
                <w:sz w:val="18"/>
                <w:szCs w:val="18"/>
              </w:rPr>
              <w:t>见。详见公司于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 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 </w:t>
            </w:r>
            <w:r>
              <w:rPr>
                <w:rFonts w:ascii="宋体" w:hAnsi="宋体" w:cs="宋体" w:eastAsia="宋体" w:hint="default"/>
                <w:spacing w:val="-6"/>
                <w:sz w:val="18"/>
                <w:szCs w:val="18"/>
              </w:rPr>
              <w:t>的《关于会计政策变更的公告》。</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5"/>
          <w:szCs w:val="5"/>
        </w:rPr>
      </w:pPr>
    </w:p>
    <w:p>
      <w:pPr>
        <w:pStyle w:val="BodyText"/>
        <w:spacing w:line="240" w:lineRule="auto" w:before="36"/>
        <w:ind w:left="628" w:right="1133"/>
        <w:jc w:val="left"/>
      </w:pPr>
      <w:r>
        <w:rPr>
          <w:spacing w:val="2"/>
        </w:rPr>
        <w:t>根据财政部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日发布的《关于修订印发</w:t>
      </w:r>
      <w:r>
        <w:rPr>
          <w:rFonts w:ascii="Times New Roman" w:hAnsi="Times New Roman" w:cs="Times New Roman" w:eastAsia="Times New Roman" w:hint="default"/>
          <w:spacing w:val="2"/>
        </w:rPr>
        <w:t>2018</w:t>
      </w:r>
      <w:r>
        <w:rPr>
          <w:spacing w:val="2"/>
        </w:rPr>
        <w:t>年度一般企业财务报表格式的通知》（财会</w:t>
      </w:r>
      <w:r>
        <w:rPr/>
      </w:r>
    </w:p>
    <w:p>
      <w:pPr>
        <w:pStyle w:val="BodyText"/>
        <w:spacing w:line="240" w:lineRule="auto" w:before="21"/>
        <w:ind w:left="208" w:right="1133"/>
        <w:jc w:val="left"/>
      </w:pPr>
      <w:r>
        <w:rPr>
          <w:rFonts w:ascii="Times New Roman" w:hAnsi="Times New Roman" w:cs="Times New Roman" w:eastAsia="Times New Roman" w:hint="default"/>
        </w:rPr>
        <w:t>[2018]15</w:t>
      </w:r>
      <w:r>
        <w:rPr/>
        <w:t>号）要求，对尚未执行新金融准则和新收入准则的企业应按如下规定编制财务报表：</w:t>
      </w:r>
    </w:p>
    <w:p>
      <w:pPr>
        <w:pStyle w:val="BodyText"/>
        <w:spacing w:line="256" w:lineRule="auto" w:before="141"/>
        <w:ind w:right="1128" w:firstLine="420"/>
        <w:jc w:val="both"/>
      </w:pPr>
      <w:r>
        <w:rPr/>
        <w:t>资产负债表中将</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归并至新增的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w w:val="100"/>
        </w:rPr>
        <w:t> </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固定资产清理</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固定资产</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工程物资</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在</w:t>
      </w:r>
      <w:r>
        <w:rPr>
          <w:spacing w:val="-15"/>
        </w:rPr>
        <w:t> </w:t>
      </w:r>
      <w:r>
        <w:rPr/>
        <w:t>建工程</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归并至新增的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w:t>
      </w:r>
      <w:r>
        <w:rPr>
          <w:spacing w:val="-19"/>
        </w:rPr>
        <w:t> </w:t>
      </w:r>
      <w:r>
        <w:rPr/>
        <w:t>付利息</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56" w:lineRule="auto" w:before="125"/>
        <w:ind w:right="1128" w:firstLine="420"/>
        <w:jc w:val="both"/>
      </w:pPr>
      <w:r>
        <w:rPr>
          <w:spacing w:val="2"/>
        </w:rPr>
        <w:t>利润表中从</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项目中分拆出</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项目，在财务费用项目下分拆</w:t>
      </w:r>
      <w:r>
        <w:rPr>
          <w:rFonts w:ascii="Times New Roman" w:hAnsi="Times New Roman" w:cs="Times New Roman" w:eastAsia="Times New Roman" w:hint="default"/>
          <w:spacing w:val="2"/>
        </w:rPr>
        <w:t>“</w:t>
      </w:r>
      <w:r>
        <w:rPr>
          <w:spacing w:val="2"/>
        </w:rPr>
        <w:t>利息费用</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利息收</w:t>
      </w:r>
      <w:r>
        <w:rPr>
          <w:spacing w:val="2"/>
          <w:w w:val="100"/>
        </w:rPr>
        <w:t> </w:t>
      </w:r>
      <w:r>
        <w:rPr/>
        <w:t>入</w:t>
      </w:r>
      <w:r>
        <w:rPr>
          <w:rFonts w:ascii="Times New Roman" w:hAnsi="Times New Roman" w:cs="Times New Roman" w:eastAsia="Times New Roman" w:hint="default"/>
        </w:rPr>
        <w:t>”</w:t>
      </w:r>
      <w:r>
        <w:rPr/>
        <w:t>明细项目。</w:t>
      </w:r>
    </w:p>
    <w:p>
      <w:pPr>
        <w:pStyle w:val="BodyText"/>
        <w:spacing w:line="259" w:lineRule="auto" w:before="125"/>
        <w:ind w:right="1128" w:firstLine="420"/>
        <w:jc w:val="both"/>
      </w:pPr>
      <w:r>
        <w:rPr>
          <w:spacing w:val="-2"/>
        </w:rPr>
        <w:t>本公司根据财会【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号规定的财务报表格式编制</w:t>
      </w:r>
      <w:r>
        <w:rPr>
          <w:rFonts w:ascii="Times New Roman" w:hAnsi="Times New Roman" w:cs="Times New Roman" w:eastAsia="Times New Roman" w:hint="default"/>
          <w:spacing w:val="-2"/>
        </w:rPr>
        <w:t>2018</w:t>
      </w:r>
      <w:r>
        <w:rPr>
          <w:spacing w:val="-2"/>
        </w:rPr>
        <w:t>年度财务报表，并采用追溯调整法变更了</w:t>
      </w:r>
      <w:r>
        <w:rPr>
          <w:w w:val="100"/>
        </w:rPr>
        <w:t> </w:t>
      </w:r>
      <w:r>
        <w:rPr/>
        <w:t>相关财务报表列报。相关列报调整影响如下：</w:t>
      </w:r>
    </w:p>
    <w:p>
      <w:pPr>
        <w:pStyle w:val="BodyText"/>
        <w:spacing w:line="240" w:lineRule="auto" w:before="140"/>
        <w:ind w:left="573" w:right="1133"/>
        <w:jc w:val="left"/>
        <w:rPr>
          <w:rFonts w:ascii="宋体" w:hAnsi="宋体" w:cs="宋体" w:eastAsia="宋体"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r>
        <w:rPr>
          <w:rFonts w:ascii="宋体" w:hAnsi="宋体" w:cs="宋体" w:eastAsia="宋体" w:hint="default"/>
        </w:rPr>
        <w:t> </w:t>
      </w:r>
    </w:p>
    <w:p>
      <w:pPr>
        <w:spacing w:line="240" w:lineRule="auto" w:before="0"/>
        <w:rPr>
          <w:rFonts w:ascii="宋体" w:hAnsi="宋体" w:cs="宋体" w:eastAsia="宋体" w:hint="default"/>
          <w:sz w:val="8"/>
          <w:szCs w:val="8"/>
        </w:rPr>
      </w:pPr>
    </w:p>
    <w:p>
      <w:pPr>
        <w:pStyle w:val="BodyText"/>
        <w:spacing w:line="240" w:lineRule="auto" w:before="36"/>
        <w:ind w:left="0" w:right="1128"/>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333"/>
        <w:gridCol w:w="2009"/>
        <w:gridCol w:w="1666"/>
        <w:gridCol w:w="1827"/>
        <w:gridCol w:w="1824"/>
      </w:tblGrid>
      <w:tr>
        <w:trPr>
          <w:trHeight w:val="341" w:hRule="exact"/>
        </w:trPr>
        <w:tc>
          <w:tcPr>
            <w:tcW w:w="2333" w:type="dxa"/>
            <w:vMerge w:val="restart"/>
            <w:tcBorders>
              <w:top w:val="single" w:sz="4" w:space="0" w:color="000000"/>
              <w:left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96" w:right="0"/>
              <w:jc w:val="left"/>
              <w:rPr>
                <w:rFonts w:ascii="宋体" w:hAnsi="宋体" w:cs="宋体" w:eastAsia="宋体" w:hint="default"/>
                <w:sz w:val="21"/>
                <w:szCs w:val="21"/>
              </w:rPr>
            </w:pPr>
            <w:r>
              <w:rPr>
                <w:rFonts w:ascii="宋体" w:hAnsi="宋体" w:cs="宋体" w:eastAsia="宋体" w:hint="default"/>
                <w:sz w:val="21"/>
                <w:szCs w:val="21"/>
              </w:rPr>
              <w:t>合并资产负债表</w:t>
            </w:r>
          </w:p>
        </w:tc>
        <w:tc>
          <w:tcPr>
            <w:tcW w:w="3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2" w:right="0"/>
              <w:jc w:val="left"/>
              <w:rPr>
                <w:rFonts w:ascii="宋体" w:hAnsi="宋体" w:cs="宋体" w:eastAsia="宋体" w:hint="default"/>
                <w:sz w:val="21"/>
                <w:szCs w:val="21"/>
              </w:rPr>
            </w:pPr>
            <w:r>
              <w:rPr>
                <w:rFonts w:ascii="宋体" w:hAnsi="宋体" w:cs="宋体" w:eastAsia="宋体" w:hint="default"/>
                <w:sz w:val="21"/>
                <w:szCs w:val="21"/>
              </w:rPr>
              <w:t>母公司资产负债表</w:t>
            </w:r>
          </w:p>
        </w:tc>
      </w:tr>
      <w:tr>
        <w:trPr>
          <w:trHeight w:val="343" w:hRule="exact"/>
        </w:trPr>
        <w:tc>
          <w:tcPr>
            <w:tcW w:w="2333"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4,318,236.16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3,459,057.20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371,380,793.14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355,234,869.68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375,699,029.30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358,693,926.88</w:t>
            </w:r>
          </w:p>
        </w:tc>
      </w:tr>
      <w:tr>
        <w:trPr>
          <w:trHeight w:val="34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48,763,642.53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48,763,642.53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333"/>
        <w:gridCol w:w="2009"/>
        <w:gridCol w:w="1666"/>
        <w:gridCol w:w="1827"/>
        <w:gridCol w:w="1824"/>
      </w:tblGrid>
      <w:tr>
        <w:trPr>
          <w:trHeight w:val="34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155,986,552.83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327,432,105.27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204,750,195.36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376,195,747.80</w:t>
            </w:r>
          </w:p>
        </w:tc>
      </w:tr>
      <w:tr>
        <w:trPr>
          <w:trHeight w:val="34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204,208.34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204,208.34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230,458,019.38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230,662,227.72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5,478,204.74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5,682,413.08</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rPr>
          <w:rFonts w:ascii="宋体" w:hAnsi="宋体" w:cs="宋体" w:eastAsia="宋体" w:hint="default"/>
        </w:rPr>
      </w:pPr>
      <w:r>
        <w:rPr>
          <w:rFonts w:ascii="Times New Roman" w:hAnsi="Times New Roman" w:cs="Times New Roman" w:eastAsia="Times New Roman" w:hint="default"/>
        </w:rPr>
        <w:t>2017</w:t>
      </w:r>
      <w:r>
        <w:rPr/>
        <w:t>年度受影响的合并利润表和母公司利润表</w:t>
      </w:r>
      <w:r>
        <w:rPr>
          <w:rFonts w:ascii="宋体" w:hAnsi="宋体" w:cs="宋体" w:eastAsia="宋体" w:hint="default"/>
        </w:rPr>
        <w:t> </w:t>
      </w:r>
    </w:p>
    <w:p>
      <w:pPr>
        <w:pStyle w:val="BodyText"/>
        <w:spacing w:line="240" w:lineRule="auto" w:before="141"/>
        <w:ind w:left="0" w:right="1128"/>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331"/>
        <w:gridCol w:w="1666"/>
        <w:gridCol w:w="2009"/>
        <w:gridCol w:w="1829"/>
        <w:gridCol w:w="1824"/>
      </w:tblGrid>
      <w:tr>
        <w:trPr>
          <w:trHeight w:val="343" w:hRule="exact"/>
        </w:trPr>
        <w:tc>
          <w:tcPr>
            <w:tcW w:w="2331" w:type="dxa"/>
            <w:vMerge w:val="restart"/>
            <w:tcBorders>
              <w:top w:val="single" w:sz="4" w:space="0" w:color="000000"/>
              <w:left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合并利润表</w:t>
            </w:r>
          </w:p>
        </w:tc>
        <w:tc>
          <w:tcPr>
            <w:tcW w:w="3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3" w:right="0"/>
              <w:jc w:val="left"/>
              <w:rPr>
                <w:rFonts w:ascii="宋体" w:hAnsi="宋体" w:cs="宋体" w:eastAsia="宋体" w:hint="default"/>
                <w:sz w:val="21"/>
                <w:szCs w:val="21"/>
              </w:rPr>
            </w:pPr>
            <w:r>
              <w:rPr>
                <w:rFonts w:ascii="宋体" w:hAnsi="宋体" w:cs="宋体" w:eastAsia="宋体" w:hint="default"/>
                <w:sz w:val="21"/>
                <w:szCs w:val="21"/>
              </w:rPr>
              <w:t>母公司利润表</w:t>
            </w:r>
          </w:p>
        </w:tc>
      </w:tr>
      <w:tr>
        <w:trPr>
          <w:trHeight w:val="341" w:hRule="exact"/>
        </w:trPr>
        <w:tc>
          <w:tcPr>
            <w:tcW w:w="2331"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1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3"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184,041,878.51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54,055,262.81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94,275,992.80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02" w:right="0"/>
              <w:jc w:val="left"/>
              <w:rPr>
                <w:rFonts w:ascii="Times New Roman" w:hAnsi="Times New Roman" w:cs="Times New Roman" w:eastAsia="Times New Roman" w:hint="default"/>
                <w:sz w:val="21"/>
                <w:szCs w:val="21"/>
              </w:rPr>
            </w:pPr>
            <w:r>
              <w:rPr>
                <w:rFonts w:ascii="Times New Roman"/>
                <w:sz w:val="21"/>
              </w:rPr>
              <w:t>24,542,041.68</w:t>
            </w:r>
          </w:p>
        </w:tc>
      </w:tr>
      <w:tr>
        <w:trPr>
          <w:trHeight w:val="341"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129,986,615.70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2" w:right="0"/>
              <w:jc w:val="left"/>
              <w:rPr>
                <w:rFonts w:ascii="Times New Roman" w:hAnsi="Times New Roman" w:cs="Times New Roman" w:eastAsia="Times New Roman" w:hint="default"/>
                <w:sz w:val="21"/>
                <w:szCs w:val="21"/>
              </w:rPr>
            </w:pPr>
            <w:r>
              <w:rPr>
                <w:rFonts w:ascii="Times New Roman"/>
                <w:sz w:val="21"/>
              </w:rPr>
              <w:t>69,733,951.12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487" w:lineRule="auto" w:before="0"/>
        <w:ind w:left="153" w:right="89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商品销售收入、增值税应税劳务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见附表</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85"/>
        <w:ind w:left="57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w:t>
      </w:r>
      <w:r>
        <w:rPr>
          <w:w w:val="100"/>
        </w:rPr>
        <w:t> </w:t>
      </w:r>
      <w:r>
        <w:rPr>
          <w:spacing w:val="-1"/>
        </w:rPr>
        <w:t>根据《国务院关于印发进一步鼓励软件产业和集成电路产业发展的若干政策的通知》</w:t>
      </w:r>
      <w:r>
        <w:rPr>
          <w:rFonts w:ascii="Times New Roman" w:hAnsi="Times New Roman" w:cs="Times New Roman" w:eastAsia="Times New Roman" w:hint="default"/>
          <w:spacing w:val="-1"/>
        </w:rPr>
        <w:t>(</w:t>
      </w:r>
      <w:r>
        <w:rPr>
          <w:spacing w:val="-1"/>
        </w:rPr>
        <w:t>国发〔</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4</w:t>
      </w:r>
    </w:p>
    <w:p>
      <w:pPr>
        <w:pStyle w:val="BodyText"/>
        <w:spacing w:line="256" w:lineRule="auto" w:before="21"/>
        <w:ind w:right="1125"/>
        <w:jc w:val="both"/>
      </w:pPr>
      <w:r>
        <w:rPr/>
        <w:t>号</w:t>
      </w:r>
      <w:r>
        <w:rPr>
          <w:rFonts w:ascii="Times New Roman" w:hAnsi="Times New Roman" w:cs="Times New Roman" w:eastAsia="Times New Roman" w:hint="default"/>
        </w:rPr>
        <w:t>)</w:t>
      </w:r>
      <w:r>
        <w:rPr/>
        <w:t>和财政部、国家税务总局《关于软件产品增值税政策的通知》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w:t>
      </w:r>
      <w:r>
        <w:rPr>
          <w:rFonts w:ascii="Times New Roman" w:hAnsi="Times New Roman" w:cs="Times New Roman" w:eastAsia="Times New Roman" w:hint="default"/>
        </w:rPr>
        <w:t>)</w:t>
      </w:r>
      <w:r>
        <w:rPr/>
        <w:t>的规定，本公司及</w:t>
      </w:r>
      <w:r>
        <w:rPr>
          <w:spacing w:val="-27"/>
        </w:rPr>
        <w:t> </w:t>
      </w:r>
      <w:r>
        <w:rPr>
          <w:spacing w:val="-27"/>
        </w:rPr>
      </w:r>
      <w:r>
        <w:rPr>
          <w:spacing w:val="-3"/>
        </w:rPr>
        <w:t>境内子公司销售其自行开发生产的软件产品，按</w:t>
      </w:r>
      <w:r>
        <w:rPr>
          <w:rFonts w:ascii="Times New Roman" w:hAnsi="Times New Roman" w:cs="Times New Roman" w:eastAsia="Times New Roman" w:hint="default"/>
          <w:spacing w:val="-3"/>
        </w:rPr>
        <w:t>17%</w:t>
      </w:r>
      <w:r>
        <w:rPr>
          <w:spacing w:val="-3"/>
        </w:rPr>
        <w:t>的法定税率征收增值税，对其实际税负超过</w:t>
      </w:r>
      <w:r>
        <w:rPr>
          <w:rFonts w:ascii="Times New Roman" w:hAnsi="Times New Roman" w:cs="Times New Roman" w:eastAsia="Times New Roman" w:hint="default"/>
          <w:spacing w:val="-3"/>
        </w:rPr>
        <w:t>3%</w:t>
      </w:r>
      <w:r>
        <w:rPr>
          <w:spacing w:val="-3"/>
        </w:rPr>
        <w:t>的部分</w:t>
      </w:r>
      <w:r>
        <w:rPr>
          <w:spacing w:val="-26"/>
        </w:rPr>
        <w:t> </w:t>
      </w:r>
      <w:r>
        <w:rPr>
          <w:spacing w:val="-26"/>
        </w:rPr>
      </w:r>
      <w:r>
        <w:rPr/>
        <w:t>实行即征即退。</w:t>
      </w:r>
    </w:p>
    <w:p>
      <w:pPr>
        <w:pStyle w:val="BodyText"/>
        <w:spacing w:line="256" w:lineRule="auto" w:before="142"/>
        <w:ind w:right="1126" w:firstLine="420"/>
        <w:jc w:val="both"/>
      </w:pPr>
      <w:r>
        <w:rPr/>
        <w:t>根据财政部、国家税务总局《关于全面推开营业税改征增值税试点的通知》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w:t>
      </w:r>
      <w:r>
        <w:rPr>
          <w:rFonts w:ascii="Times New Roman" w:hAnsi="Times New Roman" w:cs="Times New Roman" w:eastAsia="Times New Roman" w:hint="default"/>
        </w:rPr>
        <w:t>)</w:t>
      </w:r>
      <w:r>
        <w:rPr/>
        <w:t>，本</w:t>
      </w:r>
      <w:r>
        <w:rPr>
          <w:w w:val="100"/>
        </w:rPr>
        <w:t> </w:t>
      </w:r>
      <w:r>
        <w:rPr>
          <w:spacing w:val="-2"/>
        </w:rPr>
        <w:t>公司及境内子公司自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日起，全面实行营业税改征增值税，营业税改征增值税后，本公司及境内</w:t>
      </w:r>
      <w:r>
        <w:rPr>
          <w:spacing w:val="-37"/>
        </w:rPr>
        <w:t> </w:t>
      </w:r>
      <w:r>
        <w:rPr>
          <w:spacing w:val="-37"/>
        </w:rPr>
      </w:r>
      <w:r>
        <w:rPr/>
        <w:t>子公司从事技术开发和技术转让业务免征增值税。</w:t>
      </w:r>
    </w:p>
    <w:p>
      <w:pPr>
        <w:pStyle w:val="BodyText"/>
        <w:spacing w:line="357" w:lineRule="auto" w:before="142"/>
        <w:ind w:left="573" w:right="9184"/>
        <w:jc w:val="left"/>
      </w:pPr>
      <w:r>
        <w:rPr>
          <w:spacing w:val="-1"/>
        </w:rPr>
        <w:t>（</w:t>
      </w:r>
      <w:r>
        <w:rPr>
          <w:rFonts w:ascii="Times New Roman" w:hAnsi="Times New Roman" w:cs="Times New Roman" w:eastAsia="Times New Roman" w:hint="default"/>
          <w:spacing w:val="-1"/>
        </w:rPr>
        <w:t>2</w:t>
      </w:r>
      <w:r>
        <w:rPr>
          <w:spacing w:val="-1"/>
        </w:rPr>
        <w:t>）所得税</w:t>
      </w:r>
      <w:r>
        <w:rPr>
          <w:spacing w:val="-99"/>
        </w:rPr>
        <w:t> </w:t>
      </w:r>
      <w:r>
        <w:rPr>
          <w:spacing w:val="-99"/>
        </w:rPr>
      </w:r>
      <w:r>
        <w:rPr/>
        <w:t>本公司：</w:t>
      </w:r>
    </w:p>
    <w:p>
      <w:pPr>
        <w:pStyle w:val="BodyText"/>
        <w:spacing w:line="256" w:lineRule="auto" w:before="54"/>
        <w:ind w:right="0" w:firstLine="420"/>
        <w:jc w:val="left"/>
      </w:pPr>
      <w:r>
        <w:rPr>
          <w:spacing w:val="-4"/>
        </w:rPr>
        <w:t>本公司</w:t>
      </w:r>
      <w:r>
        <w:rPr>
          <w:rFonts w:ascii="Times New Roman" w:hAnsi="Times New Roman" w:cs="Times New Roman" w:eastAsia="Times New Roman" w:hint="default"/>
          <w:spacing w:val="-4"/>
        </w:rPr>
        <w:t>2017</w:t>
      </w:r>
      <w:r>
        <w:rPr>
          <w:spacing w:val="-4"/>
        </w:rPr>
        <w:t>年度已通过高新技术企业复审，并于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月获得了安徽省科学技术厅、安徽省财政厅、</w:t>
      </w:r>
      <w:r>
        <w:rPr>
          <w:w w:val="100"/>
        </w:rPr>
        <w:t> </w:t>
      </w:r>
      <w:r>
        <w:rPr>
          <w:spacing w:val="-4"/>
        </w:rPr>
        <w:t>安徽省国家税务局、安徽省地方税务局联合颁发的编号</w:t>
      </w:r>
      <w:r>
        <w:rPr>
          <w:rFonts w:ascii="Times New Roman" w:hAnsi="Times New Roman" w:cs="Times New Roman" w:eastAsia="Times New Roman" w:hint="default"/>
          <w:spacing w:val="-4"/>
        </w:rPr>
        <w:t>GR201734001260</w:t>
      </w:r>
      <w:r>
        <w:rPr>
          <w:spacing w:val="-4"/>
        </w:rPr>
        <w:t>号《高新技术企业证书》。本公司</w:t>
      </w:r>
      <w:r>
        <w:rPr>
          <w:spacing w:val="-6"/>
        </w:rPr>
        <w:t> </w:t>
      </w:r>
      <w:r>
        <w:rPr>
          <w:spacing w:val="-6"/>
        </w:rPr>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40" w:lineRule="auto" w:before="125"/>
        <w:ind w:left="573" w:right="1133"/>
        <w:jc w:val="left"/>
      </w:pPr>
      <w:r>
        <w:rPr/>
        <w:t>子公司：</w:t>
      </w:r>
    </w:p>
    <w:p>
      <w:pPr>
        <w:pStyle w:val="BodyText"/>
        <w:spacing w:line="256" w:lineRule="auto" w:before="157"/>
        <w:ind w:right="1128" w:firstLine="420"/>
        <w:jc w:val="both"/>
      </w:pPr>
      <w:r>
        <w:rPr/>
        <w:t>①子公司云网科技于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日取得安徽省软件行业协会颁发的编号为皖</w:t>
      </w:r>
      <w:r>
        <w:rPr>
          <w:rFonts w:ascii="Times New Roman" w:hAnsi="Times New Roman" w:cs="Times New Roman" w:eastAsia="Times New Roman" w:hint="default"/>
        </w:rPr>
        <w:t>RQ-2016-0045</w:t>
      </w:r>
      <w:r>
        <w:rPr/>
        <w:t>的《软件</w:t>
      </w:r>
      <w:r>
        <w:rPr>
          <w:w w:val="100"/>
        </w:rPr>
        <w:t> </w:t>
      </w:r>
      <w:r>
        <w:rPr/>
        <w:t>企业认定证书》，自</w:t>
      </w:r>
      <w:r>
        <w:rPr>
          <w:rFonts w:ascii="Times New Roman" w:hAnsi="Times New Roman" w:cs="Times New Roman" w:eastAsia="Times New Roman" w:hint="default"/>
        </w:rPr>
        <w:t>2016</w:t>
      </w:r>
      <w:r>
        <w:rPr/>
        <w:t>年起享受</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2018</w:t>
      </w:r>
      <w:r>
        <w:rPr/>
        <w:t>年度执行</w:t>
      </w:r>
      <w:r>
        <w:rPr>
          <w:rFonts w:ascii="Times New Roman" w:hAnsi="Times New Roman" w:cs="Times New Roman" w:eastAsia="Times New Roman" w:hint="default"/>
        </w:rPr>
        <w:t>12.5%</w:t>
      </w:r>
      <w:r>
        <w:rPr/>
        <w:t>的企业所得税税率。</w:t>
      </w:r>
    </w:p>
    <w:p>
      <w:pPr>
        <w:pStyle w:val="BodyText"/>
        <w:spacing w:line="256" w:lineRule="auto" w:before="125"/>
        <w:ind w:right="1125" w:firstLine="420"/>
        <w:jc w:val="both"/>
      </w:pPr>
      <w:r>
        <w:rPr>
          <w:spacing w:val="-2"/>
        </w:rPr>
        <w:t>②子公司苏州国创</w:t>
      </w:r>
      <w:r>
        <w:rPr>
          <w:rFonts w:ascii="Times New Roman" w:hAnsi="Times New Roman" w:cs="Times New Roman" w:eastAsia="Times New Roman" w:hint="default"/>
          <w:spacing w:val="-2"/>
        </w:rPr>
        <w:t>2017</w:t>
      </w:r>
      <w:r>
        <w:rPr>
          <w:spacing w:val="-2"/>
        </w:rPr>
        <w:t>年度已通过高新技术企业复审，并于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月获得了江苏省科学技术厅、江</w:t>
      </w:r>
      <w:r>
        <w:rPr>
          <w:w w:val="100"/>
        </w:rPr>
        <w:t> </w:t>
      </w:r>
      <w:r>
        <w:rPr>
          <w:spacing w:val="-4"/>
        </w:rPr>
        <w:t>苏省财政厅、江苏省国家税务局、江苏省地方税务局联合颁发的编号</w:t>
      </w:r>
      <w:r>
        <w:rPr>
          <w:rFonts w:ascii="Times New Roman" w:hAnsi="Times New Roman" w:cs="Times New Roman" w:eastAsia="Times New Roman" w:hint="default"/>
          <w:spacing w:val="-4"/>
        </w:rPr>
        <w:t>GR201732000115</w:t>
      </w:r>
      <w:r>
        <w:rPr>
          <w:spacing w:val="-4"/>
        </w:rPr>
        <w:t>号《高新技术企业证</w:t>
      </w:r>
      <w:r>
        <w:rPr>
          <w:spacing w:val="-8"/>
        </w:rPr>
        <w:t> </w:t>
      </w:r>
      <w:r>
        <w:rPr>
          <w:spacing w:val="-8"/>
        </w:rPr>
      </w:r>
      <w:r>
        <w:rPr/>
        <w:t>书》。苏州国创</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1128" w:firstLine="420"/>
        <w:jc w:val="both"/>
      </w:pPr>
      <w:r>
        <w:rPr/>
        <w:t>③子公司慧联运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月获得了安徽省科学技术厅、安徽省财政厅、安徽省国家税务局、安徽省地</w:t>
      </w:r>
      <w:r>
        <w:rPr>
          <w:w w:val="100"/>
        </w:rPr>
        <w:t> </w:t>
      </w:r>
      <w:r>
        <w:rPr>
          <w:spacing w:val="-4"/>
        </w:rPr>
        <w:t>方税务局联合颁发的编号</w:t>
      </w:r>
      <w:r>
        <w:rPr>
          <w:rFonts w:ascii="Times New Roman" w:hAnsi="Times New Roman" w:cs="Times New Roman" w:eastAsia="Times New Roman" w:hint="default"/>
          <w:spacing w:val="-4"/>
        </w:rPr>
        <w:t>GR201734000654</w:t>
      </w:r>
      <w:r>
        <w:rPr>
          <w:spacing w:val="-4"/>
        </w:rPr>
        <w:t>号《高新技术企业证书》。慧联运</w:t>
      </w:r>
      <w:r>
        <w:rPr>
          <w:rFonts w:ascii="Times New Roman" w:hAnsi="Times New Roman" w:cs="Times New Roman" w:eastAsia="Times New Roman" w:hint="default"/>
          <w:spacing w:val="-4"/>
        </w:rPr>
        <w:t>2017</w:t>
      </w:r>
      <w:r>
        <w:rPr>
          <w:spacing w:val="-4"/>
        </w:rPr>
        <w:t>年度至</w:t>
      </w:r>
      <w:r>
        <w:rPr>
          <w:rFonts w:ascii="Times New Roman" w:hAnsi="Times New Roman" w:cs="Times New Roman" w:eastAsia="Times New Roman" w:hint="default"/>
          <w:spacing w:val="-4"/>
        </w:rPr>
        <w:t>2019</w:t>
      </w:r>
      <w:r>
        <w:rPr>
          <w:spacing w:val="-4"/>
        </w:rPr>
        <w:t>年度，可享受</w:t>
      </w:r>
      <w:r>
        <w:rPr>
          <w:spacing w:val="5"/>
        </w:rPr>
        <w:t> </w:t>
      </w:r>
      <w:r>
        <w:rPr>
          <w:spacing w:val="5"/>
        </w:rPr>
      </w:r>
      <w:r>
        <w:rPr/>
        <w:t>高新技术企业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1125" w:firstLine="420"/>
        <w:jc w:val="both"/>
      </w:pPr>
      <w:r>
        <w:rPr>
          <w:spacing w:val="-2"/>
        </w:rPr>
        <w:t>④子公司贵博新能</w:t>
      </w:r>
      <w:r>
        <w:rPr>
          <w:rFonts w:ascii="Times New Roman" w:hAnsi="Times New Roman" w:cs="Times New Roman" w:eastAsia="Times New Roman" w:hint="default"/>
          <w:spacing w:val="-2"/>
        </w:rPr>
        <w:t>2017</w:t>
      </w:r>
      <w:r>
        <w:rPr>
          <w:spacing w:val="-2"/>
        </w:rPr>
        <w:t>年度已通过高新技术企业复审，并于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月获得子安徽省科学技术厅、安</w:t>
      </w:r>
      <w:r>
        <w:rPr>
          <w:w w:val="100"/>
        </w:rPr>
        <w:t> </w:t>
      </w:r>
      <w:r>
        <w:rPr>
          <w:spacing w:val="-4"/>
        </w:rPr>
        <w:t>徽省财政厅、安徽省国家税务局、安徽省地方税务局联合颁发的编号</w:t>
      </w:r>
      <w:r>
        <w:rPr>
          <w:rFonts w:ascii="Times New Roman" w:hAnsi="Times New Roman" w:cs="Times New Roman" w:eastAsia="Times New Roman" w:hint="default"/>
          <w:spacing w:val="-4"/>
        </w:rPr>
        <w:t>GR201734001441</w:t>
      </w:r>
      <w:r>
        <w:rPr>
          <w:spacing w:val="-4"/>
        </w:rPr>
        <w:t>号《高新技术企业证</w:t>
      </w:r>
      <w:r>
        <w:rPr>
          <w:spacing w:val="-8"/>
        </w:rPr>
        <w:t> </w:t>
      </w:r>
      <w:r>
        <w:rPr>
          <w:spacing w:val="-8"/>
        </w:rPr>
      </w:r>
      <w:r>
        <w:rPr/>
        <w:t>书》。贵博新能</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spacing w:before="66"/>
        <w:ind w:left="153"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508" w:lineRule="auto"/>
        <w:ind w:right="8434"/>
        <w:jc w:val="left"/>
        <w:rPr>
          <w:b w:val="0"/>
          <w:bCs w:val="0"/>
        </w:rPr>
      </w:pPr>
      <w:r>
        <w:rPr>
          <w:rFonts w:ascii="Times New Roman" w:hAnsi="Times New Roman" w:cs="Times New Roman" w:eastAsia="Times New Roman" w:hint="default"/>
        </w:rPr>
        <w:t>3</w:t>
      </w:r>
      <w:r>
        <w:rPr/>
        <w:t>、其他</w:t>
      </w:r>
      <w:r>
        <w:rPr>
          <w:w w:val="100"/>
        </w:rPr>
        <w:t> </w:t>
      </w:r>
      <w:r>
        <w:rPr/>
        <w:t>境外公司主要税种及税率</w:t>
      </w:r>
      <w:r>
        <w:rPr>
          <w:b w:val="0"/>
          <w:bCs w:val="0"/>
        </w:rPr>
      </w:r>
    </w:p>
    <w:p>
      <w:pPr>
        <w:pStyle w:val="BodyText"/>
        <w:spacing w:line="240" w:lineRule="auto" w:before="14"/>
        <w:ind w:right="0"/>
        <w:jc w:val="both"/>
        <w:rPr>
          <w:sz w:val="24"/>
          <w:szCs w:val="24"/>
        </w:rPr>
      </w:pPr>
      <w:r>
        <w:rPr/>
        <w:t>日本国创于</w:t>
      </w:r>
      <w:r>
        <w:rPr>
          <w:rFonts w:ascii="Times New Roman" w:hAnsi="Times New Roman" w:cs="Times New Roman" w:eastAsia="Times New Roman" w:hint="default"/>
        </w:rPr>
        <w:t>2015</w:t>
      </w:r>
      <w:r>
        <w:rPr/>
        <w:t>年注册于日本东京，报告期内主要税种、税率如下</w:t>
      </w:r>
      <w:r>
        <w:rPr>
          <w:sz w:val="24"/>
          <w:szCs w:val="24"/>
        </w:rPr>
        <w:t>：</w:t>
      </w:r>
    </w:p>
    <w:p>
      <w:pPr>
        <w:spacing w:line="240" w:lineRule="auto" w:before="3"/>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485"/>
        <w:gridCol w:w="2141"/>
        <w:gridCol w:w="2830"/>
        <w:gridCol w:w="2204"/>
      </w:tblGrid>
      <w:tr>
        <w:trPr>
          <w:trHeight w:val="348" w:hRule="exact"/>
        </w:trPr>
        <w:tc>
          <w:tcPr>
            <w:tcW w:w="2485"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14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83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204"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888"/>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248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214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8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8%</w:t>
            </w:r>
          </w:p>
        </w:tc>
        <w:tc>
          <w:tcPr>
            <w:tcW w:w="2204"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right="941"/>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bl>
    <w:p>
      <w:pPr>
        <w:pStyle w:val="BodyText"/>
        <w:spacing w:line="256" w:lineRule="auto"/>
        <w:ind w:right="1133"/>
        <w:jc w:val="left"/>
      </w:pPr>
      <w:r>
        <w:rPr>
          <w:spacing w:val="-2"/>
        </w:rPr>
        <w:t>注</w:t>
      </w:r>
      <w:r>
        <w:rPr>
          <w:rFonts w:ascii="Times New Roman" w:hAnsi="Times New Roman" w:cs="Times New Roman" w:eastAsia="Times New Roman" w:hint="default"/>
          <w:spacing w:val="-2"/>
        </w:rPr>
        <w:t>1</w:t>
      </w:r>
      <w:r>
        <w:rPr>
          <w:spacing w:val="-2"/>
        </w:rPr>
        <w:t>：消费税是对商品和劳务的增值额课征的一种税，征收实行单一比例税率，税率为</w:t>
      </w:r>
      <w:r>
        <w:rPr>
          <w:rFonts w:ascii="Times New Roman" w:hAnsi="Times New Roman" w:cs="Times New Roman" w:eastAsia="Times New Roman" w:hint="default"/>
          <w:spacing w:val="-2"/>
        </w:rPr>
        <w:t>8%</w:t>
      </w:r>
      <w:r>
        <w:rPr>
          <w:spacing w:val="-2"/>
        </w:rPr>
        <w:t>，以纳税人的总</w:t>
      </w:r>
      <w:r>
        <w:rPr>
          <w:spacing w:val="-20"/>
        </w:rPr>
        <w:t> </w:t>
      </w:r>
      <w:r>
        <w:rPr>
          <w:spacing w:val="-20"/>
        </w:rPr>
      </w:r>
      <w:r>
        <w:rPr/>
        <w:t>销货额与总进货额的差额为计税依据，类似于国内的增值税。</w:t>
      </w:r>
    </w:p>
    <w:p>
      <w:pPr>
        <w:spacing w:after="0" w:line="25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380,728.06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81,133.21</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445,288,376.19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492,357,548.99</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20,502,619.66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15,321,236.99</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466,171,723.91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507,759,919.19</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8,239,765.89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5,713,518.75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3" w:right="1033" w:firstLine="0"/>
        <w:jc w:val="left"/>
        <w:rPr>
          <w:rFonts w:ascii="宋体" w:hAnsi="宋体" w:cs="宋体" w:eastAsia="宋体" w:hint="default"/>
          <w:sz w:val="18"/>
          <w:szCs w:val="18"/>
        </w:rPr>
      </w:pPr>
      <w:r>
        <w:rPr>
          <w:rFonts w:ascii="宋体" w:hAnsi="宋体" w:cs="宋体" w:eastAsia="宋体" w:hint="default"/>
          <w:sz w:val="18"/>
          <w:szCs w:val="18"/>
        </w:rPr>
        <w:t>银行存款期末余额中</w:t>
      </w:r>
      <w:r>
        <w:rPr>
          <w:rFonts w:ascii="Times New Roman" w:hAnsi="Times New Roman" w:cs="Times New Roman" w:eastAsia="Times New Roman" w:hint="default"/>
          <w:sz w:val="18"/>
          <w:szCs w:val="18"/>
        </w:rPr>
        <w:t>1,100,000.00</w:t>
      </w:r>
      <w:r>
        <w:rPr>
          <w:rFonts w:ascii="宋体" w:hAnsi="宋体" w:cs="宋体" w:eastAsia="宋体" w:hint="default"/>
          <w:sz w:val="18"/>
          <w:szCs w:val="18"/>
        </w:rPr>
        <w:t>元定期存款用于银行质押借款，其他货币资金期末余额主要系本公司为开具银行保函和银 行承兑汇票存入的保证金。除此之外，货币资金期末余额中无其他因抵押或冻结等对使用有限制、有潜在回收风险的款项。</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40,613,240.66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4,318,236.16</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426,833,898.16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371,380,793.14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467,447,138.82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375,699,029.30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37,883,435.00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2,099,999.16</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2,729,805.66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2,218,237.00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40,613,240.66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4,318,236.16</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29,174,460.00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29,174,460.00</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12,719,658.71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12,719,658.71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360" w:lineRule="auto" w:before="49"/>
        <w:ind w:left="153" w:right="6703" w:firstLine="0"/>
        <w:jc w:val="left"/>
        <w:rPr>
          <w:rFonts w:ascii="宋体" w:hAnsi="宋体" w:cs="宋体" w:eastAsia="宋体" w:hint="default"/>
          <w:sz w:val="18"/>
          <w:szCs w:val="18"/>
        </w:rPr>
      </w:pPr>
      <w:r>
        <w:rPr>
          <w:rFonts w:ascii="宋体" w:hAnsi="宋体" w:cs="宋体" w:eastAsia="宋体" w:hint="default"/>
          <w:sz w:val="18"/>
          <w:szCs w:val="18"/>
        </w:rPr>
        <w:t>其他说明 商业承兑票据本期计提坏账准备金额</w:t>
      </w:r>
      <w:r>
        <w:rPr>
          <w:rFonts w:ascii="Times New Roman" w:hAnsi="Times New Roman" w:cs="Times New Roman" w:eastAsia="Times New Roman" w:hint="default"/>
          <w:sz w:val="18"/>
          <w:szCs w:val="18"/>
        </w:rPr>
        <w:t>404,200.30</w:t>
      </w:r>
      <w:r>
        <w:rPr>
          <w:rFonts w:ascii="宋体" w:hAnsi="宋体" w:cs="宋体" w:eastAsia="宋体" w:hint="default"/>
          <w:sz w:val="18"/>
          <w:szCs w:val="18"/>
        </w:rPr>
        <w:t>元。</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467,425,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237.25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40,591,3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39.09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426,833,8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98.16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401,078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,585.52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29,697,79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371,380,79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3.14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2,393,25</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2,393,25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469,818,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487.96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42,984,5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89.80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9.15%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426,833,8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98.16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401,078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,585.52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29,697,79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2.38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371,380,79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3.14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7"/>
        <w:gridCol w:w="2393"/>
        <w:gridCol w:w="2393"/>
      </w:tblGrid>
      <w:tr>
        <w:trPr>
          <w:trHeight w:val="207"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7"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362,410,243.41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18,120,512.17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65,224,370.09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6,522,437.01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28,912,532.18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8,673,759.65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4,814,142.95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2,407,071.48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5,981,949.22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4,785,559.38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81,999.40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81,999.40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467,425,237.25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40,591,339.09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r>
    </w:tbl>
    <w:p>
      <w:pPr>
        <w:spacing w:line="357"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以应收账款的账龄为信用风险特征划分组合。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line="338" w:lineRule="auto" w:before="0"/>
        <w:ind w:left="153"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期末账龄超过三年的单项金额重大应收账款系应收客户尚未到期的项目质保金</w:t>
      </w:r>
      <w:r>
        <w:rPr>
          <w:rFonts w:ascii="Times New Roman" w:hAnsi="Times New Roman" w:cs="Times New Roman" w:eastAsia="Times New Roman" w:hint="default"/>
          <w:sz w:val="18"/>
          <w:szCs w:val="18"/>
        </w:rPr>
        <w:t>557.81</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22"/>
        <w:ind w:left="153" w:right="445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9,348,791.05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48" w:lineRule="auto" w:before="50"/>
        <w:ind w:left="153" w:right="6823"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60" w:lineRule="auto" w:before="34"/>
        <w:ind w:left="153" w:right="8953"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spacing w:line="240" w:lineRule="auto" w:before="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581"/>
        <w:gridCol w:w="2127"/>
        <w:gridCol w:w="2837"/>
        <w:gridCol w:w="2151"/>
      </w:tblGrid>
      <w:tr>
        <w:trPr>
          <w:trHeight w:val="653"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34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8"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33,478,043.62</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7.13</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1,673,902.18</w:t>
            </w:r>
          </w:p>
        </w:tc>
      </w:tr>
      <w:tr>
        <w:trPr>
          <w:trHeight w:val="346"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16,344,583.13</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3.48</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817,229.16</w:t>
            </w:r>
          </w:p>
        </w:tc>
      </w:tr>
      <w:tr>
        <w:trPr>
          <w:trHeight w:val="348"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15,128,640.00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3.22</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756,432.00</w:t>
            </w:r>
          </w:p>
        </w:tc>
      </w:tr>
      <w:tr>
        <w:trPr>
          <w:trHeight w:val="348"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13,650,884.80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682,544.24</w:t>
            </w:r>
          </w:p>
        </w:tc>
      </w:tr>
      <w:tr>
        <w:trPr>
          <w:trHeight w:val="346"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12,781,998.22</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2.72</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639,099.91</w:t>
            </w:r>
          </w:p>
        </w:tc>
      </w:tr>
      <w:tr>
        <w:trPr>
          <w:trHeight w:val="427" w:hRule="exact"/>
        </w:trPr>
        <w:tc>
          <w:tcPr>
            <w:tcW w:w="2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91,384,149.77</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19.45</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4,569,207.49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4"/>
        <w:ind w:left="15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18,208,641.36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11,102,387.01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794,015.23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293,791.69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130,238.00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18,770,894.22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12,115,996.24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17"/>
        <w:gridCol w:w="2734"/>
        <w:gridCol w:w="3644"/>
      </w:tblGrid>
      <w:tr>
        <w:trPr>
          <w:trHeight w:val="342"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211" w:right="0"/>
              <w:jc w:val="left"/>
              <w:rPr>
                <w:rFonts w:ascii="宋体" w:hAnsi="宋体" w:cs="宋体" w:eastAsia="宋体" w:hint="default"/>
                <w:sz w:val="18"/>
                <w:szCs w:val="18"/>
              </w:rPr>
            </w:pPr>
            <w:r>
              <w:rPr>
                <w:rFonts w:ascii="宋体" w:hAnsi="宋体" w:cs="宋体" w:eastAsia="宋体" w:hint="default"/>
                <w:sz w:val="18"/>
                <w:szCs w:val="18"/>
              </w:rPr>
              <w:t>占预付账款期末余额合计数的比例（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3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8,637,612.99</w:t>
            </w:r>
          </w:p>
        </w:tc>
        <w:tc>
          <w:tcPr>
            <w:tcW w:w="364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46.02</w:t>
            </w:r>
          </w:p>
        </w:tc>
      </w:tr>
      <w:tr>
        <w:trPr>
          <w:trHeight w:val="348"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737,800.00</w:t>
            </w:r>
          </w:p>
        </w:tc>
        <w:tc>
          <w:tcPr>
            <w:tcW w:w="3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3.93</w:t>
            </w:r>
          </w:p>
        </w:tc>
      </w:tr>
      <w:tr>
        <w:trPr>
          <w:trHeight w:val="346"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3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3.20</w:t>
            </w:r>
          </w:p>
        </w:tc>
      </w:tr>
      <w:tr>
        <w:trPr>
          <w:trHeight w:val="348"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597,775.50</w:t>
            </w:r>
          </w:p>
        </w:tc>
        <w:tc>
          <w:tcPr>
            <w:tcW w:w="3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3.18</w:t>
            </w:r>
          </w:p>
        </w:tc>
      </w:tr>
      <w:tr>
        <w:trPr>
          <w:trHeight w:val="346"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542,791.67</w:t>
            </w:r>
          </w:p>
        </w:tc>
        <w:tc>
          <w:tcPr>
            <w:tcW w:w="3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2.89</w:t>
            </w:r>
          </w:p>
        </w:tc>
      </w:tr>
      <w:tr>
        <w:trPr>
          <w:trHeight w:val="430" w:hRule="exact"/>
        </w:trPr>
        <w:tc>
          <w:tcPr>
            <w:tcW w:w="33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11,115,980.16</w:t>
            </w:r>
          </w:p>
        </w:tc>
        <w:tc>
          <w:tcPr>
            <w:tcW w:w="3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59.22</w:t>
            </w:r>
          </w:p>
        </w:tc>
      </w:tr>
    </w:tbl>
    <w:p>
      <w:pPr>
        <w:spacing w:line="240" w:lineRule="auto" w:before="2"/>
        <w:rPr>
          <w:rFonts w:ascii="宋体" w:hAnsi="宋体" w:cs="宋体" w:eastAsia="宋体" w:hint="default"/>
          <w:b/>
          <w:bCs/>
          <w:sz w:val="24"/>
          <w:szCs w:val="24"/>
        </w:rPr>
      </w:pPr>
    </w:p>
    <w:p>
      <w:pPr>
        <w:spacing w:line="357" w:lineRule="auto" w:before="44"/>
        <w:ind w:left="153" w:right="4618" w:firstLine="0"/>
        <w:jc w:val="left"/>
        <w:rPr>
          <w:rFonts w:ascii="宋体" w:hAnsi="宋体" w:cs="宋体" w:eastAsia="宋体" w:hint="default"/>
          <w:sz w:val="18"/>
          <w:szCs w:val="18"/>
        </w:rPr>
      </w:pPr>
      <w:r>
        <w:rPr>
          <w:rFonts w:ascii="宋体" w:hAnsi="宋体" w:cs="宋体" w:eastAsia="宋体" w:hint="default"/>
          <w:sz w:val="18"/>
          <w:szCs w:val="18"/>
        </w:rPr>
        <w:t>其他说明： 预付款项期末余额较期初余额增长</w:t>
      </w:r>
      <w:r>
        <w:rPr>
          <w:rFonts w:ascii="Times New Roman" w:hAnsi="Times New Roman" w:cs="Times New Roman" w:eastAsia="Times New Roman" w:hint="default"/>
          <w:sz w:val="18"/>
          <w:szCs w:val="18"/>
        </w:rPr>
        <w:t>54.93%</w:t>
      </w:r>
      <w:r>
        <w:rPr>
          <w:rFonts w:ascii="宋体" w:hAnsi="宋体" w:cs="宋体" w:eastAsia="宋体" w:hint="default"/>
          <w:sz w:val="18"/>
          <w:szCs w:val="18"/>
        </w:rPr>
        <w:t>，主要系预付供应商款项增加所致。</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28,794,785.48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40,866,791.36</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28,794,785.48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40,866,791.36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31,990,0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92.77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3,195,30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28,794,78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44,705,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330.49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40,866,791.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31,990,0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92.77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3,195,30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7.29</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9.99%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28,794,78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5.48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44,705,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330.49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3,838,539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40,866,791.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21,132,607.31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1,056,630.37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7,558,868.71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755,886.87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1,989,908.40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596,972.52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1,021,781.65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510,890.83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226,926.70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226,926.70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31,990,092.77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3,195,307.29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3" w:right="166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以其他应收款的账龄为信用风险特征划分组合。 组合中，采用余额百分比法计提坏账准备的其他应收款：</w:t>
      </w:r>
    </w:p>
    <w:p>
      <w:pPr>
        <w:spacing w:line="340" w:lineRule="auto" w:before="26"/>
        <w:ind w:left="153" w:right="20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16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6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53"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-764,922.68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40" w:space="249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备用金及借款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57,126.50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0"/>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24,156,070.33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33,782,054.37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7,834,022.44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10,923,276.12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31,990,092.77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44,705,330.49</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4,232,715.00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389,710.00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102,887.80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885,499.00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44,274.95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7,868,092.00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665,872.75</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1"/>
        <w:ind w:left="153" w:right="6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4,332,794.27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4,332,794.27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122,333,082.88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122,333,082.88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152,474,637.47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152,474,637.47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19,229,196.15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19,229,196.15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960,419.59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960,419.59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150,581.34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150,581.34</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146,855,492.89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146,855,492.89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152,625,218.81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152,625,218.81</w:t>
            </w:r>
          </w:p>
        </w:tc>
      </w:tr>
    </w:tbl>
    <w:p>
      <w:pPr>
        <w:spacing w:line="338" w:lineRule="auto" w:before="49"/>
        <w:ind w:left="153" w:right="24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3" w:right="15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3" w:right="17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39"/>
        <w:ind w:left="153"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6,111,515.69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11,140,958.39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15,773,004.12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9,507,517.47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3,738,276.06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956,936.44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25,865,295.87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21,605,412.30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5"/>
        <w:gridCol w:w="1198"/>
        <w:gridCol w:w="1195"/>
        <w:gridCol w:w="1249"/>
        <w:gridCol w:w="1368"/>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01"/>
        <w:gridCol w:w="1196"/>
        <w:gridCol w:w="1198"/>
        <w:gridCol w:w="1195"/>
        <w:gridCol w:w="1249"/>
        <w:gridCol w:w="1368"/>
        <w:gridCol w:w="1366"/>
      </w:tblGrid>
      <w:tr>
        <w:trPr>
          <w:trHeight w:val="40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22,500,000.00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重庆誉存 大数据科 技有限公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7.50%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8"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7"/>
        <w:gridCol w:w="1166"/>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具有融资性质的 分期收款项目款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716"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3373" w:firstLine="0"/>
        <w:jc w:val="left"/>
        <w:rPr>
          <w:rFonts w:ascii="宋体" w:hAnsi="宋体" w:cs="宋体" w:eastAsia="宋体" w:hint="default"/>
          <w:sz w:val="18"/>
          <w:szCs w:val="18"/>
        </w:rPr>
      </w:pPr>
      <w:r>
        <w:rPr>
          <w:rFonts w:ascii="宋体" w:hAnsi="宋体" w:cs="宋体" w:eastAsia="宋体" w:hint="default"/>
          <w:sz w:val="18"/>
          <w:szCs w:val="18"/>
        </w:rPr>
        <w:t>其他说明 长期应收款期末余额较期初余额增长较大，主要系本期新增分期收款结算方式的项目款所致。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中电科</w:t>
            </w:r>
          </w:p>
          <w:p>
            <w:pPr>
              <w:pStyle w:val="TableParagraph"/>
              <w:spacing w:line="319"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（上海） 公共设施 运营管理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4,372,358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1,574,023</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10,146,38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96,658.51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297" w:lineRule="auto" w:before="0"/>
        <w:ind w:left="153" w:right="1133" w:firstLine="0"/>
        <w:jc w:val="left"/>
        <w:rPr>
          <w:rFonts w:ascii="宋体" w:hAnsi="宋体" w:cs="宋体" w:eastAsia="宋体" w:hint="default"/>
          <w:sz w:val="18"/>
          <w:szCs w:val="18"/>
        </w:rPr>
      </w:pPr>
      <w:r>
        <w:rPr>
          <w:rFonts w:ascii="宋体" w:hAnsi="宋体" w:cs="宋体" w:eastAsia="宋体" w:hint="default"/>
          <w:spacing w:val="-1"/>
          <w:sz w:val="18"/>
          <w:szCs w:val="18"/>
        </w:rPr>
        <w:t>长期股权投资期末余额较期初余额增长</w:t>
      </w:r>
      <w:r>
        <w:rPr>
          <w:rFonts w:ascii="Times New Roman" w:hAnsi="Times New Roman" w:cs="Times New Roman" w:eastAsia="Times New Roman" w:hint="default"/>
          <w:spacing w:val="-1"/>
          <w:sz w:val="18"/>
          <w:szCs w:val="18"/>
        </w:rPr>
        <w:t>133.88%</w:t>
      </w:r>
      <w:r>
        <w:rPr>
          <w:rFonts w:ascii="宋体" w:hAnsi="宋体" w:cs="宋体" w:eastAsia="宋体" w:hint="default"/>
          <w:spacing w:val="-1"/>
          <w:sz w:val="18"/>
          <w:szCs w:val="18"/>
        </w:rPr>
        <w:t>，主要系本期新增对联营企业中电科（上海）公共设施运营管理有限公司的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投资所致。</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7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3"/>
        <w:gridCol w:w="3198"/>
        <w:gridCol w:w="3188"/>
      </w:tblGrid>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59,348,070.30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37,848,375.96</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59,348,070.30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37,848,375.96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29,259,409.26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649,468.51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3,648,642.14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24,753,421.05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58,310,940.96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12,267,480.46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9,295,053.64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1,633,109.68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6,116,912.32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29,312,556.10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920,779.21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609,568.96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4,187,181.56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5,717,529.73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11,346,701.25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11,346,701.25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9,295,053.64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1,023,540.72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1,929,730.76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12,248,325.12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17,683.94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17,683.94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41,526,889.72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9,944,522.15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5,281,751.82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30,852,649.43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87,605,813.12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3,596,860.49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186,223.26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2,228,198.83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14,451,282.42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20,462,565.00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1,020,226.85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1,713,819.09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603,487.89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4,471,100.29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7,808,634.12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1,020,226.85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84,980.04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328,159.08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3,463,165.52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4,896,531.49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1,628,839.05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275,328.81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1,007,934.77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2,912,102.63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13,456.30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13,456.30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4,617,087.34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1,900,042.35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2,831,686.72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18,908,926.41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28,257,742.82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36,909,802.38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8,044,479.80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2,450,065.10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11,943,723.02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59,348,070.30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25,662,548.77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1,420,443.31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10,302,138.63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37,848,375.96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3" w:right="1198" w:firstLine="0"/>
        <w:jc w:val="left"/>
        <w:rPr>
          <w:rFonts w:ascii="宋体" w:hAnsi="宋体" w:cs="宋体" w:eastAsia="宋体" w:hint="default"/>
          <w:sz w:val="18"/>
          <w:szCs w:val="18"/>
        </w:rPr>
      </w:pPr>
      <w:r>
        <w:rPr>
          <w:rFonts w:ascii="宋体" w:hAnsi="宋体" w:cs="宋体" w:eastAsia="宋体" w:hint="default"/>
          <w:sz w:val="18"/>
          <w:szCs w:val="18"/>
        </w:rPr>
        <w:t>固定资产期末余额较期初余额增长</w:t>
      </w:r>
      <w:r>
        <w:rPr>
          <w:rFonts w:ascii="Times New Roman" w:hAnsi="Times New Roman" w:cs="Times New Roman" w:eastAsia="Times New Roman" w:hint="default"/>
          <w:sz w:val="18"/>
          <w:szCs w:val="18"/>
        </w:rPr>
        <w:t>56.80%</w:t>
      </w:r>
      <w:r>
        <w:rPr>
          <w:rFonts w:ascii="宋体" w:hAnsi="宋体" w:cs="宋体" w:eastAsia="宋体" w:hint="default"/>
          <w:sz w:val="18"/>
          <w:szCs w:val="18"/>
        </w:rPr>
        <w:t>，主要系西安营销服务中心、重庆营销服务中心达到可使用状态从在建工程转入 固定资产以及本期非同一控制下企业合并贵博新能所致。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109,747,033.36</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109,747,033.36</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90,776,055.52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软件研发生产楼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109,055,044.57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109,055,044.57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79,790,335.43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79,790,335.43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贵博新能生产基 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691,988.79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691,988.79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西安营销服务中 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6,540,930.47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6,540,930.47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重庆营销服务中 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4,444,789.62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4,444,789.62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90,776,055.52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90,776,055.52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软件研 发生产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79,790,3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29,264,7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09.14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109,055,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044.57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53.72%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1,454,36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970,487.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79,790,3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29,264,7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109,055,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044.57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1,454,36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8"/>
        <w:gridCol w:w="1198"/>
        <w:gridCol w:w="1196"/>
        <w:gridCol w:w="1195"/>
        <w:gridCol w:w="1196"/>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17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3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软件及专有技术</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7,646,833.47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5,459,668.19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13,106,501.66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12,776,496.72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4,197,534.75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41,510,031.47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221,397.00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958,618.77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958,618.77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12,776,496.72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1,010,918.98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38,323,415.70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）股东增资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20,423,330.19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9,657,202.94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54,616,533.13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773,871.41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2,870,672.29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3,644,543.70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279,895.25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1,035,455.54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1,315,350.79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152,936.64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886,961.36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1,039,898.00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126,958.61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275,452.79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1,053,766.66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3,906,127.83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4,959,894.49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19,369,563.53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5,751,075.11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49,656,638.64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6,872,962.06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2,588,995.90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9,461,957.96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3.66%</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49"/>
        <w:ind w:left="153" w:right="3553" w:firstLine="0"/>
        <w:jc w:val="left"/>
        <w:rPr>
          <w:rFonts w:ascii="宋体" w:hAnsi="宋体" w:cs="宋体" w:eastAsia="宋体" w:hint="default"/>
          <w:sz w:val="18"/>
          <w:szCs w:val="18"/>
        </w:rPr>
      </w:pPr>
      <w:r>
        <w:rPr>
          <w:rFonts w:ascii="宋体" w:hAnsi="宋体" w:cs="宋体" w:eastAsia="宋体" w:hint="default"/>
          <w:sz w:val="18"/>
          <w:szCs w:val="18"/>
        </w:rPr>
        <w:t>其他说明： 无形资产期末余额较期初余额增长较大，主要系本期非同一控制下企业合并贵博新能所致。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578,814,214.02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578,814,214.02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513" w:right="1123" w:hanging="36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根据《企业会计准则第</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资产减值》的相关规定，与商誉减值测试相关的资产组或资产组组合，应当是能够从企业</w:t>
      </w:r>
    </w:p>
    <w:p>
      <w:pPr>
        <w:spacing w:line="199" w:lineRule="exact"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合并的协同效应中受益的资产组或者资产组组合。贵博新能是一家专业从事新能源汽车电池管理系统技术及相关产品的研</w:t>
      </w:r>
    </w:p>
    <w:p>
      <w:pPr>
        <w:spacing w:line="319" w:lineRule="auto" w:before="76"/>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发、生产、销售和技术服务的高新技术企业，致力于成为以新能源汽车电池管理系统为核心的新能源汽车电源系统总成提供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商。贵博新能系单个法律主体，主营业务明确，生产经营具有相对独立性，同时主营业务均直接与市场衔接，由市场定价， </w:t>
      </w:r>
      <w:r>
        <w:rPr>
          <w:rFonts w:ascii="宋体" w:hAnsi="宋体" w:cs="宋体" w:eastAsia="宋体" w:hint="default"/>
          <w:spacing w:val="-4"/>
          <w:sz w:val="18"/>
          <w:szCs w:val="18"/>
        </w:rPr>
        <w:t>符合资产组的相关要件。另一方面，贵博新能独立于公司内其他单位，独自产生现金流量，因此将贵博新能作为一个资产组。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年末商誉所在资产组与收购日形成商誉时所确定的资产组一致，其构成未发生变化。</w:t>
      </w:r>
    </w:p>
    <w:p>
      <w:pPr>
        <w:spacing w:line="314" w:lineRule="auto" w:before="58"/>
        <w:ind w:left="153" w:right="113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14" w:lineRule="auto" w:before="143"/>
        <w:ind w:left="513" w:right="0" w:hanging="360"/>
        <w:jc w:val="left"/>
        <w:rPr>
          <w:rFonts w:ascii="宋体" w:hAnsi="宋体" w:cs="宋体" w:eastAsia="宋体" w:hint="default"/>
          <w:sz w:val="18"/>
          <w:szCs w:val="18"/>
        </w:rPr>
      </w:pPr>
      <w:r>
        <w:rPr>
          <w:rFonts w:ascii="宋体" w:hAnsi="宋体" w:cs="宋体" w:eastAsia="宋体" w:hint="default"/>
          <w:sz w:val="18"/>
          <w:szCs w:val="18"/>
        </w:rPr>
        <w:t>期末对商誉进行了减值测试，具体测试过程如下： </w:t>
      </w:r>
      <w:r>
        <w:rPr>
          <w:rFonts w:ascii="宋体" w:hAnsi="宋体" w:cs="宋体" w:eastAsia="宋体" w:hint="default"/>
          <w:spacing w:val="-2"/>
          <w:sz w:val="18"/>
          <w:szCs w:val="18"/>
        </w:rPr>
        <w:t>首先对不包含商誉的资产组或者资产组组合进行减值测试，计算可收回金额，并与相关资产账面价值比较，确认相应的</w:t>
      </w:r>
    </w:p>
    <w:p>
      <w:pPr>
        <w:spacing w:line="338" w:lineRule="auto" w:before="20"/>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减值损失；然后再对包含商誉的资产组或者资产组组合进行减值测试，比较这些相关资产组或者资产组组合的账面价值（包</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括所分摊的商誉的账面价值部分）与其可收回金额，经测试，未发现商誉存在减值情形，故未计提减值准备。 商誉减值测试的影响</w:t>
      </w: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332,560.65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454,914.67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96,320.76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691,154.56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454,914.67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691,154.56</w:t>
            </w:r>
          </w:p>
        </w:tc>
      </w:tr>
    </w:tbl>
    <w:p>
      <w:pPr>
        <w:spacing w:line="439" w:lineRule="auto" w:before="49"/>
        <w:ind w:left="153" w:right="2908" w:firstLine="0"/>
        <w:jc w:val="left"/>
        <w:rPr>
          <w:rFonts w:ascii="宋体" w:hAnsi="宋体" w:cs="宋体" w:eastAsia="宋体" w:hint="default"/>
          <w:sz w:val="18"/>
          <w:szCs w:val="18"/>
        </w:rPr>
      </w:pPr>
      <w:r>
        <w:rPr>
          <w:rFonts w:ascii="宋体" w:hAnsi="宋体" w:cs="宋体" w:eastAsia="宋体" w:hint="default"/>
          <w:sz w:val="18"/>
          <w:szCs w:val="18"/>
        </w:rPr>
        <w:t>其他说明 长期待摊费用期末余额较期初余额增长</w:t>
      </w:r>
      <w:r>
        <w:rPr>
          <w:rFonts w:ascii="Times New Roman" w:hAnsi="Times New Roman" w:cs="Times New Roman" w:eastAsia="Times New Roman" w:hint="default"/>
          <w:sz w:val="18"/>
          <w:szCs w:val="18"/>
        </w:rPr>
        <w:t>107.83%</w:t>
      </w:r>
      <w:r>
        <w:rPr>
          <w:rFonts w:ascii="宋体" w:hAnsi="宋体" w:cs="宋体" w:eastAsia="宋体" w:hint="default"/>
          <w:sz w:val="18"/>
          <w:szCs w:val="18"/>
        </w:rPr>
        <w:t>，主要系本期非同一控制下企业合并贵博新能所致。</w:t>
      </w:r>
    </w:p>
    <w:p>
      <w:pPr>
        <w:spacing w:line="240" w:lineRule="auto" w:before="5"/>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46,003,519.61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6,933,171.20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33,262,515.81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5,012,340.96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23,385,034.99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3,662,782.72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23,528,705.23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3,529,305.78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39,533,390.63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5,930,008.59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8,769,150.01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1,315,372.50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4,118,431.88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617,764.78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113,040,377.11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17,143,727.29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65,560,371.05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9,857,019.24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27,612,555.17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4,141,883.28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2,110,372.34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280,216.63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1,896,843.36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261,262.90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29,722,927.51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4,422,099.91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1,896,843.36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261,262.90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17,143,727.29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9,857,019.24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4,422,099.91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261,262.90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4,725,322.22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9,724,337.73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176,377.48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273,815.70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4,901,699.70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9,998,153.43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4,089,842.77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805,750.43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386,730.17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4,818,379.23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4,338,592.05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4,725,322.22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9,724,337.73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297"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递延所得税资产期末余额较期初余额增长</w:t>
      </w:r>
      <w:r>
        <w:rPr>
          <w:rFonts w:ascii="Times New Roman" w:hAnsi="Times New Roman" w:cs="Times New Roman" w:eastAsia="Times New Roman" w:hint="default"/>
          <w:sz w:val="18"/>
          <w:szCs w:val="18"/>
        </w:rPr>
        <w:t>73.92%</w:t>
      </w:r>
      <w:r>
        <w:rPr>
          <w:rFonts w:ascii="宋体" w:hAnsi="宋体" w:cs="宋体" w:eastAsia="宋体" w:hint="default"/>
          <w:sz w:val="18"/>
          <w:szCs w:val="18"/>
        </w:rPr>
        <w:t>，主要系本期末递延收益确认的可抵扣暂时性差异增长所致；递延所得税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负债期末余额较期初余额增长较大，主要系本期非同一控制下企业合并贵博新能评估增值形成应纳税暂时性差异所致。</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预付工程款及设备款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10,497,004.46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10,497,004.46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441" w:lineRule="auto" w:before="49"/>
        <w:ind w:left="153" w:right="3733" w:firstLine="0"/>
        <w:jc w:val="left"/>
        <w:rPr>
          <w:rFonts w:ascii="宋体" w:hAnsi="宋体" w:cs="宋体" w:eastAsia="宋体" w:hint="default"/>
          <w:sz w:val="18"/>
          <w:szCs w:val="18"/>
        </w:rPr>
      </w:pPr>
      <w:r>
        <w:rPr>
          <w:rFonts w:ascii="宋体" w:hAnsi="宋体" w:cs="宋体" w:eastAsia="宋体" w:hint="default"/>
          <w:sz w:val="18"/>
          <w:szCs w:val="18"/>
        </w:rPr>
        <w:t>其他说明： 其他非流动资产期末余额较期初余额增长较大，主要系本期预付的工程款及设备款所致。</w:t>
      </w:r>
    </w:p>
    <w:p>
      <w:pPr>
        <w:spacing w:line="240" w:lineRule="auto" w:before="6"/>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169,000,000.00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18</w:t>
      </w:r>
      <w:r>
        <w:rPr/>
        <w:t>、应付票据及应付账款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77,479,122.51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48,763,642.53</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171,260,417.26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155,986,552.83</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248,739,539.77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204,750,195.36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77,479,122.51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48,763,642.53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77,479,122.51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48,763,642.53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145,381,098.18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130,861,543.78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工程设备款及其他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25,879,319.08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25,125,009.05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171,260,417.26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155,986,552.83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中煤第三建设（集团）有限责任公司软 件研发生产楼工程款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11,890,879.09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安徽新华教育图书发行有限公司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解决 方案采购款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3,834,696.75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15,725,575.84</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441" w:lineRule="auto" w:before="49"/>
        <w:ind w:left="153" w:right="1258" w:firstLine="0"/>
        <w:jc w:val="left"/>
        <w:rPr>
          <w:rFonts w:ascii="宋体" w:hAnsi="宋体" w:cs="宋体" w:eastAsia="宋体" w:hint="default"/>
          <w:sz w:val="18"/>
          <w:szCs w:val="18"/>
        </w:rPr>
      </w:pPr>
      <w:r>
        <w:rPr>
          <w:rFonts w:ascii="宋体" w:hAnsi="宋体" w:cs="宋体" w:eastAsia="宋体" w:hint="default"/>
          <w:sz w:val="18"/>
          <w:szCs w:val="18"/>
        </w:rPr>
        <w:t>其他说明： 应付账款期末余额中账龄超过一年的应付账款金额为</w:t>
      </w:r>
      <w:r>
        <w:rPr>
          <w:rFonts w:ascii="Times New Roman" w:hAnsi="Times New Roman" w:cs="Times New Roman" w:eastAsia="Times New Roman" w:hint="default"/>
          <w:sz w:val="18"/>
          <w:szCs w:val="18"/>
        </w:rPr>
        <w:t>34,840,193.07</w:t>
      </w:r>
      <w:r>
        <w:rPr>
          <w:rFonts w:ascii="宋体" w:hAnsi="宋体" w:cs="宋体" w:eastAsia="宋体" w:hint="default"/>
          <w:sz w:val="18"/>
          <w:szCs w:val="18"/>
        </w:rPr>
        <w:t>元，主要系部分供应商的货款尚未达到结算条件所致。</w:t>
      </w:r>
    </w:p>
    <w:p>
      <w:pPr>
        <w:spacing w:line="240" w:lineRule="auto" w:before="5"/>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49,954,982.22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50,540,224.73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49,954,982.22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50,540,224.73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临泉县数字化城市管理信息系统项目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项目尚未达到收入确认条件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陕西神华富平热电新建工程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基础设施 相关硬件集成项目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5,719,210.00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项目尚未达到收入确认条件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10,789,210.00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49"/>
        <w:ind w:left="153" w:right="1618" w:firstLine="0"/>
        <w:jc w:val="left"/>
        <w:rPr>
          <w:rFonts w:ascii="宋体" w:hAnsi="宋体" w:cs="宋体" w:eastAsia="宋体" w:hint="default"/>
          <w:sz w:val="18"/>
          <w:szCs w:val="18"/>
        </w:rPr>
      </w:pPr>
      <w:r>
        <w:rPr>
          <w:rFonts w:ascii="宋体" w:hAnsi="宋体" w:cs="宋体" w:eastAsia="宋体" w:hint="default"/>
          <w:sz w:val="18"/>
          <w:szCs w:val="18"/>
        </w:rPr>
        <w:t>其他说明： 预收账款期末余额中账龄超过一年的预收账款金额为</w:t>
      </w:r>
      <w:r>
        <w:rPr>
          <w:rFonts w:ascii="Times New Roman" w:hAnsi="Times New Roman" w:cs="Times New Roman" w:eastAsia="Times New Roman" w:hint="default"/>
          <w:sz w:val="18"/>
          <w:szCs w:val="18"/>
        </w:rPr>
        <w:t>11,664,180.00</w:t>
      </w:r>
      <w:r>
        <w:rPr>
          <w:rFonts w:ascii="宋体" w:hAnsi="宋体" w:cs="宋体" w:eastAsia="宋体" w:hint="default"/>
          <w:sz w:val="18"/>
          <w:szCs w:val="18"/>
        </w:rPr>
        <w:t>元，主要系部分项目尚未达到收入确认条件所致。</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21,473,338.18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325,339,805.52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313,413,436.81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33,399,706.89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21,688,012.49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21,687,846.63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21,473,338.18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347,027,818.01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335,101,283.44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33,399,872.75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21,473,338.18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295,736,409.53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284,000,324.06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33,209,423.65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8,139,826.16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8,139,826.16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12,181,065.61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12,177,798.37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3,267.24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11,585,235.80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11,582,235.20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3,000.60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362,226.49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362,226.49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233,603.32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233,336.68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266.64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8,337,521.67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8,150,505.67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187,016.00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944,982.55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944,982.55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21,473,338.18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325,339,805.52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313,413,436.81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33,399,706.89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21,092,687.51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21,092,687.51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595,324.98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595,159.12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21,688,012.49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21,687,846.63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165.86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3" w:right="1198" w:firstLine="0"/>
        <w:jc w:val="left"/>
        <w:rPr>
          <w:rFonts w:ascii="宋体" w:hAnsi="宋体" w:cs="宋体" w:eastAsia="宋体" w:hint="default"/>
          <w:sz w:val="18"/>
          <w:szCs w:val="18"/>
        </w:rPr>
      </w:pPr>
      <w:r>
        <w:rPr>
          <w:rFonts w:ascii="宋体" w:hAnsi="宋体" w:cs="宋体" w:eastAsia="宋体" w:hint="default"/>
          <w:sz w:val="18"/>
          <w:szCs w:val="18"/>
        </w:rPr>
        <w:t>应付职工薪酬期末余额较期初余额增长</w:t>
      </w:r>
      <w:r>
        <w:rPr>
          <w:rFonts w:ascii="Times New Roman" w:hAnsi="Times New Roman" w:cs="Times New Roman" w:eastAsia="Times New Roman" w:hint="default"/>
          <w:sz w:val="18"/>
          <w:szCs w:val="18"/>
        </w:rPr>
        <w:t>55.54%</w:t>
      </w:r>
      <w:r>
        <w:rPr>
          <w:rFonts w:ascii="宋体" w:hAnsi="宋体" w:cs="宋体" w:eastAsia="宋体" w:hint="default"/>
          <w:sz w:val="18"/>
          <w:szCs w:val="18"/>
        </w:rPr>
        <w:t>，主要系公司人员和单位人力成本增长以及本期非同一控制下企业合并贵博 新能所致。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10,832,462.29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3,643,792.63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5,552,772.31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978,994.46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353,933.13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1,372,158.66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374,144.75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167,292.50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1,320,696.80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627,858.87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18,434,009.28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6,790,097.12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spacing w:line="297" w:lineRule="auto" w:before="0"/>
        <w:ind w:left="153" w:right="1133" w:firstLine="0"/>
        <w:jc w:val="left"/>
        <w:rPr>
          <w:rFonts w:ascii="宋体" w:hAnsi="宋体" w:cs="宋体" w:eastAsia="宋体" w:hint="default"/>
          <w:sz w:val="18"/>
          <w:szCs w:val="18"/>
        </w:rPr>
      </w:pPr>
      <w:r>
        <w:rPr>
          <w:rFonts w:ascii="宋体" w:hAnsi="宋体" w:cs="宋体" w:eastAsia="宋体" w:hint="default"/>
          <w:spacing w:val="-1"/>
          <w:sz w:val="18"/>
          <w:szCs w:val="18"/>
        </w:rPr>
        <w:t>应交税费期末余额较期初余额增长</w:t>
      </w:r>
      <w:r>
        <w:rPr>
          <w:rFonts w:ascii="Times New Roman" w:hAnsi="Times New Roman" w:cs="Times New Roman" w:eastAsia="Times New Roman" w:hint="default"/>
          <w:spacing w:val="-1"/>
          <w:sz w:val="18"/>
          <w:szCs w:val="18"/>
        </w:rPr>
        <w:t>171.48%</w:t>
      </w:r>
      <w:r>
        <w:rPr>
          <w:rFonts w:ascii="宋体" w:hAnsi="宋体" w:cs="宋体" w:eastAsia="宋体" w:hint="default"/>
          <w:spacing w:val="-1"/>
          <w:sz w:val="18"/>
          <w:szCs w:val="18"/>
        </w:rPr>
        <w:t>，主要系本期应交的增值税增长较大以及非同一控制下企业合并贵博新能的应交</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企业所得税增长所致。</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204,208.34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216,068,638.20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230,458,019.38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216,260,538.20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230,662,227.72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204,208.34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204,208.34</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208,704,522.82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227,761,224.24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4,808,830.68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416,959.44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1,035,284.70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559,835.70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216,068,638.20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230,458,019.38</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尚未达到政府补助确认条件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1,520,000.00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line="360" w:lineRule="auto" w:before="49"/>
        <w:ind w:left="153" w:right="8593"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分期支付货款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33"/>
        <w:jc w:val="left"/>
      </w:pPr>
      <w:r>
        <w:rPr/>
        <w:t>长期应付款期末余额较期初余额增长较大，主要系本期新增的分期支付的采购货款所致。</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76"/>
        <w:gridCol w:w="2406"/>
        <w:gridCol w:w="2393"/>
        <w:gridCol w:w="2393"/>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4,118,431.88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4,118,431.88</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35" w:firstLine="0"/>
        <w:jc w:val="both"/>
        <w:rPr>
          <w:rFonts w:ascii="宋体" w:hAnsi="宋体" w:cs="宋体" w:eastAsia="宋体" w:hint="default"/>
          <w:sz w:val="18"/>
          <w:szCs w:val="18"/>
        </w:rPr>
      </w:pPr>
      <w:r>
        <w:rPr>
          <w:rFonts w:ascii="宋体" w:hAnsi="宋体" w:cs="宋体" w:eastAsia="宋体" w:hint="default"/>
          <w:sz w:val="18"/>
          <w:szCs w:val="18"/>
        </w:rPr>
        <w:t>贵博新能销售给客户的</w:t>
      </w:r>
      <w:r>
        <w:rPr>
          <w:rFonts w:ascii="Times New Roman" w:hAnsi="Times New Roman" w:cs="Times New Roman" w:eastAsia="Times New Roman" w:hint="default"/>
          <w:sz w:val="18"/>
          <w:szCs w:val="18"/>
        </w:rPr>
        <w:t>BMS</w:t>
      </w:r>
      <w:r>
        <w:rPr>
          <w:rFonts w:ascii="宋体" w:hAnsi="宋体" w:cs="宋体" w:eastAsia="宋体" w:hint="default"/>
          <w:sz w:val="18"/>
          <w:szCs w:val="18"/>
        </w:rPr>
        <w:t>产品，质量保证期内，产品在最终使用过程中因质量问题造成损失的，公司需要承担相应的维</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修和更换的责任，公司按照当年</w:t>
      </w:r>
      <w:r>
        <w:rPr>
          <w:rFonts w:ascii="Times New Roman" w:hAnsi="Times New Roman" w:cs="Times New Roman" w:eastAsia="Times New Roman" w:hint="default"/>
          <w:sz w:val="18"/>
          <w:szCs w:val="18"/>
        </w:rPr>
        <w:t>BMS</w:t>
      </w:r>
      <w:r>
        <w:rPr>
          <w:rFonts w:ascii="宋体" w:hAnsi="宋体" w:cs="宋体" w:eastAsia="宋体" w:hint="default"/>
          <w:sz w:val="18"/>
          <w:szCs w:val="18"/>
        </w:rPr>
        <w:t>产品销售收入的</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计提产品质量保证金。预计负债期末余额较期初余额增长较大，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主要系本期非同一控制下企业合并贵博新能所致。</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8,769,150.01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38,020,000.00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7,255,759.38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39,533,390.63</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8,769,150.01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38,020,000.00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7,255,759.38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39,533,390.63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省战略性新 兴产业发展 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133,333.32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3,366,666.69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国家服务业 发展资金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安徽省创新 型省份建设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558,775.00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191,580.00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367,195.00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自主创新专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550,625.00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191,580.00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359,045.00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促进服务业 发展政策资 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省企业发展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7"/>
              <w:jc w:val="both"/>
              <w:rPr>
                <w:rFonts w:ascii="宋体" w:hAnsi="宋体" w:cs="宋体" w:eastAsia="宋体" w:hint="default"/>
                <w:sz w:val="18"/>
                <w:szCs w:val="18"/>
              </w:rPr>
            </w:pPr>
            <w:r>
              <w:rPr>
                <w:rFonts w:ascii="宋体" w:hAnsi="宋体" w:cs="宋体" w:eastAsia="宋体" w:hint="default"/>
                <w:sz w:val="18"/>
                <w:szCs w:val="18"/>
              </w:rPr>
              <w:t>安徽省支持 自主创新能 力建设资金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459,750.00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337,150.00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国家数字经 济试点重大 工程专项资 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6,116,666.06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23,883,333.9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省重点专项 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高新区科技 局关键技术 重大研发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汽车基地支 持项目资金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省级汽车基 地资金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357" w:lineRule="auto" w:before="49"/>
        <w:ind w:left="153" w:right="3013" w:firstLine="0"/>
        <w:jc w:val="left"/>
        <w:rPr>
          <w:rFonts w:ascii="宋体" w:hAnsi="宋体" w:cs="宋体" w:eastAsia="宋体" w:hint="default"/>
          <w:sz w:val="18"/>
          <w:szCs w:val="18"/>
        </w:rPr>
      </w:pPr>
      <w:r>
        <w:rPr>
          <w:rFonts w:ascii="宋体" w:hAnsi="宋体" w:cs="宋体" w:eastAsia="宋体" w:hint="default"/>
          <w:sz w:val="18"/>
          <w:szCs w:val="18"/>
        </w:rPr>
        <w:t>其他说明： 递延收益期末余额较期初余额增长较大，主要系本期收到的与资产相关的政府补助金额较大所致。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210"/>
        <w:gridCol w:w="1183"/>
        <w:gridCol w:w="1196"/>
        <w:gridCol w:w="1198"/>
        <w:gridCol w:w="1196"/>
        <w:gridCol w:w="1184"/>
        <w:gridCol w:w="1209"/>
      </w:tblGrid>
      <w:tr>
        <w:trPr>
          <w:trHeight w:val="206" w:hRule="exact"/>
        </w:trPr>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5"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202,400,000.00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36,833,684.00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36,833,684.00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239,233,684.00</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本期股本增减变动情况详见本报告三</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公司的基本情况</w:t>
      </w:r>
      <w:r>
        <w:rPr>
          <w:rFonts w:ascii="Times New Roman" w:hAnsi="Times New Roman" w:cs="Times New Roman" w:eastAsia="Times New Roman" w:hint="default"/>
          <w:sz w:val="18"/>
          <w:szCs w:val="18"/>
        </w:rPr>
        <w:t>”</w:t>
      </w:r>
      <w:r>
        <w:rPr>
          <w:rFonts w:ascii="宋体" w:hAnsi="宋体" w:cs="宋体" w:eastAsia="宋体" w:hint="default"/>
          <w:sz w:val="18"/>
          <w:szCs w:val="18"/>
        </w:rPr>
        <w:t>和五、</w:t>
      </w:r>
      <w:r>
        <w:rPr>
          <w:rFonts w:ascii="Times New Roman" w:hAnsi="Times New Roman" w:cs="Times New Roman" w:eastAsia="Times New Roman" w:hint="default"/>
          <w:sz w:val="18"/>
          <w:szCs w:val="18"/>
        </w:rPr>
        <w:t>28“</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3"/>
        <w:rPr>
          <w:rFonts w:ascii="宋体" w:hAnsi="宋体" w:cs="宋体" w:eastAsia="宋体" w:hint="default"/>
          <w:sz w:val="13"/>
          <w:szCs w:val="13"/>
        </w:rPr>
      </w:pPr>
    </w:p>
    <w:p>
      <w:pPr>
        <w:spacing w:line="304" w:lineRule="auto" w:before="0"/>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经公司董事会、股东大会审议通过，并经中国证券监督管理委员会《关于核准科大国创软件股份有限公司向孙路等发行股份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购买资产并募集配套资金的批复》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[2018]2063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核准，公司获准向孙路等</w:t>
      </w:r>
      <w:r>
        <w:rPr>
          <w:rFonts w:ascii="Times New Roman" w:hAnsi="Times New Roman" w:cs="Times New Roman" w:eastAsia="Times New Roman" w:hint="default"/>
          <w:sz w:val="18"/>
          <w:szCs w:val="18"/>
        </w:rPr>
        <w:t>8</w:t>
      </w:r>
      <w:r>
        <w:rPr>
          <w:rFonts w:ascii="宋体" w:hAnsi="宋体" w:cs="宋体" w:eastAsia="宋体" w:hint="default"/>
          <w:sz w:val="18"/>
          <w:szCs w:val="18"/>
        </w:rPr>
        <w:t>名交易对方发行</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股人民币</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股普通股股票购买相关资产，每股面值</w:t>
      </w:r>
      <w:r>
        <w:rPr>
          <w:rFonts w:ascii="Times New Roman" w:hAnsi="Times New Roman" w:cs="Times New Roman" w:eastAsia="Times New Roman" w:hint="default"/>
          <w:sz w:val="18"/>
          <w:szCs w:val="18"/>
        </w:rPr>
        <w:t>1</w:t>
      </w:r>
      <w:r>
        <w:rPr>
          <w:rFonts w:ascii="宋体" w:hAnsi="宋体" w:cs="宋体" w:eastAsia="宋体" w:hint="default"/>
          <w:sz w:val="18"/>
          <w:szCs w:val="18"/>
        </w:rPr>
        <w:t>元，每股发行价格为人民币</w:t>
      </w:r>
      <w:r>
        <w:rPr>
          <w:rFonts w:ascii="Times New Roman" w:hAnsi="Times New Roman" w:cs="Times New Roman" w:eastAsia="Times New Roman" w:hint="default"/>
          <w:sz w:val="18"/>
          <w:szCs w:val="18"/>
        </w:rPr>
        <w:t>18.76</w:t>
      </w:r>
      <w:r>
        <w:rPr>
          <w:rFonts w:ascii="宋体" w:hAnsi="宋体" w:cs="宋体" w:eastAsia="宋体" w:hint="default"/>
          <w:sz w:val="18"/>
          <w:szCs w:val="18"/>
        </w:rPr>
        <w:t>元。孙路等</w:t>
      </w:r>
      <w:r>
        <w:rPr>
          <w:rFonts w:ascii="Times New Roman" w:hAnsi="Times New Roman" w:cs="Times New Roman" w:eastAsia="Times New Roman" w:hint="default"/>
          <w:sz w:val="18"/>
          <w:szCs w:val="18"/>
        </w:rPr>
        <w:t>8</w:t>
      </w:r>
      <w:r>
        <w:rPr>
          <w:rFonts w:ascii="宋体" w:hAnsi="宋体" w:cs="宋体" w:eastAsia="宋体" w:hint="default"/>
          <w:sz w:val="18"/>
          <w:szCs w:val="18"/>
        </w:rPr>
        <w:t>名交易对方以其所持有的贵博新能全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部股权为对价认购新增股份，共计增加股本</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元。上述增加股本事项业经华普天健会计师事务所（特殊普通合伙）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审验，并由其出具《验资报告》（会验字</w:t>
      </w:r>
      <w:r>
        <w:rPr>
          <w:rFonts w:ascii="Times New Roman" w:hAnsi="Times New Roman" w:cs="Times New Roman" w:eastAsia="Times New Roman" w:hint="default"/>
          <w:sz w:val="18"/>
          <w:szCs w:val="18"/>
        </w:rPr>
        <w:t>[2018]6308</w:t>
      </w:r>
      <w:r>
        <w:rPr>
          <w:rFonts w:ascii="宋体" w:hAnsi="宋体" w:cs="宋体" w:eastAsia="宋体" w:hint="default"/>
          <w:sz w:val="18"/>
          <w:szCs w:val="18"/>
        </w:rPr>
        <w:t>号）。贵博新能已于</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日完成资产过户并办理完毕工商变 更手续。</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125,768,224.87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654,166,316.00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779,934,540.87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38,762,982.49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4,141,883.28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34,621,099.21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164,531,207.36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654,166,316.00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4,141,883.28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814,555,640.08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5"/>
          <w:szCs w:val="15"/>
        </w:rPr>
      </w:pPr>
    </w:p>
    <w:p>
      <w:pPr>
        <w:spacing w:line="300" w:lineRule="auto" w:before="0"/>
        <w:ind w:left="153" w:right="1118" w:firstLine="0"/>
        <w:jc w:val="left"/>
        <w:rPr>
          <w:rFonts w:ascii="宋体" w:hAnsi="宋体" w:cs="宋体" w:eastAsia="宋体" w:hint="default"/>
          <w:sz w:val="18"/>
          <w:szCs w:val="18"/>
        </w:rPr>
      </w:pPr>
      <w:r>
        <w:rPr>
          <w:rFonts w:ascii="宋体" w:hAnsi="宋体" w:cs="宋体" w:eastAsia="宋体" w:hint="default"/>
          <w:spacing w:val="-3"/>
          <w:sz w:val="18"/>
          <w:szCs w:val="18"/>
        </w:rPr>
        <w:t>资本溢价（股本溢价）：公司</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年以发行股份的方式购买贵博新能</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股权，根据中水致远资产评估有限公司出具的《资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产评估报告》（中水致远评报字</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020233</w:t>
      </w:r>
      <w:r>
        <w:rPr>
          <w:rFonts w:ascii="宋体" w:hAnsi="宋体" w:cs="宋体" w:eastAsia="宋体" w:hint="default"/>
          <w:spacing w:val="-6"/>
          <w:sz w:val="18"/>
          <w:szCs w:val="18"/>
        </w:rPr>
        <w:t>号），截至评估基准日</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日，贵博新能</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股权的评估值为</w:t>
      </w:r>
      <w:r>
        <w:rPr>
          <w:rFonts w:ascii="Times New Roman" w:hAnsi="Times New Roman" w:cs="Times New Roman" w:eastAsia="Times New Roman" w:hint="default"/>
          <w:spacing w:val="-6"/>
          <w:sz w:val="18"/>
          <w:szCs w:val="18"/>
        </w:rPr>
        <w:t>69,160.00</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z w:val="18"/>
          <w:szCs w:val="18"/>
        </w:rPr>
        <w:t>万元，基于上述评估结果，经公司与交易对方协商，贵博新能</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股权的最终交易价格确定为</w:t>
      </w:r>
      <w:r>
        <w:rPr>
          <w:rFonts w:ascii="Times New Roman" w:hAnsi="Times New Roman" w:cs="Times New Roman" w:eastAsia="Times New Roman" w:hint="default"/>
          <w:sz w:val="18"/>
          <w:szCs w:val="18"/>
        </w:rPr>
        <w:t>69,100.00</w:t>
      </w:r>
      <w:r>
        <w:rPr>
          <w:rFonts w:ascii="宋体" w:hAnsi="宋体" w:cs="宋体" w:eastAsia="宋体" w:hint="default"/>
          <w:sz w:val="18"/>
          <w:szCs w:val="18"/>
        </w:rPr>
        <w:t>万元。同时，公司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与交易对方协商确定本次发行股份购买资产的发行股份价格为</w:t>
      </w:r>
      <w:r>
        <w:rPr>
          <w:rFonts w:ascii="Times New Roman" w:hAnsi="Times New Roman" w:cs="Times New Roman" w:eastAsia="Times New Roman" w:hint="default"/>
          <w:sz w:val="18"/>
          <w:szCs w:val="18"/>
        </w:rPr>
        <w:t>18.76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股。按照上述发行价格计算，公司向交易对方发行股 份</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股。该事项增加资本溢价（股本溢价）为</w:t>
      </w:r>
      <w:r>
        <w:rPr>
          <w:rFonts w:ascii="Times New Roman" w:hAnsi="Times New Roman" w:cs="Times New Roman" w:eastAsia="Times New Roman" w:hint="default"/>
          <w:sz w:val="18"/>
          <w:szCs w:val="18"/>
        </w:rPr>
        <w:t>654,166,316.00</w:t>
      </w:r>
      <w:r>
        <w:rPr>
          <w:rFonts w:ascii="宋体" w:hAnsi="宋体" w:cs="宋体" w:eastAsia="宋体" w:hint="default"/>
          <w:sz w:val="18"/>
          <w:szCs w:val="18"/>
        </w:rPr>
        <w:t>元。 其他资本公积：公司以发行股份的方式购买贵博新能</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股权，在对非同一控制下取得子公司编制合并财务报表时，应当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以购买日确定的各项可辨认资产、负债及或有负债的公允价值为基础对子公司的财务报表进行调整。该事项减少其他资本公</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积</w:t>
      </w:r>
      <w:r>
        <w:rPr>
          <w:rFonts w:ascii="Times New Roman" w:hAnsi="Times New Roman" w:cs="Times New Roman" w:eastAsia="Times New Roman" w:hint="default"/>
          <w:sz w:val="18"/>
          <w:szCs w:val="18"/>
        </w:rPr>
        <w:t>4,141,883.28</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6"/>
        <w:gridCol w:w="936"/>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148,748.58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243,103.03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243,103.03</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391,851.6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148,748.58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243,103.03</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243,103.03</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391,851.6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148,748.58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243,103.03</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243,103.03</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391,851.6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439" w:lineRule="auto" w:before="49"/>
        <w:ind w:left="153" w:right="2548"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其他综合收益期末余额较期初余额增长</w:t>
      </w:r>
      <w:r>
        <w:rPr>
          <w:rFonts w:ascii="Times New Roman" w:hAnsi="Times New Roman" w:cs="Times New Roman" w:eastAsia="Times New Roman" w:hint="default"/>
          <w:sz w:val="18"/>
          <w:szCs w:val="18"/>
        </w:rPr>
        <w:t>163.43%</w:t>
      </w:r>
      <w:r>
        <w:rPr>
          <w:rFonts w:ascii="宋体" w:hAnsi="宋体" w:cs="宋体" w:eastAsia="宋体" w:hint="default"/>
          <w:sz w:val="18"/>
          <w:szCs w:val="18"/>
        </w:rPr>
        <w:t>，主要系日元汇率变化导致公司其他综合收益增加所致。</w:t>
      </w:r>
    </w:p>
    <w:p>
      <w:pPr>
        <w:spacing w:line="240" w:lineRule="auto" w:before="7"/>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15,599,110.38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2,898,484.84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18,497,595.22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15,599,110.38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2,898,484.84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18,497,595.22</w:t>
            </w:r>
          </w:p>
        </w:tc>
      </w:tr>
    </w:tbl>
    <w:p>
      <w:pPr>
        <w:spacing w:line="441" w:lineRule="auto" w:before="49"/>
        <w:ind w:left="153" w:right="178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本期盈余公积增加系本公司按《公司法》及本公司章程有关规定，按本期母公司净利润</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p>
    <w:p>
      <w:pPr>
        <w:spacing w:line="240" w:lineRule="auto" w:before="2"/>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180,564,989.45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175,977,127.17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180,564,989.45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175,977,127.17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48,860,741.98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18,374,393.31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2,898,484.84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2,257,531.03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11,529,000.00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221,467,246.59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180,564,989.45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after="0"/>
        <w:jc w:val="left"/>
        <w:rPr>
          <w:rFonts w:ascii="宋体" w:hAnsi="宋体" w:cs="宋体" w:eastAsia="宋体" w:hint="default"/>
          <w:sz w:val="18"/>
          <w:szCs w:val="18"/>
        </w:rPr>
        <w:sectPr>
          <w:footerReference w:type="default" r:id="rId18"/>
          <w:pgSz w:w="11910" w:h="16840"/>
          <w:pgMar w:footer="979" w:header="745" w:top="1060" w:bottom="1160" w:left="980" w:right="0"/>
          <w:pgNumType w:start="152"/>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982,146,999.04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664,164,392.08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357,933,725.48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982,146,999.04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664,164,392.08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607,857,521.79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357,933,725.48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1,587,083.52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1,386,771.60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1,138,708.64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990,422.54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593,036.47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441,570.14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水利基金等</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832,053.51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720,789.60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4,150,882.14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3,539,553.88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31,996,113.19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23,560,293.26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10,499,802.50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8,917,266.74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12,843,714.83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9,898,452.77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13,299,417.27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8,605,729.30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5,706,750.57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5,898,700.17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74,345,798.36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56,880,442.24</w:t>
            </w:r>
          </w:p>
        </w:tc>
      </w:tr>
    </w:tbl>
    <w:p>
      <w:pPr>
        <w:spacing w:line="439" w:lineRule="auto" w:before="49"/>
        <w:ind w:left="153" w:right="4618" w:firstLine="0"/>
        <w:jc w:val="left"/>
        <w:rPr>
          <w:rFonts w:ascii="宋体" w:hAnsi="宋体" w:cs="宋体" w:eastAsia="宋体" w:hint="default"/>
          <w:sz w:val="18"/>
          <w:szCs w:val="18"/>
        </w:rPr>
      </w:pPr>
      <w:r>
        <w:rPr>
          <w:rFonts w:ascii="宋体" w:hAnsi="宋体" w:cs="宋体" w:eastAsia="宋体" w:hint="default"/>
          <w:sz w:val="18"/>
          <w:szCs w:val="18"/>
        </w:rPr>
        <w:t>其他说明： 销售费用本期发生额较上期增长</w:t>
      </w:r>
      <w:r>
        <w:rPr>
          <w:rFonts w:ascii="Times New Roman" w:hAnsi="Times New Roman" w:cs="Times New Roman" w:eastAsia="Times New Roman" w:hint="default"/>
          <w:sz w:val="18"/>
          <w:szCs w:val="18"/>
        </w:rPr>
        <w:t>30.71%</w:t>
      </w:r>
      <w:r>
        <w:rPr>
          <w:rFonts w:ascii="宋体" w:hAnsi="宋体" w:cs="宋体" w:eastAsia="宋体" w:hint="default"/>
          <w:sz w:val="18"/>
          <w:szCs w:val="18"/>
        </w:rPr>
        <w:t>，主要系公司加大市场开拓力度所致。</w:t>
      </w:r>
    </w:p>
    <w:p>
      <w:pPr>
        <w:spacing w:after="0" w:line="43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40,881,036.23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27,479,767.19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18,273,723.70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11,546,427.78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10,513,205.17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15,029,067.84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69,667,965.10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54,055,262.81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36</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125,073,125.82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105,739,457.79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9,554,850.81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24,247,157.91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134,627,976.63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129,986,615.70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6,198,001.32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2,997,150.00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3,843,106.29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5,626,547.78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-1,463,354.85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1,341,022.16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702,626.90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295,279.01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158,945.14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1,753,112.22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-993,096.61</w:t>
            </w:r>
          </w:p>
        </w:tc>
      </w:tr>
    </w:tbl>
    <w:p>
      <w:pPr>
        <w:spacing w:line="360" w:lineRule="auto" w:before="49"/>
        <w:ind w:left="153" w:right="4813" w:firstLine="0"/>
        <w:jc w:val="left"/>
        <w:rPr>
          <w:rFonts w:ascii="宋体" w:hAnsi="宋体" w:cs="宋体" w:eastAsia="宋体" w:hint="default"/>
          <w:sz w:val="18"/>
          <w:szCs w:val="18"/>
        </w:rPr>
      </w:pPr>
      <w:r>
        <w:rPr>
          <w:rFonts w:ascii="宋体" w:hAnsi="宋体" w:cs="宋体" w:eastAsia="宋体" w:hint="default"/>
          <w:sz w:val="18"/>
          <w:szCs w:val="18"/>
        </w:rPr>
        <w:t>其他说明： 财务费用本期发生额较上期增长较大，主要系本期利息支出增长较大所致。</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8,988,068.67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10,537,401.67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8,988,068.67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10,537,401.67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11,523,992.50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11,103,175.01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递延收益摊销转入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7,255,759.38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1,139,093.33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1,571,309.98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20,351,061.86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12,242,268.34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1,670,681.75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186,398.15</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2,423,958.37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2,316,129.64</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4,094,640.12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2,502,527.79</w:t>
            </w:r>
          </w:p>
        </w:tc>
      </w:tr>
    </w:tbl>
    <w:p>
      <w:pPr>
        <w:spacing w:line="441" w:lineRule="auto" w:before="49"/>
        <w:ind w:left="153" w:right="3538" w:firstLine="0"/>
        <w:jc w:val="left"/>
        <w:rPr>
          <w:rFonts w:ascii="宋体" w:hAnsi="宋体" w:cs="宋体" w:eastAsia="宋体" w:hint="default"/>
          <w:sz w:val="18"/>
          <w:szCs w:val="18"/>
        </w:rPr>
      </w:pPr>
      <w:r>
        <w:rPr>
          <w:rFonts w:ascii="宋体" w:hAnsi="宋体" w:cs="宋体" w:eastAsia="宋体" w:hint="default"/>
          <w:sz w:val="18"/>
          <w:szCs w:val="18"/>
        </w:rPr>
        <w:t>其他说明： 投资收益本期发生额较上期增长</w:t>
      </w:r>
      <w:r>
        <w:rPr>
          <w:rFonts w:ascii="Times New Roman" w:hAnsi="Times New Roman" w:cs="Times New Roman" w:eastAsia="Times New Roman" w:hint="default"/>
          <w:sz w:val="18"/>
          <w:szCs w:val="18"/>
        </w:rPr>
        <w:t>63.62%</w:t>
      </w:r>
      <w:r>
        <w:rPr>
          <w:rFonts w:ascii="宋体" w:hAnsi="宋体" w:cs="宋体" w:eastAsia="宋体" w:hint="default"/>
          <w:sz w:val="18"/>
          <w:szCs w:val="18"/>
        </w:rPr>
        <w:t>，主要系权益法核算的长期股权投资收益增长所致。</w:t>
      </w:r>
    </w:p>
    <w:p>
      <w:pPr>
        <w:spacing w:line="240" w:lineRule="auto" w:before="3"/>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2,854.36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2,854.36</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2,854.36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4"/>
        <w:gridCol w:w="1062"/>
        <w:gridCol w:w="1064"/>
        <w:gridCol w:w="1062"/>
        <w:gridCol w:w="1064"/>
      </w:tblGrid>
      <w:tr>
        <w:trPr>
          <w:trHeight w:val="38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5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3"/>
        <w:gridCol w:w="1061"/>
        <w:gridCol w:w="1063"/>
        <w:gridCol w:w="1065"/>
        <w:gridCol w:w="1062"/>
        <w:gridCol w:w="1064"/>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5,062.28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5,062.28</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1,205,062.28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22,037.62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439" w:lineRule="auto" w:before="49"/>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其他说明： 营业外支出本期发生额较上期增长较大，主要系本期捐赠支出金额较大所致。</w:t>
      </w:r>
    </w:p>
    <w:p>
      <w:pPr>
        <w:spacing w:line="240" w:lineRule="auto" w:before="1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1,291,584.25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-5,464,608.98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-4,829,465.98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-3,003,455.24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-3,537,881.73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-8,468,064.22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47,691,642.02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7,153,746.30</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-512,002.67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-32,104.01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2,702,481.57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-12,850,002.92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-3,537,881.73</w:t>
            </w:r>
          </w:p>
        </w:tc>
      </w:tr>
    </w:tbl>
    <w:p>
      <w:pPr>
        <w:spacing w:line="357" w:lineRule="auto" w:before="49"/>
        <w:ind w:left="153" w:right="3013" w:firstLine="0"/>
        <w:jc w:val="left"/>
        <w:rPr>
          <w:rFonts w:ascii="宋体" w:hAnsi="宋体" w:cs="宋体" w:eastAsia="宋体" w:hint="default"/>
          <w:sz w:val="18"/>
          <w:szCs w:val="18"/>
        </w:rPr>
      </w:pPr>
      <w:r>
        <w:rPr>
          <w:rFonts w:ascii="宋体" w:hAnsi="宋体" w:cs="宋体" w:eastAsia="宋体" w:hint="default"/>
          <w:sz w:val="18"/>
          <w:szCs w:val="18"/>
        </w:rPr>
        <w:t>其他说明 所得税费用本期发生额较上期增长较大，主要系本期利润总额增长导致当期所得税费用增长所致。</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544" w:lineRule="auto" w:before="36"/>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41,523,992.50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8,603,175.01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14,017,855.28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3,286,081.57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2,427,515.92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借转补资金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92,101,693.13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58,827,929.35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104,332,384.06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31,511,297.01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21,444,880.55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16,168,773.26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10,017,879.71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15,390,377.25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9,346,046.68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19,015,478.82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9,753,670.76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16,699,962.95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91,839,597.10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57,508,769.89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3,843,106.29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5,626,547.78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2,423,958.37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2,316,129.64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6,267,064.66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7,942,677.42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限制性股票终止退回款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资产重组中介机构发行费用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622,641.51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180,318,750.00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51,229,523.75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19,123,246.17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8,988,068.67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10,537,401.67</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4,896,531.49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5,114,528.55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1,039,898.00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859,298.43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96,320.76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90,639.93</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1,339.64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-14,806.82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3,818,249.88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-2,886,875.17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92.11998pt;width:151.25pt;height:40.7pt;mso-position-horizontal-relative:page;mso-position-vertical-relative:page;z-index:-976984" coordorigin="4467,1842" coordsize="3025,814">
            <v:group style="position:absolute;left:4478;top:1853;width:2;height:392" coordorigin="4478,1853" coordsize="2,392">
              <v:shape style="position:absolute;left:4478;top:1853;width:2;height:392" coordorigin="4478,1853" coordsize="0,392" path="m4478,1853l4478,2244e" filled="false" stroked="true" strokeweight="1.08pt" strokecolor="#ffffff">
                <v:path arrowok="t"/>
              </v:shape>
            </v:group>
            <v:group style="position:absolute;left:4489;top:1853;width:3003;height:392" coordorigin="4489,1853" coordsize="3003,392">
              <v:shape style="position:absolute;left:4489;top:1853;width:3003;height:392" coordorigin="4489,1853" coordsize="3003,392" path="m4489,2244l7492,2244,7492,1853,4489,1853,4489,2244xe" filled="true" fillcolor="#ffffff" stroked="false">
                <v:path arrowok="t"/>
                <v:fill type="solid"/>
              </v:shape>
            </v:group>
            <v:group style="position:absolute;left:4478;top:2254;width:2;height:392" coordorigin="4478,2254" coordsize="2,392">
              <v:shape style="position:absolute;left:4478;top:2254;width:2;height:392" coordorigin="4478,2254" coordsize="0,392" path="m4478,2254l4478,2645e" filled="false" stroked="true" strokeweight="1.08pt" strokecolor="#ffffff">
                <v:path arrowok="t"/>
              </v:shape>
            </v:group>
            <v:group style="position:absolute;left:4489;top:2254;width:3003;height:392" coordorigin="4489,2254" coordsize="3003,392">
              <v:shape style="position:absolute;left:4489;top:2254;width:3003;height:392" coordorigin="4489,2254" coordsize="3003,392" path="m4489,2645l7492,2645,7492,2254,4489,2254,4489,264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-4,094,640.12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-2,502,527.79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-4,848,419.71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-3,472,889.31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18,953.73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-44,085.18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31,295,564.82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-112,720,984.76</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6" w:right="0"/>
              <w:jc w:val="left"/>
              <w:rPr>
                <w:rFonts w:ascii="Times New Roman" w:hAnsi="Times New Roman" w:cs="Times New Roman" w:eastAsia="Times New Roman" w:hint="default"/>
                <w:sz w:val="18"/>
                <w:szCs w:val="18"/>
              </w:rPr>
            </w:pPr>
            <w:r>
              <w:rPr>
                <w:rFonts w:ascii="Times New Roman"/>
                <w:sz w:val="18"/>
              </w:rPr>
              <w:t>-110,972,612.11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-74,497,226.65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231,939.74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126,015,702.16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31,163,400.00</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-18,299,281.46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-3,235,178.77</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444,569,104.25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492,438,682.20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492,438,682.20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522,919,332.39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-47,869,577.95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-60,480,650.19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35,586,928.63</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-35,586,928.63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444,569,104.25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492,438,682.20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380,728.06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81,133.21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444,188,376.19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492,357,548.99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444,569,104.25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492,438,682.20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300"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期末现金及现金等价物中已扣除货币资金中质押银行的</w:t>
      </w:r>
      <w:r>
        <w:rPr>
          <w:rFonts w:ascii="Times New Roman" w:hAnsi="Times New Roman" w:cs="Times New Roman" w:eastAsia="Times New Roman" w:hint="default"/>
          <w:sz w:val="18"/>
          <w:szCs w:val="18"/>
        </w:rPr>
        <w:t>1,100,000.00</w:t>
      </w:r>
      <w:r>
        <w:rPr>
          <w:rFonts w:ascii="宋体" w:hAnsi="宋体" w:cs="宋体" w:eastAsia="宋体" w:hint="default"/>
          <w:sz w:val="18"/>
          <w:szCs w:val="18"/>
        </w:rPr>
        <w:t>元定期存款和其他货币资金中核算的银行保函保证金和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银行承兑汇票保证金</w:t>
      </w:r>
      <w:r>
        <w:rPr>
          <w:rFonts w:ascii="Times New Roman" w:hAnsi="Times New Roman" w:cs="Times New Roman" w:eastAsia="Times New Roman" w:hint="default"/>
          <w:sz w:val="18"/>
          <w:szCs w:val="18"/>
        </w:rPr>
        <w:t>20,502,619.66</w:t>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、所有权或使用权受到限制的资产</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21,602,619.66</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0"/>
              <w:jc w:val="left"/>
              <w:rPr>
                <w:rFonts w:ascii="宋体" w:hAnsi="宋体" w:cs="宋体" w:eastAsia="宋体" w:hint="default"/>
                <w:sz w:val="18"/>
                <w:szCs w:val="18"/>
              </w:rPr>
            </w:pPr>
            <w:r>
              <w:rPr>
                <w:rFonts w:ascii="宋体" w:hAnsi="宋体" w:cs="宋体" w:eastAsia="宋体" w:hint="default"/>
                <w:sz w:val="18"/>
                <w:szCs w:val="18"/>
              </w:rPr>
              <w:t>用于银行借款质押的定期存款及开具银 行承兑汇票和保函</w:t>
            </w:r>
          </w:p>
        </w:tc>
      </w:tr>
      <w:tr>
        <w:trPr>
          <w:trHeight w:val="394"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29,174,460.00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质押用于开具银行承兑汇票</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6,720,025.42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抵押用于取得银行贷款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57,497,105.08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91,972.71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194,324,255.11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12,026,145.18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345,107,798.15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21,357,686.30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213,306,250.00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13,200,883.89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34,218,089.12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2,117,654.88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1,344,964.00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83,235.79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88"/>
        <w:gridCol w:w="3192"/>
        <w:gridCol w:w="3191"/>
      </w:tblGrid>
      <w:tr>
        <w:trPr>
          <w:trHeight w:val="346"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8"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日元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国家数字经济试点重大工程 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6,116,666.06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其他递延收益项目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1,139,093.32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省战略性新兴产业集聚发展 基地资金支持项目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创新产品产业化补助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1,571,309.98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1,571,309.98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经济建设和国防建设专项资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高新区经贸局外经贸政策基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省级外贸发展专项资金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服务外包人才培训补贴项目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年度支持科技创新项目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促进经济平稳较快发展奖励 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促进就业奖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合肥高新经贸局产业转型发 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企业构建和谐劳动关系补助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712,192.50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712,192.50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43,095,302.48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20,351,061.86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4"/>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见其他说明</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5"/>
          <w:szCs w:val="15"/>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确定购买日的依据：</w:t>
      </w:r>
    </w:p>
    <w:p>
      <w:pPr>
        <w:spacing w:line="240" w:lineRule="auto" w:before="0"/>
        <w:rPr>
          <w:rFonts w:ascii="宋体" w:hAnsi="宋体" w:cs="宋体" w:eastAsia="宋体" w:hint="default"/>
          <w:sz w:val="15"/>
          <w:szCs w:val="15"/>
        </w:rPr>
      </w:pPr>
    </w:p>
    <w:p>
      <w:pPr>
        <w:spacing w:line="300" w:lineRule="auto" w:before="0"/>
        <w:ind w:left="153" w:right="1123" w:firstLine="36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日，本公司第二届董事会第二十五次会议审议通过本次交易相关预案议案。同日，科大国创与交易对方 签署了《发行股份购买资产协议》和《盈利补偿协议》。</w:t>
      </w:r>
    </w:p>
    <w:p>
      <w:pPr>
        <w:spacing w:line="300" w:lineRule="auto" w:before="31"/>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②</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日，本公司第二届董事会第二十七次会议审议通过本次交易相关草案议案。同日，科大国创与交易对方签</w:t>
      </w:r>
      <w:r>
        <w:rPr>
          <w:rFonts w:ascii="宋体" w:hAnsi="宋体" w:cs="宋体" w:eastAsia="宋体" w:hint="default"/>
          <w:sz w:val="18"/>
          <w:szCs w:val="18"/>
        </w:rPr>
        <w:t> 署了《发行股份购买资产协议之补充协议》。</w:t>
      </w:r>
    </w:p>
    <w:p>
      <w:pPr>
        <w:spacing w:before="151"/>
        <w:ind w:left="513" w:right="1133" w:firstLine="0"/>
        <w:jc w:val="left"/>
        <w:rPr>
          <w:rFonts w:ascii="宋体" w:hAnsi="宋体" w:cs="宋体" w:eastAsia="宋体" w:hint="default"/>
          <w:sz w:val="18"/>
          <w:szCs w:val="18"/>
        </w:rPr>
      </w:pPr>
      <w:r>
        <w:rPr>
          <w:rFonts w:ascii="宋体" w:hAnsi="宋体" w:cs="宋体" w:eastAsia="宋体" w:hint="default"/>
          <w:sz w:val="18"/>
          <w:szCs w:val="18"/>
        </w:rPr>
        <w:t>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日，本公司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年第一次临时股东大会审议通过本次交易相关议案。</w:t>
      </w:r>
    </w:p>
    <w:p>
      <w:pPr>
        <w:spacing w:line="240" w:lineRule="auto" w:before="13"/>
        <w:rPr>
          <w:rFonts w:ascii="宋体" w:hAnsi="宋体" w:cs="宋体" w:eastAsia="宋体" w:hint="default"/>
          <w:sz w:val="13"/>
          <w:szCs w:val="13"/>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④</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日，中国证券监督管理委员会作出《关于核准科大国创软件股份有限公司向孙路等发行股份购买资产并</w:t>
      </w:r>
      <w:r>
        <w:rPr>
          <w:rFonts w:ascii="宋体" w:hAnsi="宋体" w:cs="宋体" w:eastAsia="宋体" w:hint="default"/>
          <w:sz w:val="18"/>
          <w:szCs w:val="18"/>
        </w:rPr>
        <w:t> 募集配套资金的批复》（证监许可</w:t>
      </w:r>
      <w:r>
        <w:rPr>
          <w:rFonts w:ascii="Times New Roman" w:hAnsi="Times New Roman" w:cs="Times New Roman" w:eastAsia="Times New Roman" w:hint="default"/>
          <w:sz w:val="18"/>
          <w:szCs w:val="18"/>
        </w:rPr>
        <w:t>[2018]2063</w:t>
      </w:r>
      <w:r>
        <w:rPr>
          <w:rFonts w:ascii="宋体" w:hAnsi="宋体" w:cs="宋体" w:eastAsia="宋体" w:hint="default"/>
          <w:sz w:val="18"/>
          <w:szCs w:val="18"/>
        </w:rPr>
        <w:t>号）。</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⑤</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日，合肥市高新开发区市场监督管理局核准了贵博新能的股东变更事项，并换发了《营业执照》，贵博</w:t>
      </w:r>
      <w:r>
        <w:rPr>
          <w:rFonts w:ascii="宋体" w:hAnsi="宋体" w:cs="宋体" w:eastAsia="宋体" w:hint="default"/>
          <w:sz w:val="18"/>
          <w:szCs w:val="18"/>
        </w:rPr>
        <w:t> </w:t>
      </w:r>
      <w:r>
        <w:rPr>
          <w:rFonts w:ascii="宋体" w:hAnsi="宋体" w:cs="宋体" w:eastAsia="宋体" w:hint="default"/>
          <w:spacing w:val="-1"/>
          <w:sz w:val="18"/>
          <w:szCs w:val="18"/>
        </w:rPr>
        <w:t>新能的过户手续已全部办理完成，贵博新能的股东由孙路等</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名交易对方变更为科大国创，科大国创已持有贵博新能</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w:t>
      </w:r>
      <w:r>
        <w:rPr>
          <w:rFonts w:ascii="宋体" w:hAnsi="宋体" w:cs="宋体" w:eastAsia="宋体" w:hint="default"/>
          <w:spacing w:val="-87"/>
          <w:sz w:val="18"/>
          <w:szCs w:val="18"/>
        </w:rPr>
        <w:t> </w:t>
      </w:r>
      <w:r>
        <w:rPr>
          <w:rFonts w:ascii="宋体" w:hAnsi="宋体" w:cs="宋体" w:eastAsia="宋体" w:hint="default"/>
          <w:sz w:val="18"/>
          <w:szCs w:val="18"/>
        </w:rPr>
        <w:t>权。</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691,000,000.00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112,185,785.98</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578,814,214.02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0"/>
        <w:rPr>
          <w:rFonts w:ascii="宋体" w:hAnsi="宋体" w:cs="宋体" w:eastAsia="宋体" w:hint="default"/>
          <w:sz w:val="15"/>
          <w:szCs w:val="15"/>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sz w:val="18"/>
          <w:szCs w:val="18"/>
        </w:rPr>
        <w:t>公司本次发行股份购买贵博新能</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日为基准日，贵博新能经审计的账面值为</w:t>
      </w:r>
      <w:r>
        <w:rPr>
          <w:rFonts w:ascii="Times New Roman" w:hAnsi="Times New Roman" w:cs="Times New Roman" w:eastAsia="Times New Roman" w:hint="default"/>
          <w:sz w:val="18"/>
          <w:szCs w:val="18"/>
        </w:rPr>
        <w:t>5,783.94</w:t>
      </w:r>
      <w:r>
        <w:rPr>
          <w:rFonts w:ascii="宋体" w:hAnsi="宋体" w:cs="宋体" w:eastAsia="宋体" w:hint="default"/>
          <w:sz w:val="18"/>
          <w:szCs w:val="18"/>
        </w:rPr>
        <w:t>万元， </w:t>
      </w:r>
      <w:r>
        <w:rPr>
          <w:rFonts w:ascii="宋体" w:hAnsi="宋体" w:cs="宋体" w:eastAsia="宋体" w:hint="default"/>
          <w:spacing w:val="-5"/>
          <w:sz w:val="18"/>
          <w:szCs w:val="18"/>
        </w:rPr>
        <w:t>采用收益法的评估值为</w:t>
      </w:r>
      <w:r>
        <w:rPr>
          <w:rFonts w:ascii="Times New Roman" w:hAnsi="Times New Roman" w:cs="Times New Roman" w:eastAsia="Times New Roman" w:hint="default"/>
          <w:spacing w:val="-5"/>
          <w:sz w:val="18"/>
          <w:szCs w:val="18"/>
        </w:rPr>
        <w:t>69,160.00</w:t>
      </w:r>
      <w:r>
        <w:rPr>
          <w:rFonts w:ascii="宋体" w:hAnsi="宋体" w:cs="宋体" w:eastAsia="宋体" w:hint="default"/>
          <w:spacing w:val="-5"/>
          <w:sz w:val="18"/>
          <w:szCs w:val="18"/>
        </w:rPr>
        <w:t>万元，并由华普天健会计师事务所（特殊普通合伙）出具了会审字</w:t>
      </w:r>
      <w:r>
        <w:rPr>
          <w:rFonts w:ascii="Times New Roman" w:hAnsi="Times New Roman" w:cs="Times New Roman" w:eastAsia="Times New Roman" w:hint="default"/>
          <w:spacing w:val="-5"/>
          <w:sz w:val="18"/>
          <w:szCs w:val="18"/>
        </w:rPr>
        <w:t>[2018]5366</w:t>
      </w:r>
      <w:r>
        <w:rPr>
          <w:rFonts w:ascii="宋体" w:hAnsi="宋体" w:cs="宋体" w:eastAsia="宋体" w:hint="default"/>
          <w:spacing w:val="-5"/>
          <w:sz w:val="18"/>
          <w:szCs w:val="18"/>
        </w:rPr>
        <w:t>号《审计报告》，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中水致远资产评估有限公司出具了中水致远评报字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Times New Roman" w:hAnsi="Times New Roman" w:cs="Times New Roman" w:eastAsia="Times New Roman" w:hint="default"/>
          <w:sz w:val="18"/>
          <w:szCs w:val="18"/>
        </w:rPr>
        <w:t>020233</w:t>
      </w:r>
      <w:r>
        <w:rPr>
          <w:rFonts w:ascii="宋体" w:hAnsi="宋体" w:cs="宋体" w:eastAsia="宋体" w:hint="default"/>
          <w:sz w:val="18"/>
          <w:szCs w:val="18"/>
        </w:rPr>
        <w:t>号《资产评估报告》。</w:t>
      </w:r>
    </w:p>
    <w:p>
      <w:pPr>
        <w:spacing w:line="328" w:lineRule="auto" w:before="133"/>
        <w:ind w:left="153" w:right="1133" w:firstLine="360"/>
        <w:jc w:val="left"/>
        <w:rPr>
          <w:rFonts w:ascii="宋体" w:hAnsi="宋体" w:cs="宋体" w:eastAsia="宋体" w:hint="default"/>
          <w:sz w:val="18"/>
          <w:szCs w:val="18"/>
        </w:rPr>
      </w:pPr>
      <w:r>
        <w:rPr>
          <w:rFonts w:ascii="宋体" w:hAnsi="宋体" w:cs="宋体" w:eastAsia="宋体" w:hint="default"/>
          <w:spacing w:val="-2"/>
          <w:sz w:val="18"/>
          <w:szCs w:val="18"/>
        </w:rPr>
        <w:t>根据《发行股份购买资产协议》和《发行股份购买资产协议之补充协议》的约定，公司本次发行股份所购买的贵博新能</w:t>
      </w:r>
      <w:r>
        <w:rPr>
          <w:rFonts w:ascii="宋体" w:hAnsi="宋体" w:cs="宋体" w:eastAsia="宋体" w:hint="default"/>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股权以采用收益法的评估价值</w:t>
      </w:r>
      <w:r>
        <w:rPr>
          <w:rFonts w:ascii="Times New Roman" w:hAnsi="Times New Roman" w:cs="Times New Roman" w:eastAsia="Times New Roman" w:hint="default"/>
          <w:sz w:val="18"/>
          <w:szCs w:val="18"/>
        </w:rPr>
        <w:t>69,160.00</w:t>
      </w:r>
      <w:r>
        <w:rPr>
          <w:rFonts w:ascii="宋体" w:hAnsi="宋体" w:cs="宋体" w:eastAsia="宋体" w:hint="default"/>
          <w:sz w:val="18"/>
          <w:szCs w:val="18"/>
        </w:rPr>
        <w:t>万元为参考，协商确定最终的交易价格为</w:t>
      </w:r>
      <w:r>
        <w:rPr>
          <w:rFonts w:ascii="Times New Roman" w:hAnsi="Times New Roman" w:cs="Times New Roman" w:eastAsia="Times New Roman" w:hint="default"/>
          <w:sz w:val="18"/>
          <w:szCs w:val="18"/>
        </w:rPr>
        <w:t>69,100.00</w:t>
      </w:r>
      <w:r>
        <w:rPr>
          <w:rFonts w:ascii="宋体" w:hAnsi="宋体" w:cs="宋体" w:eastAsia="宋体" w:hint="default"/>
          <w:sz w:val="18"/>
          <w:szCs w:val="18"/>
        </w:rPr>
        <w:t>万元。 大额商誉形成的主要原因：</w:t>
      </w:r>
    </w:p>
    <w:p>
      <w:pPr>
        <w:spacing w:line="316" w:lineRule="auto" w:before="130"/>
        <w:ind w:left="153" w:right="0" w:firstLine="480"/>
        <w:jc w:val="left"/>
        <w:rPr>
          <w:rFonts w:ascii="宋体" w:hAnsi="宋体" w:cs="宋体" w:eastAsia="宋体" w:hint="default"/>
          <w:sz w:val="18"/>
          <w:szCs w:val="18"/>
        </w:rPr>
      </w:pPr>
      <w:r>
        <w:rPr>
          <w:rFonts w:ascii="宋体" w:hAnsi="宋体" w:cs="宋体" w:eastAsia="宋体" w:hint="default"/>
          <w:sz w:val="18"/>
          <w:szCs w:val="18"/>
        </w:rPr>
        <w:t>贵博新能是一家专业从事新能源汽车电池管理系统技术及相关产品的研发、生产、销售和技术服务的高新技术企业， </w:t>
      </w:r>
      <w:r>
        <w:rPr>
          <w:rFonts w:ascii="宋体" w:hAnsi="宋体" w:cs="宋体" w:eastAsia="宋体" w:hint="default"/>
          <w:spacing w:val="-4"/>
          <w:sz w:val="18"/>
          <w:szCs w:val="18"/>
        </w:rPr>
        <w:t>致力于成为以新能源汽车电池管理系统为核心的新能源汽车电源系统总成提供商，其专利权、商标权、人力资源、销售网络、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客户关系等无形资产各自的相关未来经济收益不具有可预测性，无法逐项分辨计量，相关价值贡献难以从整体价值中合理分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割。上述各项无形资产价值包含在商誉中。</w:t>
      </w:r>
    </w:p>
    <w:p>
      <w:pPr>
        <w:spacing w:before="5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4"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46,056,069.97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46,056,069.97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98,490,381.03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98,490,381.03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25,525,838.90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22,449,283.73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9,336,222.49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9,336,222.49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38,047,962.91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13,511,962.91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75,906,249.80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75,906,249.80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3"/>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112,185,785.98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84,573,230.81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112,185,785.98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84,573,230.81</w:t>
            </w:r>
          </w:p>
        </w:tc>
      </w:tr>
    </w:tbl>
    <w:p>
      <w:pPr>
        <w:spacing w:line="357" w:lineRule="auto" w:before="49"/>
        <w:ind w:left="153" w:right="7153"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经评估确认的可辨认资产、负债的公允价值。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4"/>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5"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3" w:right="859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5;height:392" coordorigin="34,14" coordsize="3135,392">
              <v:shape style="position:absolute;left:34;top:14;width:3135;height:392" coordorigin="34,14" coordsize="3135,392" path="m34,406l3168,406,3168,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6;height:392" coordorigin="3224,14" coordsize="6326,392">
              <v:shape style="position:absolute;left:3224;top:14;width:6326;height:392" coordorigin="3224,14" coordsize="6326,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4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004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5;height:394" coordorigin="34,415" coordsize="3135,394">
              <v:shape style="position:absolute;left:34;top:415;width:3135;height:394" coordorigin="34,415" coordsize="3135,394" path="m34,809l3168,809,3168,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6;height:394" coordorigin="6414,415" coordsize="3136,394">
              <v:shape style="position:absolute;left:6414;top:415;width:3136;height:394" coordorigin="6414,415" coordsize="3136,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0,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0,410e" filled="false" stroked="true" strokeweight=".47998pt" strokecolor="#000000">
                <v:path arrowok="t"/>
              </v:shape>
            </v:group>
            <v:group style="position:absolute;left:6390;top:410;width:3184;height:2" coordorigin="6390,410" coordsize="3184,2">
              <v:shape style="position:absolute;left:6390;top:410;width:3184;height:2" coordorigin="6390,410" coordsize="3184,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4;top:410;width:3202;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0;width:3180;height:404" type="#_x0000_t202" filled="false" stroked="false">
                <v:textbox inset="0,0,0,0">
                  <w:txbxContent>
                    <w:p>
                      <w:pPr>
                        <w:spacing w:before="53"/>
                        <w:ind w:left="1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spacing w:line="316" w:lineRule="auto" w:before="0"/>
        <w:ind w:left="153" w:right="11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3"/>
          <w:szCs w:val="13"/>
        </w:rPr>
      </w:pPr>
    </w:p>
    <w:p>
      <w:pPr>
        <w:pStyle w:val="BodyText"/>
        <w:spacing w:line="240" w:lineRule="auto"/>
        <w:ind w:left="573" w:right="1133"/>
        <w:jc w:val="left"/>
      </w:pPr>
      <w:r>
        <w:rPr/>
        <w:t>新设子公司：</w:t>
      </w:r>
    </w:p>
    <w:p>
      <w:pPr>
        <w:pStyle w:val="BodyText"/>
        <w:spacing w:line="256" w:lineRule="auto" w:before="157"/>
        <w:ind w:right="1128"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月，公司与合肥创见未来股权投资合伙企业（有限合伙）共同出资成立国创软件，国创软件</w:t>
      </w:r>
      <w:r>
        <w:rPr>
          <w:w w:val="100"/>
        </w:rPr>
        <w:t> </w:t>
      </w:r>
      <w:r>
        <w:rPr>
          <w:spacing w:val="-2"/>
        </w:rPr>
        <w:t>注册资本为</w:t>
      </w:r>
      <w:r>
        <w:rPr>
          <w:rFonts w:ascii="Times New Roman" w:hAnsi="Times New Roman" w:cs="Times New Roman" w:eastAsia="Times New Roman" w:hint="default"/>
          <w:spacing w:val="-2"/>
        </w:rPr>
        <w:t>3,000.00</w:t>
      </w:r>
      <w:r>
        <w:rPr>
          <w:spacing w:val="-2"/>
        </w:rPr>
        <w:t>万元，其中，公司认缴注册资本</w:t>
      </w:r>
      <w:r>
        <w:rPr>
          <w:rFonts w:ascii="Times New Roman" w:hAnsi="Times New Roman" w:cs="Times New Roman" w:eastAsia="Times New Roman" w:hint="default"/>
          <w:spacing w:val="-2"/>
        </w:rPr>
        <w:t>2,400.00</w:t>
      </w:r>
      <w:r>
        <w:rPr>
          <w:spacing w:val="-2"/>
        </w:rPr>
        <w:t>万元，占国创软件注册资本</w:t>
      </w:r>
      <w:r>
        <w:rPr>
          <w:rFonts w:ascii="Times New Roman" w:hAnsi="Times New Roman" w:cs="Times New Roman" w:eastAsia="Times New Roman" w:hint="default"/>
          <w:spacing w:val="-2"/>
        </w:rPr>
        <w:t>80.00%</w:t>
      </w:r>
      <w:r>
        <w:rPr>
          <w:spacing w:val="-2"/>
        </w:rPr>
        <w:t>。截止</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日，公司已实际缴纳出资</w:t>
      </w:r>
      <w:r>
        <w:rPr>
          <w:rFonts w:ascii="Times New Roman" w:hAnsi="Times New Roman" w:cs="Times New Roman" w:eastAsia="Times New Roman" w:hint="default"/>
        </w:rPr>
        <w:t>2,400.00</w:t>
      </w:r>
      <w:r>
        <w:rPr/>
        <w:t>万元，占国创软件实收资本的</w:t>
      </w:r>
      <w:r>
        <w:rPr>
          <w:rFonts w:ascii="Times New Roman" w:hAnsi="Times New Roman" w:cs="Times New Roman" w:eastAsia="Times New Roman" w:hint="default"/>
        </w:rPr>
        <w:t>80.00%</w:t>
      </w:r>
      <w:r>
        <w:rPr/>
        <w:t>。国创软件自</w:t>
      </w:r>
      <w:r>
        <w:rPr>
          <w:rFonts w:ascii="Times New Roman" w:hAnsi="Times New Roman" w:cs="Times New Roman" w:eastAsia="Times New Roman" w:hint="default"/>
        </w:rPr>
        <w:t>2018</w:t>
      </w:r>
      <w:r>
        <w:rPr/>
        <w:t>年成立</w:t>
      </w:r>
      <w:r>
        <w:rPr>
          <w:spacing w:val="-44"/>
        </w:rPr>
        <w:t> </w:t>
      </w:r>
      <w:r>
        <w:rPr/>
        <w:t>之日起纳入合并范围。</w:t>
      </w:r>
    </w:p>
    <w:p>
      <w:pPr>
        <w:pStyle w:val="BodyText"/>
        <w:spacing w:line="256" w:lineRule="auto" w:before="142"/>
        <w:ind w:right="113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月，公司子公司云网科技新设全资子公司贵州大数据，贵州大数据注册资本</w:t>
      </w:r>
      <w:r>
        <w:rPr>
          <w:rFonts w:ascii="Times New Roman" w:hAnsi="Times New Roman" w:cs="Times New Roman" w:eastAsia="Times New Roman" w:hint="default"/>
        </w:rPr>
        <w:t>5,000.00</w:t>
      </w:r>
      <w:r>
        <w:rPr/>
        <w:t>万元。</w:t>
      </w:r>
      <w:r>
        <w:rPr>
          <w:w w:val="100"/>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日，贵州大数据未缴纳出资。贵州大数据自</w:t>
      </w:r>
      <w:r>
        <w:rPr>
          <w:rFonts w:ascii="Times New Roman" w:hAnsi="Times New Roman" w:cs="Times New Roman" w:eastAsia="Times New Roman" w:hint="default"/>
        </w:rPr>
        <w:t>2018</w:t>
      </w:r>
      <w:r>
        <w:rPr/>
        <w:t>年成立之日起纳入合并范围。</w:t>
      </w:r>
    </w:p>
    <w:p>
      <w:pPr>
        <w:spacing w:line="240" w:lineRule="auto" w:before="4"/>
        <w:rPr>
          <w:rFonts w:ascii="宋体" w:hAnsi="宋体" w:cs="宋体" w:eastAsia="宋体" w:hint="default"/>
          <w:sz w:val="23"/>
          <w:szCs w:val="23"/>
        </w:rPr>
      </w:pPr>
    </w:p>
    <w:p>
      <w:pPr>
        <w:spacing w:line="487" w:lineRule="auto" w:before="0"/>
        <w:ind w:left="153"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新能源汽车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357" w:lineRule="auto" w:before="49"/>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3" w:right="76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2,397,827.03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4,717,083.71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775,770.64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6,775,770.64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-804,815.90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2,225,442.54</w:t>
            </w:r>
          </w:p>
        </w:tc>
      </w:tr>
    </w:tbl>
    <w:p>
      <w:pPr>
        <w:spacing w:line="357"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226,870,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925.35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4,412,69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231,283,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621.28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219,490,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912.02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219,490,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912.02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233,168,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251.11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4,655,64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237,823,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898.39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232,025,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756.71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232,025,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756.71</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国创软 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44,996,3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45,625,2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85.11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11,746,4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11,746,4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中科国 创</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5,840,34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1,915,66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7,756,01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691,101.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691,101.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7,801,70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73,017.0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7,874,71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249,656,325.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5,994,567.58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5,994,567.58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-23,910,112.9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22,378,438.4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2,197,461.05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2,197,461.05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77,810,726.1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37,681,283.6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3,878,853.21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3,878,853.21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-18,653,608.2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124,271.85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-2,554,971.10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-2,554,971.10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-2,239,539.76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-413,116.07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-413,116.07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-171,591.40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10,255,812.13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4,385,130.38</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186,398.15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186,398.15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33" w:firstLine="420"/>
        <w:jc w:val="left"/>
      </w:pPr>
      <w:r>
        <w:rPr>
          <w:spacing w:val="-2"/>
        </w:rPr>
        <w:t>本公司在经营过程中面临信用风险、市场风险和流动性风险等多种金融风险。公司经营管理层对这些</w:t>
      </w:r>
      <w:r>
        <w:rPr>
          <w:w w:val="100"/>
        </w:rPr>
        <w:t> </w:t>
      </w:r>
      <w:r>
        <w:rPr/>
        <w:t>风险敞口进行管理和监控以确保将上述风险控制在限定的范围之内。</w:t>
      </w:r>
    </w:p>
    <w:p>
      <w:pPr>
        <w:pStyle w:val="BodyText"/>
        <w:spacing w:line="273" w:lineRule="auto" w:before="8"/>
        <w:ind w:left="573" w:right="1133"/>
        <w:jc w:val="left"/>
      </w:pPr>
      <w:r>
        <w:rPr/>
        <w:t>（一）信用风险</w:t>
      </w:r>
      <w:r>
        <w:rPr>
          <w:spacing w:val="-103"/>
        </w:rPr>
        <w:t> </w:t>
      </w:r>
      <w:r>
        <w:rPr>
          <w:spacing w:val="-103"/>
        </w:rPr>
      </w:r>
      <w:r>
        <w:rPr>
          <w:spacing w:val="-2"/>
        </w:rPr>
        <w:t>信用风险是指金融工具的一方不履行义务，造成另一方发生财务损失的风险。本公司应收账款客户主</w:t>
      </w:r>
    </w:p>
    <w:p>
      <w:pPr>
        <w:pStyle w:val="BodyText"/>
        <w:spacing w:line="273" w:lineRule="auto" w:before="7"/>
        <w:ind w:right="1126"/>
        <w:jc w:val="both"/>
      </w:pPr>
      <w:r>
        <w:rPr>
          <w:spacing w:val="-2"/>
        </w:rPr>
        <w:t>要为国有大中型企业以及政府部门、事业单位，信用状况良好，信用风险低。本公司其他金融资产包括货</w:t>
      </w:r>
      <w:r>
        <w:rPr>
          <w:spacing w:val="-47"/>
        </w:rPr>
        <w:t> </w:t>
      </w:r>
      <w:r>
        <w:rPr>
          <w:spacing w:val="-47"/>
        </w:rPr>
      </w:r>
      <w:r>
        <w:rPr>
          <w:spacing w:val="-2"/>
        </w:rPr>
        <w:t>币资金及其他应收款等，这些金融资产的信用风险源自交易对手违约，最大风险敞口等于这些工具的账面</w:t>
      </w:r>
      <w:r>
        <w:rPr>
          <w:spacing w:val="-42"/>
        </w:rPr>
        <w:t> </w:t>
      </w:r>
      <w:r>
        <w:rPr>
          <w:spacing w:val="-42"/>
        </w:rPr>
      </w:r>
      <w:r>
        <w:rPr/>
        <w:t>金额。本公司无因提供财务担保而面临的信用风险。</w:t>
      </w:r>
    </w:p>
    <w:p>
      <w:pPr>
        <w:pStyle w:val="BodyText"/>
        <w:spacing w:line="273" w:lineRule="auto" w:before="7"/>
        <w:ind w:left="573" w:right="1133"/>
        <w:jc w:val="left"/>
      </w:pPr>
      <w:r>
        <w:rPr/>
        <w:t>（二）市场风险</w:t>
      </w:r>
      <w:r>
        <w:rPr>
          <w:spacing w:val="-103"/>
        </w:rPr>
        <w:t> </w:t>
      </w:r>
      <w:r>
        <w:rPr>
          <w:spacing w:val="-103"/>
        </w:rPr>
      </w:r>
      <w:r>
        <w:rPr>
          <w:spacing w:val="-2"/>
        </w:rPr>
        <w:t>金融工具的市场风险，是指金融工具的公允价值或未来现金流量因市场价格变动而发生波动的风险，</w:t>
      </w:r>
    </w:p>
    <w:p>
      <w:pPr>
        <w:pStyle w:val="BodyText"/>
        <w:spacing w:line="240" w:lineRule="auto" w:before="7"/>
        <w:ind w:right="0"/>
        <w:jc w:val="both"/>
      </w:pPr>
      <w:r>
        <w:rPr/>
        <w:t>包括外汇风险、利率风险和其他价格风险。</w:t>
      </w:r>
    </w:p>
    <w:p>
      <w:pPr>
        <w:pStyle w:val="BodyText"/>
        <w:spacing w:line="256" w:lineRule="auto" w:before="37"/>
        <w:ind w:left="573" w:right="1133"/>
        <w:jc w:val="left"/>
      </w:pPr>
      <w:r>
        <w:rPr>
          <w:rFonts w:ascii="Times New Roman" w:hAnsi="Times New Roman" w:cs="Times New Roman" w:eastAsia="Times New Roman" w:hint="default"/>
        </w:rPr>
        <w:t>1.</w:t>
      </w:r>
      <w:r>
        <w:rPr/>
        <w:t>外汇风险</w:t>
      </w:r>
      <w:r>
        <w:rPr>
          <w:spacing w:val="-103"/>
        </w:rPr>
        <w:t> </w:t>
      </w:r>
      <w:r>
        <w:rPr>
          <w:spacing w:val="-103"/>
        </w:rPr>
      </w:r>
      <w:r>
        <w:rPr>
          <w:spacing w:val="-2"/>
        </w:rPr>
        <w:t>外汇风险，是指金融工具的公允价值或未来现金流量因外汇汇率变动而发生波动的风险。本公司面临</w:t>
      </w:r>
    </w:p>
    <w:p>
      <w:pPr>
        <w:pStyle w:val="BodyText"/>
        <w:spacing w:line="273" w:lineRule="auto" w:before="22"/>
        <w:ind w:right="1133"/>
        <w:jc w:val="left"/>
      </w:pPr>
      <w:r>
        <w:rPr>
          <w:spacing w:val="-2"/>
        </w:rPr>
        <w:t>的外汇风险主要来源于以日元结算的国际软件业务收入以及日元存款。近年来，国际外汇市场尤其是日元</w:t>
      </w:r>
      <w:r>
        <w:rPr>
          <w:spacing w:val="-43"/>
        </w:rPr>
        <w:t> </w:t>
      </w:r>
      <w:r>
        <w:rPr>
          <w:spacing w:val="-43"/>
        </w:rPr>
      </w:r>
      <w:r>
        <w:rPr/>
        <w:t>汇率大幅波动，汇率的变动可能会导致汇兑净损失，从而对公司的财务状况造成影响。</w:t>
      </w:r>
    </w:p>
    <w:p>
      <w:pPr>
        <w:pStyle w:val="BodyText"/>
        <w:spacing w:line="256" w:lineRule="auto" w:before="8"/>
        <w:ind w:left="573" w:right="1133"/>
        <w:jc w:val="left"/>
      </w:pPr>
      <w:r>
        <w:rPr>
          <w:rFonts w:ascii="Times New Roman" w:hAnsi="Times New Roman" w:cs="Times New Roman" w:eastAsia="Times New Roman" w:hint="default"/>
        </w:rPr>
        <w:t>2.</w:t>
      </w:r>
      <w:r>
        <w:rPr/>
        <w:t>利率风险</w:t>
      </w:r>
      <w:r>
        <w:rPr>
          <w:spacing w:val="-103"/>
        </w:rPr>
        <w:t> </w:t>
      </w:r>
      <w:r>
        <w:rPr>
          <w:spacing w:val="-103"/>
        </w:rPr>
      </w:r>
      <w:r>
        <w:rPr>
          <w:spacing w:val="-2"/>
        </w:rPr>
        <w:t>利率风险，是指金融工具的公允价值或未来现金流量因市场利率变动而发生波动的风险。本公司面临</w:t>
      </w:r>
    </w:p>
    <w:p>
      <w:pPr>
        <w:pStyle w:val="BodyText"/>
        <w:spacing w:line="273" w:lineRule="auto" w:before="22"/>
        <w:ind w:right="1133"/>
        <w:jc w:val="left"/>
      </w:pPr>
      <w:r>
        <w:rPr>
          <w:spacing w:val="-2"/>
        </w:rPr>
        <w:t>的利率风险主要来源于银行借款。公司通过建立良好的银企关系，对授信额度、授信品种以及授信期限进</w:t>
      </w:r>
      <w:r>
        <w:rPr>
          <w:spacing w:val="-43"/>
        </w:rPr>
        <w:t> </w:t>
      </w:r>
      <w:r>
        <w:rPr>
          <w:spacing w:val="-43"/>
        </w:rPr>
      </w:r>
      <w:r>
        <w:rPr/>
        <w:t>行合理的设计，保障银行授信额度充足，满足公司各类短期融资需求。</w:t>
      </w:r>
    </w:p>
    <w:p>
      <w:pPr>
        <w:pStyle w:val="BodyText"/>
        <w:spacing w:line="268" w:lineRule="auto" w:before="7"/>
        <w:ind w:right="1133" w:firstLine="420"/>
        <w:jc w:val="left"/>
      </w:pPr>
      <w:r>
        <w:rPr/>
        <w:t>（三）流动性风险</w:t>
      </w:r>
      <w:r>
        <w:rPr>
          <w:w w:val="100"/>
        </w:rPr>
        <w:t> </w:t>
      </w:r>
      <w:r>
        <w:rPr>
          <w:spacing w:val="-2"/>
        </w:rPr>
        <w:t>流动性风险，是指企业在履行以交付现金或其他金融资产的方式结算的义务时发生资金短缺的风险。本公</w:t>
      </w:r>
      <w:r>
        <w:rPr>
          <w:spacing w:val="-43"/>
        </w:rPr>
        <w:t> </w:t>
      </w:r>
      <w:r>
        <w:rPr>
          <w:spacing w:val="-43"/>
        </w:rPr>
      </w:r>
      <w:r>
        <w:rPr>
          <w:spacing w:val="-2"/>
        </w:rPr>
        <w:t>司的政策是确保拥有充足的现金以偿还到期债务。流动性风险由本公司的财务部门集中控制。财务部门通</w:t>
      </w:r>
      <w:r>
        <w:rPr>
          <w:spacing w:val="-43"/>
        </w:rPr>
        <w:t> </w:t>
      </w:r>
      <w:r>
        <w:rPr>
          <w:spacing w:val="-43"/>
        </w:rPr>
      </w:r>
      <w:r>
        <w:rPr>
          <w:spacing w:val="-2"/>
        </w:rPr>
        <w:t>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w:t>
      </w:r>
      <w:r>
        <w:rPr>
          <w:spacing w:val="-41"/>
        </w:rPr>
        <w:t> </w:t>
      </w:r>
      <w:r>
        <w:rPr>
          <w:spacing w:val="-41"/>
        </w:rPr>
      </w:r>
      <w:r>
        <w:rPr/>
        <w:t>测的情况下拥有充足的资金偿还债务。</w:t>
      </w:r>
    </w:p>
    <w:p>
      <w:pPr>
        <w:spacing w:after="0" w:line="26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合肥国创智能科技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34.01%</w:t>
            </w:r>
          </w:p>
        </w:tc>
      </w:tr>
    </w:tbl>
    <w:p>
      <w:pPr>
        <w:spacing w:line="357"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本企业最终控制方是董永东、杨杨、史兴领、许广德。 其他说明：</w:t>
      </w:r>
    </w:p>
    <w:p>
      <w:pPr>
        <w:spacing w:line="300" w:lineRule="auto" w:before="29"/>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董永东、杨杨、史兴领、许广德为本公司的实际控制人，截至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日，董永东、杨杨、史兴领、许广德通过合肥国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创间接控制公司</w:t>
      </w:r>
      <w:r>
        <w:rPr>
          <w:rFonts w:ascii="Times New Roman" w:hAnsi="Times New Roman" w:cs="Times New Roman" w:eastAsia="Times New Roman" w:hint="default"/>
          <w:spacing w:val="-1"/>
          <w:sz w:val="18"/>
          <w:szCs w:val="18"/>
        </w:rPr>
        <w:t>34.01%</w:t>
      </w:r>
      <w:r>
        <w:rPr>
          <w:rFonts w:ascii="宋体" w:hAnsi="宋体" w:cs="宋体" w:eastAsia="宋体" w:hint="default"/>
          <w:spacing w:val="-1"/>
          <w:sz w:val="18"/>
          <w:szCs w:val="18"/>
        </w:rPr>
        <w:t>的股权，董永东、杨杨、史兴领直接持有公司</w:t>
      </w:r>
      <w:r>
        <w:rPr>
          <w:rFonts w:ascii="Times New Roman" w:hAnsi="Times New Roman" w:cs="Times New Roman" w:eastAsia="Times New Roman" w:hint="default"/>
          <w:spacing w:val="-1"/>
          <w:sz w:val="18"/>
          <w:szCs w:val="18"/>
        </w:rPr>
        <w:t>9.33%</w:t>
      </w:r>
      <w:r>
        <w:rPr>
          <w:rFonts w:ascii="宋体" w:hAnsi="宋体" w:cs="宋体" w:eastAsia="宋体" w:hint="default"/>
          <w:spacing w:val="-1"/>
          <w:sz w:val="18"/>
          <w:szCs w:val="18"/>
        </w:rPr>
        <w:t>的股权，据此，实际控制人合计控制公司</w:t>
      </w:r>
      <w:r>
        <w:rPr>
          <w:rFonts w:ascii="Times New Roman" w:hAnsi="Times New Roman" w:cs="Times New Roman" w:eastAsia="Times New Roman" w:hint="default"/>
          <w:spacing w:val="-1"/>
          <w:sz w:val="18"/>
          <w:szCs w:val="18"/>
        </w:rPr>
        <w:t>43.34%</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z w:val="18"/>
          <w:szCs w:val="18"/>
        </w:rPr>
        <w:t>的股权。</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中电科（上海）公共设施运营管理有限公司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联营企业、公司董事许广德担任其董事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云上神州浪潮国创大数据产业发展有限公司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联营企业、公司董事史兴领担任其董事</w:t>
            </w:r>
          </w:p>
        </w:tc>
      </w:tr>
    </w:tbl>
    <w:p>
      <w:pPr>
        <w:spacing w:before="65"/>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公司董事应勇担任其董事、总经理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科大智能电气技术有限公司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公司董事应勇担任其母公司董事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以上股东孙路之配偶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孙志勇、陈国荣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以上股东孙路之父亲、母亲</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张珊红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实际控制人之一史兴领配偶</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中电科（上海）公 共设施运营管理有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8,418,918.92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安徽贵博新能科技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235,319.92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中电科（上海）公共设施运营 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537,960.34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2,849,621.04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信息系统软件开发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高可信软件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124,271.85</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34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科大智能电气技术有限公司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177,263.69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合肥国创、董永东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孙路、王璐、孙志勇、 陈国荣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孙路、王璐、史兴领、 张珊红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5"/>
          <w:szCs w:val="15"/>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、孙志勇以其自有房产为贵博新能</w:t>
      </w:r>
      <w:r>
        <w:rPr>
          <w:rFonts w:ascii="Times New Roman" w:hAnsi="Times New Roman" w:cs="Times New Roman" w:eastAsia="Times New Roman" w:hint="default"/>
          <w:sz w:val="18"/>
          <w:szCs w:val="18"/>
        </w:rPr>
        <w:t>4,800,000.00</w:t>
      </w:r>
      <w:r>
        <w:rPr>
          <w:rFonts w:ascii="宋体" w:hAnsi="宋体" w:cs="宋体" w:eastAsia="宋体" w:hint="default"/>
          <w:sz w:val="18"/>
          <w:szCs w:val="18"/>
        </w:rPr>
        <w:t>元银行贷款提供担保，担保期限为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p>
      <w:pPr>
        <w:spacing w:line="240" w:lineRule="auto" w:before="13"/>
        <w:rPr>
          <w:rFonts w:ascii="宋体" w:hAnsi="宋体" w:cs="宋体" w:eastAsia="宋体" w:hint="default"/>
          <w:sz w:val="13"/>
          <w:szCs w:val="13"/>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日，孙路、史兴领、孙志勇为贵博新能</w:t>
      </w:r>
      <w:r>
        <w:rPr>
          <w:rFonts w:ascii="Times New Roman" w:hAnsi="Times New Roman" w:cs="Times New Roman" w:eastAsia="Times New Roman" w:hint="default"/>
          <w:sz w:val="18"/>
          <w:szCs w:val="18"/>
        </w:rPr>
        <w:t>8,737,800.00</w:t>
      </w:r>
      <w:r>
        <w:rPr>
          <w:rFonts w:ascii="宋体" w:hAnsi="宋体" w:cs="宋体" w:eastAsia="宋体" w:hint="default"/>
          <w:sz w:val="18"/>
          <w:szCs w:val="18"/>
        </w:rPr>
        <w:t>元银行承兑汇票提供连带责任保证；</w:t>
      </w:r>
    </w:p>
    <w:p>
      <w:pPr>
        <w:spacing w:line="240" w:lineRule="auto" w:before="0"/>
        <w:rPr>
          <w:rFonts w:ascii="宋体" w:hAnsi="宋体" w:cs="宋体" w:eastAsia="宋体" w:hint="default"/>
          <w:sz w:val="14"/>
          <w:szCs w:val="14"/>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日，合肥国创为本公司</w:t>
      </w:r>
      <w:r>
        <w:rPr>
          <w:rFonts w:ascii="Times New Roman" w:hAnsi="Times New Roman" w:cs="Times New Roman" w:eastAsia="Times New Roman" w:hint="default"/>
          <w:sz w:val="18"/>
          <w:szCs w:val="18"/>
        </w:rPr>
        <w:t>28,879,831.51</w:t>
      </w:r>
      <w:r>
        <w:rPr>
          <w:rFonts w:ascii="宋体" w:hAnsi="宋体" w:cs="宋体" w:eastAsia="宋体" w:hint="default"/>
          <w:sz w:val="18"/>
          <w:szCs w:val="18"/>
        </w:rPr>
        <w:t>元银行承兑汇票提供连带责任保证。</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4"/>
        <w:gridCol w:w="2392"/>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中电科（上海）公共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设施运营管理有限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848,500.00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55,026.40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1,424,800.00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71,240.00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中电科（上海）公共设施运营 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8,418,918.92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中科大资产经营有限责任公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3" w:right="79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99" w:lineRule="auto" w:before="126"/>
        <w:ind w:left="153" w:right="834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before="4"/>
        <w:ind w:left="153" w:right="113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日，本公司无需要披露的重大承诺事项。</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日，本公司无需要披露的重大或有事项。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3"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5,980,842.10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5,980,842.10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经中国证券登记结算有限责任公司深圳分公司和深圳证券交易所审核批准，公司发行股份购买贵博新能</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股权新增股份</w:t>
      </w:r>
    </w:p>
    <w:p>
      <w:pPr>
        <w:spacing w:before="6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36,833,684</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日完成登记上市，公司总股本由</w:t>
      </w:r>
      <w:r>
        <w:rPr>
          <w:rFonts w:ascii="Times New Roman" w:hAnsi="Times New Roman" w:cs="Times New Roman" w:eastAsia="Times New Roman" w:hint="default"/>
          <w:sz w:val="18"/>
          <w:szCs w:val="18"/>
        </w:rPr>
        <w:t>202,400,000</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239,233,684</w:t>
      </w:r>
      <w:r>
        <w:rPr>
          <w:rFonts w:ascii="宋体" w:hAnsi="宋体" w:cs="宋体" w:eastAsia="宋体" w:hint="default"/>
          <w:sz w:val="18"/>
          <w:szCs w:val="18"/>
        </w:rPr>
        <w:t>股。</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7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590" w:lineRule="atLeast" w:before="25"/>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本公司以内部组织结构、管理要求、内部报告制度为依据确定经营分部，以经营分部为基础确定报告</w:t>
      </w:r>
    </w:p>
    <w:p>
      <w:pPr>
        <w:pStyle w:val="BodyText"/>
        <w:spacing w:line="240" w:lineRule="auto" w:before="37"/>
        <w:ind w:right="1133"/>
        <w:jc w:val="left"/>
      </w:pPr>
      <w:r>
        <w:rPr/>
        <w:t>分部。</w:t>
      </w:r>
    </w:p>
    <w:p>
      <w:pPr>
        <w:pStyle w:val="BodyText"/>
        <w:spacing w:line="256" w:lineRule="auto" w:before="157"/>
        <w:ind w:right="1133" w:firstLine="420"/>
        <w:jc w:val="both"/>
      </w:pPr>
      <w:r>
        <w:rPr/>
        <w:t>经营分部，是指本公司内同时满足下列条件的组成部分：（</w:t>
      </w:r>
      <w:r>
        <w:rPr>
          <w:rFonts w:ascii="Times New Roman" w:hAnsi="Times New Roman" w:cs="Times New Roman" w:eastAsia="Times New Roman" w:hint="default"/>
        </w:rPr>
        <w:t>1</w:t>
      </w:r>
      <w:r>
        <w:rPr/>
        <w:t>）该组成部分能够在日常活动中产生收</w:t>
      </w:r>
      <w:r>
        <w:rPr>
          <w:w w:val="100"/>
        </w:rPr>
        <w:t> </w:t>
      </w:r>
      <w:r>
        <w:rPr/>
        <w:t>入、发生费用；（</w:t>
      </w:r>
      <w:r>
        <w:rPr>
          <w:rFonts w:ascii="Times New Roman" w:hAnsi="Times New Roman" w:cs="Times New Roman" w:eastAsia="Times New Roman" w:hint="default"/>
        </w:rPr>
        <w:t>2</w:t>
      </w:r>
      <w:r>
        <w:rPr/>
        <w:t>）本公司管理层能够定期评价该组成部分的经营成果，以决定向其配置资源、评价其</w:t>
      </w:r>
      <w:r>
        <w:rPr>
          <w:spacing w:val="-25"/>
        </w:rPr>
        <w:t> </w:t>
      </w:r>
      <w:r>
        <w:rPr>
          <w:spacing w:val="-25"/>
        </w:rPr>
      </w:r>
      <w:r>
        <w:rPr/>
        <w:t>业绩；（</w:t>
      </w:r>
      <w:r>
        <w:rPr>
          <w:rFonts w:ascii="Times New Roman" w:hAnsi="Times New Roman" w:cs="Times New Roman" w:eastAsia="Times New Roman" w:hint="default"/>
        </w:rPr>
        <w:t>3</w:t>
      </w:r>
      <w:r>
        <w:rPr/>
        <w:t>）本公司能够取得该组成部分的财务状况、经营成果和现金流量等有关会计信息。</w:t>
      </w:r>
    </w:p>
    <w:p>
      <w:pPr>
        <w:pStyle w:val="BodyText"/>
        <w:spacing w:line="240" w:lineRule="auto" w:before="125"/>
        <w:ind w:left="573" w:right="1133"/>
        <w:jc w:val="left"/>
      </w:pPr>
      <w:r>
        <w:rPr/>
        <w:t>本公司报告分部包括：</w:t>
      </w:r>
    </w:p>
    <w:p>
      <w:pPr>
        <w:pStyle w:val="BodyText"/>
        <w:spacing w:line="240" w:lineRule="auto" w:before="157"/>
        <w:ind w:left="573" w:right="1133"/>
        <w:jc w:val="left"/>
      </w:pPr>
      <w:r>
        <w:rPr/>
        <w:t>（</w:t>
      </w:r>
      <w:r>
        <w:rPr>
          <w:rFonts w:ascii="Times New Roman" w:hAnsi="Times New Roman" w:cs="Times New Roman" w:eastAsia="Times New Roman" w:hint="default"/>
        </w:rPr>
        <w:t>1</w:t>
      </w:r>
      <w:r>
        <w:rPr/>
        <w:t>）科大国创软件股份有限公司；</w:t>
      </w:r>
    </w:p>
    <w:p>
      <w:pPr>
        <w:pStyle w:val="BodyText"/>
        <w:spacing w:line="240" w:lineRule="auto" w:before="142"/>
        <w:ind w:left="573" w:right="1133"/>
        <w:jc w:val="left"/>
      </w:pPr>
      <w:r>
        <w:rPr/>
        <w:t>（</w:t>
      </w:r>
      <w:r>
        <w:rPr>
          <w:rFonts w:ascii="Times New Roman" w:hAnsi="Times New Roman" w:cs="Times New Roman" w:eastAsia="Times New Roman" w:hint="default"/>
        </w:rPr>
        <w:t>2</w:t>
      </w:r>
      <w:r>
        <w:rPr/>
        <w:t>）安徽科大国创云网科技有限公司；</w:t>
      </w:r>
    </w:p>
    <w:p>
      <w:pPr>
        <w:pStyle w:val="BodyText"/>
        <w:spacing w:line="240" w:lineRule="auto" w:before="141"/>
        <w:ind w:left="573" w:right="1133"/>
        <w:jc w:val="left"/>
      </w:pPr>
      <w:r>
        <w:rPr/>
        <w:t>（</w:t>
      </w:r>
      <w:r>
        <w:rPr>
          <w:rFonts w:ascii="Times New Roman" w:hAnsi="Times New Roman" w:cs="Times New Roman" w:eastAsia="Times New Roman" w:hint="default"/>
        </w:rPr>
        <w:t>3</w:t>
      </w:r>
      <w:r>
        <w:rPr/>
        <w:t>）贵州科大国创大数据科技有限公司</w:t>
      </w:r>
    </w:p>
    <w:p>
      <w:pPr>
        <w:pStyle w:val="BodyText"/>
        <w:spacing w:line="240" w:lineRule="auto" w:before="141"/>
        <w:ind w:left="573" w:right="1133"/>
        <w:jc w:val="left"/>
      </w:pPr>
      <w:r>
        <w:rPr/>
        <w:t>（</w:t>
      </w:r>
      <w:r>
        <w:rPr>
          <w:rFonts w:ascii="Times New Roman" w:hAnsi="Times New Roman" w:cs="Times New Roman" w:eastAsia="Times New Roman" w:hint="default"/>
        </w:rPr>
        <w:t>4</w:t>
      </w:r>
      <w:r>
        <w:rPr/>
        <w:t>）苏州科大国创信息技术有限公司；</w:t>
      </w:r>
    </w:p>
    <w:p>
      <w:pPr>
        <w:pStyle w:val="BodyText"/>
        <w:spacing w:line="240" w:lineRule="auto" w:before="141"/>
        <w:ind w:left="573" w:right="1133"/>
        <w:jc w:val="left"/>
      </w:pPr>
      <w:r>
        <w:rPr/>
        <w:t>（</w:t>
      </w:r>
      <w:r>
        <w:rPr>
          <w:rFonts w:ascii="Times New Roman" w:hAnsi="Times New Roman" w:cs="Times New Roman" w:eastAsia="Times New Roman" w:hint="default"/>
        </w:rPr>
        <w:t>5</w:t>
      </w:r>
      <w:r>
        <w:rPr/>
        <w:t>）国创恒星（合肥）软件技术有限公司；</w:t>
      </w:r>
    </w:p>
    <w:p>
      <w:pPr>
        <w:pStyle w:val="BodyText"/>
        <w:spacing w:line="240" w:lineRule="auto" w:before="141"/>
        <w:ind w:left="573" w:right="1133"/>
        <w:jc w:val="left"/>
      </w:pPr>
      <w:r>
        <w:rPr/>
        <w:t>（</w:t>
      </w:r>
      <w:r>
        <w:rPr>
          <w:rFonts w:ascii="Times New Roman" w:hAnsi="Times New Roman" w:cs="Times New Roman" w:eastAsia="Times New Roman" w:hint="default"/>
        </w:rPr>
        <w:t>6</w:t>
      </w:r>
      <w:r>
        <w:rPr/>
        <w:t>）安徽慧联运科技有限公司；</w:t>
      </w:r>
    </w:p>
    <w:p>
      <w:pPr>
        <w:pStyle w:val="BodyText"/>
        <w:spacing w:line="240" w:lineRule="auto" w:before="141"/>
        <w:ind w:left="573" w:right="1133"/>
        <w:jc w:val="left"/>
      </w:pPr>
      <w:r>
        <w:rPr/>
        <w:t>（</w:t>
      </w:r>
      <w:r>
        <w:rPr>
          <w:rFonts w:ascii="Times New Roman" w:hAnsi="Times New Roman" w:cs="Times New Roman" w:eastAsia="Times New Roman" w:hint="default"/>
        </w:rPr>
        <w:t>7</w:t>
      </w:r>
      <w:r>
        <w:rPr/>
        <w:t>）安徽慧通互联物流科技有限公司；</w:t>
      </w:r>
    </w:p>
    <w:p>
      <w:pPr>
        <w:pStyle w:val="BodyText"/>
        <w:spacing w:line="240" w:lineRule="auto" w:before="141"/>
        <w:ind w:left="573" w:right="1133"/>
        <w:jc w:val="left"/>
      </w:pPr>
      <w:r>
        <w:rPr/>
        <w:t>（</w:t>
      </w:r>
      <w:r>
        <w:rPr>
          <w:rFonts w:ascii="Times New Roman" w:hAnsi="Times New Roman" w:cs="Times New Roman" w:eastAsia="Times New Roman" w:hint="default"/>
        </w:rPr>
        <w:t>8</w:t>
      </w:r>
      <w:r>
        <w:rPr/>
        <w:t>）安徽中科国创高可信软件有限公司；</w:t>
      </w:r>
    </w:p>
    <w:p>
      <w:pPr>
        <w:pStyle w:val="BodyText"/>
        <w:spacing w:line="240" w:lineRule="auto" w:before="141"/>
        <w:ind w:left="573" w:right="1133"/>
        <w:jc w:val="left"/>
      </w:pPr>
      <w:r>
        <w:rPr/>
        <w:t>（</w:t>
      </w:r>
      <w:r>
        <w:rPr>
          <w:rFonts w:ascii="Times New Roman" w:hAnsi="Times New Roman" w:cs="Times New Roman" w:eastAsia="Times New Roman" w:hint="default"/>
        </w:rPr>
        <w:t>9</w:t>
      </w:r>
      <w:r>
        <w:rPr/>
        <w:t>）株式会社科大国创；</w:t>
      </w:r>
    </w:p>
    <w:p>
      <w:pPr>
        <w:pStyle w:val="BodyText"/>
        <w:spacing w:line="240" w:lineRule="auto" w:before="141"/>
        <w:ind w:left="573" w:right="1133"/>
        <w:jc w:val="left"/>
      </w:pPr>
      <w:r>
        <w:rPr/>
        <w:t>（</w:t>
      </w:r>
      <w:r>
        <w:rPr>
          <w:rFonts w:ascii="Times New Roman" w:hAnsi="Times New Roman" w:cs="Times New Roman" w:eastAsia="Times New Roman" w:hint="default"/>
        </w:rPr>
        <w:t>10</w:t>
      </w:r>
      <w:r>
        <w:rPr/>
        <w:t>）安徽科大国创智能科技有限公司；</w:t>
      </w:r>
    </w:p>
    <w:p>
      <w:pPr>
        <w:pStyle w:val="BodyText"/>
        <w:spacing w:line="240" w:lineRule="auto" w:before="141"/>
        <w:ind w:left="573" w:right="1133"/>
        <w:jc w:val="left"/>
      </w:pPr>
      <w:r>
        <w:rPr/>
        <w:t>（</w:t>
      </w:r>
      <w:r>
        <w:rPr>
          <w:rFonts w:ascii="Times New Roman" w:hAnsi="Times New Roman" w:cs="Times New Roman" w:eastAsia="Times New Roman" w:hint="default"/>
        </w:rPr>
        <w:t>11</w:t>
      </w:r>
      <w:r>
        <w:rPr/>
        <w:t>）安徽科大国创软件科技有限公司；</w:t>
      </w:r>
    </w:p>
    <w:p>
      <w:pPr>
        <w:pStyle w:val="BodyText"/>
        <w:spacing w:line="357" w:lineRule="auto" w:before="141"/>
        <w:ind w:left="573" w:right="2653"/>
        <w:jc w:val="left"/>
      </w:pPr>
      <w:r>
        <w:rPr/>
        <w:t>（</w:t>
      </w:r>
      <w:r>
        <w:rPr>
          <w:rFonts w:ascii="Times New Roman" w:hAnsi="Times New Roman" w:cs="Times New Roman" w:eastAsia="Times New Roman" w:hint="default"/>
        </w:rPr>
        <w:t>12</w:t>
      </w:r>
      <w:r>
        <w:rPr/>
        <w:t>）安徽贵博新能科技有限公司。</w:t>
      </w:r>
      <w:r>
        <w:rPr>
          <w:w w:val="100"/>
        </w:rPr>
        <w:t> </w:t>
      </w:r>
      <w:r>
        <w:rPr>
          <w:spacing w:val="-2"/>
        </w:rPr>
        <w:t>本公司经营分部的会计政策与本公司主要会计政策相同。</w:t>
      </w:r>
    </w:p>
    <w:p>
      <w:pPr>
        <w:spacing w:line="240" w:lineRule="auto" w:before="12"/>
        <w:rPr>
          <w:rFonts w:ascii="宋体" w:hAnsi="宋体" w:cs="宋体" w:eastAsia="宋体" w:hint="default"/>
          <w:sz w:val="17"/>
          <w:szCs w:val="17"/>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6"/>
        <w:gridCol w:w="638"/>
        <w:gridCol w:w="638"/>
        <w:gridCol w:w="637"/>
        <w:gridCol w:w="638"/>
        <w:gridCol w:w="638"/>
        <w:gridCol w:w="639"/>
        <w:gridCol w:w="638"/>
        <w:gridCol w:w="638"/>
        <w:gridCol w:w="636"/>
        <w:gridCol w:w="639"/>
        <w:gridCol w:w="638"/>
        <w:gridCol w:w="638"/>
        <w:gridCol w:w="639"/>
        <w:gridCol w:w="638"/>
      </w:tblGrid>
      <w:tr>
        <w:trPr>
          <w:trHeight w:val="161" w:hRule="exact"/>
        </w:trPr>
        <w:tc>
          <w:tcPr>
            <w:tcW w:w="626" w:type="dxa"/>
            <w:vMerge w:val="restart"/>
            <w:tcBorders>
              <w:top w:val="single" w:sz="4" w:space="0" w:color="000000"/>
              <w:left w:val="single" w:sz="4" w:space="0" w:color="000000"/>
              <w:right w:val="single" w:sz="13"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科大国 创</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云网科 技</w:t>
            </w:r>
          </w:p>
        </w:tc>
        <w:tc>
          <w:tcPr>
            <w:tcW w:w="6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134" w:right="39" w:hanging="89"/>
              <w:jc w:val="left"/>
              <w:rPr>
                <w:rFonts w:ascii="宋体" w:hAnsi="宋体" w:cs="宋体" w:eastAsia="宋体" w:hint="default"/>
                <w:sz w:val="18"/>
                <w:szCs w:val="18"/>
              </w:rPr>
            </w:pPr>
            <w:r>
              <w:rPr>
                <w:rFonts w:ascii="宋体" w:hAnsi="宋体" w:cs="宋体" w:eastAsia="宋体" w:hint="default"/>
                <w:sz w:val="18"/>
                <w:szCs w:val="18"/>
              </w:rPr>
              <w:t>贵州大 数据</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苏州国 创</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国创恒 星</w:t>
            </w:r>
          </w:p>
        </w:tc>
        <w:tc>
          <w:tcPr>
            <w:tcW w:w="639" w:type="dxa"/>
            <w:tcBorders>
              <w:top w:val="single" w:sz="4" w:space="0" w:color="000000"/>
              <w:left w:val="single" w:sz="4" w:space="0" w:color="000000"/>
              <w:bottom w:val="nil" w:sz="6" w:space="0" w:color="auto"/>
              <w:right w:val="single" w:sz="4" w:space="0" w:color="000000"/>
            </w:tcBorders>
            <w:shd w:val="clear" w:color="auto" w:fill="E0FFFF"/>
          </w:tcPr>
          <w:p>
            <w:pP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慧通物 流</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中科国 创</w:t>
            </w:r>
          </w:p>
        </w:tc>
        <w:tc>
          <w:tcPr>
            <w:tcW w:w="63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38" w:hanging="180"/>
              <w:jc w:val="left"/>
              <w:rPr>
                <w:rFonts w:ascii="宋体" w:hAnsi="宋体" w:cs="宋体" w:eastAsia="宋体" w:hint="default"/>
                <w:sz w:val="18"/>
                <w:szCs w:val="18"/>
              </w:rPr>
            </w:pPr>
            <w:r>
              <w:rPr>
                <w:rFonts w:ascii="宋体" w:hAnsi="宋体" w:cs="宋体" w:eastAsia="宋体" w:hint="default"/>
                <w:sz w:val="18"/>
                <w:szCs w:val="18"/>
              </w:rPr>
              <w:t>日本国 创</w:t>
            </w:r>
          </w:p>
        </w:tc>
        <w:tc>
          <w:tcPr>
            <w:tcW w:w="63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6" w:right="41" w:hanging="181"/>
              <w:jc w:val="left"/>
              <w:rPr>
                <w:rFonts w:ascii="宋体" w:hAnsi="宋体" w:cs="宋体" w:eastAsia="宋体" w:hint="default"/>
                <w:sz w:val="18"/>
                <w:szCs w:val="18"/>
              </w:rPr>
            </w:pPr>
            <w:r>
              <w:rPr>
                <w:rFonts w:ascii="宋体" w:hAnsi="宋体" w:cs="宋体" w:eastAsia="宋体" w:hint="default"/>
                <w:sz w:val="18"/>
                <w:szCs w:val="18"/>
              </w:rPr>
              <w:t>智能科 技</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国创软 件</w:t>
            </w:r>
          </w:p>
        </w:tc>
        <w:tc>
          <w:tcPr>
            <w:tcW w:w="63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贵博新 能</w:t>
            </w:r>
          </w:p>
        </w:tc>
        <w:tc>
          <w:tcPr>
            <w:tcW w:w="6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4" w:right="41" w:hanging="89"/>
              <w:jc w:val="left"/>
              <w:rPr>
                <w:rFonts w:ascii="宋体" w:hAnsi="宋体" w:cs="宋体" w:eastAsia="宋体" w:hint="default"/>
                <w:sz w:val="18"/>
                <w:szCs w:val="18"/>
              </w:rPr>
            </w:pPr>
            <w:r>
              <w:rPr>
                <w:rFonts w:ascii="宋体" w:hAnsi="宋体" w:cs="宋体" w:eastAsia="宋体" w:hint="default"/>
                <w:sz w:val="18"/>
                <w:szCs w:val="18"/>
              </w:rPr>
              <w:t>分部间 抵销</w:t>
            </w:r>
          </w:p>
        </w:tc>
        <w:tc>
          <w:tcPr>
            <w:tcW w:w="6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4" w:hRule="exact"/>
        </w:trPr>
        <w:tc>
          <w:tcPr>
            <w:tcW w:w="626" w:type="dxa"/>
            <w:vMerge/>
            <w:tcBorders>
              <w:left w:val="single" w:sz="4" w:space="0" w:color="000000"/>
              <w:right w:val="single" w:sz="13" w:space="0" w:color="E0FFFF"/>
            </w:tcBorders>
            <w:shd w:val="clear" w:color="auto" w:fill="D2D2D2"/>
          </w:tcPr>
          <w:p>
            <w:pPr/>
          </w:p>
        </w:tc>
        <w:tc>
          <w:tcPr>
            <w:tcW w:w="638"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7"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9"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638"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6" w:type="dxa"/>
            <w:vMerge/>
            <w:tcBorders>
              <w:left w:val="single" w:sz="4" w:space="0" w:color="000000"/>
              <w:right w:val="single" w:sz="4" w:space="0" w:color="000000"/>
            </w:tcBorders>
            <w:shd w:val="clear" w:color="auto" w:fill="E0FFFF"/>
          </w:tcPr>
          <w:p>
            <w:pPr/>
          </w:p>
        </w:tc>
        <w:tc>
          <w:tcPr>
            <w:tcW w:w="639"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8" w:type="dxa"/>
            <w:vMerge/>
            <w:tcBorders>
              <w:left w:val="single" w:sz="4" w:space="0" w:color="000000"/>
              <w:right w:val="single" w:sz="4" w:space="0" w:color="000000"/>
            </w:tcBorders>
            <w:shd w:val="clear" w:color="auto" w:fill="E0FFFF"/>
          </w:tcPr>
          <w:p>
            <w:pPr/>
          </w:p>
        </w:tc>
        <w:tc>
          <w:tcPr>
            <w:tcW w:w="639"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61" w:hRule="exact"/>
        </w:trPr>
        <w:tc>
          <w:tcPr>
            <w:tcW w:w="626" w:type="dxa"/>
            <w:vMerge/>
            <w:tcBorders>
              <w:left w:val="single" w:sz="4" w:space="0" w:color="000000"/>
              <w:bottom w:val="single" w:sz="4" w:space="0" w:color="000000"/>
              <w:right w:val="single" w:sz="13" w:space="0" w:color="E0FFFF"/>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7"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9" w:type="dxa"/>
            <w:tcBorders>
              <w:top w:val="nil" w:sz="6" w:space="0" w:color="auto"/>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6" w:type="dxa"/>
            <w:vMerge/>
            <w:tcBorders>
              <w:left w:val="single" w:sz="4" w:space="0" w:color="000000"/>
              <w:bottom w:val="single" w:sz="4" w:space="0" w:color="000000"/>
              <w:right w:val="single" w:sz="4" w:space="0" w:color="000000"/>
            </w:tcBorders>
            <w:shd w:val="clear" w:color="auto" w:fill="E0FFFF"/>
          </w:tcPr>
          <w:p>
            <w:pPr/>
          </w:p>
        </w:tc>
        <w:tc>
          <w:tcPr>
            <w:tcW w:w="639"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8" w:type="dxa"/>
            <w:vMerge/>
            <w:tcBorders>
              <w:left w:val="single" w:sz="4" w:space="0" w:color="000000"/>
              <w:bottom w:val="single" w:sz="4" w:space="0" w:color="000000"/>
              <w:right w:val="single" w:sz="4" w:space="0" w:color="000000"/>
            </w:tcBorders>
            <w:shd w:val="clear" w:color="auto" w:fill="E0FFFF"/>
          </w:tcPr>
          <w:p>
            <w:pPr/>
          </w:p>
        </w:tc>
        <w:tc>
          <w:tcPr>
            <w:tcW w:w="639"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626" w:type="dxa"/>
            <w:tcBorders>
              <w:top w:val="single" w:sz="4" w:space="0" w:color="000000"/>
              <w:left w:val="single" w:sz="4" w:space="0" w:color="000000"/>
              <w:bottom w:val="nil" w:sz="6" w:space="0" w:color="auto"/>
              <w:right w:val="single" w:sz="4" w:space="0" w:color="000000"/>
            </w:tcBorders>
            <w:shd w:val="clear" w:color="auto" w:fill="E0FFFF"/>
          </w:tcPr>
          <w:p>
            <w:pPr/>
          </w:p>
        </w:tc>
        <w:tc>
          <w:tcPr>
            <w:tcW w:w="638" w:type="dxa"/>
            <w:vMerge w:val="restart"/>
            <w:tcBorders>
              <w:top w:val="single" w:sz="4" w:space="0" w:color="000000"/>
              <w:left w:val="single" w:sz="9" w:space="0" w:color="E0FFFF"/>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9,444.9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8,564.8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55,271,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973.64</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28,021,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059.69</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9,074.0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124,27</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1.85</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58,968,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482.59</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37,681,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283.60</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7,156.1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6,999.0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03" w:hRule="exact"/>
        </w:trPr>
        <w:tc>
          <w:tcPr>
            <w:tcW w:w="62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营业收 入</w:t>
            </w:r>
          </w:p>
        </w:tc>
        <w:tc>
          <w:tcPr>
            <w:tcW w:w="638" w:type="dxa"/>
            <w:vMerge/>
            <w:tcBorders>
              <w:left w:val="single" w:sz="9" w:space="0" w:color="E0FFFF"/>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161" w:hRule="exact"/>
        </w:trPr>
        <w:tc>
          <w:tcPr>
            <w:tcW w:w="626" w:type="dxa"/>
            <w:tcBorders>
              <w:top w:val="nil" w:sz="6" w:space="0" w:color="auto"/>
              <w:left w:val="single" w:sz="4" w:space="0" w:color="000000"/>
              <w:bottom w:val="single" w:sz="4" w:space="0" w:color="000000"/>
              <w:right w:val="single" w:sz="4" w:space="0" w:color="000000"/>
            </w:tcBorders>
            <w:shd w:val="clear" w:color="auto" w:fill="E0FFFF"/>
          </w:tcPr>
          <w:p>
            <w:pPr/>
          </w:p>
        </w:tc>
        <w:tc>
          <w:tcPr>
            <w:tcW w:w="638" w:type="dxa"/>
            <w:vMerge/>
            <w:tcBorders>
              <w:left w:val="single" w:sz="9" w:space="0" w:color="E0FFFF"/>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r>
        <w:trPr>
          <w:trHeight w:val="161" w:hRule="exact"/>
        </w:trPr>
        <w:tc>
          <w:tcPr>
            <w:tcW w:w="626" w:type="dxa"/>
            <w:tcBorders>
              <w:top w:val="single" w:sz="4" w:space="0" w:color="000000"/>
              <w:left w:val="single" w:sz="4" w:space="0" w:color="000000"/>
              <w:bottom w:val="nil" w:sz="6" w:space="0" w:color="auto"/>
              <w:right w:val="single" w:sz="4" w:space="0" w:color="000000"/>
            </w:tcBorders>
            <w:shd w:val="clear" w:color="auto" w:fill="E0FFFF"/>
          </w:tcPr>
          <w:p>
            <w:pPr/>
          </w:p>
        </w:tc>
        <w:tc>
          <w:tcPr>
            <w:tcW w:w="638" w:type="dxa"/>
            <w:vMerge w:val="restart"/>
            <w:tcBorders>
              <w:top w:val="single" w:sz="4" w:space="0" w:color="000000"/>
              <w:left w:val="single" w:sz="9" w:space="0" w:color="E0FFFF"/>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8,381.2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85,961,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244.68</w:t>
            </w:r>
          </w:p>
        </w:tc>
        <w:tc>
          <w:tcPr>
            <w:tcW w:w="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33,175,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005.64</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11,265,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022.44</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47,789,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653.46</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20,305,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956.35</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63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06" w:hRule="exact"/>
        </w:trPr>
        <w:tc>
          <w:tcPr>
            <w:tcW w:w="62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营业成 本</w:t>
            </w:r>
          </w:p>
        </w:tc>
        <w:tc>
          <w:tcPr>
            <w:tcW w:w="638" w:type="dxa"/>
            <w:vMerge/>
            <w:tcBorders>
              <w:left w:val="single" w:sz="9" w:space="0" w:color="E0FFFF"/>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161" w:hRule="exact"/>
        </w:trPr>
        <w:tc>
          <w:tcPr>
            <w:tcW w:w="626" w:type="dxa"/>
            <w:tcBorders>
              <w:top w:val="nil" w:sz="6" w:space="0" w:color="auto"/>
              <w:left w:val="single" w:sz="4" w:space="0" w:color="000000"/>
              <w:bottom w:val="single" w:sz="4" w:space="0" w:color="000000"/>
              <w:right w:val="single" w:sz="4" w:space="0" w:color="000000"/>
            </w:tcBorders>
            <w:shd w:val="clear" w:color="auto" w:fill="E0FFFF"/>
          </w:tcPr>
          <w:p>
            <w:pPr/>
          </w:p>
        </w:tc>
        <w:tc>
          <w:tcPr>
            <w:tcW w:w="638" w:type="dxa"/>
            <w:vMerge/>
            <w:tcBorders>
              <w:left w:val="single" w:sz="9" w:space="0" w:color="E0FFFF"/>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r>
        <w:trPr>
          <w:trHeight w:val="713" w:hRule="exact"/>
        </w:trPr>
        <w:tc>
          <w:tcPr>
            <w:tcW w:w="6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资产总 额</w:t>
            </w:r>
          </w:p>
        </w:tc>
        <w:tc>
          <w:tcPr>
            <w:tcW w:w="638"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110"/>
              <w:ind w:left="56" w:right="0"/>
              <w:jc w:val="left"/>
              <w:rPr>
                <w:rFonts w:ascii="Times New Roman" w:hAnsi="Times New Roman" w:cs="Times New Roman" w:eastAsia="Times New Roman" w:hint="default"/>
                <w:sz w:val="18"/>
                <w:szCs w:val="18"/>
              </w:rPr>
            </w:pPr>
            <w:r>
              <w:rPr>
                <w:rFonts w:ascii="Times New Roman"/>
                <w:sz w:val="18"/>
              </w:rPr>
              <w:t>1,868,7</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23,453.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176,42</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9,237.1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77,780,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693.54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5,218,3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49.18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226,39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1,789.4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384.06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7,756,0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14.23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20,388,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433.28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45,625,</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285.11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196,72</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0,960.5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522,55</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3,501.6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2,125,4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46,097.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7"/>
        <w:gridCol w:w="638"/>
        <w:gridCol w:w="638"/>
        <w:gridCol w:w="637"/>
        <w:gridCol w:w="638"/>
        <w:gridCol w:w="638"/>
        <w:gridCol w:w="639"/>
        <w:gridCol w:w="638"/>
        <w:gridCol w:w="638"/>
        <w:gridCol w:w="636"/>
        <w:gridCol w:w="639"/>
        <w:gridCol w:w="638"/>
        <w:gridCol w:w="638"/>
        <w:gridCol w:w="639"/>
        <w:gridCol w:w="638"/>
      </w:tblGrid>
      <w:tr>
        <w:trPr>
          <w:trHeight w:val="363" w:hRule="exact"/>
        </w:trPr>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95</w:t>
            </w:r>
          </w:p>
        </w:tc>
      </w:tr>
      <w:tr>
        <w:trPr>
          <w:trHeight w:val="1025" w:hRule="exact"/>
        </w:trPr>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负债总 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8,893.8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20,606,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067.08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18,050,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330.31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196,45</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7.73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17,846,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667.93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691,10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1.40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15,941,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961.24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11,746,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431.90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112,147</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,729.72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1,783.5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spacing w:line="300" w:lineRule="auto" w:before="0"/>
        <w:ind w:left="153" w:right="1125" w:firstLine="0"/>
        <w:jc w:val="left"/>
        <w:rPr>
          <w:rFonts w:ascii="宋体" w:hAnsi="宋体" w:cs="宋体" w:eastAsia="宋体" w:hint="default"/>
          <w:sz w:val="18"/>
          <w:szCs w:val="18"/>
        </w:rPr>
      </w:pPr>
      <w:r>
        <w:rPr>
          <w:rFonts w:ascii="宋体" w:hAnsi="宋体" w:cs="宋体" w:eastAsia="宋体" w:hint="default"/>
          <w:spacing w:val="-4"/>
          <w:sz w:val="18"/>
          <w:szCs w:val="18"/>
        </w:rPr>
        <w:t>截至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日，公司股本中有</w:t>
      </w:r>
      <w:r>
        <w:rPr>
          <w:rFonts w:ascii="Times New Roman" w:hAnsi="Times New Roman" w:cs="Times New Roman" w:eastAsia="Times New Roman" w:hint="default"/>
          <w:spacing w:val="-4"/>
          <w:sz w:val="18"/>
          <w:szCs w:val="18"/>
        </w:rPr>
        <w:t>1,980.02</w:t>
      </w:r>
      <w:r>
        <w:rPr>
          <w:rFonts w:ascii="宋体" w:hAnsi="宋体" w:cs="宋体" w:eastAsia="宋体" w:hint="default"/>
          <w:spacing w:val="-4"/>
          <w:sz w:val="18"/>
          <w:szCs w:val="18"/>
        </w:rPr>
        <w:t>万股对外质押，其中实际控制人董永东、杨杨、史兴领对外质押的股数为</w:t>
      </w:r>
      <w:r>
        <w:rPr>
          <w:rFonts w:ascii="Times New Roman" w:hAnsi="Times New Roman" w:cs="Times New Roman" w:eastAsia="Times New Roman" w:hint="default"/>
          <w:spacing w:val="-4"/>
          <w:sz w:val="18"/>
          <w:szCs w:val="18"/>
        </w:rPr>
        <w:t>1,726.76</w:t>
      </w:r>
      <w:r>
        <w:rPr>
          <w:rFonts w:ascii="Times New Roman" w:hAnsi="Times New Roman" w:cs="Times New Roman" w:eastAsia="Times New Roman" w:hint="default"/>
          <w:sz w:val="18"/>
          <w:szCs w:val="18"/>
        </w:rPr>
        <w:t> </w:t>
      </w:r>
      <w:r>
        <w:rPr>
          <w:rFonts w:ascii="宋体" w:hAnsi="宋体" w:cs="宋体" w:eastAsia="宋体" w:hint="default"/>
          <w:sz w:val="18"/>
          <w:szCs w:val="18"/>
        </w:rPr>
        <w:t>万股。</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7,838,780.66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3,459,057.20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329,768,202.75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355,234,869.68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337,606,983.41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358,693,926.88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5,108,975.00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1,565,000.00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2,729,805.66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1,894,057.20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7,838,780.66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3,459,057.20</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1,688,908.00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1,688,908.00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其他说明：商业承兑票据本期计提坏账准备金额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404,200.30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364,830,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029.27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35,061,8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329,768,2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383,742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,768.09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28,507,89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355,234,86</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9.68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2,190,61</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2,190,61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367,020,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639.98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37,252,4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37.23</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10.15%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329,768,2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02.75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383,742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,768.09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28,507,89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8.41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355,234,86</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9.68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267,443,583.19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13,372,179.16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57,641,634.29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5,764,163.43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28,912,532.18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8,673,759.65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4,768,330.99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2,384,165.50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5,981,949.22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4,785,559.38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6"/>
        <w:gridCol w:w="2391"/>
        <w:gridCol w:w="2391"/>
      </w:tblGrid>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81,999.40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364,830,029.27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35,061,826.52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以应收账款的账龄为信用风险特征划分组合。 组合中，采用余额百分比法计提坏账准备的应收账款：</w:t>
      </w:r>
    </w:p>
    <w:p>
      <w:pPr>
        <w:spacing w:line="338" w:lineRule="auto" w:before="29"/>
        <w:ind w:left="15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4" w:space="4447"/>
            <w:col w:w="2009"/>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47"/>
        <w:gridCol w:w="1071"/>
        <w:gridCol w:w="763"/>
        <w:gridCol w:w="482"/>
        <w:gridCol w:w="824"/>
        <w:gridCol w:w="1073"/>
        <w:gridCol w:w="968"/>
        <w:gridCol w:w="761"/>
        <w:gridCol w:w="482"/>
        <w:gridCol w:w="823"/>
        <w:gridCol w:w="965"/>
      </w:tblGrid>
      <w:tr>
        <w:trPr>
          <w:trHeight w:val="422" w:hRule="exact"/>
        </w:trPr>
        <w:tc>
          <w:tcPr>
            <w:tcW w:w="1447" w:type="dxa"/>
            <w:vMerge w:val="restart"/>
            <w:tcBorders>
              <w:top w:val="single" w:sz="4" w:space="0" w:color="000000"/>
              <w:left w:val="single" w:sz="4" w:space="0" w:color="000000"/>
              <w:right w:val="single" w:sz="4" w:space="0" w:color="000000"/>
            </w:tcBorders>
          </w:tcPr>
          <w:p>
            <w:pPr>
              <w:pStyle w:val="TableParagraph"/>
              <w:tabs>
                <w:tab w:pos="861" w:val="left" w:leader="none"/>
              </w:tabs>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2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1" w:hRule="exact"/>
        </w:trPr>
        <w:tc>
          <w:tcPr>
            <w:tcW w:w="1447"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58"/>
              <w:ind w:left="1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58"/>
              <w:ind w:left="1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34" w:hRule="exact"/>
        </w:trPr>
        <w:tc>
          <w:tcPr>
            <w:tcW w:w="1447"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5"/>
              <w:jc w:val="right"/>
              <w:rPr>
                <w:rFonts w:ascii="宋体" w:hAnsi="宋体" w:cs="宋体" w:eastAsia="宋体" w:hint="default"/>
                <w:sz w:val="18"/>
                <w:szCs w:val="18"/>
              </w:rPr>
            </w:pPr>
            <w:r>
              <w:rPr>
                <w:rFonts w:ascii="宋体" w:hAnsi="宋体" w:cs="宋体" w:eastAsia="宋体" w:hint="default"/>
                <w:sz w:val="18"/>
                <w:szCs w:val="18"/>
              </w:rPr>
              <w:t>金额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073" w:type="dxa"/>
            <w:vMerge/>
            <w:tcBorders>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5"/>
              <w:jc w:val="right"/>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65" w:type="dxa"/>
            <w:vMerge/>
            <w:tcBorders>
              <w:left w:val="single" w:sz="4" w:space="0" w:color="000000"/>
              <w:bottom w:val="single" w:sz="4" w:space="0" w:color="000000"/>
              <w:right w:val="single" w:sz="4" w:space="0" w:color="000000"/>
            </w:tcBorders>
          </w:tcPr>
          <w:p>
            <w:pPr/>
          </w:p>
        </w:tc>
      </w:tr>
      <w:tr>
        <w:trPr>
          <w:trHeight w:val="104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88" w:right="86"/>
              <w:jc w:val="center"/>
              <w:rPr>
                <w:rFonts w:ascii="宋体" w:hAnsi="宋体" w:cs="宋体" w:eastAsia="宋体" w:hint="default"/>
                <w:sz w:val="18"/>
                <w:szCs w:val="18"/>
              </w:rPr>
            </w:pPr>
            <w:r>
              <w:rPr>
                <w:rFonts w:ascii="宋体" w:hAnsi="宋体" w:cs="宋体" w:eastAsia="宋体" w:hint="default"/>
                <w:sz w:val="18"/>
                <w:szCs w:val="18"/>
              </w:rPr>
              <w:t>合并范围内不计 提坏账准备的应 收账款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3,124,498.00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3,124,498.00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49"/>
        <w:ind w:left="153"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8,744,538.82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60" w:space="237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9"/>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64"/>
        <w:gridCol w:w="2268"/>
        <w:gridCol w:w="2552"/>
        <w:gridCol w:w="2012"/>
      </w:tblGrid>
      <w:tr>
        <w:trPr>
          <w:trHeight w:val="653"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926" w:right="5" w:hanging="917"/>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8"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16,344,583.13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817,229.16</w:t>
            </w:r>
          </w:p>
        </w:tc>
      </w:tr>
      <w:tr>
        <w:trPr>
          <w:trHeight w:val="346"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15,128,640.00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756,432.00</w:t>
            </w:r>
          </w:p>
        </w:tc>
      </w:tr>
      <w:tr>
        <w:trPr>
          <w:trHeight w:val="348"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13,650,884.80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682,544.24</w:t>
            </w:r>
          </w:p>
        </w:tc>
      </w:tr>
      <w:tr>
        <w:trPr>
          <w:trHeight w:val="348"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12,404,468.98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620,223.45</w:t>
            </w:r>
          </w:p>
        </w:tc>
      </w:tr>
      <w:tr>
        <w:trPr>
          <w:trHeight w:val="346"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10,800,121.60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1,080,012.16</w:t>
            </w:r>
          </w:p>
        </w:tc>
      </w:tr>
      <w:tr>
        <w:trPr>
          <w:trHeight w:val="427" w:hRule="exact"/>
        </w:trPr>
        <w:tc>
          <w:tcPr>
            <w:tcW w:w="2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68,328,698.51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18.62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3,956,441.01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4"/>
        <w:ind w:left="15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20,647,969.72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33,377,550.51</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20,647,969.72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33,377,550.51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1525"/>
        <w:gridCol w:w="1527"/>
        <w:gridCol w:w="787"/>
        <w:gridCol w:w="1417"/>
        <w:gridCol w:w="1747"/>
        <w:gridCol w:w="93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23,060,2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64.77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2,412,29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20,647,96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36,677,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002.38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3,299,451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33,377,550.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23,060,2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64.77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2,412,29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20,647,96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9.72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36,677,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002.38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33,377,550.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4" w:space="435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7"/>
        <w:gridCol w:w="2300"/>
        <w:gridCol w:w="2391"/>
        <w:gridCol w:w="2391"/>
      </w:tblGrid>
      <w:tr>
        <w:trPr>
          <w:trHeight w:val="401" w:hRule="exact"/>
        </w:trPr>
        <w:tc>
          <w:tcPr>
            <w:tcW w:w="2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87"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13,804,225.36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690,211.27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13,804,225.36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690,211.27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6,395,935.61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639,593.56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1,827,808.40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548,342.52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972,295.40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486,147.70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23,060,264.77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2,412,295.05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0" w:lineRule="auto" w:before="49"/>
        <w:ind w:left="153" w:right="166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以应收账款的账龄为信用风险特征划分组合。 组合中，采用余额百分比法计提坏账准备的其他应收款：</w:t>
      </w:r>
    </w:p>
    <w:p>
      <w:pPr>
        <w:spacing w:line="340" w:lineRule="auto" w:before="25"/>
        <w:ind w:left="153" w:right="20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3" w:right="16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153" w:right="16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3"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-887,156.82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40" w:space="249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备用金及借款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57,126.50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before="49"/>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21,350,191.45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33,093,613.77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1,710,073.32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3,583,388.61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23,060,264.77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36,677,002.38</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4,232,715.00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389,710.00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969,878.00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102,887.80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885,499.00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44,274.95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7,868,092.00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665,872.75</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3"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49"/>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3" w:right="6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851,266,733.61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851,266,733.61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136,266,733.61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136,266,733.61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10,255,812.13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10,255,812.13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4,385,130.38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4,385,130.38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861,522,545.74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861,522,545.74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140,651,863.99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140,651,863.99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17,314,077.87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17,314,077.87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7,066,695.56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7,066,695.56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92,396,044.61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92,396,044.61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3,617,305.57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3,617,305.57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6,872,610.00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6,872,610.00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136,266,733.61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851,266,733.61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中电科</w:t>
            </w:r>
          </w:p>
          <w:p>
            <w:pPr>
              <w:pStyle w:val="TableParagraph"/>
              <w:spacing w:line="319"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（上海） 公共设施 运营管理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4,372,358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1,574,023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96,658.51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9"/>
        <w:gridCol w:w="797"/>
        <w:gridCol w:w="797"/>
        <w:gridCol w:w="797"/>
        <w:gridCol w:w="799"/>
        <w:gridCol w:w="797"/>
        <w:gridCol w:w="799"/>
        <w:gridCol w:w="797"/>
        <w:gridCol w:w="800"/>
        <w:gridCol w:w="797"/>
        <w:gridCol w:w="799"/>
        <w:gridCol w:w="797"/>
      </w:tblGrid>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672,749,444.99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542,398,381.25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534,682,074.45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421,257,571.80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672,749,444.99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542,398,381.25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534,682,074.45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421,257,571.80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1,670,681.75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186,398.15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274,109.24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1,056,428.15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26,944,790.99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31,242,826.30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18,779,751.88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2,423,958.37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-1,201,524.16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2,964,976.52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12"/>
        <w:gridCol w:w="3071"/>
        <w:gridCol w:w="3186"/>
      </w:tblGrid>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729,535.33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16,306,334.60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537" w:lineRule="auto"/>
        <w:ind w:right="1133"/>
        <w:jc w:val="left"/>
      </w:pPr>
      <w:r>
        <w:rPr/>
        <w:t>一、载有法定代表人签名的</w:t>
      </w:r>
      <w:r>
        <w:rPr>
          <w:rFonts w:ascii="Times New Roman" w:hAnsi="Times New Roman" w:cs="Times New Roman" w:eastAsia="Times New Roman" w:hint="default"/>
        </w:rPr>
        <w:t>2018</w:t>
      </w:r>
      <w:r>
        <w:rPr/>
        <w:t>年年度报告文本；</w:t>
      </w:r>
      <w:r>
        <w:rPr>
          <w:w w:val="100"/>
        </w:rPr>
        <w:t> </w:t>
      </w:r>
      <w:r>
        <w:rPr>
          <w:spacing w:val="-2"/>
        </w:rPr>
        <w:t>二、载有单位负责人、主管会计工作负责人、会计机构负责人签名并盖章的财务报表文本；</w:t>
      </w:r>
      <w:r>
        <w:rPr>
          <w:spacing w:val="-28"/>
        </w:rPr>
        <w:t> </w:t>
      </w:r>
      <w:r>
        <w:rPr>
          <w:spacing w:val="-28"/>
        </w:rPr>
      </w:r>
      <w:r>
        <w:rPr/>
        <w:t>三、载有会计师事务所盖章、注册会计师签名并盖章的审计报告原件；</w:t>
      </w:r>
      <w:r>
        <w:rPr>
          <w:w w:val="100"/>
        </w:rPr>
        <w:t> </w:t>
      </w:r>
      <w:r>
        <w:rPr/>
        <w:t>四、报告期内在中国证监会指定网站上公开披露过的所有公司文件的正本及公告的原稿；</w:t>
      </w:r>
      <w:r>
        <w:rPr>
          <w:w w:val="100"/>
        </w:rPr>
        <w:t> </w:t>
      </w:r>
      <w:r>
        <w:rPr/>
        <w:t>五、其他相关资料；</w:t>
      </w:r>
    </w:p>
    <w:p>
      <w:pPr>
        <w:pStyle w:val="BodyText"/>
        <w:spacing w:line="240" w:lineRule="auto" w:before="88"/>
        <w:ind w:right="1133"/>
        <w:jc w:val="left"/>
      </w:pPr>
      <w:r>
        <w:rPr/>
        <w:t>以上备查文件的备置地点：公司证券投资部。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444" w:lineRule="auto"/>
        <w:ind w:left="7693" w:right="1128" w:hanging="423"/>
        <w:jc w:val="right"/>
        <w:rPr>
          <w:rFonts w:ascii="宋体" w:hAnsi="宋体" w:cs="宋体" w:eastAsia="宋体" w:hint="default"/>
        </w:rPr>
      </w:pPr>
      <w:r>
        <w:rPr>
          <w:spacing w:val="-2"/>
        </w:rPr>
        <w:t>科大国创软件股份有限公司</w:t>
      </w:r>
      <w:r>
        <w:rPr>
          <w:spacing w:val="-95"/>
        </w:rPr>
        <w:t> </w:t>
      </w:r>
      <w:r>
        <w:rPr>
          <w:spacing w:val="-95"/>
        </w:rPr>
      </w:r>
      <w:r>
        <w:rPr>
          <w:spacing w:val="-2"/>
        </w:rPr>
        <w:t>法定代表人：董永东</w:t>
      </w:r>
      <w:r>
        <w:rPr>
          <w:rFonts w:ascii="宋体" w:hAnsi="宋体" w:cs="宋体" w:eastAsia="宋体" w:hint="default"/>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920" type="#_x0000_t75" stroked="false">
          <v:imagedata r:id="rId1" o:title=""/>
        </v:shape>
      </w:pict>
    </w:r>
    <w:r>
      <w:rPr/>
      <w:pict>
        <v:shape style="position:absolute;margin-left:533.119995pt;margin-top:795.637939pt;width:6.5pt;height:11pt;mso-position-horizontal-relative:page;mso-position-vertical-relative:page;z-index:-977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872" type="#_x0000_t75" stroked="false">
          <v:imagedata r:id="rId1" o:title=""/>
        </v:shape>
      </w:pict>
    </w:r>
    <w:r>
      <w:rPr/>
      <w:pict>
        <v:shape style="position:absolute;margin-left:527.679993pt;margin-top:781.957947pt;width:13.15pt;height:11pt;mso-position-horizontal-relative:page;mso-position-vertical-relative:page;z-index:-97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824" type="#_x0000_t75" stroked="false">
          <v:imagedata r:id="rId1" o:title=""/>
        </v:shape>
      </w:pict>
    </w:r>
    <w:r>
      <w:rPr/>
      <w:pict>
        <v:shape style="position:absolute;margin-left:524.119995pt;margin-top:781.957947pt;width:15.7pt;height:11pt;mso-position-horizontal-relative:page;mso-position-vertical-relative:page;z-index:-977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776" type="#_x0000_t75" stroked="false">
          <v:imagedata r:id="rId1" o:title=""/>
        </v:shape>
      </w:pict>
    </w:r>
    <w:r>
      <w:rPr/>
      <w:pict>
        <v:shape style="position:absolute;margin-left:523.119995pt;margin-top:781.957947pt;width:17.7pt;height:11pt;mso-position-horizontal-relative:page;mso-position-vertical-relative:page;z-index:-97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728" type="#_x0000_t75" stroked="false">
          <v:imagedata r:id="rId1" o:title=""/>
        </v:shape>
      </w:pict>
    </w:r>
    <w:r>
      <w:rPr/>
      <w:pict>
        <v:shape style="position:absolute;margin-left:523.479980pt;margin-top:781.957947pt;width:17.3pt;height:11pt;mso-position-horizontal-relative:page;mso-position-vertical-relative:page;z-index:-97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680" type="#_x0000_t75" stroked="false">
          <v:imagedata r:id="rId1" o:title=""/>
        </v:shape>
      </w:pict>
    </w:r>
    <w:r>
      <w:rPr/>
      <w:pict>
        <v:shape style="position:absolute;margin-left:523.119995pt;margin-top:781.957947pt;width:17.7pt;height:11pt;mso-position-horizontal-relative:page;mso-position-vertical-relative:page;z-index:-97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632" type="#_x0000_t75" stroked="false">
          <v:imagedata r:id="rId1" o:title=""/>
        </v:shape>
      </w:pict>
    </w:r>
    <w:r>
      <w:rPr/>
      <w:pict>
        <v:shape style="position:absolute;margin-left:523.119995pt;margin-top:781.957947pt;width:17.7pt;height:11pt;mso-position-horizontal-relative:page;mso-position-vertical-relative:page;z-index:-97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77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kdgcsoft.com/" TargetMode="External"/><Relationship Id="rId10" Type="http://schemas.openxmlformats.org/officeDocument/2006/relationships/hyperlink" Target="mailto:zhengquanbu@ustcsoft.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科大国创软件股份有限公司</dc:creator>
  <dc:title>科大国创软件股份有限公司2018年年度报告全文</dc:title>
  <dcterms:created xsi:type="dcterms:W3CDTF">2020-05-04T23:42:39Z</dcterms:created>
  <dcterms:modified xsi:type="dcterms:W3CDTF">2020-05-04T23:42:39Z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2020-05-04T00:00:00Z</vt:filetime>
  </property>
</Properties>
</file>