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650002pt;margin-top:35.999985pt;width:59.75pt;height:16.1pt;mso-position-horizontal-relative:page;mso-position-vertical-relative:page;z-index:0" type="#_x0000_t75" stroked="false">
            <v:imagedata r:id="rId7" o:title=""/>
          </v:shape>
        </w:pict>
      </w:r>
      <w:r>
        <w:rPr/>
        <w:pict>
          <v:group style="position:absolute;margin-left:55.223999pt;margin-top:56.039982pt;width:484.9pt;height:.1pt;mso-position-horizontal-relative:page;mso-position-vertical-relative:page;z-index:1048" coordorigin="1104,1121" coordsize="9698,2">
            <v:shape style="position:absolute;left:1104;top:1121;width:9698;height:2" coordorigin="1104,1121" coordsize="9698,0" path="m1104,1121l10802,1121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line="23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09700" cy="15144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1409700" cy="1514475"/>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784" w:right="3764" w:firstLine="0"/>
        <w:jc w:val="center"/>
        <w:rPr>
          <w:rFonts w:ascii="宋体" w:hAnsi="宋体" w:cs="宋体" w:eastAsia="宋体" w:hint="default"/>
          <w:sz w:val="36"/>
          <w:szCs w:val="36"/>
        </w:rPr>
      </w:pPr>
      <w:r>
        <w:rPr>
          <w:rFonts w:ascii="宋体" w:hAnsi="宋体" w:cs="宋体" w:eastAsia="宋体" w:hint="default"/>
          <w:b/>
          <w:bCs/>
          <w:sz w:val="36"/>
          <w:szCs w:val="36"/>
        </w:rPr>
        <w:t>科大国创软件股份有限公司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784" w:right="3759" w:firstLine="0"/>
        <w:jc w:val="center"/>
        <w:rPr>
          <w:rFonts w:ascii="Times New Roman" w:hAnsi="Times New Roman" w:cs="Times New Roman" w:eastAsia="Times New Roman" w:hint="default"/>
          <w:sz w:val="22"/>
          <w:szCs w:val="22"/>
        </w:rPr>
      </w:pPr>
      <w:r>
        <w:rPr>
          <w:rFonts w:ascii="Times New Roman"/>
          <w:b/>
          <w:sz w:val="22"/>
        </w:rPr>
        <w:t>2020-13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87" w:footer="979" w:top="1200" w:bottom="1160" w:left="980" w:right="0"/>
        </w:sectPr>
      </w:pPr>
    </w:p>
    <w:p>
      <w:pPr>
        <w:spacing w:line="240" w:lineRule="auto" w:before="11"/>
        <w:rPr>
          <w:rFonts w:ascii="宋体" w:hAnsi="宋体" w:cs="宋体" w:eastAsia="宋体" w:hint="default"/>
          <w:b/>
          <w:bCs/>
          <w:sz w:val="2"/>
          <w:szCs w:val="2"/>
        </w:rPr>
      </w:pPr>
      <w:r>
        <w:rPr/>
        <w:pict>
          <v:shape style="position:absolute;margin-left:56.650002pt;margin-top:42.599983pt;width:59.75pt;height:16.1pt;mso-position-horizontal-relative:page;mso-position-vertical-relative:page;z-index:1096" type="#_x0000_t75" stroked="false">
            <v:imagedata r:id="rId7" o:title=""/>
          </v:shape>
        </w:pict>
      </w: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13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3" w:right="113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公司负责人董永东、主管会计工作负责人孔皖生及会计机构负责人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刘芳声明：保证年度报告中财务报告的真实、准确、完整。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本报告中所涉及对未来发展和经营计划等前瞻性陈述，不构成公司对投资</w:t>
      </w:r>
      <w:r>
        <w:rPr>
          <w:rFonts w:ascii="宋体" w:hAnsi="宋体" w:cs="宋体" w:eastAsia="宋体" w:hint="default"/>
          <w:spacing w:val="2"/>
          <w:sz w:val="28"/>
          <w:szCs w:val="28"/>
        </w:rPr>
      </w:r>
    </w:p>
    <w:p>
      <w:pPr>
        <w:spacing w:line="408" w:lineRule="auto" w:before="0"/>
        <w:ind w:left="153" w:right="1139" w:firstLine="0"/>
        <w:jc w:val="both"/>
        <w:rPr>
          <w:rFonts w:ascii="宋体" w:hAnsi="宋体" w:cs="宋体" w:eastAsia="宋体" w:hint="default"/>
          <w:sz w:val="28"/>
          <w:szCs w:val="28"/>
        </w:rPr>
      </w:pPr>
      <w:r>
        <w:rPr>
          <w:rFonts w:ascii="宋体" w:hAnsi="宋体" w:cs="宋体" w:eastAsia="宋体" w:hint="default"/>
          <w:b/>
          <w:bCs/>
          <w:spacing w:val="2"/>
          <w:sz w:val="28"/>
          <w:szCs w:val="28"/>
        </w:rPr>
        <w:t>者的实质承诺，能否实现取决于市场状况变化等多种因素，存在不确定性，投</w:t>
      </w:r>
      <w:r>
        <w:rPr>
          <w:rFonts w:ascii="宋体" w:hAnsi="宋体" w:cs="宋体" w:eastAsia="宋体" w:hint="default"/>
          <w:b/>
          <w:bCs/>
          <w:w w:val="99"/>
          <w:sz w:val="28"/>
          <w:szCs w:val="28"/>
        </w:rPr>
        <w:t> </w:t>
      </w:r>
      <w:r>
        <w:rPr>
          <w:rFonts w:ascii="宋体" w:hAnsi="宋体" w:cs="宋体" w:eastAsia="宋体" w:hint="default"/>
          <w:b/>
          <w:bCs/>
          <w:spacing w:val="2"/>
          <w:sz w:val="28"/>
          <w:szCs w:val="28"/>
        </w:rPr>
        <w:t>资者及相关人士均应对此保持足够的风险认识，并且应当理解计划、预测与承</w:t>
      </w:r>
      <w:r>
        <w:rPr>
          <w:rFonts w:ascii="宋体" w:hAnsi="宋体" w:cs="宋体" w:eastAsia="宋体" w:hint="default"/>
          <w:b/>
          <w:bCs/>
          <w:w w:val="99"/>
          <w:sz w:val="28"/>
          <w:szCs w:val="28"/>
        </w:rPr>
        <w:t> </w:t>
      </w:r>
      <w:r>
        <w:rPr>
          <w:rFonts w:ascii="宋体" w:hAnsi="宋体" w:cs="宋体" w:eastAsia="宋体" w:hint="default"/>
          <w:b/>
          <w:bCs/>
          <w:sz w:val="28"/>
          <w:szCs w:val="28"/>
        </w:rPr>
        <w:t>诺之间的差异。</w:t>
      </w:r>
      <w:r>
        <w:rPr>
          <w:rFonts w:ascii="宋体" w:hAnsi="宋体" w:cs="宋体" w:eastAsia="宋体" w:hint="default"/>
          <w:sz w:val="28"/>
          <w:szCs w:val="28"/>
        </w:rPr>
      </w:r>
    </w:p>
    <w:p>
      <w:pPr>
        <w:spacing w:line="408" w:lineRule="auto" w:before="162"/>
        <w:ind w:left="153" w:right="113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公司在发展过程中，存在市场竞争加剧的风险、季节性波动风险、核心技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术风险、人力资源风险、应收账款余额较大的风险、政策风险、新型冠状病毒</w:t>
      </w:r>
      <w:r>
        <w:rPr>
          <w:rFonts w:ascii="宋体" w:hAnsi="宋体" w:cs="宋体" w:eastAsia="宋体" w:hint="default"/>
          <w:b/>
          <w:bCs/>
          <w:w w:val="99"/>
          <w:sz w:val="28"/>
          <w:szCs w:val="28"/>
        </w:rPr>
        <w:t> </w:t>
      </w:r>
      <w:r>
        <w:rPr>
          <w:rFonts w:ascii="宋体" w:hAnsi="宋体" w:cs="宋体" w:eastAsia="宋体" w:hint="default"/>
          <w:b/>
          <w:bCs/>
          <w:spacing w:val="2"/>
          <w:sz w:val="28"/>
          <w:szCs w:val="28"/>
        </w:rPr>
        <w:t>肺炎疫情风险等风险因素，敬请广大投资者注意投资风险，详细内容见本报告</w:t>
      </w:r>
      <w:r>
        <w:rPr>
          <w:rFonts w:ascii="宋体" w:hAnsi="宋体" w:cs="宋体" w:eastAsia="宋体" w:hint="default"/>
          <w:b/>
          <w:bCs/>
          <w:w w:val="99"/>
          <w:sz w:val="28"/>
          <w:szCs w:val="28"/>
        </w:rPr>
        <w:t> </w:t>
      </w:r>
      <w:r>
        <w:rPr>
          <w:rFonts w:ascii="宋体" w:hAnsi="宋体" w:cs="宋体" w:eastAsia="宋体" w:hint="default"/>
          <w:b/>
          <w:bCs/>
          <w:sz w:val="28"/>
          <w:szCs w:val="28"/>
        </w:rPr>
        <w:t>中第四节第九小节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250,384,762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5"/>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6"/>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9"/>
          <w:pgSz w:w="11910" w:h="16840"/>
          <w:pgMar w:footer="979" w:header="887" w:top="1200" w:bottom="1160" w:left="980" w:right="0"/>
          <w:pgNumType w:start="2"/>
        </w:sectPr>
      </w:pPr>
    </w:p>
    <w:p>
      <w:pPr>
        <w:spacing w:line="240" w:lineRule="auto" w:before="11"/>
        <w:rPr>
          <w:rFonts w:ascii="宋体" w:hAnsi="宋体" w:cs="宋体" w:eastAsia="宋体" w:hint="default"/>
          <w:b/>
          <w:bCs/>
          <w:sz w:val="2"/>
          <w:szCs w:val="2"/>
        </w:rPr>
      </w:pPr>
      <w:r>
        <w:rPr/>
        <w:pict>
          <v:shape style="position:absolute;margin-left:56.650002pt;margin-top:42.599983pt;width:59.75pt;height:16.1pt;mso-position-horizontal-relative:page;mso-position-vertical-relative:page;z-index:1144" type="#_x0000_t75" stroked="false">
            <v:imagedata r:id="rId7" o:title=""/>
          </v:shape>
        </w:pict>
      </w: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line="460" w:lineRule="exact" w:before="0"/>
        <w:ind w:left="2784" w:right="376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226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7" w:footer="979" w:top="1200" w:bottom="1160" w:left="980" w:right="0"/>
        </w:sectPr>
      </w:pPr>
    </w:p>
    <w:p>
      <w:pPr>
        <w:spacing w:before="942"/>
        <w:ind w:left="2784" w:right="376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53"/>
        <w:gridCol w:w="582"/>
        <w:gridCol w:w="5436"/>
      </w:tblGrid>
      <w:tr>
        <w:trPr>
          <w:trHeight w:val="401" w:hRule="exact"/>
        </w:trPr>
        <w:tc>
          <w:tcPr>
            <w:tcW w:w="3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本公司、公司、科大国创</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合肥国创、控股股东</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苏州科大国创信息技术有限公司，系公司全资子公司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科大国创云网科技有限公司，系公司全资子公司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安徽贵博新能科技有限公司，系公司全资子公司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国创数字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安徽科大国创数字科技有限公司，系公司全资子公司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国创恒星（合肥）软件技术有限公司，系公司全资子公司</w:t>
            </w:r>
          </w:p>
        </w:tc>
      </w:tr>
      <w:tr>
        <w:trPr>
          <w:trHeight w:val="404"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安徽科大国创智能科技有限公司，系公司全资子公司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安徽中科国创高可信软件有限公司，系公司控股子公司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安徽慧联运科技有限公司，系公司控股子公司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安徽科大国创软件科技有限公司，系公司控股子公司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安徽慧通互联物流科技有限公司，系公司控股孙公司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贵州科大国创大数据科技有限公司，系公司全资孙公司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中国科学技术大学</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合肥贵博股权投资合伙企业（有限合伙）</w:t>
            </w:r>
          </w:p>
        </w:tc>
      </w:tr>
      <w:tr>
        <w:trPr>
          <w:trHeight w:val="404"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紫煦投资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合肥紫煦投资合伙企业（有限合伙）</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保荐机构、国元证券</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317" w:hRule="exact"/>
        </w:trPr>
        <w:tc>
          <w:tcPr>
            <w:tcW w:w="3553"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行业应用软件</w:t>
            </w:r>
          </w:p>
        </w:tc>
        <w:tc>
          <w:tcPr>
            <w:tcW w:w="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针对行业定制化需求和特点研发的软件，具有行业特点并应用于特定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行业，如电信行业软件、电力行业软件、金融行业软件、交通行业软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件等</w:t>
            </w:r>
          </w:p>
        </w:tc>
      </w:tr>
      <w:tr>
        <w:trPr>
          <w:trHeight w:val="391" w:hRule="exact"/>
        </w:trPr>
        <w:tc>
          <w:tcPr>
            <w:tcW w:w="3553" w:type="dxa"/>
            <w:vMerge/>
            <w:tcBorders>
              <w:left w:val="single" w:sz="4" w:space="0" w:color="000000"/>
              <w:right w:val="single" w:sz="9" w:space="0" w:color="D2D2D2"/>
            </w:tcBorders>
          </w:tcPr>
          <w:p>
            <w:pPr/>
          </w:p>
        </w:tc>
        <w:tc>
          <w:tcPr>
            <w:tcW w:w="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53" w:type="dxa"/>
            <w:vMerge/>
            <w:tcBorders>
              <w:left w:val="single" w:sz="4" w:space="0" w:color="000000"/>
              <w:bottom w:val="single" w:sz="4" w:space="0" w:color="000000"/>
              <w:right w:val="single" w:sz="9" w:space="0" w:color="D2D2D2"/>
            </w:tcBorders>
          </w:tcPr>
          <w:p>
            <w:pPr/>
          </w:p>
        </w:tc>
        <w:tc>
          <w:tcPr>
            <w:tcW w:w="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53"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10"/>
              <w:jc w:val="both"/>
              <w:rPr>
                <w:rFonts w:ascii="宋体" w:hAnsi="宋体" w:cs="宋体" w:eastAsia="宋体" w:hint="default"/>
                <w:sz w:val="18"/>
                <w:szCs w:val="18"/>
              </w:rPr>
            </w:pPr>
            <w:r>
              <w:rPr>
                <w:rFonts w:ascii="宋体" w:hAnsi="宋体" w:cs="宋体" w:eastAsia="宋体" w:hint="default"/>
                <w:sz w:val="18"/>
                <w:szCs w:val="18"/>
              </w:rPr>
              <w:t>满足客户需求的软、硬件技术方案和实施方案。方案主要包括业务、 </w:t>
            </w:r>
            <w:r>
              <w:rPr>
                <w:rFonts w:ascii="宋体" w:hAnsi="宋体" w:cs="宋体" w:eastAsia="宋体" w:hint="default"/>
                <w:spacing w:val="-3"/>
                <w:sz w:val="18"/>
                <w:szCs w:val="18"/>
              </w:rPr>
              <w:t>需求、系统架构、软件、系统支撑平台、技术选型、设备选型、</w:t>
            </w:r>
            <w:r>
              <w:rPr>
                <w:rFonts w:ascii="Times New Roman" w:hAnsi="Times New Roman" w:cs="Times New Roman" w:eastAsia="Times New Roman" w:hint="default"/>
                <w:spacing w:val="-3"/>
                <w:sz w:val="18"/>
                <w:szCs w:val="18"/>
              </w:rPr>
              <w:t>IT </w:t>
            </w:r>
            <w:r>
              <w:rPr>
                <w:rFonts w:ascii="宋体" w:hAnsi="宋体" w:cs="宋体" w:eastAsia="宋体" w:hint="default"/>
                <w:sz w:val="18"/>
                <w:szCs w:val="18"/>
              </w:rPr>
              <w:t>集</w:t>
            </w:r>
            <w:r>
              <w:rPr>
                <w:rFonts w:ascii="宋体" w:hAnsi="宋体" w:cs="宋体" w:eastAsia="宋体" w:hint="default"/>
                <w:spacing w:val="-70"/>
                <w:sz w:val="18"/>
                <w:szCs w:val="18"/>
              </w:rPr>
              <w:t> </w:t>
            </w:r>
            <w:r>
              <w:rPr>
                <w:rFonts w:ascii="宋体" w:hAnsi="宋体" w:cs="宋体" w:eastAsia="宋体" w:hint="default"/>
                <w:sz w:val="18"/>
                <w:szCs w:val="18"/>
              </w:rPr>
              <w:t>成、信息安全、实施计划、项目管理等</w:t>
            </w:r>
          </w:p>
        </w:tc>
      </w:tr>
      <w:tr>
        <w:trPr>
          <w:trHeight w:val="394" w:hRule="exact"/>
        </w:trPr>
        <w:tc>
          <w:tcPr>
            <w:tcW w:w="3553" w:type="dxa"/>
            <w:vMerge/>
            <w:tcBorders>
              <w:left w:val="single" w:sz="4" w:space="0" w:color="000000"/>
              <w:right w:val="single" w:sz="9" w:space="0" w:color="D2D2D2"/>
            </w:tcBorders>
          </w:tcPr>
          <w:p>
            <w:pPr/>
          </w:p>
        </w:tc>
        <w:tc>
          <w:tcPr>
            <w:tcW w:w="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53" w:type="dxa"/>
            <w:vMerge/>
            <w:tcBorders>
              <w:left w:val="single" w:sz="4" w:space="0" w:color="000000"/>
              <w:bottom w:val="single" w:sz="4" w:space="0" w:color="000000"/>
              <w:right w:val="single" w:sz="9" w:space="0" w:color="D2D2D2"/>
            </w:tcBorders>
          </w:tcPr>
          <w:p>
            <w:pPr/>
          </w:p>
        </w:tc>
        <w:tc>
          <w:tcPr>
            <w:tcW w:w="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0"/>
        <w:rPr>
          <w:rFonts w:ascii="宋体" w:hAnsi="宋体" w:cs="宋体" w:eastAsia="宋体" w:hint="default"/>
          <w:b/>
          <w:bCs/>
          <w:sz w:val="18"/>
          <w:szCs w:val="18"/>
        </w:rPr>
      </w:pPr>
      <w:r>
        <w:rPr/>
        <w:pict>
          <v:shape style="position:absolute;margin-left:56.424pt;margin-top:71.999985pt;width:479.3pt;height:690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数据智能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
                          <w:jc w:val="left"/>
                          <w:rPr>
                            <w:rFonts w:ascii="宋体" w:hAnsi="宋体" w:cs="宋体" w:eastAsia="宋体" w:hint="default"/>
                            <w:sz w:val="18"/>
                            <w:szCs w:val="18"/>
                          </w:rPr>
                        </w:pPr>
                        <w:r>
                          <w:rPr>
                            <w:rFonts w:ascii="宋体" w:hAnsi="宋体" w:cs="宋体" w:eastAsia="宋体" w:hint="default"/>
                            <w:spacing w:val="-5"/>
                            <w:sz w:val="18"/>
                            <w:szCs w:val="18"/>
                          </w:rPr>
                          <w:t>基于大数据引擎，通过大规模机器学习、深度学习、知识挖掘等技术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对海量数据进行处理、分析和挖掘，提取数据中所包含的有价值的信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息和知识，使数据具有</w:t>
                        </w:r>
                        <w:r>
                          <w:rPr>
                            <w:rFonts w:ascii="Times New Roman" w:hAnsi="Times New Roman" w:cs="Times New Roman" w:eastAsia="Times New Roman" w:hint="default"/>
                            <w:sz w:val="18"/>
                            <w:szCs w:val="18"/>
                          </w:rPr>
                          <w:t>“</w:t>
                        </w:r>
                        <w:r>
                          <w:rPr>
                            <w:rFonts w:ascii="宋体" w:hAnsi="宋体" w:cs="宋体" w:eastAsia="宋体" w:hint="default"/>
                            <w:sz w:val="18"/>
                            <w:szCs w:val="18"/>
                          </w:rPr>
                          <w:t>智能</w:t>
                        </w:r>
                        <w:r>
                          <w:rPr>
                            <w:rFonts w:ascii="Times New Roman" w:hAnsi="Times New Roman" w:cs="Times New Roman" w:eastAsia="Times New Roman" w:hint="default"/>
                            <w:sz w:val="18"/>
                            <w:szCs w:val="18"/>
                          </w:rPr>
                          <w:t>”</w:t>
                        </w:r>
                        <w:r>
                          <w:rPr>
                            <w:rFonts w:ascii="宋体" w:hAnsi="宋体" w:cs="宋体" w:eastAsia="宋体" w:hint="default"/>
                            <w:sz w:val="18"/>
                            <w:szCs w:val="18"/>
                          </w:rPr>
                          <w:t>，从而指导组织进行决策、管理提升、 </w:t>
                        </w:r>
                        <w:r>
                          <w:rPr>
                            <w:rFonts w:ascii="宋体" w:hAnsi="宋体" w:cs="宋体" w:eastAsia="宋体" w:hint="default"/>
                            <w:spacing w:val="-2"/>
                            <w:sz w:val="18"/>
                            <w:szCs w:val="18"/>
                          </w:rPr>
                          <w:t>流程优化、服务改进等，提高决策效率，提升决策稳定，替代重复决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策，增加价值创造，是推动行业数字化转型不可或缺的关键技术。</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一种基于互联网的计算方式，通过这种方式，共享的软硬件资源和信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息可以按需提供给计算机和其他设备。典型的云计算提供商往往提供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通用的网络业务应用，可以通过浏览器等软件或者其他</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服务来访 </w:t>
                        </w:r>
                        <w:r>
                          <w:rPr>
                            <w:rFonts w:ascii="宋体" w:hAnsi="宋体" w:cs="宋体" w:eastAsia="宋体" w:hint="default"/>
                            <w:spacing w:val="-2"/>
                            <w:sz w:val="18"/>
                            <w:szCs w:val="18"/>
                          </w:rPr>
                          <w:t>问，而软件和数据都存储在服务器上。云计算服务通常提供通用的通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过浏览器访问的在线商业应用，软件和数据可存储在数据中心</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是从各种异构、各种类型的数据中发掘有价值的信息，其通常具有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4V</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4"/>
                            <w:w w:val="99"/>
                            <w:sz w:val="18"/>
                            <w:szCs w:val="18"/>
                          </w:rPr>
                          <w:t>特点：</w:t>
                        </w:r>
                        <w:r>
                          <w:rPr>
                            <w:rFonts w:ascii="Times New Roman" w:hAnsi="Times New Roman" w:cs="Times New Roman" w:eastAsia="Times New Roman" w:hint="default"/>
                            <w:spacing w:val="-14"/>
                            <w:w w:val="99"/>
                            <w:sz w:val="18"/>
                            <w:szCs w:val="18"/>
                          </w:rPr>
                          <w:t>Volume</w:t>
                        </w:r>
                        <w:r>
                          <w:rPr>
                            <w:rFonts w:ascii="宋体" w:hAnsi="宋体" w:cs="宋体" w:eastAsia="宋体" w:hint="default"/>
                            <w:spacing w:val="-14"/>
                            <w:w w:val="99"/>
                            <w:sz w:val="18"/>
                            <w:szCs w:val="18"/>
                          </w:rPr>
                          <w:t>（数据量大）、</w:t>
                        </w:r>
                        <w:r>
                          <w:rPr>
                            <w:rFonts w:ascii="Times New Roman" w:hAnsi="Times New Roman" w:cs="Times New Roman" w:eastAsia="Times New Roman" w:hint="default"/>
                            <w:spacing w:val="-14"/>
                            <w:w w:val="99"/>
                            <w:sz w:val="18"/>
                            <w:szCs w:val="18"/>
                          </w:rPr>
                          <w:t>Velocity</w:t>
                        </w:r>
                        <w:r>
                          <w:rPr>
                            <w:rFonts w:ascii="宋体" w:hAnsi="宋体" w:cs="宋体" w:eastAsia="宋体" w:hint="default"/>
                            <w:spacing w:val="-14"/>
                            <w:w w:val="99"/>
                            <w:sz w:val="18"/>
                            <w:szCs w:val="18"/>
                          </w:rPr>
                          <w:t>（实时性强）、</w:t>
                        </w:r>
                        <w:r>
                          <w:rPr>
                            <w:rFonts w:ascii="Times New Roman" w:hAnsi="Times New Roman" w:cs="Times New Roman" w:eastAsia="Times New Roman" w:hint="default"/>
                            <w:spacing w:val="-14"/>
                            <w:w w:val="99"/>
                            <w:sz w:val="18"/>
                            <w:szCs w:val="18"/>
                          </w:rPr>
                          <w:t>Variety</w:t>
                        </w:r>
                        <w:r>
                          <w:rPr>
                            <w:rFonts w:ascii="宋体" w:hAnsi="宋体" w:cs="宋体" w:eastAsia="宋体" w:hint="default"/>
                            <w:spacing w:val="-14"/>
                            <w:w w:val="99"/>
                            <w:sz w:val="18"/>
                            <w:szCs w:val="18"/>
                          </w:rPr>
                          <w:t>（种类多样）</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Times New Roman" w:hAnsi="Times New Roman" w:cs="Times New Roman" w:eastAsia="Times New Roman" w:hint="default"/>
                            <w:sz w:val="18"/>
                            <w:szCs w:val="18"/>
                          </w:rPr>
                          <w:t>Veracity</w:t>
                        </w:r>
                        <w:r>
                          <w:rPr>
                            <w:rFonts w:ascii="宋体" w:hAnsi="宋体" w:cs="宋体" w:eastAsia="宋体" w:hint="default"/>
                            <w:sz w:val="18"/>
                            <w:szCs w:val="18"/>
                          </w:rPr>
                          <w:t>（真实性）</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英文缩写为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IoT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Internet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5"/>
                            <w:w w:val="99"/>
                            <w:sz w:val="18"/>
                            <w:szCs w:val="18"/>
                          </w:rPr>
                          <w:t>Things</w:t>
                        </w:r>
                        <w:r>
                          <w:rPr>
                            <w:rFonts w:ascii="宋体" w:hAnsi="宋体" w:cs="宋体" w:eastAsia="宋体" w:hint="default"/>
                            <w:spacing w:val="-5"/>
                            <w:w w:val="99"/>
                            <w:sz w:val="18"/>
                            <w:szCs w:val="18"/>
                          </w:rPr>
                          <w:t>）。是指通过各种信息传感设备，</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pacing w:val="-5"/>
                            <w:sz w:val="18"/>
                            <w:szCs w:val="18"/>
                          </w:rPr>
                          <w:t>实时采集任何需要监控、连接、互动的物体或过程等各种需要的信息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与互联网结合形成的一个巨大网络。其目的是实现物与物、物与人， 所有的物品与网络的连接，方便识别、管理和控制</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英文缩写为</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AI</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Artificial</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4"/>
                            <w:w w:val="99"/>
                            <w:sz w:val="18"/>
                            <w:szCs w:val="18"/>
                          </w:rPr>
                          <w:t>Intelligence</w:t>
                        </w:r>
                        <w:r>
                          <w:rPr>
                            <w:rFonts w:ascii="宋体" w:hAnsi="宋体" w:cs="宋体" w:eastAsia="宋体" w:hint="default"/>
                            <w:spacing w:val="-4"/>
                            <w:w w:val="99"/>
                            <w:sz w:val="18"/>
                            <w:szCs w:val="18"/>
                          </w:rPr>
                          <w:t>）。它是研究、开发用于模拟、</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pacing w:val="-2"/>
                            <w:sz w:val="18"/>
                            <w:szCs w:val="18"/>
                          </w:rPr>
                          <w:t>延伸和扩展人的智能的理论、方法、技术及应用系统的一门新的技术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科学。人工智能是指能够像人一样进行感知、认知、决策和执行的人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工程序或系统</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2"/>
                          <w:jc w:val="left"/>
                          <w:rPr>
                            <w:rFonts w:ascii="宋体" w:hAnsi="宋体" w:cs="宋体" w:eastAsia="宋体" w:hint="default"/>
                            <w:sz w:val="18"/>
                            <w:szCs w:val="18"/>
                          </w:rPr>
                        </w:pPr>
                        <w:r>
                          <w:rPr>
                            <w:rFonts w:ascii="宋体" w:hAnsi="宋体" w:cs="宋体" w:eastAsia="宋体" w:hint="default"/>
                            <w:spacing w:val="-5"/>
                            <w:sz w:val="18"/>
                            <w:szCs w:val="18"/>
                          </w:rPr>
                          <w:t>区块链是一个分布式的共享账本和数据库，具有去中心化、不可篡改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全程留痕、可以追溯、集体维护、公开透明等特点</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r>
                          <w:rPr>
                            <w:rFonts w:ascii="Times New Roman" w:hAnsi="Times New Roman" w:cs="Times New Roman" w:eastAsia="Times New Roman" w:hint="default"/>
                            <w:sz w:val="18"/>
                            <w:szCs w:val="18"/>
                          </w:rPr>
                          <w:t>the 5th generation mobile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networks</w:t>
                        </w:r>
                        <w:r>
                          <w:rPr>
                            <w:rFonts w:ascii="宋体" w:hAnsi="宋体" w:cs="宋体" w:eastAsia="宋体" w:hint="default"/>
                            <w:sz w:val="18"/>
                            <w:szCs w:val="18"/>
                          </w:rPr>
                          <w:t>）的缩写</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HCS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高可信软件（</w:t>
                        </w:r>
                        <w:r>
                          <w:rPr>
                            <w:rFonts w:ascii="Times New Roman" w:hAnsi="Times New Roman" w:cs="Times New Roman" w:eastAsia="Times New Roman" w:hint="default"/>
                            <w:sz w:val="18"/>
                            <w:szCs w:val="18"/>
                          </w:rPr>
                          <w:t>High-confidence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Software</w:t>
                        </w:r>
                        <w:r>
                          <w:rPr>
                            <w:rFonts w:ascii="宋体" w:hAnsi="宋体" w:cs="宋体" w:eastAsia="宋体" w:hint="default"/>
                            <w:sz w:val="18"/>
                            <w:szCs w:val="18"/>
                          </w:rPr>
                          <w:t>）的缩写，是可靠安全性和保</w:t>
                        </w:r>
                        <w:r>
                          <w:rPr>
                            <w:rFonts w:ascii="宋体" w:hAnsi="宋体" w:cs="宋体" w:eastAsia="宋体" w:hint="default"/>
                            <w:w w:val="99"/>
                            <w:sz w:val="18"/>
                            <w:szCs w:val="18"/>
                          </w:rPr>
                          <w:t> </w:t>
                        </w:r>
                        <w:r>
                          <w:rPr>
                            <w:rFonts w:ascii="宋体" w:hAnsi="宋体" w:cs="宋体" w:eastAsia="宋体" w:hint="default"/>
                            <w:spacing w:val="-2"/>
                            <w:sz w:val="18"/>
                            <w:szCs w:val="18"/>
                          </w:rPr>
                          <w:t>密安全性标准极高的软件，有别于一般软件所采用的测试手段，高可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信软件的可靠和安全是通过程序分析加强和程序验证来保证的</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电信运营支撑系统（</w:t>
                        </w:r>
                        <w:r>
                          <w:rPr>
                            <w:rFonts w:ascii="Times New Roman" w:hAnsi="Times New Roman" w:cs="Times New Roman" w:eastAsia="Times New Roman" w:hint="default"/>
                            <w:sz w:val="18"/>
                            <w:szCs w:val="18"/>
                          </w:rPr>
                          <w:t>Operation Support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）的缩写，是电信运营 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系统三大主要子系统之一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基础设施即服务</w:t>
                        </w:r>
                        <w:r>
                          <w:rPr>
                            <w:rFonts w:ascii="Times New Roman" w:hAnsi="Times New Roman" w:cs="Times New Roman" w:eastAsia="Times New Roman" w:hint="default"/>
                            <w:sz w:val="18"/>
                            <w:szCs w:val="18"/>
                          </w:rPr>
                          <w:t>(Infrastructure as 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平台即服务（</w:t>
                        </w:r>
                        <w:r>
                          <w:rPr>
                            <w:rFonts w:ascii="Times New Roman" w:hAnsi="Times New Roman" w:cs="Times New Roman" w:eastAsia="Times New Roman" w:hint="default"/>
                            <w:sz w:val="18"/>
                            <w:szCs w:val="18"/>
                          </w:rPr>
                          <w:t>Platform as 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）的缩写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软件即服务（</w:t>
                        </w:r>
                        <w:r>
                          <w:rPr>
                            <w:rFonts w:ascii="Times New Roman" w:hAnsi="Times New Roman" w:cs="Times New Roman" w:eastAsia="Times New Roman" w:hint="default"/>
                            <w:sz w:val="18"/>
                            <w:szCs w:val="18"/>
                          </w:rPr>
                          <w:t>Software as 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EDM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企业数据模型（</w:t>
                        </w:r>
                        <w:r>
                          <w:rPr>
                            <w:rFonts w:ascii="Times New Roman" w:hAnsi="Times New Roman" w:cs="Times New Roman" w:eastAsia="Times New Roman" w:hint="default"/>
                            <w:sz w:val="18"/>
                            <w:szCs w:val="18"/>
                          </w:rPr>
                          <w:t>Enterprise Data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Model</w:t>
                        </w:r>
                        <w:r>
                          <w:rPr>
                            <w:rFonts w:ascii="宋体" w:hAnsi="宋体" w:cs="宋体" w:eastAsia="宋体" w:hint="default"/>
                            <w:sz w:val="18"/>
                            <w:szCs w:val="18"/>
                          </w:rPr>
                          <w:t>）的缩写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信息技术（</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）的缩写</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电信运营商利用通信技术和信息技术资源，为其他行业信息化提供解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决方案和产品服务</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软件定义型网络（</w:t>
                        </w: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）的缩写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NFV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网络功能虚拟化（</w:t>
                        </w:r>
                        <w:r>
                          <w:rPr>
                            <w:rFonts w:ascii="Times New Roman" w:hAnsi="Times New Roman" w:cs="Times New Roman" w:eastAsia="Times New Roman" w:hint="default"/>
                            <w:sz w:val="18"/>
                            <w:szCs w:val="18"/>
                          </w:rPr>
                          <w:t>Network Function</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Virtualization</w:t>
                        </w:r>
                        <w:r>
                          <w:rPr>
                            <w:rFonts w:ascii="宋体" w:hAnsi="宋体" w:cs="宋体" w:eastAsia="宋体" w:hint="default"/>
                            <w:sz w:val="18"/>
                            <w:szCs w:val="18"/>
                          </w:rPr>
                          <w:t>）的缩写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BMS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Battery Management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，电池管理系统</w:t>
                        </w:r>
                      </w:p>
                    </w:tc>
                  </w:tr>
                </w:tbl>
                <w:p>
                  <w:pPr/>
                </w:p>
              </w:txbxContent>
            </v:textbox>
            <w10:wrap type="none"/>
          </v:shape>
        </w:pict>
      </w: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BDU</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电池包断路单元（</w:t>
            </w:r>
            <w:r>
              <w:rPr>
                <w:rFonts w:ascii="Times New Roman" w:hAnsi="Times New Roman" w:cs="Times New Roman" w:eastAsia="Times New Roman" w:hint="default"/>
                <w:sz w:val="18"/>
                <w:szCs w:val="18"/>
              </w:rPr>
              <w:t>Battery Disconnect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Unit</w:t>
            </w:r>
            <w:r>
              <w:rPr>
                <w:rFonts w:ascii="宋体" w:hAnsi="宋体" w:cs="宋体" w:eastAsia="宋体" w:hint="default"/>
                <w:sz w:val="18"/>
                <w:szCs w:val="18"/>
              </w:rPr>
              <w:t>）的缩写，专为电池包内部 设计，也是高压配电盒的一种</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PACK</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对单体电芯进行串联或者并联的组合后连接上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BMS</w:t>
            </w:r>
            <w:r>
              <w:rPr>
                <w:rFonts w:ascii="宋体" w:hAnsi="宋体" w:cs="宋体" w:eastAsia="宋体" w:hint="default"/>
                <w:sz w:val="18"/>
                <w:szCs w:val="18"/>
              </w:rPr>
              <w:t>，使单体电芯成 为有充放电智能控制等功能的集成产品的过程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SOC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State of</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Charge</w:t>
            </w:r>
            <w:r>
              <w:rPr>
                <w:rFonts w:ascii="宋体" w:hAnsi="宋体" w:cs="宋体" w:eastAsia="宋体" w:hint="default"/>
                <w:sz w:val="18"/>
                <w:szCs w:val="18"/>
              </w:rPr>
              <w:t>，荷电状态，电池剩余容量与标称容量的比值</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SOF</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State of</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Function</w:t>
            </w:r>
            <w:r>
              <w:rPr>
                <w:rFonts w:ascii="宋体" w:hAnsi="宋体" w:cs="宋体" w:eastAsia="宋体" w:hint="default"/>
                <w:sz w:val="18"/>
                <w:szCs w:val="18"/>
              </w:rPr>
              <w:t>，电池的瞬态功率，用来描述蓄电池的最大可用充放 电功率</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AUTOSAR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汽车开放系统架构（</w:t>
            </w:r>
            <w:r>
              <w:rPr>
                <w:rFonts w:ascii="Times New Roman" w:hAnsi="Times New Roman" w:cs="Times New Roman" w:eastAsia="Times New Roman" w:hint="default"/>
                <w:sz w:val="18"/>
                <w:szCs w:val="18"/>
              </w:rPr>
              <w:t>AUTomotive Open System</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Architecture</w:t>
            </w:r>
            <w:r>
              <w:rPr>
                <w:rFonts w:ascii="宋体" w:hAnsi="宋体" w:cs="宋体" w:eastAsia="宋体" w:hint="default"/>
                <w:sz w:val="18"/>
                <w:szCs w:val="18"/>
              </w:rPr>
              <w:t>）的缩写</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注：本报告部分合计数与各加数直接相加之和在尾数上存在差异，这些差异是由于四舍五入所致。</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2724"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69995pt;margin-top:114.681595pt;width:361.55pt;height:19.75pt;mso-position-horizontal-relative:page;mso-position-vertical-relative:paragraph;z-index:-1158664" coordorigin="3447,2294" coordsize="7231,395">
            <v:shape style="position:absolute;left:3447;top:2294;width:7231;height:395" coordorigin="3447,2294" coordsize="7231,395" path="m3447,2688l10678,2688,10678,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300520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GuoChuang Software</w:t>
            </w:r>
            <w:r>
              <w:rPr>
                <w:rFonts w:ascii="Times New Roman"/>
                <w:spacing w:val="-9"/>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53"/>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GuoChuang</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230088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230088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www.kdgcsoft.com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zhengquanbu@ustcsoft.com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杨涛</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合肥市高新区文曲路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 </w:t>
            </w:r>
            <w:r>
              <w:rPr>
                <w:rFonts w:ascii="宋体" w:hAnsi="宋体" w:cs="宋体" w:eastAsia="宋体" w:hint="default"/>
                <w:sz w:val="18"/>
                <w:szCs w:val="18"/>
              </w:rPr>
              <w:t>号</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0551-65396760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0551-65396760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0551-65396799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0551-65396799</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zhengquanbu@ustcsoft.com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zhengquanbu@ustcsoft.com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0"/>
        <w:gridCol w:w="5590"/>
      </w:tblGrid>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03"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汪玉寿、黄冰冰、何平平</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胡伟、丁江波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高书法、蒋贻宏、胡伟、牛海 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6"/>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1,569,717,788.81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982,146,999.04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607,857,521.79</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118,846,143.80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48,860,741.98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18,374,393.31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80,005,781.67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32,554,407.38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6,469,478.70</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93,651,589.13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-18,299,281.46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-3,235,178.77</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3.44%</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2,709,285,652.51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2,125,446,097.95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1,263,333,466.91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1,572,685,279.15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1,294,146,017.50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563,244,055.77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250,384,762</w:t>
            </w:r>
          </w:p>
        </w:tc>
      </w:tr>
    </w:tbl>
    <w:p>
      <w:pPr>
        <w:spacing w:line="314" w:lineRule="auto" w:before="49"/>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6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0.4747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308,930,960.94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384,855,242.49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333,671,574.55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542,260,010.83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8,541,632.96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21,254,578.67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20,665,364.55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68,384,567.62</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5,110,980.55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16,215,492.66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11,308,792.24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47,370,516.22</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-178,660,454.11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-47,992,453.01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-17,175,456.26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337,479,952.51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-2,582,748.88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14,806.82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30,495,064.98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18,779,751.88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12,242,268.34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55,032.02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2,423,958.37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2,316,129.64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16,063,303.59</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284"/>
        <w:gridCol w:w="1533"/>
        <w:gridCol w:w="1519"/>
        <w:gridCol w:w="1522"/>
        <w:gridCol w:w="1712"/>
      </w:tblGrid>
      <w:tr>
        <w:trPr>
          <w:trHeight w:val="161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9"/>
              <w:jc w:val="both"/>
              <w:rPr>
                <w:rFonts w:ascii="宋体" w:hAnsi="宋体" w:cs="宋体" w:eastAsia="宋体" w:hint="default"/>
                <w:sz w:val="18"/>
                <w:szCs w:val="18"/>
              </w:rPr>
            </w:pPr>
            <w:r>
              <w:rPr>
                <w:rFonts w:ascii="宋体" w:hAnsi="宋体" w:cs="宋体" w:eastAsia="宋体" w:hint="default"/>
                <w:sz w:val="18"/>
                <w:szCs w:val="18"/>
              </w:rPr>
              <w:t>融资产、交易性金融负债、衍生金融负债 产生的公允价值变动损益，以及处置交易 性金融资产、衍生金融资产、交易性金融 负债、衍生金融负债和其他债权投资取得 的投资收益</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-1,201,524.16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-22,037.62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3,667,344.81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2,964,976.52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2,042,577.88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1,522,008.13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729,535.33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603,674.69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38,840,362.13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16,306,334.60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11,904,914.61</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3"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73" w:lineRule="auto" w:before="83"/>
        <w:ind w:left="573" w:right="1133"/>
        <w:jc w:val="left"/>
      </w:pPr>
      <w:r>
        <w:rPr/>
        <w:t>（一）主要业务与产品</w:t>
      </w:r>
      <w:r>
        <w:rPr>
          <w:w w:val="100"/>
        </w:rPr>
        <w:t> </w:t>
      </w:r>
      <w:r>
        <w:rPr>
          <w:spacing w:val="2"/>
        </w:rPr>
        <w:t>科大国创是国内领先的数据智能技术研发和应用的高科技企业，致力于打造软硬件一体化的智能产</w:t>
      </w:r>
    </w:p>
    <w:p>
      <w:pPr>
        <w:pStyle w:val="BodyText"/>
        <w:spacing w:line="266" w:lineRule="auto" w:before="7"/>
        <w:ind w:right="1126"/>
        <w:jc w:val="both"/>
      </w:pPr>
      <w:r>
        <w:rPr>
          <w:spacing w:val="-2"/>
        </w:rPr>
        <w:t>品，提供以云平台为基础的</w:t>
      </w:r>
      <w:r>
        <w:rPr>
          <w:rFonts w:ascii="Times New Roman" w:hAnsi="Times New Roman" w:cs="Times New Roman" w:eastAsia="Times New Roman" w:hint="default"/>
          <w:spacing w:val="-2"/>
        </w:rPr>
        <w:t>IT</w:t>
      </w:r>
      <w:r>
        <w:rPr>
          <w:spacing w:val="-2"/>
        </w:rPr>
        <w:t>整体解决方案与服务。公司源自中国科学技术大学，发挥多年积累的大数据</w:t>
      </w:r>
      <w:r>
        <w:rPr>
          <w:spacing w:val="-34"/>
        </w:rPr>
        <w:t> </w:t>
      </w:r>
      <w:r>
        <w:rPr>
          <w:spacing w:val="-34"/>
        </w:rPr>
      </w:r>
      <w:r>
        <w:rPr>
          <w:spacing w:val="-2"/>
        </w:rPr>
        <w:t>处理技术和深厚的行业经验优势，抓住人工智能发展契机，积极开展数据智能技术的研发和应用，赋能各</w:t>
      </w:r>
      <w:r>
        <w:rPr>
          <w:spacing w:val="-43"/>
        </w:rPr>
        <w:t> </w:t>
      </w:r>
      <w:r>
        <w:rPr>
          <w:spacing w:val="-43"/>
        </w:rPr>
      </w:r>
      <w:r>
        <w:rPr/>
        <w:t>行业领域客户专属的数据智能能力，推动国家以数据为驱动的数智化转型。</w:t>
      </w:r>
    </w:p>
    <w:p>
      <w:pPr>
        <w:pStyle w:val="BodyText"/>
        <w:spacing w:line="261" w:lineRule="auto" w:before="14"/>
        <w:ind w:right="0" w:firstLine="420"/>
        <w:jc w:val="left"/>
      </w:pPr>
      <w:r>
        <w:rPr>
          <w:spacing w:val="-5"/>
        </w:rPr>
        <w:t>公司以数据智能为核心技术，构建了国创九章</w:t>
      </w:r>
      <w:r>
        <w:rPr>
          <w:rFonts w:ascii="Times New Roman" w:hAnsi="Times New Roman" w:cs="Times New Roman" w:eastAsia="Times New Roman" w:hint="default"/>
          <w:spacing w:val="-5"/>
        </w:rPr>
        <w:t>AI</w:t>
      </w:r>
      <w:r>
        <w:rPr>
          <w:spacing w:val="-5"/>
        </w:rPr>
        <w:t>平台、国创天演</w:t>
      </w:r>
      <w:r>
        <w:rPr>
          <w:rFonts w:ascii="Times New Roman" w:hAnsi="Times New Roman" w:cs="Times New Roman" w:eastAsia="Times New Roman" w:hint="default"/>
          <w:spacing w:val="-5"/>
        </w:rPr>
        <w:t>PaaS</w:t>
      </w:r>
      <w:r>
        <w:rPr>
          <w:spacing w:val="-5"/>
        </w:rPr>
        <w:t>云平台、国创智能产品开发平台、</w:t>
      </w:r>
      <w:r>
        <w:rPr>
          <w:w w:val="100"/>
        </w:rPr>
        <w:t> </w:t>
      </w:r>
      <w:r>
        <w:rPr/>
        <w:t>国创高可信软件（</w:t>
      </w:r>
      <w:r>
        <w:rPr>
          <w:rFonts w:ascii="Times New Roman" w:hAnsi="Times New Roman" w:cs="Times New Roman" w:eastAsia="Times New Roman" w:hint="default"/>
        </w:rPr>
        <w:t>HCS</w:t>
      </w:r>
      <w:r>
        <w:rPr/>
        <w:t>）集成开发平台，研发了电信运营支撑系统（</w:t>
      </w:r>
      <w:r>
        <w:rPr>
          <w:rFonts w:ascii="Times New Roman" w:hAnsi="Times New Roman" w:cs="Times New Roman" w:eastAsia="Times New Roman" w:hint="default"/>
        </w:rPr>
        <w:t>OSS</w:t>
      </w:r>
      <w:r>
        <w:rPr/>
        <w:t>）智能软件、数据智能行业应用</w:t>
      </w:r>
      <w:r>
        <w:rPr>
          <w:spacing w:val="-90"/>
        </w:rPr>
        <w:t> </w:t>
      </w:r>
      <w:r>
        <w:rPr>
          <w:spacing w:val="-90"/>
        </w:rPr>
      </w:r>
      <w:r>
        <w:rPr/>
        <w:t>软件、智慧物流云平台、智能</w:t>
      </w:r>
      <w:r>
        <w:rPr>
          <w:rFonts w:ascii="Times New Roman" w:hAnsi="Times New Roman" w:cs="Times New Roman" w:eastAsia="Times New Roman" w:hint="default"/>
        </w:rPr>
        <w:t>BMS</w:t>
      </w:r>
      <w:r>
        <w:rPr/>
        <w:t>等一系列自主核心产品，广泛应用于运营商</w:t>
      </w:r>
      <w:r>
        <w:rPr>
          <w:rFonts w:ascii="Times New Roman" w:hAnsi="Times New Roman" w:cs="Times New Roman" w:eastAsia="Times New Roman" w:hint="default"/>
        </w:rPr>
        <w:t>&amp;</w:t>
      </w:r>
      <w:r>
        <w:rPr/>
        <w:t>政企、智慧物流、智能汽</w:t>
      </w:r>
      <w:r>
        <w:rPr>
          <w:w w:val="100"/>
        </w:rPr>
        <w:t> </w:t>
      </w:r>
      <w:r>
        <w:rPr>
          <w:spacing w:val="-2"/>
        </w:rPr>
        <w:t>车等行业和领域，形成了数据智能行业应用、数据智能平台运营、智能软硬件产品三大业务板块，创新性</w:t>
      </w:r>
      <w:r>
        <w:rPr>
          <w:spacing w:val="-50"/>
        </w:rPr>
        <w:t> </w:t>
      </w:r>
      <w:r>
        <w:rPr>
          <w:spacing w:val="-50"/>
        </w:rPr>
      </w:r>
      <w:r>
        <w:rPr>
          <w:spacing w:val="-4"/>
        </w:rPr>
        <w:t>的打造了具有国创特色的</w:t>
      </w:r>
      <w:r>
        <w:rPr>
          <w:rFonts w:ascii="Times New Roman" w:hAnsi="Times New Roman" w:cs="Times New Roman" w:eastAsia="Times New Roman" w:hint="default"/>
          <w:spacing w:val="-4"/>
        </w:rPr>
        <w:t>“</w:t>
      </w:r>
      <w:r>
        <w:rPr>
          <w:spacing w:val="-4"/>
        </w:rPr>
        <w:t>技术</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平台</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产品</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三大业务模式。经过十余年的努力，公</w:t>
      </w:r>
      <w:r>
        <w:rPr>
          <w:spacing w:val="-13"/>
        </w:rPr>
        <w:t> </w:t>
      </w:r>
      <w:r>
        <w:rPr>
          <w:spacing w:val="-13"/>
        </w:rPr>
      </w:r>
      <w:r>
        <w:rPr/>
        <w:t>司已成为行业软件的领先者，大数据研发应用的国家队，数据智能技术的创新者。</w:t>
      </w:r>
    </w:p>
    <w:p>
      <w:pPr>
        <w:spacing w:line="240" w:lineRule="auto" w:before="5"/>
        <w:rPr>
          <w:rFonts w:ascii="宋体" w:hAnsi="宋体" w:cs="宋体" w:eastAsia="宋体" w:hint="default"/>
          <w:sz w:val="5"/>
          <w:szCs w:val="5"/>
        </w:rPr>
      </w:pPr>
    </w:p>
    <w:p>
      <w:pPr>
        <w:spacing w:line="5535" w:lineRule="exact"/>
        <w:ind w:left="153"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6151721" cy="3514725"/>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6151721" cy="3514725"/>
                    </a:xfrm>
                    <a:prstGeom prst="rect">
                      <a:avLst/>
                    </a:prstGeom>
                  </pic:spPr>
                </pic:pic>
              </a:graphicData>
            </a:graphic>
          </wp:inline>
        </w:drawing>
      </w:r>
      <w:r>
        <w:rPr>
          <w:rFonts w:ascii="宋体" w:hAnsi="宋体" w:cs="宋体" w:eastAsia="宋体" w:hint="default"/>
          <w:position w:val="-110"/>
          <w:sz w:val="20"/>
          <w:szCs w:val="20"/>
        </w:rPr>
      </w:r>
    </w:p>
    <w:p>
      <w:pPr>
        <w:pStyle w:val="BodyText"/>
        <w:spacing w:line="256" w:lineRule="auto" w:before="29"/>
        <w:ind w:left="573" w:right="1133"/>
        <w:jc w:val="left"/>
      </w:pPr>
      <w:r>
        <w:rPr>
          <w:rFonts w:ascii="Times New Roman" w:hAnsi="Times New Roman" w:cs="Times New Roman" w:eastAsia="Times New Roman" w:hint="default"/>
        </w:rPr>
        <w:t>1</w:t>
      </w:r>
      <w:r>
        <w:rPr/>
        <w:t>、数据智能行业应用</w:t>
      </w:r>
      <w:r>
        <w:rPr>
          <w:w w:val="100"/>
        </w:rPr>
        <w:t> </w:t>
      </w:r>
      <w:r>
        <w:rPr>
          <w:spacing w:val="2"/>
        </w:rPr>
        <w:t>公司依托多年积累的行业经验和数据智能能力，打造了自主知识产权的国创九章</w:t>
      </w:r>
      <w:r>
        <w:rPr>
          <w:rFonts w:ascii="Times New Roman" w:hAnsi="Times New Roman" w:cs="Times New Roman" w:eastAsia="Times New Roman" w:hint="default"/>
          <w:spacing w:val="2"/>
        </w:rPr>
        <w:t>AI</w:t>
      </w:r>
      <w:r>
        <w:rPr>
          <w:spacing w:val="2"/>
        </w:rPr>
        <w:t>平台和国创天演</w:t>
      </w:r>
    </w:p>
    <w:p>
      <w:pPr>
        <w:pStyle w:val="BodyText"/>
        <w:spacing w:line="264" w:lineRule="auto" w:before="5"/>
        <w:ind w:right="1128"/>
        <w:jc w:val="both"/>
      </w:pPr>
      <w:r>
        <w:rPr>
          <w:rFonts w:ascii="Times New Roman" w:hAnsi="Times New Roman" w:cs="Times New Roman" w:eastAsia="Times New Roman" w:hint="default"/>
          <w:spacing w:val="-2"/>
        </w:rPr>
        <w:t>PaaS</w:t>
      </w:r>
      <w:r>
        <w:rPr>
          <w:spacing w:val="-2"/>
        </w:rPr>
        <w:t>云平台。基于平台并深刻挖掘行业需求研发了电信</w:t>
      </w:r>
      <w:r>
        <w:rPr>
          <w:rFonts w:ascii="Times New Roman" w:hAnsi="Times New Roman" w:cs="Times New Roman" w:eastAsia="Times New Roman" w:hint="default"/>
          <w:spacing w:val="-2"/>
        </w:rPr>
        <w:t>OSS</w:t>
      </w:r>
      <w:r>
        <w:rPr>
          <w:spacing w:val="-2"/>
        </w:rPr>
        <w:t>智能软件和数据智能行业应用软件产品，并广</w:t>
      </w:r>
      <w:r>
        <w:rPr>
          <w:spacing w:val="-4"/>
        </w:rPr>
        <w:t> </w:t>
      </w:r>
      <w:r>
        <w:rPr>
          <w:spacing w:val="-4"/>
        </w:rPr>
      </w:r>
      <w:r>
        <w:rPr>
          <w:spacing w:val="-3"/>
        </w:rPr>
        <w:t>泛应用于运营商和政企（政府、交通、能源、金融等），为客户数字化转型、高质量发展、科技创新提供</w:t>
      </w:r>
      <w:r>
        <w:rPr>
          <w:spacing w:val="-5"/>
        </w:rPr>
        <w:t> </w:t>
      </w:r>
      <w:r>
        <w:rPr>
          <w:spacing w:val="-5"/>
        </w:rPr>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w:t>
      </w:r>
    </w:p>
    <w:p>
      <w:pPr>
        <w:pStyle w:val="BodyText"/>
        <w:spacing w:line="264" w:lineRule="auto"/>
        <w:ind w:right="1126" w:firstLine="420"/>
        <w:jc w:val="both"/>
      </w:pPr>
      <w:r>
        <w:rPr>
          <w:spacing w:val="-2"/>
        </w:rPr>
        <w:t>电信</w:t>
      </w:r>
      <w:r>
        <w:rPr>
          <w:rFonts w:ascii="Times New Roman" w:hAnsi="Times New Roman" w:cs="Times New Roman" w:eastAsia="Times New Roman" w:hint="default"/>
          <w:spacing w:val="-2"/>
        </w:rPr>
        <w:t>OSS</w:t>
      </w:r>
      <w:r>
        <w:rPr>
          <w:spacing w:val="-2"/>
        </w:rPr>
        <w:t>智能软件针对电信运营商的业务与网络编排、云网一体化、网资融合管理、全触点自助客服</w:t>
      </w:r>
      <w:r>
        <w:rPr>
          <w:w w:val="100"/>
        </w:rPr>
        <w:t> </w:t>
      </w:r>
      <w:r>
        <w:rPr>
          <w:spacing w:val="-2"/>
        </w:rPr>
        <w:t>等方向提供专项支撑，助力其建立敏捷、智能、开放、安全的运营体系，实现业务开通激活、投诉与故障</w:t>
      </w:r>
      <w:r>
        <w:rPr>
          <w:spacing w:val="-43"/>
        </w:rPr>
        <w:t> </w:t>
      </w:r>
      <w:r>
        <w:rPr>
          <w:spacing w:val="-43"/>
        </w:rPr>
      </w:r>
      <w:r>
        <w:rPr>
          <w:spacing w:val="-2"/>
        </w:rPr>
        <w:t>处理、网络运营监控等场景提供实时的运营保障和分析，从而提升电信运营商的客户服务质量和网络运营</w:t>
      </w:r>
    </w:p>
    <w:p>
      <w:pPr>
        <w:spacing w:after="0" w:line="264"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28"/>
        <w:jc w:val="both"/>
      </w:pPr>
      <w:r>
        <w:rPr/>
        <w:t>效率。该产品采用了智能、融合、敏捷的设计理念，利用公司领先的数据智能技术与</w:t>
      </w:r>
      <w:r>
        <w:rPr>
          <w:rFonts w:ascii="Times New Roman" w:hAnsi="Times New Roman" w:cs="Times New Roman" w:eastAsia="Times New Roman" w:hint="default"/>
        </w:rPr>
        <w:t>SDN/NFV</w:t>
      </w:r>
      <w:r>
        <w:rPr/>
        <w:t>、</w:t>
      </w:r>
      <w:r>
        <w:rPr>
          <w:rFonts w:ascii="Times New Roman" w:hAnsi="Times New Roman" w:cs="Times New Roman" w:eastAsia="Times New Roman" w:hint="default"/>
        </w:rPr>
        <w:t>5G</w:t>
      </w:r>
      <w:r>
        <w:rPr/>
        <w:t>、物</w:t>
      </w:r>
      <w:r>
        <w:rPr>
          <w:spacing w:val="-26"/>
        </w:rPr>
        <w:t> </w:t>
      </w:r>
      <w:r>
        <w:rPr/>
        <w:t>联网等转型方向和领域深度融合，高效、智能和全面支撑宽带业务、移动业务、</w:t>
      </w:r>
      <w:r>
        <w:rPr>
          <w:rFonts w:ascii="Times New Roman" w:hAnsi="Times New Roman" w:cs="Times New Roman" w:eastAsia="Times New Roman" w:hint="default"/>
        </w:rPr>
        <w:t>ICT</w:t>
      </w:r>
      <w:r>
        <w:rPr/>
        <w:t>融合业务等多类电信</w:t>
      </w:r>
      <w:r>
        <w:rPr>
          <w:spacing w:val="-45"/>
        </w:rPr>
        <w:t> </w:t>
      </w:r>
      <w:r>
        <w:rPr>
          <w:spacing w:val="-2"/>
        </w:rPr>
        <w:t>业务。面向</w:t>
      </w:r>
      <w:r>
        <w:rPr>
          <w:rFonts w:ascii="Times New Roman" w:hAnsi="Times New Roman" w:cs="Times New Roman" w:eastAsia="Times New Roman" w:hint="default"/>
          <w:spacing w:val="-2"/>
        </w:rPr>
        <w:t>5G</w:t>
      </w:r>
      <w:r>
        <w:rPr>
          <w:spacing w:val="-2"/>
        </w:rPr>
        <w:t>时代电信运营商业务特性的演变，公司着力打造</w:t>
      </w:r>
      <w:r>
        <w:rPr>
          <w:rFonts w:ascii="Times New Roman" w:hAnsi="Times New Roman" w:cs="Times New Roman" w:eastAsia="Times New Roman" w:hint="default"/>
          <w:spacing w:val="-2"/>
        </w:rPr>
        <w:t>“</w:t>
      </w:r>
      <w:r>
        <w:rPr>
          <w:spacing w:val="-2"/>
        </w:rPr>
        <w:t>大圣</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OSS</w:t>
      </w:r>
      <w:r>
        <w:rPr>
          <w:spacing w:val="-2"/>
        </w:rPr>
        <w:t>系统。目前公司已成为中国</w:t>
      </w:r>
      <w:r>
        <w:rPr>
          <w:spacing w:val="-32"/>
        </w:rPr>
        <w:t> </w:t>
      </w:r>
      <w:r>
        <w:rPr>
          <w:spacing w:val="-32"/>
        </w:rPr>
      </w:r>
      <w:r>
        <w:rPr/>
        <w:t>电信、中国移动和中国联通的运营支撑系统核心供应商。</w:t>
      </w:r>
    </w:p>
    <w:p>
      <w:pPr>
        <w:pStyle w:val="BodyText"/>
        <w:spacing w:line="273" w:lineRule="auto" w:before="22"/>
        <w:ind w:right="0" w:firstLine="420"/>
        <w:jc w:val="left"/>
      </w:pPr>
      <w:r>
        <w:rPr/>
        <w:t>数据智能行业应用软件针对交通、能源、金融、政府的行业特点与共性，高度抽取业务模型，实现了</w:t>
      </w:r>
      <w:r>
        <w:rPr>
          <w:w w:val="100"/>
        </w:rPr>
        <w:t> </w:t>
      </w:r>
      <w:r>
        <w:rPr/>
        <w:t>精准管理、高效服务、分析决策等功能。该产品运用大数据处理、知识挖掘、视频图像感知、智能识别、</w:t>
      </w:r>
      <w:r>
        <w:rPr>
          <w:w w:val="100"/>
        </w:rPr>
        <w:t> </w:t>
      </w:r>
      <w:r>
        <w:rPr>
          <w:spacing w:val="-2"/>
        </w:rPr>
        <w:t>深度学习等数据智能技术，结合行业业务特征对组织内外的海量数据进行分析及挖掘，并将结果应用于指</w:t>
      </w:r>
      <w:r>
        <w:rPr>
          <w:spacing w:val="-43"/>
        </w:rPr>
        <w:t> </w:t>
      </w:r>
      <w:r>
        <w:rPr>
          <w:spacing w:val="-43"/>
        </w:rPr>
      </w:r>
      <w:r>
        <w:rPr>
          <w:spacing w:val="-2"/>
        </w:rPr>
        <w:t>导组织的管理及决策。在交通实现现场执法的精准高效、综合治超的智能管理；在能源实现安全生产管理</w:t>
      </w:r>
      <w:r>
        <w:rPr>
          <w:spacing w:val="-44"/>
        </w:rPr>
        <w:t> </w:t>
      </w:r>
      <w:r>
        <w:rPr>
          <w:spacing w:val="-44"/>
        </w:rPr>
      </w:r>
      <w:r>
        <w:rPr>
          <w:spacing w:val="-2"/>
        </w:rPr>
        <w:t>的实时监控和智能预警、经营管理的分析与决策；在金融以金融资产的大数据为引擎实现资产管理、风险</w:t>
      </w:r>
      <w:r>
        <w:rPr>
          <w:spacing w:val="-42"/>
        </w:rPr>
        <w:t> </w:t>
      </w:r>
      <w:r>
        <w:rPr>
          <w:spacing w:val="-42"/>
        </w:rPr>
      </w:r>
      <w:r>
        <w:rPr>
          <w:spacing w:val="-5"/>
        </w:rPr>
        <w:t>管控；在政府实现便捷高效的政务服务与决策的科学化、民主化、法制化；在智慧城市实现城市态势感知、</w:t>
      </w:r>
      <w:r>
        <w:rPr>
          <w:spacing w:val="-10"/>
        </w:rPr>
        <w:t> </w:t>
      </w:r>
      <w:r>
        <w:rPr>
          <w:spacing w:val="-10"/>
        </w:rPr>
      </w:r>
      <w:r>
        <w:rPr/>
        <w:t>网格管理、应急管理的分析决策。同时，该产品为信息技术创新应用提供了完整的解决方案。</w:t>
      </w:r>
    </w:p>
    <w:p>
      <w:pPr>
        <w:pStyle w:val="BodyText"/>
        <w:spacing w:line="259" w:lineRule="auto" w:before="7"/>
        <w:ind w:left="573" w:right="1133"/>
        <w:jc w:val="left"/>
      </w:pPr>
      <w:r>
        <w:rPr>
          <w:rFonts w:ascii="Times New Roman" w:hAnsi="Times New Roman" w:cs="Times New Roman" w:eastAsia="Times New Roman" w:hint="default"/>
        </w:rPr>
        <w:t>2</w:t>
      </w:r>
      <w:r>
        <w:rPr/>
        <w:t>、数据智能平台运营</w:t>
      </w:r>
      <w:r>
        <w:rPr>
          <w:w w:val="100"/>
        </w:rPr>
        <w:t> </w:t>
      </w:r>
      <w:r>
        <w:rPr>
          <w:spacing w:val="-2"/>
        </w:rPr>
        <w:t>为抢抓数字经济发展的新机遇，发挥数据智能技术优势，公司积极进军产业互联网，推进平台运营新</w:t>
      </w:r>
    </w:p>
    <w:p>
      <w:pPr>
        <w:pStyle w:val="BodyText"/>
        <w:spacing w:line="264" w:lineRule="auto" w:before="20"/>
        <w:ind w:right="1126"/>
        <w:jc w:val="both"/>
      </w:pPr>
      <w:r>
        <w:rPr>
          <w:spacing w:val="-2"/>
        </w:rPr>
        <w:t>模式的创新发展。公司控股子公司慧联运运用互联网思维，针对传统物流的规模小、分布广、效率低、抗</w:t>
      </w:r>
      <w:r>
        <w:rPr>
          <w:spacing w:val="-43"/>
        </w:rPr>
        <w:t> </w:t>
      </w:r>
      <w:r>
        <w:rPr>
          <w:spacing w:val="-43"/>
        </w:rPr>
      </w:r>
      <w:r>
        <w:rPr/>
        <w:t>风险能力弱、创新能力弱等行业痛点，积极探索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物流</w:t>
      </w:r>
      <w:r>
        <w:rPr>
          <w:rFonts w:ascii="Times New Roman" w:hAnsi="Times New Roman" w:cs="Times New Roman" w:eastAsia="Times New Roman" w:hint="default"/>
        </w:rPr>
        <w:t>”</w:t>
      </w:r>
      <w:r>
        <w:rPr/>
        <w:t>平台模式，自主研发并运营专业化、标准</w:t>
      </w:r>
      <w:r>
        <w:rPr>
          <w:spacing w:val="-14"/>
        </w:rPr>
        <w:t> </w:t>
      </w:r>
      <w:r>
        <w:rPr>
          <w:spacing w:val="-14"/>
        </w:rPr>
      </w:r>
      <w:r>
        <w:rPr/>
        <w:t>化、智能化的数据智能物流云平台，推进现代物流业高质量发展。</w:t>
      </w:r>
    </w:p>
    <w:p>
      <w:pPr>
        <w:pStyle w:val="BodyText"/>
        <w:spacing w:line="261" w:lineRule="auto" w:before="16"/>
        <w:ind w:right="0" w:firstLine="420"/>
        <w:jc w:val="left"/>
      </w:pPr>
      <w:r>
        <w:rPr>
          <w:spacing w:val="-2"/>
        </w:rPr>
        <w:t>智慧物流云平台主要为货主、物流公司、车主等提供科技物流承运、物流信息化、数据运营等综合服</w:t>
      </w:r>
      <w:r>
        <w:rPr>
          <w:w w:val="100"/>
        </w:rPr>
        <w:t> </w:t>
      </w:r>
      <w:r>
        <w:rPr/>
        <w:t>务。</w:t>
      </w:r>
      <w:r>
        <w:rPr>
          <w:rFonts w:ascii="Times New Roman" w:hAnsi="Times New Roman" w:cs="Times New Roman" w:eastAsia="Times New Roman" w:hint="default"/>
        </w:rPr>
        <w:t>2016</w:t>
      </w:r>
      <w:r>
        <w:rPr/>
        <w:t>年起，平台首先聚焦货车端的信息化服务，打造主要面向货车司机的</w:t>
      </w:r>
      <w:r>
        <w:rPr>
          <w:rFonts w:ascii="Times New Roman" w:hAnsi="Times New Roman" w:cs="Times New Roman" w:eastAsia="Times New Roman" w:hint="default"/>
        </w:rPr>
        <w:t>C</w:t>
      </w:r>
      <w:r>
        <w:rPr/>
        <w:t>端产品和服务来增强用户</w:t>
      </w:r>
      <w:r>
        <w:rPr>
          <w:spacing w:val="-56"/>
        </w:rPr>
        <w:t> </w:t>
      </w:r>
      <w:r>
        <w:rPr>
          <w:spacing w:val="-56"/>
        </w:rPr>
      </w:r>
      <w:r>
        <w:rPr/>
        <w:t>粘性，平台可信运力池迅速扩大。</w:t>
      </w:r>
      <w:r>
        <w:rPr>
          <w:rFonts w:ascii="Times New Roman" w:hAnsi="Times New Roman" w:cs="Times New Roman" w:eastAsia="Times New Roman" w:hint="default"/>
        </w:rPr>
        <w:t>2017</w:t>
      </w:r>
      <w:r>
        <w:rPr/>
        <w:t>年，在运力池基础上，平台逐步面向大中型制造业、智能建造业、</w:t>
      </w:r>
      <w:r>
        <w:rPr>
          <w:w w:val="100"/>
        </w:rPr>
        <w:t> </w:t>
      </w:r>
      <w:r>
        <w:rPr/>
        <w:t>医药、冷链等领域拓展整车及零担物流的</w:t>
      </w:r>
      <w:r>
        <w:rPr>
          <w:rFonts w:ascii="Times New Roman" w:hAnsi="Times New Roman" w:cs="Times New Roman" w:eastAsia="Times New Roman" w:hint="default"/>
        </w:rPr>
        <w:t>B</w:t>
      </w:r>
      <w:r>
        <w:rPr/>
        <w:t>端市场，积极构建从货主到物流公司、货车司机的完整物流生</w:t>
      </w:r>
      <w:r>
        <w:rPr>
          <w:spacing w:val="-61"/>
        </w:rPr>
        <w:t> </w:t>
      </w:r>
      <w:r>
        <w:rPr>
          <w:spacing w:val="-61"/>
        </w:rPr>
      </w:r>
      <w:r>
        <w:rPr/>
        <w:t>态链，充分发挥公司科技优势，为</w:t>
      </w:r>
      <w:r>
        <w:rPr>
          <w:rFonts w:ascii="Times New Roman" w:hAnsi="Times New Roman" w:cs="Times New Roman" w:eastAsia="Times New Roman" w:hint="default"/>
        </w:rPr>
        <w:t>B</w:t>
      </w:r>
      <w:r>
        <w:rPr/>
        <w:t>端客户提供高质量的科技物流承运服务。随着业务规模的不断扩大，</w:t>
      </w:r>
      <w:r>
        <w:rPr>
          <w:spacing w:val="-61"/>
        </w:rPr>
        <w:t> </w:t>
      </w:r>
      <w:r>
        <w:rPr>
          <w:spacing w:val="-61"/>
        </w:rPr>
      </w:r>
      <w:r>
        <w:rPr>
          <w:spacing w:val="-2"/>
        </w:rPr>
        <w:t>基于平台沉淀的物流大数据，</w:t>
      </w:r>
      <w:r>
        <w:rPr>
          <w:rFonts w:ascii="Times New Roman" w:hAnsi="Times New Roman" w:cs="Times New Roman" w:eastAsia="Times New Roman" w:hint="default"/>
          <w:spacing w:val="-2"/>
        </w:rPr>
        <w:t>2019</w:t>
      </w:r>
      <w:r>
        <w:rPr>
          <w:spacing w:val="-2"/>
        </w:rPr>
        <w:t>年起逐步探索物流大数据运营服务业务，通过大数据、人工智能、区块</w:t>
      </w:r>
      <w:r>
        <w:rPr>
          <w:spacing w:val="-43"/>
        </w:rPr>
        <w:t> </w:t>
      </w:r>
      <w:r>
        <w:rPr>
          <w:spacing w:val="-43"/>
        </w:rPr>
      </w:r>
      <w:r>
        <w:rPr>
          <w:spacing w:val="-2"/>
        </w:rPr>
        <w:t>链等技术建立物流信用体系，将银行、保险资源与物流企业、货车司机进行高效链接，解决行业普遍的融</w:t>
      </w:r>
      <w:r>
        <w:rPr>
          <w:spacing w:val="-47"/>
        </w:rPr>
        <w:t> </w:t>
      </w:r>
      <w:r>
        <w:rPr>
          <w:spacing w:val="-47"/>
        </w:rPr>
      </w:r>
      <w:r>
        <w:rPr/>
        <w:t>资需求问题，为其提供数据支撑。基于平台各项特色创新服务的持续开展，初步形成了物流信息化服务、</w:t>
      </w:r>
      <w:r>
        <w:rPr>
          <w:w w:val="100"/>
        </w:rPr>
        <w:t> </w:t>
      </w:r>
      <w:r>
        <w:rPr>
          <w:spacing w:val="-6"/>
          <w:w w:val="100"/>
        </w:rPr>
        <w:t>数据运营服务有力提升</w:t>
      </w:r>
      <w:r>
        <w:rPr>
          <w:rFonts w:ascii="Times New Roman" w:hAnsi="Times New Roman" w:cs="Times New Roman" w:eastAsia="Times New Roman" w:hint="default"/>
          <w:spacing w:val="-6"/>
          <w:w w:val="100"/>
        </w:rPr>
        <w:t>C</w:t>
      </w:r>
      <w:r>
        <w:rPr>
          <w:spacing w:val="-6"/>
          <w:w w:val="100"/>
        </w:rPr>
        <w:t>端用户粘性，高粘性反哺平台，进一步促进平台在</w:t>
      </w:r>
      <w:r>
        <w:rPr>
          <w:rFonts w:ascii="Times New Roman" w:hAnsi="Times New Roman" w:cs="Times New Roman" w:eastAsia="Times New Roman" w:hint="default"/>
          <w:spacing w:val="-6"/>
          <w:w w:val="100"/>
        </w:rPr>
        <w:t>B</w:t>
      </w:r>
      <w:r>
        <w:rPr>
          <w:spacing w:val="-6"/>
          <w:w w:val="100"/>
        </w:rPr>
        <w:t>端的竞争优势的良性生态循环，</w:t>
      </w:r>
      <w:r>
        <w:rPr>
          <w:spacing w:val="-83"/>
          <w:w w:val="100"/>
        </w:rPr>
        <w:t> </w:t>
      </w:r>
      <w:r>
        <w:rPr>
          <w:spacing w:val="-83"/>
          <w:w w:val="100"/>
        </w:rPr>
      </w:r>
      <w:r>
        <w:rPr/>
        <w:t>平台能力不断夯实。</w:t>
      </w:r>
    </w:p>
    <w:p>
      <w:pPr>
        <w:pStyle w:val="BodyText"/>
        <w:spacing w:line="256" w:lineRule="auto" w:before="18"/>
        <w:ind w:left="573" w:right="1133"/>
        <w:jc w:val="left"/>
      </w:pPr>
      <w:r>
        <w:rPr>
          <w:rFonts w:ascii="Times New Roman" w:hAnsi="Times New Roman" w:cs="Times New Roman" w:eastAsia="Times New Roman" w:hint="default"/>
        </w:rPr>
        <w:t>3</w:t>
      </w:r>
      <w:r>
        <w:rPr/>
        <w:t>、智能软硬件产品</w:t>
      </w:r>
      <w:r>
        <w:rPr>
          <w:w w:val="100"/>
        </w:rPr>
        <w:t> </w:t>
      </w:r>
      <w:r>
        <w:rPr>
          <w:spacing w:val="-2"/>
        </w:rPr>
        <w:t>公司长期坚持</w:t>
      </w:r>
      <w:r>
        <w:rPr>
          <w:rFonts w:ascii="Times New Roman" w:hAnsi="Times New Roman" w:cs="Times New Roman" w:eastAsia="Times New Roman" w:hint="default"/>
          <w:spacing w:val="-2"/>
        </w:rPr>
        <w:t>“</w:t>
      </w:r>
      <w:r>
        <w:rPr>
          <w:spacing w:val="-2"/>
        </w:rPr>
        <w:t>产品引领战略</w:t>
      </w:r>
      <w:r>
        <w:rPr>
          <w:rFonts w:ascii="Times New Roman" w:hAnsi="Times New Roman" w:cs="Times New Roman" w:eastAsia="Times New Roman" w:hint="default"/>
          <w:spacing w:val="-2"/>
        </w:rPr>
        <w:t>”</w:t>
      </w:r>
      <w:r>
        <w:rPr>
          <w:spacing w:val="-2"/>
        </w:rPr>
        <w:t>，积极布局智能软硬件产品。一方面持续大力投入国际领先的高可信软</w:t>
      </w:r>
    </w:p>
    <w:p>
      <w:pPr>
        <w:pStyle w:val="BodyText"/>
        <w:spacing w:line="264" w:lineRule="auto" w:before="5"/>
        <w:ind w:right="1126"/>
        <w:jc w:val="both"/>
      </w:pPr>
      <w:r>
        <w:rPr>
          <w:spacing w:val="-3"/>
        </w:rPr>
        <w:t>件形式化验证的原创技术研发，并打造了国创</w:t>
      </w:r>
      <w:r>
        <w:rPr>
          <w:rFonts w:ascii="Times New Roman" w:hAnsi="Times New Roman" w:cs="Times New Roman" w:eastAsia="Times New Roman" w:hint="default"/>
          <w:spacing w:val="-3"/>
        </w:rPr>
        <w:t>HCS</w:t>
      </w:r>
      <w:r>
        <w:rPr>
          <w:spacing w:val="-3"/>
        </w:rPr>
        <w:t>集成开发平台；一方面布局智能</w:t>
      </w:r>
      <w:r>
        <w:rPr>
          <w:rFonts w:ascii="Times New Roman" w:hAnsi="Times New Roman" w:cs="Times New Roman" w:eastAsia="Times New Roman" w:hint="default"/>
          <w:spacing w:val="-3"/>
        </w:rPr>
        <w:t>BMS</w:t>
      </w:r>
      <w:r>
        <w:rPr>
          <w:spacing w:val="-3"/>
        </w:rPr>
        <w:t>发力软硬一体化的</w:t>
      </w:r>
      <w:r>
        <w:rPr>
          <w:spacing w:val="-8"/>
        </w:rPr>
        <w:t> </w:t>
      </w:r>
      <w:r>
        <w:rPr>
          <w:spacing w:val="-8"/>
        </w:rPr>
      </w:r>
      <w:r>
        <w:rPr>
          <w:spacing w:val="-2"/>
        </w:rPr>
        <w:t>数据智能产品，并着力打造基于数据智能的国创智能产品开发平台。目前公司智能软硬件产品业务主要产</w:t>
      </w:r>
      <w:r>
        <w:rPr>
          <w:spacing w:val="-43"/>
        </w:rPr>
        <w:t> </w:t>
      </w:r>
      <w:r>
        <w:rPr>
          <w:spacing w:val="-43"/>
        </w:rPr>
      </w:r>
      <w:r>
        <w:rPr/>
        <w:t>品有：智能</w:t>
      </w:r>
      <w:r>
        <w:rPr>
          <w:rFonts w:ascii="Times New Roman" w:hAnsi="Times New Roman" w:cs="Times New Roman" w:eastAsia="Times New Roman" w:hint="default"/>
        </w:rPr>
        <w:t>BMS</w:t>
      </w:r>
      <w:r>
        <w:rPr/>
        <w:t>、高可信软件。</w:t>
      </w:r>
    </w:p>
    <w:p>
      <w:pPr>
        <w:pStyle w:val="BodyText"/>
        <w:spacing w:line="256" w:lineRule="auto"/>
        <w:ind w:right="1126" w:firstLine="420"/>
        <w:jc w:val="both"/>
      </w:pPr>
      <w:r>
        <w:rPr>
          <w:spacing w:val="-2"/>
        </w:rPr>
        <w:t>智能</w:t>
      </w:r>
      <w:r>
        <w:rPr>
          <w:rFonts w:ascii="Times New Roman" w:hAnsi="Times New Roman" w:cs="Times New Roman" w:eastAsia="Times New Roman" w:hint="default"/>
          <w:spacing w:val="-2"/>
        </w:rPr>
        <w:t>BMS</w:t>
      </w:r>
      <w:r>
        <w:rPr>
          <w:spacing w:val="-2"/>
        </w:rPr>
        <w:t>是新能源汽车电池的</w:t>
      </w:r>
      <w:r>
        <w:rPr>
          <w:rFonts w:ascii="Times New Roman" w:hAnsi="Times New Roman" w:cs="Times New Roman" w:eastAsia="Times New Roman" w:hint="default"/>
          <w:spacing w:val="-2"/>
        </w:rPr>
        <w:t>“</w:t>
      </w:r>
      <w:r>
        <w:rPr>
          <w:spacing w:val="-2"/>
        </w:rPr>
        <w:t>智能大脑</w:t>
      </w:r>
      <w:r>
        <w:rPr>
          <w:rFonts w:ascii="Times New Roman" w:hAnsi="Times New Roman" w:cs="Times New Roman" w:eastAsia="Times New Roman" w:hint="default"/>
          <w:spacing w:val="-2"/>
        </w:rPr>
        <w:t>”</w:t>
      </w:r>
      <w:r>
        <w:rPr>
          <w:spacing w:val="-2"/>
        </w:rPr>
        <w:t>和核心部件，为新能源汽车提供动力电池的信息采集、数据</w:t>
      </w:r>
      <w:r>
        <w:rPr>
          <w:w w:val="100"/>
        </w:rPr>
        <w:t> </w:t>
      </w:r>
      <w:r>
        <w:rPr>
          <w:spacing w:val="-3"/>
        </w:rPr>
        <w:t>处理、逻辑控制、故障诊断、电池</w:t>
      </w:r>
      <w:r>
        <w:rPr>
          <w:rFonts w:ascii="Times New Roman" w:hAnsi="Times New Roman" w:cs="Times New Roman" w:eastAsia="Times New Roman" w:hint="default"/>
          <w:spacing w:val="-3"/>
        </w:rPr>
        <w:t>SOC/SOF</w:t>
      </w:r>
      <w:r>
        <w:rPr>
          <w:spacing w:val="-3"/>
        </w:rPr>
        <w:t>状态估算、热失控管理等多种功能，数据智能算法是其关键要</w:t>
      </w:r>
      <w:r>
        <w:rPr>
          <w:spacing w:val="-4"/>
        </w:rPr>
        <w:t> </w:t>
      </w:r>
      <w:r>
        <w:rPr>
          <w:spacing w:val="-4"/>
        </w:rPr>
      </w:r>
      <w:r>
        <w:rPr>
          <w:spacing w:val="-3"/>
        </w:rPr>
        <w:t>素。公司智能</w:t>
      </w:r>
      <w:r>
        <w:rPr>
          <w:rFonts w:ascii="Times New Roman" w:hAnsi="Times New Roman" w:cs="Times New Roman" w:eastAsia="Times New Roman" w:hint="default"/>
          <w:spacing w:val="-3"/>
        </w:rPr>
        <w:t>BMS</w:t>
      </w:r>
      <w:r>
        <w:rPr>
          <w:spacing w:val="-3"/>
        </w:rPr>
        <w:t>系列产品主要应用于技术要求较高的纯电动乘用车，产品具有采集和估算精度高、安全</w:t>
      </w:r>
      <w:r>
        <w:rPr>
          <w:spacing w:val="-21"/>
        </w:rPr>
        <w:t> </w:t>
      </w:r>
      <w:r>
        <w:rPr>
          <w:spacing w:val="-21"/>
        </w:rPr>
      </w:r>
      <w:r>
        <w:rPr>
          <w:spacing w:val="-6"/>
        </w:rPr>
        <w:t>稳定、可靠性高、延展性好等优点；公司自主的电</w:t>
      </w:r>
      <w:r>
        <w:rPr>
          <w:rFonts w:ascii="Times New Roman" w:hAnsi="Times New Roman" w:cs="Times New Roman" w:eastAsia="Times New Roman" w:hint="default"/>
          <w:spacing w:val="-6"/>
        </w:rPr>
        <w:t>-</w:t>
      </w:r>
      <w:r>
        <w:rPr>
          <w:spacing w:val="-6"/>
        </w:rPr>
        <w:t>热</w:t>
      </w:r>
      <w:r>
        <w:rPr>
          <w:rFonts w:ascii="Times New Roman" w:hAnsi="Times New Roman" w:cs="Times New Roman" w:eastAsia="Times New Roman" w:hint="default"/>
          <w:spacing w:val="-6"/>
        </w:rPr>
        <w:t>-</w:t>
      </w:r>
      <w:r>
        <w:rPr>
          <w:spacing w:val="-6"/>
        </w:rPr>
        <w:t>力学仿真模型和高可信软件分析验证技术应用于</w:t>
      </w:r>
      <w:r>
        <w:rPr>
          <w:rFonts w:ascii="Times New Roman" w:hAnsi="Times New Roman" w:cs="Times New Roman" w:eastAsia="Times New Roman" w:hint="default"/>
          <w:spacing w:val="-6"/>
        </w:rPr>
        <w:t>BMS</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3"/>
        </w:rPr>
        <w:t>产品研发和验证，保证了产品具有较高的稳定性和可用性，在业内具有领先性。目前，公司智能</w:t>
      </w:r>
      <w:r>
        <w:rPr>
          <w:rFonts w:ascii="Times New Roman" w:hAnsi="Times New Roman" w:cs="Times New Roman" w:eastAsia="Times New Roman" w:hint="default"/>
          <w:spacing w:val="-3"/>
        </w:rPr>
        <w:t>BMS</w:t>
      </w:r>
      <w:r>
        <w:rPr>
          <w:spacing w:val="-3"/>
        </w:rPr>
        <w:t>产品</w:t>
      </w:r>
      <w:r>
        <w:rPr>
          <w:spacing w:val="-21"/>
        </w:rPr>
        <w:t> </w:t>
      </w:r>
      <w:r>
        <w:rPr>
          <w:spacing w:val="-2"/>
        </w:rPr>
        <w:t>广泛应用于奇瑞新能源、国机智骏、开沃新能源等众多客户车型，累计装车量近</w:t>
      </w:r>
      <w:r>
        <w:rPr>
          <w:rFonts w:ascii="Times New Roman" w:hAnsi="Times New Roman" w:cs="Times New Roman" w:eastAsia="Times New Roman" w:hint="default"/>
          <w:spacing w:val="-2"/>
        </w:rPr>
        <w:t>16</w:t>
      </w:r>
      <w:r>
        <w:rPr>
          <w:spacing w:val="-2"/>
        </w:rPr>
        <w:t>万辆，据行业第三方数</w:t>
      </w:r>
      <w:r>
        <w:rPr>
          <w:spacing w:val="-48"/>
        </w:rPr>
        <w:t> </w:t>
      </w:r>
      <w:r>
        <w:rPr>
          <w:spacing w:val="-48"/>
        </w:rPr>
      </w:r>
      <w:r>
        <w:rPr/>
        <w:t>据统计，公司产品在国内新能源乘用车市场占有率超</w:t>
      </w:r>
      <w:r>
        <w:rPr>
          <w:rFonts w:ascii="Times New Roman" w:hAnsi="Times New Roman" w:cs="Times New Roman" w:eastAsia="Times New Roman" w:hint="default"/>
        </w:rPr>
        <w:t>5%</w:t>
      </w:r>
      <w:r>
        <w:rPr/>
        <w:t>，位居行业前列。</w:t>
      </w:r>
    </w:p>
    <w:p>
      <w:pPr>
        <w:pStyle w:val="BodyText"/>
        <w:spacing w:line="273" w:lineRule="auto" w:before="5"/>
        <w:ind w:right="1133" w:firstLine="420"/>
        <w:jc w:val="left"/>
      </w:pPr>
      <w:r>
        <w:rPr>
          <w:spacing w:val="-2"/>
        </w:rPr>
        <w:t>高可信软件指可靠安全性和保密安全性标准极高的软件，有别于一般软件所采用的测试手段，高可信</w:t>
      </w:r>
      <w:r>
        <w:rPr>
          <w:w w:val="100"/>
        </w:rPr>
        <w:t> </w:t>
      </w:r>
      <w:r>
        <w:rPr>
          <w:spacing w:val="-2"/>
        </w:rPr>
        <w:t>软件的可靠和安全是通过程序分析加强和程序验证来保证的。公司依托中科大软件安全实验室和中国科大</w:t>
      </w:r>
    </w:p>
    <w:p>
      <w:pPr>
        <w:pStyle w:val="BodyText"/>
        <w:spacing w:line="256" w:lineRule="auto" w:before="7"/>
        <w:ind w:right="1128"/>
        <w:jc w:val="both"/>
      </w:pPr>
      <w:r>
        <w:rPr>
          <w:rFonts w:ascii="Times New Roman" w:hAnsi="Times New Roman" w:cs="Times New Roman" w:eastAsia="Times New Roman" w:hint="default"/>
          <w:spacing w:val="-2"/>
        </w:rPr>
        <w:t>——</w:t>
      </w:r>
      <w:r>
        <w:rPr>
          <w:spacing w:val="-2"/>
        </w:rPr>
        <w:t>国创高可信软件工程中心的院士、教授、博士团队，经过</w:t>
      </w:r>
      <w:r>
        <w:rPr>
          <w:rFonts w:ascii="Times New Roman" w:hAnsi="Times New Roman" w:cs="Times New Roman" w:eastAsia="Times New Roman" w:hint="default"/>
          <w:spacing w:val="-2"/>
        </w:rPr>
        <w:t>10</w:t>
      </w:r>
      <w:r>
        <w:rPr>
          <w:spacing w:val="-2"/>
        </w:rPr>
        <w:t>年多的相关理论研究，在嵌入式操作系统</w:t>
      </w:r>
      <w:r>
        <w:rPr>
          <w:spacing w:val="-45"/>
        </w:rPr>
        <w:t> </w:t>
      </w:r>
      <w:r>
        <w:rPr>
          <w:spacing w:val="-45"/>
        </w:rPr>
      </w:r>
      <w:r>
        <w:rPr/>
        <w:t>验证、关键算法的形式化验证、安全</w:t>
      </w:r>
      <w:r>
        <w:rPr>
          <w:rFonts w:ascii="Times New Roman" w:hAnsi="Times New Roman" w:cs="Times New Roman" w:eastAsia="Times New Roman" w:hint="default"/>
        </w:rPr>
        <w:t>C</w:t>
      </w:r>
      <w:r>
        <w:rPr/>
        <w:t>程序验证工具和</w:t>
      </w:r>
      <w:r>
        <w:rPr>
          <w:rFonts w:ascii="Times New Roman" w:hAnsi="Times New Roman" w:cs="Times New Roman" w:eastAsia="Times New Roman" w:hint="default"/>
        </w:rPr>
        <w:t>C/C++</w:t>
      </w:r>
      <w:r>
        <w:rPr/>
        <w:t>程序内存安全缺陷分析等方面完成了诸多理</w:t>
      </w:r>
      <w:r>
        <w:rPr>
          <w:spacing w:val="-8"/>
        </w:rPr>
        <w:t> </w:t>
      </w:r>
      <w:r>
        <w:rPr>
          <w:spacing w:val="-8"/>
        </w:rPr>
      </w:r>
      <w:r>
        <w:rPr/>
        <w:t>论突破，为机器编程打下基础。在此基础上，公司控股子公司中科国创秉承</w:t>
      </w:r>
      <w:r>
        <w:rPr>
          <w:rFonts w:ascii="Times New Roman" w:hAnsi="Times New Roman" w:cs="Times New Roman" w:eastAsia="Times New Roman" w:hint="default"/>
        </w:rPr>
        <w:t>“</w:t>
      </w:r>
      <w:r>
        <w:rPr/>
        <w:t>打造自主智能软件，为软件</w:t>
      </w:r>
      <w:r>
        <w:rPr>
          <w:spacing w:val="-13"/>
        </w:rPr>
        <w:t> </w:t>
      </w:r>
      <w:r>
        <w:rPr>
          <w:spacing w:val="-13"/>
        </w:rPr>
      </w:r>
      <w:r>
        <w:rPr/>
        <w:t>质量与安全而奋斗</w:t>
      </w:r>
      <w:r>
        <w:rPr>
          <w:rFonts w:ascii="Times New Roman" w:hAnsi="Times New Roman" w:cs="Times New Roman" w:eastAsia="Times New Roman" w:hint="default"/>
        </w:rPr>
        <w:t>”</w:t>
      </w:r>
      <w:r>
        <w:rPr/>
        <w:t>的理念，以自主的智能算法研发了国际领先的高可信程序分析和程序验证工具等原创</w:t>
      </w:r>
    </w:p>
    <w:p>
      <w:pPr>
        <w:spacing w:after="0" w:line="256"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软件产品，为人工智能、机器人、无人驾驶、军工、航天、核电等安全攸关的关键领域的软件安全可靠提</w:t>
      </w:r>
      <w:r>
        <w:rPr>
          <w:spacing w:val="-42"/>
        </w:rPr>
        <w:t> </w:t>
      </w:r>
      <w:r>
        <w:rPr>
          <w:spacing w:val="-42"/>
        </w:rPr>
      </w:r>
      <w:r>
        <w:rPr/>
        <w:t>供保障。</w:t>
      </w:r>
    </w:p>
    <w:p>
      <w:pPr>
        <w:pStyle w:val="BodyText"/>
        <w:spacing w:line="240" w:lineRule="auto" w:before="7"/>
        <w:ind w:left="573" w:right="1133"/>
        <w:jc w:val="left"/>
      </w:pPr>
      <w:r>
        <w:rPr/>
        <w:t>（二）经营模式</w:t>
      </w:r>
    </w:p>
    <w:p>
      <w:pPr>
        <w:pStyle w:val="BodyText"/>
        <w:spacing w:line="240" w:lineRule="auto" w:before="37"/>
        <w:ind w:left="573" w:right="1133"/>
        <w:jc w:val="left"/>
      </w:pPr>
      <w:r>
        <w:rPr>
          <w:rFonts w:ascii="Times New Roman" w:hAnsi="Times New Roman" w:cs="Times New Roman" w:eastAsia="Times New Roman" w:hint="default"/>
        </w:rPr>
        <w:t>1</w:t>
      </w:r>
      <w:r>
        <w:rPr/>
        <w:t>、盈利模式</w:t>
      </w:r>
    </w:p>
    <w:p>
      <w:pPr>
        <w:pStyle w:val="BodyText"/>
        <w:spacing w:line="256" w:lineRule="auto" w:before="21"/>
        <w:ind w:left="573" w:right="1133"/>
        <w:jc w:val="left"/>
      </w:pPr>
      <w:r>
        <w:rPr/>
        <w:t>（</w:t>
      </w:r>
      <w:r>
        <w:rPr>
          <w:rFonts w:ascii="Times New Roman" w:hAnsi="Times New Roman" w:cs="Times New Roman" w:eastAsia="Times New Roman" w:hint="default"/>
        </w:rPr>
        <w:t>1</w:t>
      </w:r>
      <w:r>
        <w:rPr/>
        <w:t>）按客户需求承接项目建设模式</w:t>
      </w:r>
      <w:r>
        <w:rPr>
          <w:w w:val="100"/>
        </w:rPr>
        <w:t> </w:t>
      </w:r>
      <w:r>
        <w:rPr>
          <w:spacing w:val="-3"/>
        </w:rPr>
        <w:t>即依据客户需求，公司运用领先的大数据、人工智能等软件技术，承接客户各类信息化项目，并提供</w:t>
      </w:r>
    </w:p>
    <w:p>
      <w:pPr>
        <w:pStyle w:val="BodyText"/>
        <w:spacing w:line="240" w:lineRule="auto" w:before="22"/>
        <w:ind w:right="0"/>
        <w:jc w:val="both"/>
      </w:pPr>
      <w:r>
        <w:rPr/>
        <w:t>满足客户项目需求的解决方案，进而获得收入。公司数据智能行业应用业务以该种模式为主。</w:t>
      </w:r>
    </w:p>
    <w:p>
      <w:pPr>
        <w:pStyle w:val="BodyText"/>
        <w:spacing w:line="256" w:lineRule="auto" w:before="37"/>
        <w:ind w:left="573" w:right="1133"/>
        <w:jc w:val="left"/>
      </w:pPr>
      <w:r>
        <w:rPr/>
        <w:t>（</w:t>
      </w:r>
      <w:r>
        <w:rPr>
          <w:rFonts w:ascii="Times New Roman" w:hAnsi="Times New Roman" w:cs="Times New Roman" w:eastAsia="Times New Roman" w:hint="default"/>
        </w:rPr>
        <w:t>2</w:t>
      </w:r>
      <w:r>
        <w:rPr/>
        <w:t>）软件服务运营模式</w:t>
      </w:r>
      <w:r>
        <w:rPr>
          <w:w w:val="100"/>
        </w:rPr>
        <w:t> </w:t>
      </w:r>
      <w:r>
        <w:rPr>
          <w:spacing w:val="-2"/>
        </w:rPr>
        <w:t>即企业依据用户或面向市场需求，自行建设和维护信息系统或服务平台，通过用户购买服务或收取服</w:t>
      </w:r>
    </w:p>
    <w:p>
      <w:pPr>
        <w:pStyle w:val="BodyText"/>
        <w:spacing w:line="240" w:lineRule="auto" w:before="22"/>
        <w:ind w:right="0"/>
        <w:jc w:val="both"/>
      </w:pPr>
      <w:r>
        <w:rPr/>
        <w:t>务交易佣金等方式获利。目前，这种盈利模式主要应用于公司的智慧物流云平台。</w:t>
      </w:r>
    </w:p>
    <w:p>
      <w:pPr>
        <w:pStyle w:val="BodyText"/>
        <w:spacing w:line="256" w:lineRule="auto" w:before="37"/>
        <w:ind w:left="573" w:right="1133"/>
        <w:jc w:val="left"/>
      </w:pPr>
      <w:r>
        <w:rPr/>
        <w:t>（</w:t>
      </w:r>
      <w:r>
        <w:rPr>
          <w:rFonts w:ascii="Times New Roman" w:hAnsi="Times New Roman" w:cs="Times New Roman" w:eastAsia="Times New Roman" w:hint="default"/>
        </w:rPr>
        <w:t>3</w:t>
      </w:r>
      <w:r>
        <w:rPr/>
        <w:t>）产品模式</w:t>
      </w:r>
      <w:r>
        <w:rPr>
          <w:w w:val="100"/>
        </w:rPr>
        <w:t> </w:t>
      </w:r>
      <w:r>
        <w:rPr>
          <w:spacing w:val="-2"/>
        </w:rPr>
        <w:t>即企业依据不同客户或市场需求，依托自主研发的智能软硬件产品，满足不同类型的客户需求实现盈</w:t>
      </w:r>
    </w:p>
    <w:p>
      <w:pPr>
        <w:pStyle w:val="BodyText"/>
        <w:spacing w:line="240" w:lineRule="auto" w:before="23"/>
        <w:ind w:right="0"/>
        <w:jc w:val="both"/>
      </w:pPr>
      <w:r>
        <w:rPr/>
        <w:t>利。目前，公司智能软硬件产品业务以该种模式为主。</w:t>
      </w:r>
    </w:p>
    <w:p>
      <w:pPr>
        <w:pStyle w:val="BodyText"/>
        <w:spacing w:line="256" w:lineRule="auto" w:before="37"/>
        <w:ind w:left="573" w:right="1133"/>
        <w:jc w:val="left"/>
      </w:pPr>
      <w:r>
        <w:rPr>
          <w:rFonts w:ascii="Times New Roman" w:hAnsi="Times New Roman" w:cs="Times New Roman" w:eastAsia="Times New Roman" w:hint="default"/>
        </w:rPr>
        <w:t>2</w:t>
      </w:r>
      <w:r>
        <w:rPr/>
        <w:t>、采购模式</w:t>
      </w:r>
      <w:r>
        <w:rPr>
          <w:w w:val="100"/>
        </w:rPr>
        <w:t> </w:t>
      </w:r>
      <w:r>
        <w:rPr>
          <w:spacing w:val="-2"/>
        </w:rPr>
        <w:t>公司业务所需的主要原材料一方面是用于软件研发、解决方案或提供专业技术服务所需的服务器、终</w:t>
      </w:r>
    </w:p>
    <w:p>
      <w:pPr>
        <w:pStyle w:val="BodyText"/>
        <w:spacing w:line="261" w:lineRule="auto" w:before="22"/>
        <w:ind w:right="1125"/>
        <w:jc w:val="both"/>
      </w:pPr>
      <w:r>
        <w:rPr>
          <w:spacing w:val="-2"/>
        </w:rPr>
        <w:t>端设备和系统软件等，由于该等原材料更新速度较快，价格波动较大，公司根据行业惯例采取</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5"/>
        </w:rPr>
        <w:t> </w:t>
      </w:r>
      <w:r>
        <w:rPr>
          <w:spacing w:val="-2"/>
        </w:rPr>
        <w:t>管理；另一方面是根据产品的技术标准及销售订单需求采购的分离器、芯片、电阻电容、</w:t>
      </w:r>
      <w:r>
        <w:rPr>
          <w:rFonts w:ascii="Times New Roman" w:hAnsi="Times New Roman" w:cs="Times New Roman" w:eastAsia="Times New Roman" w:hint="default"/>
          <w:spacing w:val="-2"/>
        </w:rPr>
        <w:t>PCB</w:t>
      </w:r>
      <w:r>
        <w:rPr>
          <w:spacing w:val="-2"/>
        </w:rPr>
        <w:t>线路板、接</w:t>
      </w:r>
      <w:r>
        <w:rPr>
          <w:spacing w:val="-18"/>
        </w:rPr>
        <w:t> </w:t>
      </w:r>
      <w:r>
        <w:rPr>
          <w:spacing w:val="-18"/>
        </w:rPr>
      </w:r>
      <w:r>
        <w:rPr>
          <w:spacing w:val="-2"/>
        </w:rPr>
        <w:t>插件和结构件等，由采购部门根据计划经营部门的生产计划制定原材料采购订单；上述原材料由公司根据</w:t>
      </w:r>
      <w:r>
        <w:rPr>
          <w:spacing w:val="-43"/>
        </w:rPr>
        <w:t> </w:t>
      </w:r>
      <w:r>
        <w:rPr>
          <w:spacing w:val="-43"/>
        </w:rPr>
      </w:r>
      <w:r>
        <w:rPr/>
        <w:t>项目实施的需要或采购订单要求进行采购。</w:t>
      </w:r>
    </w:p>
    <w:p>
      <w:pPr>
        <w:pStyle w:val="BodyText"/>
        <w:spacing w:line="256" w:lineRule="auto" w:before="18"/>
        <w:ind w:left="573" w:right="1133"/>
        <w:jc w:val="left"/>
      </w:pPr>
      <w:r>
        <w:rPr>
          <w:rFonts w:ascii="Times New Roman" w:hAnsi="Times New Roman" w:cs="Times New Roman" w:eastAsia="Times New Roman" w:hint="default"/>
        </w:rPr>
        <w:t>3</w:t>
      </w:r>
      <w:r>
        <w:rPr/>
        <w:t>、研发模式</w:t>
      </w:r>
      <w:r>
        <w:rPr>
          <w:w w:val="100"/>
        </w:rPr>
        <w:t> </w:t>
      </w:r>
      <w:r>
        <w:rPr>
          <w:spacing w:val="-2"/>
        </w:rPr>
        <w:t>公司坚持走自主创新的研发路线，注重技术与业务的融合和创新，密切跟踪新一代信息技术的发展趋</w:t>
      </w:r>
    </w:p>
    <w:p>
      <w:pPr>
        <w:pStyle w:val="BodyText"/>
        <w:spacing w:line="273" w:lineRule="auto" w:before="22"/>
        <w:ind w:left="573" w:right="1133" w:hanging="420"/>
        <w:jc w:val="left"/>
      </w:pPr>
      <w:r>
        <w:rPr/>
        <w:t>势，以市场为导向，挖掘市场需求，通过技术研发与市场拓展双轮驱动，保持公司领先的技术竞争力。</w:t>
      </w:r>
      <w:r>
        <w:rPr>
          <w:w w:val="100"/>
        </w:rPr>
        <w:t> </w:t>
      </w:r>
      <w:r>
        <w:rPr>
          <w:spacing w:val="-2"/>
        </w:rPr>
        <w:t>公司凭借多年积累的大数据处理技术和深厚的行业经验优势，聚焦数据智能核心技术的研发和应用，</w:t>
      </w:r>
    </w:p>
    <w:p>
      <w:pPr>
        <w:pStyle w:val="BodyText"/>
        <w:spacing w:line="261" w:lineRule="auto" w:before="8"/>
        <w:ind w:right="1126"/>
        <w:jc w:val="both"/>
      </w:pPr>
      <w:r>
        <w:rPr/>
        <w:t>并不断加强大数据、</w:t>
      </w:r>
      <w:r>
        <w:rPr>
          <w:rFonts w:ascii="Times New Roman" w:hAnsi="Times New Roman" w:cs="Times New Roman" w:eastAsia="Times New Roman" w:hint="default"/>
        </w:rPr>
        <w:t>AIoT</w:t>
      </w:r>
      <w:r>
        <w:rPr/>
        <w:t>、</w:t>
      </w:r>
      <w:r>
        <w:rPr>
          <w:rFonts w:ascii="Times New Roman" w:hAnsi="Times New Roman" w:cs="Times New Roman" w:eastAsia="Times New Roman" w:hint="default"/>
        </w:rPr>
        <w:t>5G</w:t>
      </w:r>
      <w:r>
        <w:rPr/>
        <w:t>等技术的融合吸收，打造了国创九章</w:t>
      </w:r>
      <w:r>
        <w:rPr>
          <w:rFonts w:ascii="Times New Roman" w:hAnsi="Times New Roman" w:cs="Times New Roman" w:eastAsia="Times New Roman" w:hint="default"/>
        </w:rPr>
        <w:t>AI</w:t>
      </w:r>
      <w:r>
        <w:rPr/>
        <w:t>平台、国创天演</w:t>
      </w:r>
      <w:r>
        <w:rPr>
          <w:rFonts w:ascii="Times New Roman" w:hAnsi="Times New Roman" w:cs="Times New Roman" w:eastAsia="Times New Roman" w:hint="default"/>
        </w:rPr>
        <w:t>PaaS</w:t>
      </w:r>
      <w:r>
        <w:rPr/>
        <w:t>云平台、国创</w:t>
      </w:r>
      <w:r>
        <w:rPr>
          <w:spacing w:val="-14"/>
        </w:rPr>
        <w:t> </w:t>
      </w:r>
      <w:r>
        <w:rPr>
          <w:spacing w:val="-14"/>
        </w:rPr>
      </w:r>
      <w:r>
        <w:rPr>
          <w:spacing w:val="-2"/>
        </w:rPr>
        <w:t>智能产品开发平台、国创</w:t>
      </w:r>
      <w:r>
        <w:rPr>
          <w:rFonts w:ascii="Times New Roman" w:hAnsi="Times New Roman" w:cs="Times New Roman" w:eastAsia="Times New Roman" w:hint="default"/>
          <w:spacing w:val="-2"/>
        </w:rPr>
        <w:t>HCS</w:t>
      </w:r>
      <w:r>
        <w:rPr>
          <w:spacing w:val="-2"/>
        </w:rPr>
        <w:t>集成开发平台等自主技术平台，逐步形成基于平台的高效产品开发模式。公</w:t>
      </w:r>
      <w:r>
        <w:rPr>
          <w:spacing w:val="-33"/>
        </w:rPr>
        <w:t> </w:t>
      </w:r>
      <w:r>
        <w:rPr>
          <w:spacing w:val="-33"/>
        </w:rPr>
      </w:r>
      <w:r>
        <w:rPr>
          <w:spacing w:val="-1"/>
        </w:rPr>
        <w:t>司以平台为基准，快速实现产品设计与研发，不断满足运营商</w:t>
      </w:r>
      <w:r>
        <w:rPr>
          <w:rFonts w:ascii="Times New Roman" w:hAnsi="Times New Roman" w:cs="Times New Roman" w:eastAsia="Times New Roman" w:hint="default"/>
          <w:spacing w:val="-1"/>
        </w:rPr>
        <w:t>&amp;</w:t>
      </w:r>
      <w:r>
        <w:rPr>
          <w:spacing w:val="-1"/>
        </w:rPr>
        <w:t>政企、智慧物流、智能汽车等客户需求；</w:t>
      </w:r>
      <w:r>
        <w:rPr>
          <w:spacing w:val="-39"/>
        </w:rPr>
        <w:t> </w:t>
      </w:r>
      <w:r>
        <w:rPr>
          <w:spacing w:val="-39"/>
        </w:rPr>
      </w:r>
      <w:r>
        <w:rPr>
          <w:spacing w:val="-4"/>
        </w:rPr>
        <w:t>同时，平台成为公司数据智能技术不断提升的基础载体，不断打造完善科大国创数据智能平台</w:t>
      </w:r>
      <w:r>
        <w:rPr>
          <w:rFonts w:ascii="Times New Roman" w:hAnsi="Times New Roman" w:cs="Times New Roman" w:eastAsia="Times New Roman" w:hint="default"/>
          <w:spacing w:val="-4"/>
        </w:rPr>
        <w:t>/</w:t>
      </w:r>
      <w:r>
        <w:rPr>
          <w:spacing w:val="-4"/>
        </w:rPr>
        <w:t>数据智能中</w:t>
      </w:r>
      <w:r>
        <w:rPr>
          <w:spacing w:val="-6"/>
        </w:rPr>
        <w:t> </w:t>
      </w:r>
      <w:r>
        <w:rPr>
          <w:spacing w:val="-6"/>
        </w:rPr>
      </w:r>
      <w:r>
        <w:rPr>
          <w:spacing w:val="-2"/>
        </w:rPr>
        <w:t>台。该种模式在缩短产品研发周期，降低成本，提高产品可靠性以及满足客户多样化需求等方面具有独特</w:t>
      </w:r>
      <w:r>
        <w:rPr>
          <w:spacing w:val="-43"/>
        </w:rPr>
        <w:t> </w:t>
      </w:r>
      <w:r>
        <w:rPr>
          <w:spacing w:val="-43"/>
        </w:rPr>
      </w:r>
      <w:r>
        <w:rPr/>
        <w:t>优势。</w:t>
      </w:r>
    </w:p>
    <w:p>
      <w:pPr>
        <w:pStyle w:val="BodyText"/>
        <w:spacing w:line="273" w:lineRule="auto" w:before="18"/>
        <w:ind w:left="573" w:right="1133"/>
        <w:jc w:val="left"/>
      </w:pPr>
      <w:r>
        <w:rPr/>
        <w:t>（三）公司所处行业分析</w:t>
      </w:r>
      <w:r>
        <w:rPr>
          <w:w w:val="100"/>
        </w:rPr>
        <w:t> </w:t>
      </w:r>
      <w:r>
        <w:rPr/>
        <w:t>公司所处行业为软件行业，按照中国证监会《上市公司行业分类指引》，所处行业为</w:t>
      </w:r>
      <w:r>
        <w:rPr>
          <w:rFonts w:ascii="Times New Roman" w:hAnsi="Times New Roman" w:cs="Times New Roman" w:eastAsia="Times New Roman" w:hint="default"/>
        </w:rPr>
        <w:t>“</w:t>
      </w:r>
      <w:r>
        <w:rPr/>
        <w:t>信息传输、软</w:t>
      </w:r>
    </w:p>
    <w:p>
      <w:pPr>
        <w:pStyle w:val="BodyText"/>
        <w:spacing w:line="279" w:lineRule="exact"/>
        <w:ind w:right="0"/>
        <w:jc w:val="both"/>
      </w:pPr>
      <w:r>
        <w:rPr/>
        <w:t>件和信息技术服务业</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，编码为</w:t>
      </w:r>
      <w:r>
        <w:rPr>
          <w:rFonts w:ascii="Times New Roman" w:hAnsi="Times New Roman" w:cs="Times New Roman" w:eastAsia="Times New Roman" w:hint="default"/>
        </w:rPr>
        <w:t>“I65”</w:t>
      </w:r>
      <w:r>
        <w:rPr/>
        <w:t>。</w:t>
      </w:r>
    </w:p>
    <w:p>
      <w:pPr>
        <w:pStyle w:val="BodyText"/>
        <w:spacing w:line="256" w:lineRule="auto" w:before="21"/>
        <w:ind w:left="573" w:right="1133"/>
        <w:jc w:val="left"/>
      </w:pPr>
      <w:r>
        <w:rPr>
          <w:rFonts w:ascii="Times New Roman" w:hAnsi="Times New Roman" w:cs="Times New Roman" w:eastAsia="Times New Roman" w:hint="default"/>
        </w:rPr>
        <w:t>1</w:t>
      </w:r>
      <w:r>
        <w:rPr/>
        <w:t>、行业发展阶段</w:t>
      </w:r>
      <w:r>
        <w:rPr>
          <w:w w:val="100"/>
        </w:rPr>
        <w:t> </w:t>
      </w:r>
      <w:r>
        <w:rPr>
          <w:spacing w:val="-4"/>
        </w:rPr>
        <w:t>软件与信息技术服务业是关系国民经济和社会发展全局的基础性、战略性、先导性产业，随着</w:t>
      </w:r>
      <w:r>
        <w:rPr>
          <w:rFonts w:ascii="Times New Roman" w:hAnsi="Times New Roman" w:cs="Times New Roman" w:eastAsia="Times New Roman" w:hint="default"/>
          <w:spacing w:val="-4"/>
        </w:rPr>
        <w:t>5G</w:t>
      </w:r>
      <w:r>
        <w:rPr>
          <w:spacing w:val="-4"/>
        </w:rPr>
        <w:t>、云</w:t>
      </w:r>
      <w:r>
        <w:rPr/>
      </w:r>
    </w:p>
    <w:p>
      <w:pPr>
        <w:pStyle w:val="BodyText"/>
        <w:spacing w:line="264" w:lineRule="auto" w:before="5"/>
        <w:ind w:right="1126"/>
        <w:jc w:val="both"/>
      </w:pPr>
      <w:r>
        <w:rPr>
          <w:spacing w:val="-2"/>
        </w:rPr>
        <w:t>计算、大数据、人工智能等新一代信息技术已经逐步渗透到经济和社会生活的各个行业和领域，软件与信</w:t>
      </w:r>
      <w:r>
        <w:rPr>
          <w:spacing w:val="-44"/>
        </w:rPr>
        <w:t> </w:t>
      </w:r>
      <w:r>
        <w:rPr>
          <w:spacing w:val="-44"/>
        </w:rPr>
      </w:r>
      <w:r>
        <w:rPr>
          <w:spacing w:val="-2"/>
        </w:rPr>
        <w:t>息技术服务业呈现加速发展的趋势。根据工信部公布的数据，</w:t>
      </w:r>
      <w:r>
        <w:rPr>
          <w:rFonts w:ascii="Times New Roman" w:hAnsi="Times New Roman" w:cs="Times New Roman" w:eastAsia="Times New Roman" w:hint="default"/>
          <w:spacing w:val="-2"/>
        </w:rPr>
        <w:t>2019</w:t>
      </w:r>
      <w:r>
        <w:rPr>
          <w:spacing w:val="-2"/>
        </w:rPr>
        <w:t>年我国软件和信息技术服务业实现软件</w:t>
      </w:r>
      <w:r>
        <w:rPr>
          <w:spacing w:val="-39"/>
        </w:rPr>
        <w:t> </w:t>
      </w:r>
      <w:r>
        <w:rPr>
          <w:spacing w:val="-39"/>
        </w:rPr>
      </w:r>
      <w:r>
        <w:rPr/>
        <w:t>业务收入</w:t>
      </w:r>
      <w:r>
        <w:rPr>
          <w:rFonts w:ascii="Times New Roman" w:hAnsi="Times New Roman" w:cs="Times New Roman" w:eastAsia="Times New Roman" w:hint="default"/>
        </w:rPr>
        <w:t>71,768</w:t>
      </w:r>
      <w:r>
        <w:rPr/>
        <w:t>亿元，同比增长</w:t>
      </w:r>
      <w:r>
        <w:rPr>
          <w:rFonts w:ascii="Times New Roman" w:hAnsi="Times New Roman" w:cs="Times New Roman" w:eastAsia="Times New Roman" w:hint="default"/>
        </w:rPr>
        <w:t>15.4%</w:t>
      </w:r>
      <w:r>
        <w:rPr/>
        <w:t>，实现利润</w:t>
      </w:r>
      <w:r>
        <w:rPr>
          <w:rFonts w:ascii="Times New Roman" w:hAnsi="Times New Roman" w:cs="Times New Roman" w:eastAsia="Times New Roman" w:hint="default"/>
        </w:rPr>
        <w:t>9,362</w:t>
      </w:r>
      <w:r>
        <w:rPr/>
        <w:t>亿元，同比增长</w:t>
      </w:r>
      <w:r>
        <w:rPr>
          <w:rFonts w:ascii="Times New Roman" w:hAnsi="Times New Roman" w:cs="Times New Roman" w:eastAsia="Times New Roman" w:hint="default"/>
        </w:rPr>
        <w:t>9.9%</w:t>
      </w:r>
      <w:r>
        <w:rPr/>
        <w:t>。</w:t>
      </w:r>
    </w:p>
    <w:p>
      <w:pPr>
        <w:pStyle w:val="BodyText"/>
        <w:spacing w:line="264" w:lineRule="auto"/>
        <w:ind w:right="1022" w:firstLine="420"/>
        <w:jc w:val="left"/>
      </w:pPr>
      <w:r>
        <w:rPr/>
        <w:t>当前，全球新一轮科技革命和产业变革持续深入，国内经济发展方式加快转变，软件和信息技术服务</w:t>
      </w:r>
      <w:r>
        <w:rPr>
          <w:w w:val="100"/>
        </w:rPr>
        <w:t> </w:t>
      </w:r>
      <w:r>
        <w:rPr>
          <w:spacing w:val="-4"/>
        </w:rPr>
        <w:t>业迎来更大发展机遇。国家工信部出台了《软件和信息技术服务业发展规划（</w:t>
      </w:r>
      <w:r>
        <w:rPr>
          <w:rFonts w:ascii="Times New Roman" w:hAnsi="Times New Roman" w:cs="Times New Roman" w:eastAsia="Times New Roman" w:hint="default"/>
          <w:spacing w:val="-4"/>
        </w:rPr>
        <w:t>2016-2020</w:t>
      </w:r>
      <w:r>
        <w:rPr>
          <w:spacing w:val="-4"/>
        </w:rPr>
        <w:t>年）》，规划以产</w:t>
      </w:r>
      <w:r>
        <w:rPr>
          <w:spacing w:val="-5"/>
        </w:rPr>
        <w:t> </w:t>
      </w:r>
      <w:r>
        <w:rPr>
          <w:spacing w:val="-5"/>
        </w:rPr>
      </w:r>
      <w:r>
        <w:rPr>
          <w:spacing w:val="-2"/>
        </w:rPr>
        <w:t>业由大变强和支撑国家战略为出发点，以创新发展和融合发展为主线，着力突破核心技术，积极培育新兴</w:t>
      </w:r>
      <w:r>
        <w:rPr>
          <w:spacing w:val="-43"/>
        </w:rPr>
        <w:t> </w:t>
      </w:r>
      <w:r>
        <w:rPr>
          <w:spacing w:val="-43"/>
        </w:rPr>
      </w:r>
      <w:r>
        <w:rPr>
          <w:spacing w:val="-2"/>
        </w:rPr>
        <w:t>业态，持续深化融合应用，加快构建具有国际竞争优势的产业生态体系，加速催生和释放创新红利、数据</w:t>
      </w:r>
      <w:r>
        <w:rPr>
          <w:spacing w:val="-49"/>
        </w:rPr>
        <w:t> </w:t>
      </w:r>
      <w:r>
        <w:rPr>
          <w:spacing w:val="-49"/>
        </w:rPr>
      </w:r>
      <w:r>
        <w:rPr/>
        <w:t>红利和模式红利，实现产业发展新跨越，全力支撑制造强国和网络强国建设为指导思想。提出到</w:t>
      </w:r>
      <w:r>
        <w:rPr>
          <w:rFonts w:ascii="Times New Roman" w:hAnsi="Times New Roman" w:cs="Times New Roman" w:eastAsia="Times New Roman" w:hint="default"/>
        </w:rPr>
        <w:t>2020</w:t>
      </w:r>
      <w:r>
        <w:rPr/>
        <w:t>年，</w:t>
      </w:r>
      <w:r>
        <w:rPr>
          <w:spacing w:val="-3"/>
          <w:w w:val="100"/>
        </w:rPr>
        <w:t> </w:t>
      </w:r>
      <w:r>
        <w:rPr>
          <w:spacing w:val="-4"/>
        </w:rPr>
        <w:t>软件和信息技术服务业业务收入突破</w:t>
      </w:r>
      <w:r>
        <w:rPr>
          <w:rFonts w:ascii="Times New Roman" w:hAnsi="Times New Roman" w:cs="Times New Roman" w:eastAsia="Times New Roman" w:hint="default"/>
          <w:spacing w:val="-4"/>
        </w:rPr>
        <w:t>8</w:t>
      </w:r>
      <w:r>
        <w:rPr>
          <w:spacing w:val="-4"/>
        </w:rPr>
        <w:t>万亿元，年均增长</w:t>
      </w:r>
      <w:r>
        <w:rPr>
          <w:rFonts w:ascii="Times New Roman" w:hAnsi="Times New Roman" w:cs="Times New Roman" w:eastAsia="Times New Roman" w:hint="default"/>
          <w:spacing w:val="-4"/>
        </w:rPr>
        <w:t>13%</w:t>
      </w:r>
      <w:r>
        <w:rPr>
          <w:spacing w:val="-4"/>
        </w:rPr>
        <w:t>以上，软件从业人员达到</w:t>
      </w:r>
      <w:r>
        <w:rPr>
          <w:rFonts w:ascii="Times New Roman" w:hAnsi="Times New Roman" w:cs="Times New Roman" w:eastAsia="Times New Roman" w:hint="default"/>
          <w:spacing w:val="-4"/>
        </w:rPr>
        <w:t>900</w:t>
      </w:r>
      <w:r>
        <w:rPr>
          <w:spacing w:val="-4"/>
        </w:rPr>
        <w:t>万人。人工智能、</w:t>
      </w:r>
      <w:r>
        <w:rPr>
          <w:spacing w:val="-7"/>
        </w:rPr>
        <w:t> </w:t>
      </w:r>
      <w:r>
        <w:rPr>
          <w:spacing w:val="-7"/>
        </w:rPr>
      </w:r>
      <w:r>
        <w:rPr>
          <w:spacing w:val="-2"/>
        </w:rPr>
        <w:t>虚拟现实、区块链等领域创新达到国际先进水平，云计算、大数据、移动互联网、物联网、信息安全等领</w:t>
      </w:r>
    </w:p>
    <w:p>
      <w:pPr>
        <w:spacing w:after="0" w:line="264"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020"/>
        <w:jc w:val="both"/>
      </w:pPr>
      <w:r>
        <w:rPr>
          <w:spacing w:val="-2"/>
        </w:rPr>
        <w:t>域的创新发展向更高层次跃升，重点领域标准化取得显著进展，国际标准话语权进一步提升。</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spacing w:val="-38"/>
        </w:rPr>
        <w:t> </w:t>
      </w:r>
      <w:r>
        <w:rPr>
          <w:spacing w:val="-2"/>
        </w:rPr>
        <w:t>国家发改委、工信部等</w:t>
      </w:r>
      <w:r>
        <w:rPr>
          <w:rFonts w:ascii="Times New Roman" w:hAnsi="Times New Roman" w:cs="Times New Roman" w:eastAsia="Times New Roman" w:hint="default"/>
          <w:spacing w:val="-2"/>
        </w:rPr>
        <w:t>11</w:t>
      </w:r>
      <w:r>
        <w:rPr>
          <w:spacing w:val="-2"/>
        </w:rPr>
        <w:t>部委联合发布《智能汽车创新发展战略》，汽车行业</w:t>
      </w:r>
      <w:r>
        <w:rPr>
          <w:rFonts w:ascii="Times New Roman" w:hAnsi="Times New Roman" w:cs="Times New Roman" w:eastAsia="Times New Roman" w:hint="default"/>
          <w:spacing w:val="-2"/>
        </w:rPr>
        <w:t>“</w:t>
      </w:r>
      <w:r>
        <w:rPr>
          <w:spacing w:val="-2"/>
        </w:rPr>
        <w:t>电动化、智能化、网联化、</w:t>
      </w:r>
      <w:r>
        <w:rPr>
          <w:spacing w:val="-30"/>
        </w:rPr>
        <w:t> </w:t>
      </w:r>
      <w:r>
        <w:rPr>
          <w:spacing w:val="-30"/>
        </w:rPr>
      </w:r>
      <w:r>
        <w:rPr/>
        <w:t>共享化</w:t>
      </w:r>
      <w:r>
        <w:rPr>
          <w:rFonts w:ascii="Times New Roman" w:hAnsi="Times New Roman" w:cs="Times New Roman" w:eastAsia="Times New Roman" w:hint="default"/>
        </w:rPr>
        <w:t>”</w:t>
      </w:r>
      <w:r>
        <w:rPr/>
        <w:t>方向不断清晰，智能软件与新能源汽车的融合正在向纵深发展。</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月，科技部等</w:t>
      </w:r>
      <w:r>
        <w:rPr>
          <w:rFonts w:ascii="Times New Roman" w:hAnsi="Times New Roman" w:cs="Times New Roman" w:eastAsia="Times New Roman" w:hint="default"/>
        </w:rPr>
        <w:t>5</w:t>
      </w:r>
      <w:r>
        <w:rPr/>
        <w:t>部委印发</w:t>
      </w:r>
    </w:p>
    <w:p>
      <w:pPr>
        <w:pStyle w:val="BodyText"/>
        <w:spacing w:line="256" w:lineRule="auto" w:before="5"/>
        <w:ind w:right="0"/>
        <w:jc w:val="left"/>
      </w:pPr>
      <w:r>
        <w:rPr>
          <w:spacing w:val="-4"/>
        </w:rPr>
        <w:t>《加强</w:t>
      </w:r>
      <w:r>
        <w:rPr>
          <w:rFonts w:ascii="Times New Roman" w:hAnsi="Times New Roman" w:cs="Times New Roman" w:eastAsia="Times New Roman" w:hint="default"/>
          <w:spacing w:val="-4"/>
        </w:rPr>
        <w:t>“</w:t>
      </w:r>
      <w:r>
        <w:rPr>
          <w:spacing w:val="-4"/>
        </w:rPr>
        <w:t>从</w:t>
      </w:r>
      <w:r>
        <w:rPr>
          <w:rFonts w:ascii="Times New Roman" w:hAnsi="Times New Roman" w:cs="Times New Roman" w:eastAsia="Times New Roman" w:hint="default"/>
          <w:spacing w:val="-4"/>
        </w:rPr>
        <w:t>0</w:t>
      </w:r>
      <w:r>
        <w:rPr>
          <w:spacing w:val="-4"/>
        </w:rPr>
        <w:t>到</w:t>
      </w:r>
      <w:r>
        <w:rPr>
          <w:rFonts w:ascii="Times New Roman" w:hAnsi="Times New Roman" w:cs="Times New Roman" w:eastAsia="Times New Roman" w:hint="default"/>
          <w:spacing w:val="-4"/>
        </w:rPr>
        <w:t>1”</w:t>
      </w:r>
      <w:r>
        <w:rPr>
          <w:spacing w:val="-4"/>
        </w:rPr>
        <w:t>基础研究工作方案》，重点支持人工智能、云计算和大数据、网络协同制造、高性能计算、</w:t>
      </w:r>
      <w:r>
        <w:rPr>
          <w:spacing w:val="-25"/>
        </w:rPr>
        <w:t> </w:t>
      </w:r>
      <w:r>
        <w:rPr>
          <w:spacing w:val="-25"/>
        </w:rPr>
      </w:r>
      <w:r>
        <w:rPr/>
        <w:t>宽带通信和新型网络等重大领域，推动关键核心技术突破。</w:t>
      </w:r>
    </w:p>
    <w:p>
      <w:pPr>
        <w:pStyle w:val="BodyText"/>
        <w:spacing w:line="264" w:lineRule="auto" w:before="22"/>
        <w:ind w:left="573" w:right="1133"/>
        <w:jc w:val="left"/>
      </w:pPr>
      <w:r>
        <w:rPr/>
        <w:t>由此可见，软件与信息技术服务业将继续保持蓬勃发展，公司正处于充满机遇的发展黄金时期。</w:t>
      </w:r>
      <w:r>
        <w:rPr>
          <w:w w:val="100"/>
        </w:rPr>
        <w:t> </w:t>
      </w:r>
      <w:r>
        <w:rPr>
          <w:rFonts w:ascii="Times New Roman" w:hAnsi="Times New Roman" w:cs="Times New Roman" w:eastAsia="Times New Roman" w:hint="default"/>
        </w:rPr>
        <w:t>2</w:t>
      </w:r>
      <w:r>
        <w:rPr/>
        <w:t>、季节性特点</w:t>
      </w:r>
      <w:r>
        <w:rPr>
          <w:w w:val="100"/>
        </w:rPr>
        <w:t> </w:t>
      </w:r>
      <w:r>
        <w:rPr>
          <w:spacing w:val="-2"/>
        </w:rPr>
        <w:t>受公司客户性质影响，公司业务具有较为明显的季节性特点。公司数据智能行业应用客户主要为电信</w:t>
      </w:r>
    </w:p>
    <w:p>
      <w:pPr>
        <w:pStyle w:val="BodyText"/>
        <w:spacing w:line="271" w:lineRule="auto" w:before="16"/>
        <w:ind w:right="1127"/>
        <w:jc w:val="both"/>
      </w:pPr>
      <w:r>
        <w:rPr>
          <w:spacing w:val="-2"/>
        </w:rPr>
        <w:t>运营商以及政府部门、大型国有企事业单位，上述客户均执行严格的预算管理制度和采购审批制度，通常</w:t>
      </w:r>
      <w:r>
        <w:rPr>
          <w:spacing w:val="-43"/>
        </w:rPr>
        <w:t> </w:t>
      </w:r>
      <w:r>
        <w:rPr>
          <w:spacing w:val="-43"/>
        </w:rPr>
      </w:r>
      <w:r>
        <w:rPr>
          <w:spacing w:val="-2"/>
        </w:rPr>
        <w:t>公司该类业务收入及回款主要集中在下半年。公司智能软硬件产品客户主要是新能源汽车厂商，受我国新</w:t>
      </w:r>
      <w:r>
        <w:rPr>
          <w:spacing w:val="-42"/>
        </w:rPr>
        <w:t> </w:t>
      </w:r>
      <w:r>
        <w:rPr>
          <w:spacing w:val="-42"/>
        </w:rPr>
      </w:r>
      <w:r>
        <w:rPr>
          <w:spacing w:val="-2"/>
        </w:rPr>
        <w:t>能源汽车产业政策和销售季节性影响，第一季度客户通常在制定年度预算和确认全年采购计划，通常下半</w:t>
      </w:r>
      <w:r>
        <w:rPr>
          <w:spacing w:val="-43"/>
        </w:rPr>
        <w:t> </w:t>
      </w:r>
      <w:r>
        <w:rPr>
          <w:spacing w:val="-43"/>
        </w:rPr>
      </w:r>
      <w:r>
        <w:rPr>
          <w:spacing w:val="-3"/>
        </w:rPr>
        <w:t>年是销售旺季，智能</w:t>
      </w:r>
      <w:r>
        <w:rPr>
          <w:rFonts w:ascii="Times New Roman" w:hAnsi="Times New Roman" w:cs="Times New Roman" w:eastAsia="Times New Roman" w:hint="default"/>
          <w:spacing w:val="-3"/>
        </w:rPr>
        <w:t>BMS</w:t>
      </w:r>
      <w:r>
        <w:rPr>
          <w:spacing w:val="-3"/>
        </w:rPr>
        <w:t>是新能源汽车核心部件，其销售受到下游整车行业的影响呈现出一定的季节性特</w:t>
      </w:r>
      <w:r>
        <w:rPr>
          <w:spacing w:val="-18"/>
        </w:rPr>
        <w:t> </w:t>
      </w:r>
      <w:r>
        <w:rPr>
          <w:spacing w:val="-18"/>
        </w:rPr>
      </w:r>
      <w:r>
        <w:rPr>
          <w:spacing w:val="-2"/>
        </w:rPr>
        <w:t>征，通常上半年销售收入较下半年少。由于公司的人力成本、差旅费用和研发投入等支出在年度内发生较</w:t>
      </w:r>
      <w:r>
        <w:rPr>
          <w:spacing w:val="-43"/>
        </w:rPr>
        <w:t> </w:t>
      </w:r>
      <w:r>
        <w:rPr>
          <w:spacing w:val="-43"/>
        </w:rPr>
      </w:r>
      <w:r>
        <w:rPr>
          <w:spacing w:val="-2"/>
        </w:rPr>
        <w:t>为均衡，从而导致公司净利润的季节性波动明显，上半年净利润一般明显少于下半年。公司业绩季节性波</w:t>
      </w:r>
      <w:r>
        <w:rPr>
          <w:spacing w:val="-43"/>
        </w:rPr>
        <w:t> </w:t>
      </w:r>
      <w:r>
        <w:rPr>
          <w:spacing w:val="-43"/>
        </w:rPr>
      </w:r>
      <w:r>
        <w:rPr>
          <w:spacing w:val="-2"/>
        </w:rPr>
        <w:t>动会导致公司收入、经营性现金流等财务指标在各季度间出现较大的波动，投资者不宜以一季度或半年度</w:t>
      </w:r>
      <w:r>
        <w:rPr>
          <w:spacing w:val="-42"/>
        </w:rPr>
        <w:t> </w:t>
      </w:r>
      <w:r>
        <w:rPr>
          <w:spacing w:val="-42"/>
        </w:rPr>
      </w:r>
      <w:r>
        <w:rPr/>
        <w:t>的数据推算公司全年的经营情况。</w:t>
      </w:r>
    </w:p>
    <w:p>
      <w:pPr>
        <w:pStyle w:val="BodyText"/>
        <w:spacing w:line="256" w:lineRule="auto" w:before="10"/>
        <w:ind w:left="573" w:right="1133"/>
        <w:jc w:val="left"/>
      </w:pPr>
      <w:r>
        <w:rPr>
          <w:rFonts w:ascii="Times New Roman" w:hAnsi="Times New Roman" w:cs="Times New Roman" w:eastAsia="Times New Roman" w:hint="default"/>
        </w:rPr>
        <w:t>3</w:t>
      </w:r>
      <w:r>
        <w:rPr/>
        <w:t>、行业地位</w:t>
      </w:r>
      <w:r>
        <w:rPr>
          <w:w w:val="100"/>
        </w:rPr>
        <w:t> </w:t>
      </w:r>
      <w:r>
        <w:rPr>
          <w:spacing w:val="-2"/>
        </w:rPr>
        <w:t>公司是国内领先的数据智能技术研发和应用的高科技企业，致力于打造软硬件一体化的智能产品，提</w:t>
      </w:r>
    </w:p>
    <w:p>
      <w:pPr>
        <w:pStyle w:val="BodyText"/>
        <w:spacing w:line="264" w:lineRule="auto" w:before="22"/>
        <w:ind w:right="0"/>
        <w:jc w:val="left"/>
      </w:pPr>
      <w:r>
        <w:rPr/>
        <w:t>供以云平台为基础的</w:t>
      </w:r>
      <w:r>
        <w:rPr>
          <w:rFonts w:ascii="Times New Roman" w:hAnsi="Times New Roman" w:cs="Times New Roman" w:eastAsia="Times New Roman" w:hint="default"/>
        </w:rPr>
        <w:t>IT</w:t>
      </w:r>
      <w:r>
        <w:rPr/>
        <w:t>整体解决方案与服务。公司源自中国科学技术大学，发挥多年积累的大数据处理技</w:t>
      </w:r>
      <w:r>
        <w:rPr>
          <w:w w:val="100"/>
        </w:rPr>
        <w:t> </w:t>
      </w:r>
      <w:r>
        <w:rPr>
          <w:spacing w:val="-2"/>
        </w:rPr>
        <w:t>术和深厚的行业经验优势，抓住人工智能发展契机，积极开展数据智能技术的研发和应用，赋能各行业领</w:t>
      </w:r>
      <w:r>
        <w:rPr>
          <w:spacing w:val="-45"/>
        </w:rPr>
        <w:t> </w:t>
      </w:r>
      <w:r>
        <w:rPr>
          <w:spacing w:val="-45"/>
        </w:rPr>
      </w:r>
      <w:r>
        <w:rPr>
          <w:spacing w:val="-2"/>
        </w:rPr>
        <w:t>域客户专属的数据智能能力，推动国家以数据为驱动的数智化转型。经过十余年的努力，公司已成为行业</w:t>
      </w:r>
      <w:r>
        <w:rPr>
          <w:spacing w:val="-43"/>
        </w:rPr>
        <w:t> </w:t>
      </w:r>
      <w:r>
        <w:rPr>
          <w:spacing w:val="-43"/>
        </w:rPr>
      </w:r>
      <w:r>
        <w:rPr/>
        <w:t>软件的领先者，大数据研发应用的国家队，数据智能技术的创新者。公司产品广泛应用于运营商</w:t>
      </w:r>
      <w:r>
        <w:rPr>
          <w:rFonts w:ascii="Times New Roman" w:hAnsi="Times New Roman" w:cs="Times New Roman" w:eastAsia="Times New Roman" w:hint="default"/>
        </w:rPr>
        <w:t>&amp;</w:t>
      </w:r>
      <w:r>
        <w:rPr/>
        <w:t>政企、</w:t>
      </w:r>
      <w:r>
        <w:rPr>
          <w:spacing w:val="-84"/>
        </w:rPr>
        <w:t> </w:t>
      </w:r>
      <w:r>
        <w:rPr>
          <w:spacing w:val="-84"/>
        </w:rPr>
      </w:r>
      <w:r>
        <w:rPr>
          <w:spacing w:val="-2"/>
        </w:rPr>
        <w:t>智慧物流、智能汽车等行业和领域，有效支撑了客户的数智化转型、高质量发展；公司秉承以客户为中心</w:t>
      </w:r>
      <w:r>
        <w:rPr>
          <w:spacing w:val="-50"/>
        </w:rPr>
        <w:t> </w:t>
      </w:r>
      <w:r>
        <w:rPr>
          <w:spacing w:val="-50"/>
        </w:rPr>
      </w:r>
      <w:r>
        <w:rPr/>
        <w:t>的经营理念，拥有了一批国内</w:t>
      </w:r>
      <w:r>
        <w:rPr>
          <w:rFonts w:ascii="Times New Roman" w:hAnsi="Times New Roman" w:cs="Times New Roman" w:eastAsia="Times New Roman" w:hint="default"/>
        </w:rPr>
        <w:t>/</w:t>
      </w:r>
      <w:r>
        <w:rPr/>
        <w:t>国际世界</w:t>
      </w:r>
      <w:r>
        <w:rPr>
          <w:rFonts w:ascii="Times New Roman" w:hAnsi="Times New Roman" w:cs="Times New Roman" w:eastAsia="Times New Roman" w:hint="default"/>
        </w:rPr>
        <w:t>500</w:t>
      </w:r>
      <w:r>
        <w:rPr/>
        <w:t>强和政府等高端客户；公司注重管理，获得了软件成熟度模型</w:t>
      </w:r>
      <w:r>
        <w:rPr>
          <w:spacing w:val="-86"/>
        </w:rPr>
        <w:t> </w:t>
      </w:r>
      <w:r>
        <w:rPr>
          <w:spacing w:val="-86"/>
        </w:rPr>
      </w:r>
      <w:r>
        <w:rPr>
          <w:spacing w:val="-6"/>
          <w:w w:val="100"/>
        </w:rPr>
        <w:t>集成最高级</w:t>
      </w:r>
      <w:r>
        <w:rPr>
          <w:rFonts w:ascii="Times New Roman" w:hAnsi="Times New Roman" w:cs="Times New Roman" w:eastAsia="Times New Roman" w:hint="default"/>
          <w:spacing w:val="-6"/>
          <w:w w:val="100"/>
        </w:rPr>
        <w:t>CMMI5</w:t>
      </w:r>
      <w:r>
        <w:rPr>
          <w:spacing w:val="-6"/>
          <w:w w:val="100"/>
        </w:rPr>
        <w:t>级认证、国家计算机信息系统集成一级资质、国家建筑智能化工程设计与施工一级资质、</w:t>
      </w:r>
      <w:r>
        <w:rPr>
          <w:spacing w:val="-69"/>
          <w:w w:val="100"/>
        </w:rPr>
        <w:t> </w:t>
      </w:r>
      <w:r>
        <w:rPr>
          <w:spacing w:val="-69"/>
          <w:w w:val="100"/>
        </w:rPr>
      </w:r>
      <w:r>
        <w:rPr>
          <w:spacing w:val="-2"/>
        </w:rPr>
        <w:t>信息系统安全集成服务一级资质、国家规划布局内重点软件企业、国家高新技术企业、国家企业技术中心</w:t>
      </w:r>
      <w:r>
        <w:rPr>
          <w:spacing w:val="-44"/>
        </w:rPr>
        <w:t> </w:t>
      </w:r>
      <w:r>
        <w:rPr>
          <w:spacing w:val="-44"/>
        </w:rPr>
      </w:r>
      <w:r>
        <w:rPr/>
        <w:t>等高端资质和认证，综合竞争优势明显。</w:t>
      </w:r>
    </w:p>
    <w:p>
      <w:pPr>
        <w:pStyle w:val="BodyText"/>
        <w:spacing w:line="256" w:lineRule="auto" w:before="16"/>
        <w:ind w:right="1130" w:firstLine="420"/>
        <w:jc w:val="both"/>
      </w:pPr>
      <w:r>
        <w:rPr>
          <w:spacing w:val="-1"/>
        </w:rPr>
        <w:t>报告期内，公司及子公司先后获得了</w:t>
      </w:r>
      <w:r>
        <w:rPr>
          <w:rFonts w:ascii="Times New Roman" w:hAnsi="Times New Roman" w:cs="Times New Roman" w:eastAsia="Times New Roman" w:hint="default"/>
          <w:spacing w:val="-1"/>
        </w:rPr>
        <w:t>“2019</w:t>
      </w:r>
      <w:r>
        <w:rPr>
          <w:spacing w:val="-1"/>
        </w:rPr>
        <w:t>全国电子信息行业优秀企业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改革开放</w:t>
      </w:r>
      <w:r>
        <w:rPr>
          <w:rFonts w:ascii="Times New Roman" w:hAnsi="Times New Roman" w:cs="Times New Roman" w:eastAsia="Times New Roman" w:hint="default"/>
          <w:spacing w:val="-1"/>
        </w:rPr>
        <w:t>40</w:t>
      </w:r>
      <w:r>
        <w:rPr>
          <w:spacing w:val="-1"/>
        </w:rPr>
        <w:t>周年</w:t>
      </w:r>
      <w:r>
        <w:rPr>
          <w:rFonts w:ascii="Times New Roman" w:hAnsi="Times New Roman" w:cs="Times New Roman" w:eastAsia="Times New Roman" w:hint="default"/>
          <w:spacing w:val="-1"/>
        </w:rPr>
        <w:t>-</w:t>
      </w:r>
      <w:r>
        <w:rPr>
          <w:spacing w:val="-1"/>
        </w:rPr>
        <w:t>安徽省优</w:t>
      </w:r>
      <w:r>
        <w:rPr>
          <w:w w:val="100"/>
        </w:rPr>
        <w:t> </w:t>
      </w:r>
      <w:r>
        <w:rPr>
          <w:spacing w:val="-1"/>
        </w:rPr>
        <w:t>秀物流信息平台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安徽省创新示范单位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中国政府信息化方案案例创新奖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中国物流与供</w:t>
      </w:r>
      <w:r>
        <w:rPr>
          <w:spacing w:val="-15"/>
        </w:rPr>
        <w:t> </w:t>
      </w:r>
      <w:r>
        <w:rPr>
          <w:spacing w:val="-15"/>
        </w:rPr>
      </w:r>
      <w:r>
        <w:rPr>
          <w:spacing w:val="-1"/>
        </w:rPr>
        <w:t>应链信息化十佳服务商</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国家中小企业公共服务示范平台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长三角数字经济应用场景优秀案</w:t>
      </w:r>
      <w:r>
        <w:rPr>
          <w:spacing w:val="-42"/>
        </w:rPr>
        <w:t> </w:t>
      </w:r>
      <w:r>
        <w:rPr>
          <w:spacing w:val="-42"/>
        </w:rPr>
      </w:r>
      <w:r>
        <w:rPr/>
        <w:t>例提名奖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年度电动汽车核心零部件</w:t>
      </w:r>
      <w:r>
        <w:rPr>
          <w:rFonts w:ascii="Times New Roman" w:hAnsi="Times New Roman" w:cs="Times New Roman" w:eastAsia="Times New Roman" w:hint="default"/>
        </w:rPr>
        <w:t>100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“2019AIIA</w:t>
      </w:r>
      <w:r>
        <w:rPr/>
        <w:t>人工智能大赛</w:t>
      </w:r>
      <w:r>
        <w:rPr>
          <w:rFonts w:ascii="Times New Roman" w:hAnsi="Times New Roman" w:cs="Times New Roman" w:eastAsia="Times New Roman" w:hint="default"/>
        </w:rPr>
        <w:t>-5G</w:t>
      </w:r>
      <w:r>
        <w:rPr/>
        <w:t>网络应用专项赛二等奖</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等诸多荣誉。</w:t>
      </w:r>
    </w:p>
    <w:p>
      <w:pPr>
        <w:pStyle w:val="BodyText"/>
        <w:spacing w:line="273" w:lineRule="auto" w:before="22"/>
        <w:ind w:right="1126" w:firstLine="420"/>
        <w:jc w:val="both"/>
      </w:pPr>
      <w:r>
        <w:rPr>
          <w:spacing w:val="-3"/>
        </w:rPr>
        <w:t>当前，全国进入数字经济发展新时期，科技新基建的大建设期，公司所处行业处于高速发展期。公司</w:t>
      </w:r>
      <w:r>
        <w:rPr>
          <w:w w:val="100"/>
        </w:rPr>
        <w:t> </w:t>
      </w:r>
      <w:r>
        <w:rPr>
          <w:spacing w:val="-2"/>
        </w:rPr>
        <w:t>将继续围绕主营业务，增强创新意识，持续推进数据智能与重点行业领域的融合创新应用，深化公司经营</w:t>
      </w:r>
      <w:r>
        <w:rPr>
          <w:spacing w:val="-44"/>
        </w:rPr>
        <w:t> </w:t>
      </w:r>
      <w:r>
        <w:rPr>
          <w:spacing w:val="-44"/>
        </w:rPr>
      </w:r>
      <w:r>
        <w:rPr/>
        <w:t>管理战略和资本管理战略，促进公司高质量发展。</w:t>
      </w:r>
    </w:p>
    <w:p>
      <w:pPr>
        <w:pStyle w:val="BodyText"/>
        <w:spacing w:line="273" w:lineRule="auto" w:before="7"/>
        <w:ind w:left="573" w:right="1133"/>
        <w:jc w:val="left"/>
      </w:pPr>
      <w:r>
        <w:rPr/>
        <w:t>（四）客户所处行业的发展情况</w:t>
      </w:r>
      <w:r>
        <w:rPr>
          <w:w w:val="100"/>
        </w:rPr>
        <w:t> </w:t>
      </w:r>
      <w:r>
        <w:rPr>
          <w:spacing w:val="-2"/>
        </w:rPr>
        <w:t>党的十九大报告提出，推动互联网、大数据、人工智能和实体经济深度融合，建设数字中国、智慧社</w:t>
      </w:r>
    </w:p>
    <w:p>
      <w:pPr>
        <w:pStyle w:val="BodyText"/>
        <w:spacing w:line="264" w:lineRule="auto" w:before="7"/>
        <w:ind w:right="1126"/>
        <w:jc w:val="both"/>
      </w:pPr>
      <w:r>
        <w:rPr>
          <w:spacing w:val="-2"/>
        </w:rPr>
        <w:t>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月，中央政治局第二次集体学习时，习近平总书记强调，加快建设数字中国，构建以数据为</w:t>
      </w:r>
      <w:r>
        <w:rPr>
          <w:spacing w:val="-38"/>
        </w:rPr>
        <w:t> </w:t>
      </w:r>
      <w:r>
        <w:rPr>
          <w:spacing w:val="-38"/>
        </w:rPr>
      </w:r>
      <w:r>
        <w:rPr/>
        <w:t>关键要素的数字经济，推动实体经济和数字经济融合发展。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日，全国网络安全和信息化工作</w:t>
      </w:r>
      <w:r>
        <w:rPr>
          <w:spacing w:val="-26"/>
        </w:rPr>
        <w:t> </w:t>
      </w:r>
      <w:r>
        <w:rPr>
          <w:spacing w:val="-26"/>
        </w:rPr>
      </w:r>
      <w:r>
        <w:rPr>
          <w:spacing w:val="-2"/>
        </w:rPr>
        <w:t>会议上，习近平总书记指出，要发展数字经济，加快推动数字产业化，依靠信息技术创新驱动，不断催生</w:t>
      </w:r>
      <w:r>
        <w:rPr>
          <w:spacing w:val="-43"/>
        </w:rPr>
        <w:t> </w:t>
      </w:r>
      <w:r>
        <w:rPr>
          <w:spacing w:val="-43"/>
        </w:rPr>
      </w:r>
      <w:r>
        <w:rPr>
          <w:spacing w:val="-2"/>
        </w:rPr>
        <w:t>新产业新业态新模式，用新动能推动新发展。</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日，在中国国际数字经济博览会上，习近平强</w:t>
      </w:r>
      <w:r>
        <w:rPr>
          <w:spacing w:val="-42"/>
        </w:rPr>
        <w:t> </w:t>
      </w:r>
      <w:r>
        <w:rPr>
          <w:spacing w:val="-42"/>
        </w:rPr>
      </w:r>
      <w:r>
        <w:rPr>
          <w:spacing w:val="-2"/>
        </w:rPr>
        <w:t>调，中国高度重视发展数字经济，在创新、协调、绿色、开放、共享的新发展理念指引下，中国正积极推</w:t>
      </w:r>
      <w:r>
        <w:rPr>
          <w:spacing w:val="-48"/>
        </w:rPr>
        <w:t> </w:t>
      </w:r>
      <w:r>
        <w:rPr>
          <w:spacing w:val="-48"/>
        </w:rPr>
      </w:r>
      <w:r>
        <w:rPr/>
        <w:t>进数字产业化、产业数字化，引导数字经济和实体经济深度融合，推动经济高质量发展。</w:t>
      </w:r>
    </w:p>
    <w:p>
      <w:pPr>
        <w:pStyle w:val="BodyText"/>
        <w:spacing w:line="240" w:lineRule="auto" w:before="16"/>
        <w:ind w:left="573" w:right="1133"/>
        <w:jc w:val="left"/>
      </w:pPr>
      <w:r>
        <w:rPr>
          <w:spacing w:val="-3"/>
        </w:rPr>
        <w:t>为发展新经济培育新动能，公司积极拥抱</w:t>
      </w:r>
      <w:r>
        <w:rPr>
          <w:rFonts w:ascii="Times New Roman" w:hAnsi="Times New Roman" w:cs="Times New Roman" w:eastAsia="Times New Roman" w:hint="default"/>
          <w:spacing w:val="-3"/>
        </w:rPr>
        <w:t>5G</w:t>
      </w:r>
      <w:r>
        <w:rPr>
          <w:spacing w:val="-3"/>
        </w:rPr>
        <w:t>、大数据、人工智能、云计算、物联网、区块链等新兴技</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29"/>
        <w:jc w:val="both"/>
      </w:pPr>
      <w:r>
        <w:rPr>
          <w:spacing w:val="-1"/>
        </w:rPr>
        <w:t>术，持续加强数据智能核心技术与实体经济的融合，为运营商</w:t>
      </w:r>
      <w:r>
        <w:rPr>
          <w:rFonts w:ascii="Times New Roman" w:hAnsi="Times New Roman" w:cs="Times New Roman" w:eastAsia="Times New Roman" w:hint="default"/>
          <w:spacing w:val="-1"/>
        </w:rPr>
        <w:t>&amp;</w:t>
      </w:r>
      <w:r>
        <w:rPr>
          <w:spacing w:val="-1"/>
        </w:rPr>
        <w:t>政企、智慧物流、智能汽车等行业领域提</w:t>
      </w:r>
      <w:r>
        <w:rPr>
          <w:spacing w:val="-40"/>
        </w:rPr>
        <w:t> </w:t>
      </w:r>
      <w:r>
        <w:rPr>
          <w:spacing w:val="-40"/>
        </w:rPr>
      </w:r>
      <w:r>
        <w:rPr/>
        <w:t>供优质的数据智能行业应用、数据智能平台运营、智能软硬件产品等。</w:t>
      </w:r>
    </w:p>
    <w:p>
      <w:pPr>
        <w:pStyle w:val="BodyText"/>
        <w:spacing w:line="256" w:lineRule="auto" w:before="22"/>
        <w:ind w:left="573" w:right="1133"/>
        <w:jc w:val="left"/>
      </w:pPr>
      <w:r>
        <w:rPr>
          <w:rFonts w:ascii="Times New Roman" w:hAnsi="Times New Roman" w:cs="Times New Roman" w:eastAsia="Times New Roman" w:hint="default"/>
        </w:rPr>
        <w:t>1</w:t>
      </w:r>
      <w:r>
        <w:rPr/>
        <w:t>、运营商</w:t>
      </w:r>
      <w:r>
        <w:rPr>
          <w:rFonts w:ascii="Times New Roman" w:hAnsi="Times New Roman" w:cs="Times New Roman" w:eastAsia="Times New Roman" w:hint="default"/>
        </w:rPr>
        <w:t>&amp;</w:t>
      </w:r>
      <w:r>
        <w:rPr/>
        <w:t>政企</w:t>
      </w:r>
      <w:r>
        <w:rPr>
          <w:w w:val="100"/>
        </w:rPr>
        <w:t> </w:t>
      </w:r>
      <w:r>
        <w:rPr>
          <w:spacing w:val="-2"/>
        </w:rPr>
        <w:t>电信行业是技术密集型行业，是国民经济的基础行业、战略行业和先导性行业，也是我国信息化技术</w:t>
      </w:r>
    </w:p>
    <w:p>
      <w:pPr>
        <w:pStyle w:val="BodyText"/>
        <w:spacing w:line="259" w:lineRule="auto" w:before="22"/>
        <w:ind w:right="1126"/>
        <w:jc w:val="both"/>
      </w:pPr>
      <w:r>
        <w:rPr>
          <w:spacing w:val="-1"/>
        </w:rPr>
        <w:t>程度和信息化技术水平最高的行业之一。随着</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月工信部正式向各大运营商发放</w:t>
      </w:r>
      <w:r>
        <w:rPr>
          <w:rFonts w:ascii="Times New Roman" w:hAnsi="Times New Roman" w:cs="Times New Roman" w:eastAsia="Times New Roman" w:hint="default"/>
          <w:spacing w:val="-1"/>
        </w:rPr>
        <w:t>5G</w:t>
      </w:r>
      <w:r>
        <w:rPr>
          <w:spacing w:val="-1"/>
        </w:rPr>
        <w:t>商用牌照，我国</w:t>
      </w:r>
      <w:r>
        <w:rPr>
          <w:spacing w:val="-24"/>
        </w:rPr>
        <w:t> </w:t>
      </w:r>
      <w:r>
        <w:rPr>
          <w:spacing w:val="-24"/>
        </w:rPr>
      </w:r>
      <w:r>
        <w:rPr>
          <w:spacing w:val="-4"/>
        </w:rPr>
        <w:t>正式进入</w:t>
      </w:r>
      <w:r>
        <w:rPr>
          <w:rFonts w:ascii="Times New Roman" w:hAnsi="Times New Roman" w:cs="Times New Roman" w:eastAsia="Times New Roman" w:hint="default"/>
          <w:spacing w:val="-4"/>
        </w:rPr>
        <w:t>5G</w:t>
      </w:r>
      <w:r>
        <w:rPr>
          <w:spacing w:val="-4"/>
        </w:rPr>
        <w:t>商用元年。</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月，中央政治局会议明确提出</w:t>
      </w:r>
      <w:r>
        <w:rPr>
          <w:rFonts w:ascii="Times New Roman" w:hAnsi="Times New Roman" w:cs="Times New Roman" w:eastAsia="Times New Roman" w:hint="default"/>
          <w:spacing w:val="-4"/>
        </w:rPr>
        <w:t>“</w:t>
      </w:r>
      <w:r>
        <w:rPr>
          <w:spacing w:val="-4"/>
        </w:rPr>
        <w:t>加快</w:t>
      </w:r>
      <w:r>
        <w:rPr>
          <w:rFonts w:ascii="Times New Roman" w:hAnsi="Times New Roman" w:cs="Times New Roman" w:eastAsia="Times New Roman" w:hint="default"/>
          <w:spacing w:val="-4"/>
        </w:rPr>
        <w:t>5G</w:t>
      </w:r>
      <w:r>
        <w:rPr>
          <w:spacing w:val="-4"/>
        </w:rPr>
        <w:t>商用步伐，加强人工智能、工业互联</w:t>
      </w:r>
      <w:r>
        <w:rPr>
          <w:spacing w:val="-19"/>
        </w:rPr>
        <w:t> </w:t>
      </w:r>
      <w:r>
        <w:rPr>
          <w:spacing w:val="-19"/>
        </w:rPr>
      </w:r>
      <w:r>
        <w:rPr>
          <w:spacing w:val="-2"/>
        </w:rPr>
        <w:t>网、物联网等新型基础设施建设</w:t>
      </w:r>
      <w:r>
        <w:rPr>
          <w:rFonts w:ascii="Times New Roman" w:hAnsi="Times New Roman" w:cs="Times New Roman" w:eastAsia="Times New Roman" w:hint="default"/>
          <w:spacing w:val="-2"/>
        </w:rPr>
        <w:t>”</w:t>
      </w:r>
      <w:r>
        <w:rPr>
          <w:spacing w:val="-2"/>
        </w:rPr>
        <w:t>，目前各大电信运营商已经在全国各地建设</w:t>
      </w:r>
      <w:r>
        <w:rPr>
          <w:rFonts w:ascii="Times New Roman" w:hAnsi="Times New Roman" w:cs="Times New Roman" w:eastAsia="Times New Roman" w:hint="default"/>
          <w:spacing w:val="-2"/>
        </w:rPr>
        <w:t>5G</w:t>
      </w:r>
      <w:r>
        <w:rPr>
          <w:spacing w:val="-2"/>
        </w:rPr>
        <w:t>基站，开展</w:t>
      </w:r>
      <w:r>
        <w:rPr>
          <w:rFonts w:ascii="Times New Roman" w:hAnsi="Times New Roman" w:cs="Times New Roman" w:eastAsia="Times New Roman" w:hint="default"/>
          <w:spacing w:val="-2"/>
        </w:rPr>
        <w:t>5G</w:t>
      </w:r>
      <w:r>
        <w:rPr>
          <w:spacing w:val="-2"/>
        </w:rPr>
        <w:t>外场测试，</w:t>
      </w:r>
      <w:r>
        <w:rPr>
          <w:spacing w:val="-19"/>
        </w:rPr>
        <w:t> </w:t>
      </w:r>
      <w:r>
        <w:rPr>
          <w:spacing w:val="-19"/>
        </w:rPr>
      </w:r>
      <w:r>
        <w:rPr>
          <w:spacing w:val="-2"/>
        </w:rPr>
        <w:t>启动</w:t>
      </w:r>
      <w:r>
        <w:rPr>
          <w:rFonts w:ascii="Times New Roman" w:hAnsi="Times New Roman" w:cs="Times New Roman" w:eastAsia="Times New Roman" w:hint="default"/>
          <w:spacing w:val="-2"/>
        </w:rPr>
        <w:t>5G</w:t>
      </w:r>
      <w:r>
        <w:rPr>
          <w:spacing w:val="-2"/>
        </w:rPr>
        <w:t>独立组网，并拓展出各类</w:t>
      </w:r>
      <w:r>
        <w:rPr>
          <w:rFonts w:ascii="Times New Roman" w:hAnsi="Times New Roman" w:cs="Times New Roman" w:eastAsia="Times New Roman" w:hint="default"/>
          <w:spacing w:val="-2"/>
        </w:rPr>
        <w:t>5G</w:t>
      </w:r>
      <w:r>
        <w:rPr>
          <w:spacing w:val="-2"/>
        </w:rPr>
        <w:t>创新应用，</w:t>
      </w:r>
      <w:r>
        <w:rPr>
          <w:rFonts w:ascii="Times New Roman" w:hAnsi="Times New Roman" w:cs="Times New Roman" w:eastAsia="Times New Roman" w:hint="default"/>
          <w:spacing w:val="-2"/>
        </w:rPr>
        <w:t>5G</w:t>
      </w:r>
      <w:r>
        <w:rPr>
          <w:spacing w:val="-2"/>
        </w:rPr>
        <w:t>建设如火如荼。作为新一代通信技术的核心驱动，</w:t>
      </w:r>
      <w:r>
        <w:rPr>
          <w:rFonts w:ascii="Times New Roman" w:hAnsi="Times New Roman" w:cs="Times New Roman" w:eastAsia="Times New Roman" w:hint="default"/>
          <w:spacing w:val="-2"/>
        </w:rPr>
        <w:t>5G</w:t>
      </w:r>
      <w:r>
        <w:rPr>
          <w:spacing w:val="-2"/>
        </w:rPr>
        <w:t>技</w:t>
      </w:r>
      <w:r>
        <w:rPr>
          <w:spacing w:val="-18"/>
        </w:rPr>
        <w:t> </w:t>
      </w:r>
      <w:r>
        <w:rPr>
          <w:spacing w:val="-2"/>
        </w:rPr>
        <w:t>术创新发展将构筑起万物互联的基础设施，这将对运营商的运营支撑系统的运行效率、数据量、处理能力</w:t>
      </w:r>
      <w:r>
        <w:rPr>
          <w:spacing w:val="-45"/>
        </w:rPr>
        <w:t> </w:t>
      </w:r>
      <w:r>
        <w:rPr>
          <w:spacing w:val="-45"/>
        </w:rPr>
      </w:r>
      <w:r>
        <w:rPr>
          <w:spacing w:val="-3"/>
        </w:rPr>
        <w:t>和稳定性等提出更高要求，同时大数据、云计算、物联网、人工智能将在</w:t>
      </w:r>
      <w:r>
        <w:rPr>
          <w:rFonts w:ascii="Times New Roman" w:hAnsi="Times New Roman" w:cs="Times New Roman" w:eastAsia="Times New Roman" w:hint="default"/>
          <w:spacing w:val="-3"/>
        </w:rPr>
        <w:t>5G</w:t>
      </w:r>
      <w:r>
        <w:rPr>
          <w:spacing w:val="-3"/>
        </w:rPr>
        <w:t>时代逐渐成熟、落地，整个产</w:t>
      </w:r>
      <w:r>
        <w:rPr>
          <w:spacing w:val="-46"/>
        </w:rPr>
        <w:t> </w:t>
      </w:r>
      <w:r>
        <w:rPr>
          <w:spacing w:val="-46"/>
        </w:rPr>
      </w:r>
      <w:r>
        <w:rPr>
          <w:spacing w:val="-3"/>
        </w:rPr>
        <w:t>业将拥抱全新业态，重构生态合作。公司作为运营商运营支撑系统的核心供应商，将受益于电信行业</w:t>
      </w:r>
      <w:r>
        <w:rPr>
          <w:rFonts w:ascii="Times New Roman" w:hAnsi="Times New Roman" w:cs="Times New Roman" w:eastAsia="Times New Roman" w:hint="default"/>
          <w:spacing w:val="-3"/>
        </w:rPr>
        <w:t>5G</w:t>
      </w:r>
      <w:r>
        <w:rPr>
          <w:spacing w:val="-3"/>
        </w:rPr>
        <w:t>变</w:t>
      </w:r>
      <w:r>
        <w:rPr>
          <w:spacing w:val="-42"/>
        </w:rPr>
        <w:t> </w:t>
      </w:r>
      <w:r>
        <w:rPr/>
        <w:t>革带来的发展机遇。</w:t>
      </w:r>
    </w:p>
    <w:p>
      <w:pPr>
        <w:pStyle w:val="BodyText"/>
        <w:spacing w:line="264" w:lineRule="auto" w:before="21"/>
        <w:ind w:right="0" w:firstLine="420"/>
        <w:jc w:val="left"/>
      </w:pPr>
      <w:r>
        <w:rPr>
          <w:rFonts w:ascii="Times New Roman" w:hAnsi="Times New Roman" w:cs="Times New Roman" w:eastAsia="Times New Roman" w:hint="default"/>
          <w:spacing w:val="-3"/>
        </w:rPr>
        <w:t>5G</w:t>
      </w:r>
      <w:r>
        <w:rPr>
          <w:spacing w:val="-3"/>
        </w:rPr>
        <w:t>的行业融合应用将推动各行各业深刻变革，公司积极将行业经验、技术、人才等优势能力延展至政</w:t>
      </w:r>
      <w:r>
        <w:rPr>
          <w:w w:val="100"/>
        </w:rPr>
        <w:t> </w:t>
      </w:r>
      <w:r>
        <w:rPr>
          <w:spacing w:val="-2"/>
        </w:rPr>
        <w:t>府、能源、交通、金融等政企领域，为用户数字化转型、高质量发展、科技创新提供技术服务。政府领域</w:t>
      </w:r>
      <w:r>
        <w:rPr>
          <w:spacing w:val="-48"/>
        </w:rPr>
        <w:t> </w:t>
      </w:r>
      <w:r>
        <w:rPr>
          <w:spacing w:val="-48"/>
        </w:rPr>
      </w:r>
      <w:r>
        <w:rPr>
          <w:spacing w:val="-2"/>
        </w:rPr>
        <w:t>承担了国民经济各重要领域的行业监管、社会管理和公共服务等职能，近年来各级政府单位加快推进互联</w:t>
      </w:r>
      <w:r>
        <w:rPr>
          <w:spacing w:val="-42"/>
        </w:rPr>
        <w:t> </w:t>
      </w:r>
      <w:r>
        <w:rPr>
          <w:spacing w:val="-42"/>
        </w:rPr>
      </w:r>
      <w:r>
        <w:rPr>
          <w:spacing w:val="-3"/>
        </w:rPr>
        <w:t>网</w:t>
      </w:r>
      <w:r>
        <w:rPr>
          <w:rFonts w:ascii="Times New Roman" w:hAnsi="Times New Roman" w:cs="Times New Roman" w:eastAsia="Times New Roman" w:hint="default"/>
          <w:spacing w:val="-3"/>
        </w:rPr>
        <w:t>+</w:t>
      </w:r>
      <w:r>
        <w:rPr>
          <w:spacing w:val="-3"/>
        </w:rPr>
        <w:t>政务服务、互联网</w:t>
      </w:r>
      <w:r>
        <w:rPr>
          <w:rFonts w:ascii="Times New Roman" w:hAnsi="Times New Roman" w:cs="Times New Roman" w:eastAsia="Times New Roman" w:hint="default"/>
          <w:spacing w:val="-3"/>
        </w:rPr>
        <w:t>+</w:t>
      </w:r>
      <w:r>
        <w:rPr>
          <w:spacing w:val="-3"/>
        </w:rPr>
        <w:t>监管、智慧城市、国产自主可控等一系列政府数字化建设，尤其是新冠疫情对政府</w:t>
      </w:r>
      <w:r>
        <w:rPr>
          <w:spacing w:val="-28"/>
        </w:rPr>
        <w:t> </w:t>
      </w:r>
      <w:r>
        <w:rPr>
          <w:spacing w:val="-28"/>
        </w:rPr>
      </w:r>
      <w:r>
        <w:rPr>
          <w:spacing w:val="-5"/>
        </w:rPr>
        <w:t>数字化治理提出了新要求、新挑战，必将推动新一轮政府数字化建设高潮；能源行业是国民经济基础产业，</w:t>
      </w:r>
      <w:r>
        <w:rPr>
          <w:spacing w:val="-6"/>
        </w:rPr>
        <w:t> </w:t>
      </w:r>
      <w:r>
        <w:rPr>
          <w:spacing w:val="-6"/>
        </w:rPr>
      </w:r>
      <w:r>
        <w:rPr>
          <w:rFonts w:ascii="Times New Roman" w:hAnsi="Times New Roman" w:cs="Times New Roman" w:eastAsia="Times New Roman" w:hint="default"/>
        </w:rPr>
        <w:t>2019</w:t>
      </w:r>
      <w:r>
        <w:rPr/>
        <w:t>年上半年，国家电网提出了</w:t>
      </w:r>
      <w:r>
        <w:rPr>
          <w:rFonts w:ascii="Times New Roman" w:hAnsi="Times New Roman" w:cs="Times New Roman" w:eastAsia="Times New Roman" w:hint="default"/>
        </w:rPr>
        <w:t>“</w:t>
      </w:r>
      <w:r>
        <w:rPr/>
        <w:t>三型两网、世界一流</w:t>
      </w:r>
      <w:r>
        <w:rPr>
          <w:rFonts w:ascii="Times New Roman" w:hAnsi="Times New Roman" w:cs="Times New Roman" w:eastAsia="Times New Roman" w:hint="default"/>
        </w:rPr>
        <w:t>”</w:t>
      </w:r>
      <w:r>
        <w:rPr/>
        <w:t>的战略目标和</w:t>
      </w:r>
      <w:r>
        <w:rPr>
          <w:rFonts w:ascii="Times New Roman" w:hAnsi="Times New Roman" w:cs="Times New Roman" w:eastAsia="Times New Roman" w:hint="default"/>
        </w:rPr>
        <w:t>“</w:t>
      </w:r>
      <w:r>
        <w:rPr/>
        <w:t>一个引领、三个变革</w:t>
      </w:r>
      <w:r>
        <w:rPr>
          <w:rFonts w:ascii="Times New Roman" w:hAnsi="Times New Roman" w:cs="Times New Roman" w:eastAsia="Times New Roman" w:hint="default"/>
        </w:rPr>
        <w:t>”</w:t>
      </w:r>
      <w:r>
        <w:rPr/>
        <w:t>的战略路径，</w:t>
      </w:r>
      <w:r>
        <w:rPr>
          <w:spacing w:val="-91"/>
        </w:rPr>
        <w:t> </w:t>
      </w:r>
      <w:r>
        <w:rPr>
          <w:spacing w:val="-91"/>
        </w:rPr>
      </w:r>
      <w:r>
        <w:rPr>
          <w:spacing w:val="-1"/>
          <w:w w:val="100"/>
        </w:rPr>
        <w:t>并提出要建设运营好</w:t>
      </w:r>
      <w:r>
        <w:rPr>
          <w:spacing w:val="-10"/>
          <w:w w:val="100"/>
        </w:rPr>
        <w:t> </w:t>
      </w:r>
      <w:r>
        <w:rPr>
          <w:rFonts w:ascii="Times New Roman" w:hAnsi="Times New Roman" w:cs="Times New Roman" w:eastAsia="Times New Roman" w:hint="default"/>
          <w:spacing w:val="-6"/>
          <w:w w:val="100"/>
        </w:rPr>
        <w:t>“</w:t>
      </w:r>
      <w:r>
        <w:rPr>
          <w:spacing w:val="-6"/>
          <w:w w:val="100"/>
        </w:rPr>
        <w:t>坚强智能电网</w:t>
      </w:r>
      <w:r>
        <w:rPr>
          <w:rFonts w:ascii="Times New Roman" w:hAnsi="Times New Roman" w:cs="Times New Roman" w:eastAsia="Times New Roman" w:hint="default"/>
          <w:spacing w:val="-6"/>
          <w:w w:val="100"/>
        </w:rPr>
        <w:t>”</w:t>
      </w:r>
      <w:r>
        <w:rPr>
          <w:spacing w:val="-6"/>
          <w:w w:val="100"/>
        </w:rPr>
        <w:t>和</w:t>
      </w:r>
      <w:r>
        <w:rPr>
          <w:rFonts w:ascii="Times New Roman" w:hAnsi="Times New Roman" w:cs="Times New Roman" w:eastAsia="Times New Roman" w:hint="default"/>
          <w:spacing w:val="-6"/>
          <w:w w:val="100"/>
        </w:rPr>
        <w:t>“</w:t>
      </w:r>
      <w:r>
        <w:rPr>
          <w:spacing w:val="-6"/>
          <w:w w:val="100"/>
        </w:rPr>
        <w:t>电力物联网</w:t>
      </w:r>
      <w:r>
        <w:rPr>
          <w:rFonts w:ascii="Times New Roman" w:hAnsi="Times New Roman" w:cs="Times New Roman" w:eastAsia="Times New Roman" w:hint="default"/>
          <w:spacing w:val="-6"/>
          <w:w w:val="100"/>
        </w:rPr>
        <w:t>”</w:t>
      </w:r>
      <w:r>
        <w:rPr>
          <w:spacing w:val="-6"/>
          <w:w w:val="100"/>
        </w:rPr>
        <w:t>，推动电网与互联网深度融合，着力构建能源互联网，</w:t>
      </w:r>
      <w:r>
        <w:rPr>
          <w:spacing w:val="-101"/>
          <w:w w:val="100"/>
        </w:rPr>
        <w:t> </w:t>
      </w:r>
      <w:r>
        <w:rPr>
          <w:spacing w:val="-101"/>
          <w:w w:val="100"/>
        </w:rPr>
      </w:r>
      <w:r>
        <w:rPr>
          <w:spacing w:val="-4"/>
        </w:rPr>
        <w:t>给电力信息化带来新的历史机遇；交通行业是</w:t>
      </w:r>
      <w:r>
        <w:rPr>
          <w:rFonts w:ascii="Times New Roman" w:hAnsi="Times New Roman" w:cs="Times New Roman" w:eastAsia="Times New Roman" w:hint="default"/>
          <w:spacing w:val="-4"/>
        </w:rPr>
        <w:t>“</w:t>
      </w:r>
      <w:r>
        <w:rPr>
          <w:spacing w:val="-4"/>
        </w:rPr>
        <w:t>先行官</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月，中共中央、国务院印发《交通强国建</w:t>
      </w:r>
      <w:r>
        <w:rPr>
          <w:spacing w:val="-21"/>
        </w:rPr>
        <w:t> </w:t>
      </w:r>
      <w:r>
        <w:rPr>
          <w:spacing w:val="-21"/>
        </w:rPr>
      </w:r>
      <w:r>
        <w:rPr/>
        <w:t>设纲要》，明确指出</w:t>
      </w:r>
      <w:r>
        <w:rPr>
          <w:rFonts w:ascii="Times New Roman" w:hAnsi="Times New Roman" w:cs="Times New Roman" w:eastAsia="Times New Roman" w:hint="default"/>
        </w:rPr>
        <w:t>“</w:t>
      </w:r>
      <w:r>
        <w:rPr/>
        <w:t>大力发展智慧交通</w:t>
      </w:r>
      <w:r>
        <w:rPr>
          <w:rFonts w:ascii="Times New Roman" w:hAnsi="Times New Roman" w:cs="Times New Roman" w:eastAsia="Times New Roman" w:hint="default"/>
        </w:rPr>
        <w:t>”</w:t>
      </w:r>
      <w:r>
        <w:rPr/>
        <w:t>，信息化作为实现智慧交通的重要载体和手段，公司将积极参与</w:t>
      </w:r>
      <w:r>
        <w:rPr>
          <w:w w:val="100"/>
        </w:rPr>
        <w:t> </w:t>
      </w:r>
      <w:r>
        <w:rPr>
          <w:spacing w:val="-2"/>
        </w:rPr>
        <w:t>推进构建泛在先进的交通信息基础设施、提高行业协同执法能力、强化政务管理服务效能、统筹交通运输</w:t>
      </w:r>
      <w:r>
        <w:rPr>
          <w:spacing w:val="-45"/>
        </w:rPr>
        <w:t> </w:t>
      </w:r>
      <w:r>
        <w:rPr>
          <w:spacing w:val="-45"/>
        </w:rPr>
      </w:r>
      <w:r>
        <w:rPr>
          <w:spacing w:val="-2"/>
        </w:rPr>
        <w:t>数据中心建设等多项任务中，促进行业发展。此外，公司正不断探索将优势能力向金融、医疗、教育等政</w:t>
      </w:r>
      <w:r>
        <w:rPr>
          <w:spacing w:val="-43"/>
        </w:rPr>
        <w:t> </w:t>
      </w:r>
      <w:r>
        <w:rPr>
          <w:spacing w:val="-43"/>
        </w:rPr>
      </w:r>
      <w:r>
        <w:rPr>
          <w:spacing w:val="-3"/>
        </w:rPr>
        <w:t>企领域拓展应用。受益于上述政企领域自身数字化发展，以及</w:t>
      </w:r>
      <w:r>
        <w:rPr>
          <w:rFonts w:ascii="Times New Roman" w:hAnsi="Times New Roman" w:cs="Times New Roman" w:eastAsia="Times New Roman" w:hint="default"/>
          <w:spacing w:val="-3"/>
        </w:rPr>
        <w:t>5G</w:t>
      </w:r>
      <w:r>
        <w:rPr>
          <w:spacing w:val="-3"/>
        </w:rPr>
        <w:t>带来的行业融合应用空间广阔，公司在政</w:t>
      </w:r>
      <w:r>
        <w:rPr>
          <w:spacing w:val="-44"/>
        </w:rPr>
        <w:t> </w:t>
      </w:r>
      <w:r>
        <w:rPr>
          <w:spacing w:val="-44"/>
        </w:rPr>
      </w:r>
      <w:r>
        <w:rPr/>
        <w:t>企领域将大有作为。</w:t>
      </w:r>
    </w:p>
    <w:p>
      <w:pPr>
        <w:pStyle w:val="BodyText"/>
        <w:spacing w:line="256" w:lineRule="auto" w:before="16"/>
        <w:ind w:left="573" w:right="1133"/>
        <w:jc w:val="left"/>
      </w:pPr>
      <w:r>
        <w:rPr>
          <w:rFonts w:ascii="Times New Roman" w:hAnsi="Times New Roman" w:cs="Times New Roman" w:eastAsia="Times New Roman" w:hint="default"/>
        </w:rPr>
        <w:t>2</w:t>
      </w:r>
      <w:r>
        <w:rPr/>
        <w:t>、智慧物流</w:t>
      </w:r>
      <w:r>
        <w:rPr>
          <w:w w:val="100"/>
        </w:rPr>
        <w:t> </w:t>
      </w:r>
      <w:r>
        <w:rPr>
          <w:spacing w:val="-2"/>
        </w:rPr>
        <w:t>物流行业作为国民经济的动脉系统，它连接经济的各个部门并使之成为一个有机的整体。近年来，针</w:t>
      </w:r>
    </w:p>
    <w:p>
      <w:pPr>
        <w:pStyle w:val="BodyText"/>
        <w:spacing w:line="261" w:lineRule="auto" w:before="22"/>
        <w:ind w:right="0"/>
        <w:jc w:val="left"/>
      </w:pPr>
      <w:r>
        <w:rPr/>
        <w:t>对传统物流的规模小、分布广、效率低、抗风险能力弱、创新能力弱等行业痛点，国家先后出台《</w:t>
      </w:r>
      <w:r>
        <w:rPr>
          <w:rFonts w:ascii="Times New Roman" w:hAnsi="Times New Roman" w:cs="Times New Roman" w:eastAsia="Times New Roman" w:hint="default"/>
        </w:rPr>
        <w:t>“</w:t>
      </w:r>
      <w:r>
        <w:rPr/>
        <w:t>互联</w:t>
      </w:r>
      <w:r>
        <w:rPr>
          <w:spacing w:val="-12"/>
        </w:rPr>
        <w:t> </w:t>
      </w:r>
      <w:r>
        <w:rPr/>
        <w:t>网</w:t>
      </w:r>
      <w:r>
        <w:rPr>
          <w:rFonts w:ascii="Times New Roman" w:hAnsi="Times New Roman" w:cs="Times New Roman" w:eastAsia="Times New Roman" w:hint="default"/>
        </w:rPr>
        <w:t>+”</w:t>
      </w:r>
      <w:r>
        <w:rPr/>
        <w:t>高效物流实施意见》、《国家物流枢纽布局和建设规划》等政策文件，大力支持发展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高效</w:t>
      </w:r>
      <w:r>
        <w:rPr>
          <w:spacing w:val="-16"/>
        </w:rPr>
        <w:t> </w:t>
      </w:r>
      <w:r>
        <w:rPr>
          <w:spacing w:val="-4"/>
        </w:rPr>
        <w:t>物流新模式、新业态，加快实现物流活动全过程的数字化，提供全程可监测、可追溯的</w:t>
      </w:r>
      <w:r>
        <w:rPr>
          <w:rFonts w:ascii="Times New Roman" w:hAnsi="Times New Roman" w:cs="Times New Roman" w:eastAsia="Times New Roman" w:hint="default"/>
          <w:spacing w:val="-4"/>
        </w:rPr>
        <w:t>“</w:t>
      </w:r>
      <w:r>
        <w:rPr>
          <w:spacing w:val="-4"/>
        </w:rPr>
        <w:t>一站式</w:t>
      </w:r>
      <w:r>
        <w:rPr>
          <w:rFonts w:ascii="Times New Roman" w:hAnsi="Times New Roman" w:cs="Times New Roman" w:eastAsia="Times New Roman" w:hint="default"/>
          <w:spacing w:val="-4"/>
        </w:rPr>
        <w:t>”</w:t>
      </w:r>
      <w:r>
        <w:rPr>
          <w:spacing w:val="-4"/>
        </w:rPr>
        <w:t>物流服务。</w:t>
      </w:r>
      <w:r>
        <w:rPr>
          <w:spacing w:val="-25"/>
        </w:rPr>
        <w:t> </w:t>
      </w:r>
      <w:r>
        <w:rPr>
          <w:spacing w:val="-25"/>
        </w:rPr>
      </w:r>
      <w:r>
        <w:rPr>
          <w:spacing w:val="-2"/>
        </w:rPr>
        <w:t>鼓励各类企业加快物流信息平台差异化发展，推进城市物流配送全链条信息共享，完善农村物流末端信息</w:t>
      </w:r>
      <w:r>
        <w:rPr>
          <w:spacing w:val="-42"/>
        </w:rPr>
        <w:t> </w:t>
      </w:r>
      <w:r>
        <w:rPr>
          <w:spacing w:val="-42"/>
        </w:rPr>
      </w:r>
      <w:r>
        <w:rPr>
          <w:spacing w:val="-2"/>
        </w:rPr>
        <w:t>网络。依托各类信息平台，构建综合交通运输物流数据资源开放共享机制，以平台整合、供应链融合为特</w:t>
      </w:r>
      <w:r>
        <w:rPr>
          <w:spacing w:val="-50"/>
        </w:rPr>
        <w:t> </w:t>
      </w:r>
      <w:r>
        <w:rPr>
          <w:spacing w:val="-50"/>
        </w:rPr>
      </w:r>
      <w:r>
        <w:rPr/>
        <w:t>征智慧物流模式加快发展。公司自主建设并运营的互联网</w:t>
      </w:r>
      <w:r>
        <w:rPr>
          <w:rFonts w:ascii="Times New Roman" w:hAnsi="Times New Roman" w:cs="Times New Roman" w:eastAsia="Times New Roman" w:hint="default"/>
        </w:rPr>
        <w:t>+</w:t>
      </w:r>
      <w:r>
        <w:rPr/>
        <w:t>智慧物流云平台，以数据智能技术赋能传统物</w:t>
      </w:r>
      <w:r>
        <w:rPr>
          <w:spacing w:val="-35"/>
        </w:rPr>
        <w:t> </w:t>
      </w:r>
      <w:r>
        <w:rPr>
          <w:spacing w:val="-35"/>
        </w:rPr>
      </w:r>
      <w:r>
        <w:rPr/>
        <w:t>流行业，推动现代物流业高质量发展。</w:t>
      </w:r>
    </w:p>
    <w:p>
      <w:pPr>
        <w:pStyle w:val="BodyText"/>
        <w:spacing w:line="256" w:lineRule="auto" w:before="19"/>
        <w:ind w:left="573" w:right="1133"/>
        <w:jc w:val="left"/>
      </w:pPr>
      <w:r>
        <w:rPr>
          <w:rFonts w:ascii="Times New Roman" w:hAnsi="Times New Roman" w:cs="Times New Roman" w:eastAsia="Times New Roman" w:hint="default"/>
        </w:rPr>
        <w:t>3</w:t>
      </w:r>
      <w:r>
        <w:rPr/>
        <w:t>、智能汽车</w:t>
      </w:r>
      <w:r>
        <w:rPr>
          <w:w w:val="100"/>
        </w:rPr>
        <w:t> </w:t>
      </w:r>
      <w:r>
        <w:rPr>
          <w:spacing w:val="-2"/>
        </w:rPr>
        <w:t>发展新能源汽车，是我国从汽车大国迈向汽车强国的必由之路，国家对新能源汽车路线坚定不动摇。</w:t>
      </w:r>
    </w:p>
    <w:p>
      <w:pPr>
        <w:pStyle w:val="BodyText"/>
        <w:spacing w:line="264" w:lineRule="auto" w:before="22"/>
        <w:ind w:right="1073"/>
        <w:jc w:val="both"/>
      </w:pPr>
      <w:r>
        <w:rPr>
          <w:spacing w:val="-2"/>
        </w:rPr>
        <w:t>根据国家《新能源汽车产业发展规划</w:t>
      </w:r>
      <w:r>
        <w:rPr>
          <w:rFonts w:ascii="Times New Roman" w:hAnsi="Times New Roman" w:cs="Times New Roman" w:eastAsia="Times New Roman" w:hint="default"/>
          <w:spacing w:val="-2"/>
        </w:rPr>
        <w:t>(2021-2035</w:t>
      </w:r>
      <w:r>
        <w:rPr>
          <w:spacing w:val="-2"/>
        </w:rPr>
        <w:t>年</w:t>
      </w:r>
      <w:r>
        <w:rPr>
          <w:rFonts w:ascii="Times New Roman" w:hAnsi="Times New Roman" w:cs="Times New Roman" w:eastAsia="Times New Roman" w:hint="default"/>
          <w:spacing w:val="-2"/>
        </w:rPr>
        <w:t>)</w:t>
      </w:r>
      <w:r>
        <w:rPr>
          <w:spacing w:val="-2"/>
        </w:rPr>
        <w:t>》（征求意见稿），到</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2030</w:t>
      </w:r>
      <w:r>
        <w:rPr>
          <w:spacing w:val="-2"/>
        </w:rPr>
        <w:t>年，新能源汽车销</w:t>
      </w:r>
      <w:r>
        <w:rPr>
          <w:spacing w:val="-33"/>
        </w:rPr>
        <w:t> </w:t>
      </w:r>
      <w:r>
        <w:rPr>
          <w:spacing w:val="-33"/>
        </w:rPr>
      </w:r>
      <w:r>
        <w:rPr>
          <w:spacing w:val="-2"/>
        </w:rPr>
        <w:t>量分别占当年汽车总销量的</w:t>
      </w:r>
      <w:r>
        <w:rPr>
          <w:rFonts w:ascii="Times New Roman" w:hAnsi="Times New Roman" w:cs="Times New Roman" w:eastAsia="Times New Roman" w:hint="default"/>
          <w:spacing w:val="-2"/>
        </w:rPr>
        <w:t>20%</w:t>
      </w:r>
      <w:r>
        <w:rPr>
          <w:spacing w:val="-2"/>
        </w:rPr>
        <w:t>和</w:t>
      </w:r>
      <w:r>
        <w:rPr>
          <w:rFonts w:ascii="Times New Roman" w:hAnsi="Times New Roman" w:cs="Times New Roman" w:eastAsia="Times New Roman" w:hint="default"/>
          <w:spacing w:val="-2"/>
        </w:rPr>
        <w:t>40%</w:t>
      </w:r>
      <w:r>
        <w:rPr>
          <w:spacing w:val="-2"/>
        </w:rPr>
        <w:t>，相较目前市场规模，新能源汽车市场空间依然广阔。</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spacing w:val="-15"/>
        </w:rPr>
        <w:t> </w:t>
      </w:r>
      <w:r>
        <w:rPr>
          <w:spacing w:val="-2"/>
        </w:rPr>
        <w:t>中共中央政治局常委会召开会议研究疫情防控和稳定经济社会运行重点工作，提出要采取措施促进汽车产</w:t>
      </w:r>
      <w:r>
        <w:rPr>
          <w:spacing w:val="-43"/>
        </w:rPr>
        <w:t> </w:t>
      </w:r>
      <w:r>
        <w:rPr>
          <w:spacing w:val="-43"/>
        </w:rPr>
      </w:r>
      <w:r>
        <w:rPr>
          <w:spacing w:val="-2"/>
        </w:rPr>
        <w:t>业发展，并将新能源充电桩纳入新基建，表明新能源汽车替代燃油汽车的步伐将加快。当前，我国新能源</w:t>
      </w:r>
      <w:r>
        <w:rPr>
          <w:spacing w:val="-47"/>
        </w:rPr>
        <w:t> </w:t>
      </w:r>
      <w:r>
        <w:rPr>
          <w:spacing w:val="-47"/>
        </w:rPr>
      </w:r>
      <w:r>
        <w:rPr>
          <w:spacing w:val="-2"/>
        </w:rPr>
        <w:t>汽车产销量位居全球第一，技术和产品基本与国际处于同一水平线。随着新一轮科技革命和产业变革蓬勃</w:t>
      </w:r>
      <w:r>
        <w:rPr>
          <w:spacing w:val="-44"/>
        </w:rPr>
        <w:t> </w:t>
      </w:r>
      <w:r>
        <w:rPr>
          <w:spacing w:val="-44"/>
        </w:rPr>
      </w:r>
      <w:r>
        <w:rPr/>
        <w:t>兴起，智能汽车已成为新能源汽车产业发展的战略方向。</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月，国家发改委、工信部等</w:t>
      </w:r>
      <w:r>
        <w:rPr>
          <w:rFonts w:ascii="Times New Roman" w:hAnsi="Times New Roman" w:cs="Times New Roman" w:eastAsia="Times New Roman" w:hint="default"/>
        </w:rPr>
        <w:t>11</w:t>
      </w:r>
      <w:r>
        <w:rPr/>
        <w:t>部委联合</w:t>
      </w:r>
      <w:r>
        <w:rPr>
          <w:spacing w:val="-26"/>
        </w:rPr>
        <w:t> </w:t>
      </w:r>
      <w:r>
        <w:rPr>
          <w:spacing w:val="-2"/>
        </w:rPr>
        <w:t>发布《智能汽车创新发展战略》，提出到</w:t>
      </w:r>
      <w:r>
        <w:rPr>
          <w:rFonts w:ascii="Times New Roman" w:hAnsi="Times New Roman" w:cs="Times New Roman" w:eastAsia="Times New Roman" w:hint="default"/>
          <w:spacing w:val="-2"/>
        </w:rPr>
        <w:t>2035</w:t>
      </w:r>
      <w:r>
        <w:rPr>
          <w:spacing w:val="-2"/>
        </w:rPr>
        <w:t>年，中国标准智能汽车的技术创新、产业生态、法规标准、</w:t>
      </w:r>
      <w:r>
        <w:rPr>
          <w:spacing w:val="-17"/>
        </w:rPr>
        <w:t> </w:t>
      </w:r>
      <w:r>
        <w:rPr>
          <w:spacing w:val="-17"/>
        </w:rPr>
      </w:r>
      <w:r>
        <w:rPr>
          <w:spacing w:val="-2"/>
        </w:rPr>
        <w:t>产品监管和网络安全体系基本形成，实现有条件自动驾驶的智能汽车达到规模化生产，高度自动驾驶的智</w:t>
      </w:r>
    </w:p>
    <w:p>
      <w:pPr>
        <w:spacing w:after="0" w:line="264"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26"/>
        <w:jc w:val="both"/>
      </w:pPr>
      <w:r>
        <w:rPr>
          <w:spacing w:val="-4"/>
        </w:rPr>
        <w:t>能汽车在特定环境下市场化应用，智能交通系统和智慧城市相关设施建设取得积极进展。随着汽车行业</w:t>
      </w:r>
      <w:r>
        <w:rPr>
          <w:rFonts w:ascii="Times New Roman" w:hAnsi="Times New Roman" w:cs="Times New Roman" w:eastAsia="Times New Roman" w:hint="default"/>
          <w:spacing w:val="-4"/>
        </w:rPr>
        <w:t>“</w:t>
      </w:r>
      <w:r>
        <w:rPr>
          <w:spacing w:val="-4"/>
        </w:rPr>
        <w:t>电</w:t>
      </w:r>
      <w:r>
        <w:rPr>
          <w:spacing w:val="-41"/>
        </w:rPr>
        <w:t> </w:t>
      </w:r>
      <w:r>
        <w:rPr/>
        <w:t>动化、智能化、网联化、共享化</w:t>
      </w:r>
      <w:r>
        <w:rPr>
          <w:rFonts w:ascii="Times New Roman" w:hAnsi="Times New Roman" w:cs="Times New Roman" w:eastAsia="Times New Roman" w:hint="default"/>
        </w:rPr>
        <w:t>”</w:t>
      </w:r>
      <w:r>
        <w:rPr/>
        <w:t>方向不断清晰，智能软件与新能源汽车的融合正在向纵深发展，公司将</w:t>
      </w:r>
      <w:r>
        <w:rPr>
          <w:spacing w:val="-16"/>
        </w:rPr>
        <w:t> </w:t>
      </w:r>
      <w:r>
        <w:rPr>
          <w:spacing w:val="-16"/>
        </w:rPr>
      </w:r>
      <w:r>
        <w:rPr/>
        <w:t>抓住机遇，积极发挥数据智能在智能汽车的重要作用，分享智能汽车发展红利。</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32"/>
              <w:jc w:val="left"/>
              <w:rPr>
                <w:rFonts w:ascii="宋体" w:hAnsi="宋体" w:cs="宋体" w:eastAsia="宋体" w:hint="default"/>
                <w:sz w:val="18"/>
                <w:szCs w:val="18"/>
              </w:rPr>
            </w:pPr>
            <w:r>
              <w:rPr>
                <w:rFonts w:ascii="宋体" w:hAnsi="宋体" w:cs="宋体" w:eastAsia="宋体" w:hint="default"/>
                <w:sz w:val="18"/>
                <w:szCs w:val="18"/>
              </w:rPr>
              <w:t>股权资产期末余额较期初增长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509.77%</w:t>
            </w:r>
            <w:r>
              <w:rPr>
                <w:rFonts w:ascii="宋体" w:hAnsi="宋体" w:cs="宋体" w:eastAsia="宋体" w:hint="default"/>
                <w:sz w:val="18"/>
                <w:szCs w:val="18"/>
              </w:rPr>
              <w:t>，主要系对外投资增加及其他权益工具公允 价值变动所致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在建工程期末余额较期初增长</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87.89%</w:t>
            </w:r>
            <w:r>
              <w:rPr>
                <w:rFonts w:ascii="宋体" w:hAnsi="宋体" w:cs="宋体" w:eastAsia="宋体" w:hint="default"/>
                <w:spacing w:val="-4"/>
                <w:sz w:val="18"/>
                <w:szCs w:val="18"/>
              </w:rPr>
              <w:t>，主要系贵博新能生产基地及公司软件研发生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产楼持续投入所致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货币资金期末余额较期初增长</w:t>
            </w:r>
            <w:r>
              <w:rPr>
                <w:rFonts w:ascii="宋体" w:hAnsi="宋体" w:cs="宋体" w:eastAsia="宋体" w:hint="default"/>
                <w:spacing w:val="-28"/>
                <w:sz w:val="18"/>
                <w:szCs w:val="18"/>
              </w:rPr>
              <w:t> </w:t>
            </w:r>
            <w:r>
              <w:rPr>
                <w:rFonts w:ascii="Times New Roman" w:hAnsi="Times New Roman" w:cs="Times New Roman" w:eastAsia="Times New Roman" w:hint="default"/>
                <w:spacing w:val="-4"/>
                <w:sz w:val="18"/>
                <w:szCs w:val="18"/>
              </w:rPr>
              <w:t>51.98%</w:t>
            </w:r>
            <w:r>
              <w:rPr>
                <w:rFonts w:ascii="宋体" w:hAnsi="宋体" w:cs="宋体" w:eastAsia="宋体" w:hint="default"/>
                <w:spacing w:val="-4"/>
                <w:sz w:val="18"/>
                <w:szCs w:val="18"/>
              </w:rPr>
              <w:t>，主要系对外筹资增加及经营活动产生的现金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流量净额流入所致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其他流动资产期末余额较期初增长</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1"/>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主要系本期待</w:t>
            </w:r>
            <w:r>
              <w:rPr>
                <w:rFonts w:ascii="宋体" w:hAnsi="宋体" w:cs="宋体" w:eastAsia="宋体" w:hint="default"/>
                <w:spacing w:val="-3"/>
                <w:sz w:val="18"/>
                <w:szCs w:val="18"/>
              </w:rPr>
              <w:t>抵</w:t>
            </w:r>
            <w:r>
              <w:rPr>
                <w:rFonts w:ascii="宋体" w:hAnsi="宋体" w:cs="宋体" w:eastAsia="宋体" w:hint="default"/>
                <w:sz w:val="18"/>
                <w:szCs w:val="18"/>
              </w:rPr>
              <w:t>扣进项税增长较大所致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长期待摊费用期末余额较期初增长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110.88%</w:t>
            </w:r>
            <w:r>
              <w:rPr>
                <w:rFonts w:ascii="宋体" w:hAnsi="宋体" w:cs="宋体" w:eastAsia="宋体" w:hint="default"/>
                <w:sz w:val="18"/>
                <w:szCs w:val="18"/>
              </w:rPr>
              <w:t>，主要系本期贵州大数据办公场所装修 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其他非流动资产期末余额较期初减少</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97.32%</w:t>
            </w:r>
            <w:r>
              <w:rPr>
                <w:rFonts w:ascii="宋体" w:hAnsi="宋体" w:cs="宋体" w:eastAsia="宋体" w:hint="default"/>
                <w:spacing w:val="-4"/>
                <w:sz w:val="18"/>
                <w:szCs w:val="18"/>
              </w:rPr>
              <w:t>，主要系期初预付的工程款及设备款本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期结转所致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开发支出期末余额主要系本期研发投入所致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其他权益工具投资期末余额较期初增长较大，主要系公司新增投资及公允价值变动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一年内到期的非流动资产期末增长较大，主要系长期应收款重分类所致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3"/>
        <w:gridCol w:w="1059"/>
      </w:tblGrid>
      <w:tr>
        <w:trPr>
          <w:trHeight w:val="102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1,747.01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派驻管理人 </w:t>
            </w:r>
            <w:r>
              <w:rPr>
                <w:rFonts w:ascii="宋体" w:hAnsi="宋体" w:cs="宋体" w:eastAsia="宋体" w:hint="default"/>
                <w:spacing w:val="-12"/>
                <w:sz w:val="18"/>
                <w:szCs w:val="18"/>
              </w:rPr>
              <w:t>员，定期召开</w:t>
            </w:r>
            <w:r>
              <w:rPr>
                <w:rFonts w:ascii="宋体" w:hAnsi="宋体" w:cs="宋体" w:eastAsia="宋体" w:hint="default"/>
                <w:sz w:val="18"/>
                <w:szCs w:val="18"/>
              </w:rPr>
              <w:t> </w:t>
            </w:r>
            <w:r>
              <w:rPr>
                <w:rFonts w:ascii="宋体" w:hAnsi="宋体" w:cs="宋体" w:eastAsia="宋体" w:hint="default"/>
                <w:spacing w:val="-12"/>
                <w:sz w:val="18"/>
                <w:szCs w:val="18"/>
              </w:rPr>
              <w:t>经营会议，建</w:t>
            </w:r>
            <w:r>
              <w:rPr>
                <w:rFonts w:ascii="宋体" w:hAnsi="宋体" w:cs="宋体" w:eastAsia="宋体" w:hint="default"/>
                <w:sz w:val="18"/>
                <w:szCs w:val="18"/>
              </w:rPr>
              <w:t> 立完善管理 制度等</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0.32%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8"/>
        <w:rPr>
          <w:rFonts w:ascii="宋体" w:hAnsi="宋体" w:cs="宋体" w:eastAsia="宋体" w:hint="default"/>
          <w:sz w:val="12"/>
          <w:szCs w:val="12"/>
        </w:rPr>
      </w:pPr>
    </w:p>
    <w:p>
      <w:pPr>
        <w:pStyle w:val="Heading2"/>
        <w:spacing w:line="240" w:lineRule="auto" w:before="26"/>
        <w:ind w:right="0"/>
        <w:jc w:val="both"/>
        <w:rPr>
          <w:b w:val="0"/>
          <w:bCs w:val="0"/>
        </w:rPr>
      </w:pPr>
      <w:r>
        <w:rPr/>
        <w:t>三、核心竞争力分析</w:t>
      </w:r>
      <w:r>
        <w:rPr>
          <w:b w:val="0"/>
          <w:bCs w:val="0"/>
        </w:rPr>
      </w:r>
    </w:p>
    <w:p>
      <w:pPr>
        <w:pStyle w:val="BodyText"/>
        <w:spacing w:line="273" w:lineRule="auto" w:before="146"/>
        <w:ind w:right="1133" w:firstLine="420"/>
        <w:jc w:val="left"/>
      </w:pPr>
      <w:r>
        <w:rPr>
          <w:spacing w:val="-2"/>
        </w:rPr>
        <w:t>公司经过十多年的发展，目前在行业经验、技术创新和客户持续经营能力等多方面具有优势，形成了</w:t>
      </w:r>
      <w:r>
        <w:rPr>
          <w:w w:val="100"/>
        </w:rPr>
        <w:t> </w:t>
      </w:r>
      <w:r>
        <w:rPr/>
        <w:t>公司核心竞争力。</w:t>
      </w:r>
    </w:p>
    <w:p>
      <w:pPr>
        <w:pStyle w:val="BodyText"/>
        <w:spacing w:line="256" w:lineRule="auto" w:before="7"/>
        <w:ind w:left="573" w:right="1133"/>
        <w:jc w:val="left"/>
      </w:pPr>
      <w:r>
        <w:rPr>
          <w:rFonts w:ascii="Times New Roman" w:hAnsi="Times New Roman" w:cs="Times New Roman" w:eastAsia="Times New Roman" w:hint="default"/>
        </w:rPr>
        <w:t>1</w:t>
      </w:r>
      <w:r>
        <w:rPr/>
        <w:t>、行业经验优势</w:t>
      </w:r>
      <w:r>
        <w:rPr>
          <w:w w:val="100"/>
        </w:rPr>
        <w:t> </w:t>
      </w:r>
      <w:r>
        <w:rPr>
          <w:spacing w:val="-1"/>
        </w:rPr>
        <w:t>公司坚持创新引领，围绕运营商</w:t>
      </w:r>
      <w:r>
        <w:rPr>
          <w:rFonts w:ascii="Times New Roman" w:hAnsi="Times New Roman" w:cs="Times New Roman" w:eastAsia="Times New Roman" w:hint="default"/>
          <w:spacing w:val="-1"/>
        </w:rPr>
        <w:t>&amp;</w:t>
      </w:r>
      <w:r>
        <w:rPr>
          <w:spacing w:val="-1"/>
        </w:rPr>
        <w:t>政企、智慧物流、智能汽车等重点领域精耕细作，专注行业业务研</w:t>
      </w:r>
    </w:p>
    <w:p>
      <w:pPr>
        <w:pStyle w:val="BodyText"/>
        <w:spacing w:line="273" w:lineRule="auto" w:before="5"/>
        <w:ind w:right="1126"/>
        <w:jc w:val="both"/>
      </w:pPr>
      <w:r>
        <w:rPr>
          <w:spacing w:val="-2"/>
        </w:rPr>
        <w:t>究，深刻理解用户信息化需求及经营理念，对各行业领域信息化发展趋势具有前瞻性。公司运用领先的数</w:t>
      </w:r>
      <w:r>
        <w:rPr>
          <w:spacing w:val="-44"/>
        </w:rPr>
        <w:t> </w:t>
      </w:r>
      <w:r>
        <w:rPr>
          <w:spacing w:val="-44"/>
        </w:rPr>
      </w:r>
      <w:r>
        <w:rPr>
          <w:spacing w:val="-2"/>
        </w:rPr>
        <w:t>据智能技术，与丰富的行业经验相结合，为客户提供技术创新、业务创新、管理创新的软件与信息服务标</w:t>
      </w:r>
      <w:r>
        <w:rPr>
          <w:spacing w:val="-47"/>
        </w:rPr>
        <w:t> </w:t>
      </w:r>
      <w:r>
        <w:rPr>
          <w:spacing w:val="-47"/>
        </w:rPr>
      </w:r>
      <w:r>
        <w:rPr/>
        <w:t>准或规范。</w:t>
      </w:r>
    </w:p>
    <w:p>
      <w:pPr>
        <w:pStyle w:val="BodyText"/>
        <w:spacing w:line="261" w:lineRule="auto" w:before="7"/>
        <w:ind w:right="1125" w:firstLine="420"/>
        <w:jc w:val="both"/>
      </w:pPr>
      <w:r>
        <w:rPr>
          <w:spacing w:val="-3"/>
        </w:rPr>
        <w:t>公司在运营商行业作为牵头单位编制了中国电信集团</w:t>
      </w:r>
      <w:r>
        <w:rPr>
          <w:rFonts w:ascii="Times New Roman" w:hAnsi="Times New Roman" w:cs="Times New Roman" w:eastAsia="Times New Roman" w:hint="default"/>
          <w:spacing w:val="-3"/>
        </w:rPr>
        <w:t>OSS2.8</w:t>
      </w:r>
      <w:r>
        <w:rPr>
          <w:spacing w:val="-3"/>
        </w:rPr>
        <w:t>、智能网管等业务规范，参加了中国电信</w:t>
      </w:r>
      <w:r>
        <w:rPr>
          <w:w w:val="100"/>
        </w:rPr>
        <w:t> </w:t>
      </w:r>
      <w:r>
        <w:rPr>
          <w:rFonts w:ascii="Times New Roman" w:hAnsi="Times New Roman" w:cs="Times New Roman" w:eastAsia="Times New Roman" w:hint="default"/>
          <w:spacing w:val="-2"/>
        </w:rPr>
        <w:t>OSS2.0</w:t>
      </w:r>
      <w:r>
        <w:rPr>
          <w:spacing w:val="-2"/>
        </w:rPr>
        <w:t>、</w:t>
      </w:r>
      <w:r>
        <w:rPr>
          <w:rFonts w:ascii="Times New Roman" w:hAnsi="Times New Roman" w:cs="Times New Roman" w:eastAsia="Times New Roman" w:hint="default"/>
          <w:spacing w:val="-2"/>
        </w:rPr>
        <w:t>OSS2.5</w:t>
      </w:r>
      <w:r>
        <w:rPr>
          <w:spacing w:val="-2"/>
        </w:rPr>
        <w:t>、</w:t>
      </w:r>
      <w:r>
        <w:rPr>
          <w:rFonts w:ascii="Times New Roman" w:hAnsi="Times New Roman" w:cs="Times New Roman" w:eastAsia="Times New Roman" w:hint="default"/>
          <w:spacing w:val="-2"/>
        </w:rPr>
        <w:t>OSS</w:t>
      </w:r>
      <w:r>
        <w:rPr>
          <w:spacing w:val="-2"/>
        </w:rPr>
        <w:t>服务目录、企业数据模型</w:t>
      </w:r>
      <w:r>
        <w:rPr>
          <w:rFonts w:ascii="Times New Roman" w:hAnsi="Times New Roman" w:cs="Times New Roman" w:eastAsia="Times New Roman" w:hint="default"/>
          <w:spacing w:val="-2"/>
        </w:rPr>
        <w:t>EDM3.5</w:t>
      </w:r>
      <w:r>
        <w:rPr>
          <w:spacing w:val="-2"/>
        </w:rPr>
        <w:t>、企业信息化战略</w:t>
      </w:r>
      <w:r>
        <w:rPr>
          <w:rFonts w:ascii="Times New Roman" w:hAnsi="Times New Roman" w:cs="Times New Roman" w:eastAsia="Times New Roman" w:hint="default"/>
          <w:spacing w:val="-2"/>
        </w:rPr>
        <w:t>ITSP3.0</w:t>
      </w:r>
      <w:r>
        <w:rPr>
          <w:spacing w:val="-2"/>
        </w:rPr>
        <w:t>、中国电信</w:t>
      </w:r>
      <w:r>
        <w:rPr>
          <w:rFonts w:ascii="Times New Roman" w:hAnsi="Times New Roman" w:cs="Times New Roman" w:eastAsia="Times New Roman" w:hint="default"/>
          <w:spacing w:val="-2"/>
        </w:rPr>
        <w:t>5G</w:t>
      </w:r>
      <w:r>
        <w:rPr>
          <w:spacing w:val="-2"/>
        </w:rPr>
        <w:t>业务开通</w:t>
      </w:r>
      <w:r>
        <w:rPr>
          <w:spacing w:val="-25"/>
        </w:rPr>
        <w:t> </w:t>
      </w:r>
      <w:r>
        <w:rPr>
          <w:spacing w:val="-25"/>
        </w:rPr>
      </w:r>
      <w:r>
        <w:rPr>
          <w:spacing w:val="-1"/>
        </w:rPr>
        <w:t>激活接口规范以及中国联通</w:t>
      </w:r>
      <w:r>
        <w:rPr>
          <w:rFonts w:ascii="Times New Roman" w:hAnsi="Times New Roman" w:cs="Times New Roman" w:eastAsia="Times New Roman" w:hint="default"/>
          <w:spacing w:val="-1"/>
        </w:rPr>
        <w:t>U</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cloud</w:t>
      </w:r>
      <w:r>
        <w:rPr>
          <w:spacing w:val="-1"/>
        </w:rPr>
        <w:t>规范体系等编写工作；开展了</w:t>
      </w:r>
      <w:r>
        <w:rPr>
          <w:rFonts w:ascii="Times New Roman" w:hAnsi="Times New Roman" w:cs="Times New Roman" w:eastAsia="Times New Roman" w:hint="default"/>
          <w:spacing w:val="-1"/>
        </w:rPr>
        <w:t>OSS</w:t>
      </w:r>
      <w:r>
        <w:rPr>
          <w:spacing w:val="-1"/>
        </w:rPr>
        <w:t>服务开通激活、服务质量保障、资</w:t>
      </w:r>
      <w:r>
        <w:rPr>
          <w:spacing w:val="-38"/>
        </w:rPr>
        <w:t> </w:t>
      </w:r>
      <w:r>
        <w:rPr>
          <w:spacing w:val="-38"/>
        </w:rPr>
      </w:r>
      <w:r>
        <w:rPr>
          <w:spacing w:val="-3"/>
        </w:rPr>
        <w:t>源管理、</w:t>
      </w:r>
      <w:r>
        <w:rPr>
          <w:rFonts w:ascii="Times New Roman" w:hAnsi="Times New Roman" w:cs="Times New Roman" w:eastAsia="Times New Roman" w:hint="default"/>
          <w:spacing w:val="-3"/>
        </w:rPr>
        <w:t>4G</w:t>
      </w:r>
      <w:r>
        <w:rPr>
          <w:spacing w:val="-3"/>
        </w:rPr>
        <w:t>转租转售、客户服务支撑等产品标准化工作。在政企领域主持编写了中国大唐集团、国家电力</w:t>
      </w:r>
      <w:r>
        <w:rPr>
          <w:spacing w:val="-45"/>
        </w:rPr>
        <w:t> </w:t>
      </w:r>
      <w:r>
        <w:rPr>
          <w:spacing w:val="-45"/>
        </w:rPr>
      </w:r>
      <w:r>
        <w:rPr>
          <w:spacing w:val="-2"/>
        </w:rPr>
        <w:t>投资集团信息资源规划以及集团数据标准；开展了发电企业的数据实时采集、全网监控、分析等方面的数</w:t>
      </w:r>
      <w:r>
        <w:rPr>
          <w:spacing w:val="-44"/>
        </w:rPr>
        <w:t> </w:t>
      </w:r>
      <w:r>
        <w:rPr>
          <w:spacing w:val="-44"/>
        </w:rPr>
      </w:r>
      <w:r>
        <w:rPr>
          <w:spacing w:val="-2"/>
        </w:rPr>
        <w:t>据标准工作；开展了交通大数据标准体系研究，编制了完整的省级交通数据中心规划与标准体系等。在智</w:t>
      </w:r>
      <w:r>
        <w:rPr>
          <w:spacing w:val="-43"/>
        </w:rPr>
        <w:t> </w:t>
      </w:r>
      <w:r>
        <w:rPr>
          <w:spacing w:val="-43"/>
        </w:rPr>
      </w:r>
      <w:r>
        <w:rPr>
          <w:spacing w:val="-1"/>
        </w:rPr>
        <w:t>慧物流领域开展互联网</w:t>
      </w:r>
      <w:r>
        <w:rPr>
          <w:rFonts w:ascii="Times New Roman" w:hAnsi="Times New Roman" w:cs="Times New Roman" w:eastAsia="Times New Roman" w:hint="default"/>
          <w:spacing w:val="-1"/>
        </w:rPr>
        <w:t>+</w:t>
      </w:r>
      <w:r>
        <w:rPr>
          <w:spacing w:val="-1"/>
        </w:rPr>
        <w:t>物流的标准体系研究；在智能汽车领域构建了较为先进的</w:t>
      </w:r>
      <w:r>
        <w:rPr>
          <w:rFonts w:ascii="Times New Roman" w:hAnsi="Times New Roman" w:cs="Times New Roman" w:eastAsia="Times New Roman" w:hint="default"/>
          <w:spacing w:val="-1"/>
        </w:rPr>
        <w:t>BMS</w:t>
      </w:r>
      <w:r>
        <w:rPr>
          <w:spacing w:val="-1"/>
        </w:rPr>
        <w:t>技术研发平台，连</w:t>
      </w:r>
      <w:r>
        <w:rPr>
          <w:spacing w:val="-17"/>
        </w:rPr>
        <w:t> </w:t>
      </w:r>
      <w:r>
        <w:rPr>
          <w:spacing w:val="-17"/>
        </w:rPr>
      </w:r>
      <w:r>
        <w:rPr/>
        <w:t>续三年被评为</w:t>
      </w:r>
      <w:r>
        <w:rPr>
          <w:rFonts w:ascii="Times New Roman" w:hAnsi="Times New Roman" w:cs="Times New Roman" w:eastAsia="Times New Roman" w:hint="default"/>
        </w:rPr>
        <w:t>“</w:t>
      </w:r>
      <w:r>
        <w:rPr/>
        <w:t>电动汽车核心零部件</w:t>
      </w:r>
      <w:r>
        <w:rPr>
          <w:rFonts w:ascii="Times New Roman" w:hAnsi="Times New Roman" w:cs="Times New Roman" w:eastAsia="Times New Roman" w:hint="default"/>
        </w:rPr>
        <w:t>100</w:t>
      </w:r>
      <w:r>
        <w:rPr/>
        <w:t>强</w:t>
      </w:r>
      <w:r>
        <w:rPr>
          <w:rFonts w:ascii="Times New Roman" w:hAnsi="Times New Roman" w:cs="Times New Roman" w:eastAsia="Times New Roman" w:hint="default"/>
        </w:rPr>
        <w:t>”</w:t>
      </w:r>
      <w:r>
        <w:rPr/>
        <w:t>。</w:t>
      </w:r>
    </w:p>
    <w:p>
      <w:pPr>
        <w:pStyle w:val="BodyText"/>
        <w:spacing w:line="256" w:lineRule="auto"/>
        <w:ind w:left="573" w:right="1133"/>
        <w:jc w:val="left"/>
      </w:pPr>
      <w:r>
        <w:rPr>
          <w:rFonts w:ascii="Times New Roman" w:hAnsi="Times New Roman" w:cs="Times New Roman" w:eastAsia="Times New Roman" w:hint="default"/>
        </w:rPr>
        <w:t>2</w:t>
      </w:r>
      <w:r>
        <w:rPr/>
        <w:t>、技术创新优势</w:t>
      </w:r>
      <w:r>
        <w:rPr>
          <w:w w:val="100"/>
        </w:rPr>
        <w:t> </w:t>
      </w:r>
      <w:r>
        <w:rPr>
          <w:spacing w:val="-2"/>
        </w:rPr>
        <w:t>公司以行业应用为导向，以创新驱动企业发展，建设政产学研用金相结合的技术创新体系，加强数据</w:t>
      </w:r>
    </w:p>
    <w:p>
      <w:pPr>
        <w:pStyle w:val="BodyText"/>
        <w:spacing w:line="256" w:lineRule="auto" w:before="22"/>
        <w:ind w:right="1126"/>
        <w:jc w:val="both"/>
      </w:pPr>
      <w:r>
        <w:rPr>
          <w:spacing w:val="-2"/>
        </w:rPr>
        <w:t>智能核心技术与重点行业领域的融合应用，打造了国创九章</w:t>
      </w:r>
      <w:r>
        <w:rPr>
          <w:rFonts w:ascii="Times New Roman" w:hAnsi="Times New Roman" w:cs="Times New Roman" w:eastAsia="Times New Roman" w:hint="default"/>
          <w:spacing w:val="-2"/>
        </w:rPr>
        <w:t>AI</w:t>
      </w:r>
      <w:r>
        <w:rPr>
          <w:spacing w:val="-2"/>
        </w:rPr>
        <w:t>平台、国创天演</w:t>
      </w:r>
      <w:r>
        <w:rPr>
          <w:rFonts w:ascii="Times New Roman" w:hAnsi="Times New Roman" w:cs="Times New Roman" w:eastAsia="Times New Roman" w:hint="default"/>
          <w:spacing w:val="-2"/>
        </w:rPr>
        <w:t>PaaS</w:t>
      </w:r>
      <w:r>
        <w:rPr>
          <w:spacing w:val="-2"/>
        </w:rPr>
        <w:t>云平台、国创智能产品</w:t>
      </w:r>
      <w:r>
        <w:rPr>
          <w:spacing w:val="-50"/>
        </w:rPr>
        <w:t> </w:t>
      </w:r>
      <w:r>
        <w:rPr>
          <w:spacing w:val="-50"/>
        </w:rPr>
      </w:r>
      <w:r>
        <w:rPr/>
        <w:t>开发平台、国创</w:t>
      </w:r>
      <w:r>
        <w:rPr>
          <w:rFonts w:ascii="Times New Roman" w:hAnsi="Times New Roman" w:cs="Times New Roman" w:eastAsia="Times New Roman" w:hint="default"/>
        </w:rPr>
        <w:t>HCS</w:t>
      </w:r>
      <w:r>
        <w:rPr/>
        <w:t>集成开发平台，奠定了公司领先的技术竞争力。</w:t>
      </w:r>
    </w:p>
    <w:p>
      <w:pPr>
        <w:pStyle w:val="BodyText"/>
        <w:spacing w:line="264" w:lineRule="auto" w:before="5"/>
        <w:ind w:right="0" w:firstLine="420"/>
        <w:jc w:val="left"/>
      </w:pPr>
      <w:r>
        <w:rPr/>
        <w:t>公司与中科大合作研发国际领先的高可信程序分析和程序验证工具等原创软件产品；共建安徽大数据</w:t>
      </w:r>
      <w:r>
        <w:rPr>
          <w:w w:val="100"/>
        </w:rPr>
        <w:t> </w:t>
      </w:r>
      <w:r>
        <w:rPr>
          <w:spacing w:val="-5"/>
        </w:rPr>
        <w:t>应用协同创新中心，开展大数据采集、存储、共享、挖掘与分析等关键共性技术研发和科技成果的产业化。</w:t>
      </w:r>
      <w:r>
        <w:rPr>
          <w:spacing w:val="-9"/>
        </w:rPr>
        <w:t> </w:t>
      </w:r>
      <w:r>
        <w:rPr>
          <w:spacing w:val="-9"/>
        </w:rPr>
      </w:r>
      <w:r>
        <w:rPr/>
        <w:t>公司</w:t>
      </w:r>
      <w:r>
        <w:rPr>
          <w:rFonts w:ascii="Times New Roman" w:hAnsi="Times New Roman" w:cs="Times New Roman" w:eastAsia="Times New Roman" w:hint="default"/>
        </w:rPr>
        <w:t>“</w:t>
      </w:r>
      <w:r>
        <w:rPr/>
        <w:t>安徽省信用大数据平台建设项目</w:t>
      </w:r>
      <w:r>
        <w:rPr>
          <w:rFonts w:ascii="Times New Roman" w:hAnsi="Times New Roman" w:cs="Times New Roman" w:eastAsia="Times New Roman" w:hint="default"/>
        </w:rPr>
        <w:t>”</w:t>
      </w:r>
      <w:r>
        <w:rPr/>
        <w:t>被国家发改委列为数字经济试点重大工程，标志着公司大数据解决</w:t>
      </w:r>
      <w:r>
        <w:rPr>
          <w:w w:val="100"/>
        </w:rPr>
        <w:t> </w:t>
      </w:r>
      <w:r>
        <w:rPr/>
        <w:t>方案能力已进入国家队。公司</w:t>
      </w:r>
      <w:r>
        <w:rPr>
          <w:rFonts w:ascii="Times New Roman" w:hAnsi="Times New Roman" w:cs="Times New Roman" w:eastAsia="Times New Roman" w:hint="default"/>
        </w:rPr>
        <w:t>“</w:t>
      </w:r>
      <w:r>
        <w:rPr/>
        <w:t>智慧社区数字网格服务平台</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2019</w:t>
      </w:r>
      <w:r>
        <w:rPr/>
        <w:t>中国政务信息化方案案例创新奖。公</w:t>
      </w:r>
      <w:r>
        <w:rPr>
          <w:w w:val="100"/>
        </w:rPr>
        <w:t> </w:t>
      </w:r>
      <w:r>
        <w:rPr/>
        <w:t>司</w:t>
      </w:r>
      <w:r>
        <w:rPr>
          <w:rFonts w:ascii="Times New Roman" w:hAnsi="Times New Roman" w:cs="Times New Roman" w:eastAsia="Times New Roman" w:hint="default"/>
        </w:rPr>
        <w:t>“</w:t>
      </w:r>
      <w:r>
        <w:rPr/>
        <w:t>基于大数据的智能电池管理系统</w:t>
      </w:r>
      <w:r>
        <w:rPr>
          <w:rFonts w:ascii="Times New Roman" w:hAnsi="Times New Roman" w:cs="Times New Roman" w:eastAsia="Times New Roman" w:hint="default"/>
        </w:rPr>
        <w:t>”</w:t>
      </w:r>
      <w:r>
        <w:rPr/>
        <w:t>承担了安徽省科技攻关项目。</w:t>
      </w:r>
    </w:p>
    <w:p>
      <w:pPr>
        <w:pStyle w:val="BodyText"/>
        <w:spacing w:line="261" w:lineRule="auto"/>
        <w:ind w:right="1126" w:firstLine="420"/>
        <w:jc w:val="both"/>
      </w:pPr>
      <w:r>
        <w:rPr>
          <w:spacing w:val="-2"/>
        </w:rPr>
        <w:t>报告期内，科大国创软件股份有限公司技术中心被国家发改委认定为国家企业技术中心。同时，公司</w:t>
      </w:r>
      <w:r>
        <w:rPr>
          <w:w w:val="100"/>
        </w:rPr>
        <w:t> </w:t>
      </w:r>
      <w:r>
        <w:rPr>
          <w:spacing w:val="2"/>
        </w:rPr>
        <w:t>获得了</w:t>
      </w:r>
      <w:r>
        <w:rPr>
          <w:rFonts w:ascii="Times New Roman" w:hAnsi="Times New Roman" w:cs="Times New Roman" w:eastAsia="Times New Roman" w:hint="default"/>
          <w:spacing w:val="2"/>
        </w:rPr>
        <w:t>“</w:t>
      </w:r>
      <w:r>
        <w:rPr>
          <w:spacing w:val="2"/>
        </w:rPr>
        <w:t>电池智能断路单元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科大国创大数据分析决策平台</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中科国创高可信软件分析工具集</w:t>
      </w:r>
      <w:r>
        <w:rPr>
          <w:rFonts w:ascii="Times New Roman" w:hAnsi="Times New Roman" w:cs="Times New Roman" w:eastAsia="Times New Roman" w:hint="default"/>
          <w:spacing w:val="2"/>
        </w:rPr>
        <w:t>Visual</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rFonts w:ascii="Times New Roman" w:hAnsi="Times New Roman" w:cs="Times New Roman" w:eastAsia="Times New Roman" w:hint="default"/>
          <w:spacing w:val="-3"/>
        </w:rPr>
        <w:t>Studio</w:t>
      </w:r>
      <w:r>
        <w:rPr>
          <w:spacing w:val="-3"/>
        </w:rPr>
        <w:t>插件版软件</w:t>
      </w:r>
      <w:r>
        <w:rPr>
          <w:rFonts w:ascii="Times New Roman" w:hAnsi="Times New Roman" w:cs="Times New Roman" w:eastAsia="Times New Roman" w:hint="default"/>
          <w:spacing w:val="-3"/>
        </w:rPr>
        <w:t>”“</w:t>
      </w:r>
      <w:r>
        <w:rPr>
          <w:spacing w:val="-3"/>
        </w:rPr>
        <w:t>国创云网智慧政务政策智能管理平台</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基于大数据的物流信用智能分析系统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贵博</w:t>
      </w:r>
      <w:r>
        <w:rPr>
          <w:spacing w:val="-40"/>
        </w:rPr>
        <w:t> </w:t>
      </w:r>
      <w:r>
        <w:rPr>
          <w:spacing w:val="-3"/>
        </w:rPr>
        <w:t>集中式一体机</w:t>
      </w:r>
      <w:r>
        <w:rPr>
          <w:rFonts w:ascii="Times New Roman" w:hAnsi="Times New Roman" w:cs="Times New Roman" w:eastAsia="Times New Roman" w:hint="default"/>
          <w:spacing w:val="-3"/>
        </w:rPr>
        <w:t>BMS</w:t>
      </w:r>
      <w:r>
        <w:rPr>
          <w:spacing w:val="-3"/>
        </w:rPr>
        <w:t>控制策略软件</w:t>
      </w:r>
      <w:r>
        <w:rPr>
          <w:rFonts w:ascii="Times New Roman" w:hAnsi="Times New Roman" w:cs="Times New Roman" w:eastAsia="Times New Roman" w:hint="default"/>
          <w:spacing w:val="-3"/>
        </w:rPr>
        <w:t>”</w:t>
      </w:r>
      <w:r>
        <w:rPr>
          <w:spacing w:val="-3"/>
        </w:rPr>
        <w:t>等多项专利及软件著作权；截至报告期末，公司累计获得</w:t>
      </w:r>
      <w:r>
        <w:rPr>
          <w:rFonts w:ascii="Times New Roman" w:hAnsi="Times New Roman" w:cs="Times New Roman" w:eastAsia="Times New Roman" w:hint="default"/>
          <w:spacing w:val="-3"/>
        </w:rPr>
        <w:t>400</w:t>
      </w:r>
      <w:r>
        <w:rPr>
          <w:spacing w:val="-3"/>
        </w:rPr>
        <w:t>余项专利和</w:t>
      </w:r>
      <w:r>
        <w:rPr>
          <w:spacing w:val="-10"/>
        </w:rPr>
        <w:t> </w:t>
      </w:r>
      <w:r>
        <w:rPr>
          <w:spacing w:val="-10"/>
        </w:rPr>
      </w:r>
      <w:r>
        <w:rPr/>
        <w:t>软件著作权。</w:t>
      </w:r>
    </w:p>
    <w:p>
      <w:pPr>
        <w:pStyle w:val="BodyText"/>
        <w:spacing w:line="256" w:lineRule="auto" w:before="18"/>
        <w:ind w:left="573" w:right="1133"/>
        <w:jc w:val="left"/>
      </w:pPr>
      <w:r>
        <w:rPr>
          <w:rFonts w:ascii="Times New Roman" w:hAnsi="Times New Roman" w:cs="Times New Roman" w:eastAsia="Times New Roman" w:hint="default"/>
        </w:rPr>
        <w:t>3</w:t>
      </w:r>
      <w:r>
        <w:rPr/>
        <w:t>、客户持续经营能力</w:t>
      </w:r>
      <w:r>
        <w:rPr>
          <w:w w:val="100"/>
        </w:rPr>
        <w:t> </w:t>
      </w:r>
      <w:r>
        <w:rPr>
          <w:spacing w:val="-2"/>
        </w:rPr>
        <w:t>公司自成立以来，始终坚持以核心技术、优质服务以及高品质的产品和解决方案实现客户持续经营能</w:t>
      </w:r>
    </w:p>
    <w:p>
      <w:pPr>
        <w:pStyle w:val="BodyText"/>
        <w:spacing w:line="261" w:lineRule="auto" w:before="22"/>
        <w:ind w:right="1126"/>
        <w:jc w:val="both"/>
      </w:pPr>
      <w:r>
        <w:rPr>
          <w:spacing w:val="-2"/>
        </w:rPr>
        <w:t>力。公司核心技术是拓展新客户、深耕老客户的保障，</w:t>
      </w:r>
      <w:r>
        <w:rPr>
          <w:rFonts w:ascii="Times New Roman" w:hAnsi="Times New Roman" w:cs="Times New Roman" w:eastAsia="Times New Roman" w:hint="default"/>
          <w:spacing w:val="-2"/>
        </w:rPr>
        <w:t>“</w:t>
      </w:r>
      <w:r>
        <w:rPr>
          <w:spacing w:val="-2"/>
        </w:rPr>
        <w:t>紧贴用户需求</w:t>
      </w:r>
      <w:r>
        <w:rPr>
          <w:rFonts w:ascii="Times New Roman" w:hAnsi="Times New Roman" w:cs="Times New Roman" w:eastAsia="Times New Roman" w:hint="default"/>
          <w:spacing w:val="-2"/>
        </w:rPr>
        <w:t>”</w:t>
      </w:r>
      <w:r>
        <w:rPr>
          <w:spacing w:val="-2"/>
        </w:rPr>
        <w:t>的服务策略是增强客户黏性并持续</w:t>
      </w:r>
      <w:r>
        <w:rPr>
          <w:spacing w:val="-17"/>
        </w:rPr>
        <w:t> </w:t>
      </w:r>
      <w:r>
        <w:rPr>
          <w:spacing w:val="-17"/>
        </w:rPr>
      </w:r>
      <w:r>
        <w:rPr>
          <w:spacing w:val="-2"/>
        </w:rPr>
        <w:t>创造客户需求的关键，高品质的产品和解决方案是赢得品牌影响力和行业客户的核心。公司现已形成自主</w:t>
      </w:r>
      <w:r>
        <w:rPr>
          <w:spacing w:val="-43"/>
        </w:rPr>
        <w:t> </w:t>
      </w:r>
      <w:r>
        <w:rPr>
          <w:spacing w:val="-43"/>
        </w:rPr>
      </w:r>
      <w:r>
        <w:rPr/>
        <w:t>特色的客户经营路径：突破重点客户</w:t>
      </w:r>
      <w:r>
        <w:rPr>
          <w:rFonts w:ascii="Times New Roman" w:hAnsi="Times New Roman" w:cs="Times New Roman" w:eastAsia="Times New Roman" w:hint="default"/>
        </w:rPr>
        <w:t>--</w:t>
      </w:r>
      <w:r>
        <w:rPr/>
        <w:t>树立行业标杆</w:t>
      </w:r>
      <w:r>
        <w:rPr>
          <w:rFonts w:ascii="Times New Roman" w:hAnsi="Times New Roman" w:cs="Times New Roman" w:eastAsia="Times New Roman" w:hint="default"/>
        </w:rPr>
        <w:t>--</w:t>
      </w:r>
      <w:r>
        <w:rPr/>
        <w:t>形成行业竞争优势</w:t>
      </w:r>
      <w:r>
        <w:rPr>
          <w:rFonts w:ascii="Times New Roman" w:hAnsi="Times New Roman" w:cs="Times New Roman" w:eastAsia="Times New Roman" w:hint="default"/>
        </w:rPr>
        <w:t>--</w:t>
      </w:r>
      <w:r>
        <w:rPr/>
        <w:t>获得行业全面影响力</w:t>
      </w:r>
      <w:r>
        <w:rPr>
          <w:rFonts w:ascii="Times New Roman" w:hAnsi="Times New Roman" w:cs="Times New Roman" w:eastAsia="Times New Roman" w:hint="default"/>
        </w:rPr>
        <w:t>--</w:t>
      </w:r>
      <w:r>
        <w:rPr/>
        <w:t>深度经营</w:t>
      </w:r>
      <w:r>
        <w:rPr>
          <w:spacing w:val="-61"/>
        </w:rPr>
        <w:t> </w:t>
      </w:r>
      <w:r>
        <w:rPr>
          <w:spacing w:val="-61"/>
        </w:rPr>
      </w:r>
      <w:r>
        <w:rPr/>
        <w:t>行业优质客户</w:t>
      </w:r>
      <w:r>
        <w:rPr>
          <w:rFonts w:ascii="Times New Roman" w:hAnsi="Times New Roman" w:cs="Times New Roman" w:eastAsia="Times New Roman" w:hint="default"/>
        </w:rPr>
        <w:t>--</w:t>
      </w:r>
      <w:r>
        <w:rPr/>
        <w:t>与客户共同成长发展。</w:t>
      </w:r>
    </w:p>
    <w:p>
      <w:pPr>
        <w:pStyle w:val="BodyText"/>
        <w:spacing w:line="271" w:lineRule="auto"/>
        <w:ind w:right="0" w:firstLine="420"/>
        <w:jc w:val="left"/>
      </w:pPr>
      <w:r>
        <w:rPr/>
        <w:t>经过十多年的经营，公司已拥有一批信息化需求大、实力雄厚、信誉良好、业务关系持续稳定的优质</w:t>
      </w:r>
      <w:r>
        <w:rPr>
          <w:w w:val="100"/>
        </w:rPr>
        <w:t> </w:t>
      </w:r>
      <w:r>
        <w:rPr/>
        <w:t>客户，其中运营商客户有：中国电信、中国移动、中国联通三大运营商集团总部及</w:t>
      </w:r>
      <w:r>
        <w:rPr>
          <w:rFonts w:ascii="Times New Roman" w:hAnsi="Times New Roman" w:cs="Times New Roman" w:eastAsia="Times New Roman" w:hint="default"/>
        </w:rPr>
        <w:t>80</w:t>
      </w:r>
      <w:r>
        <w:rPr/>
        <w:t>余家下属各级公司，</w:t>
      </w:r>
      <w:r>
        <w:rPr>
          <w:w w:val="100"/>
        </w:rPr>
        <w:t> </w:t>
      </w:r>
      <w:r>
        <w:rPr>
          <w:spacing w:val="-3"/>
        </w:rPr>
        <w:t>华为公司；政企客户有：安徽、新疆、贵州、海南、山西等省市区县的各级政府部门，国家电投集团、神</w:t>
      </w:r>
      <w:r>
        <w:rPr>
          <w:spacing w:val="-6"/>
        </w:rPr>
        <w:t> </w:t>
      </w:r>
      <w:r>
        <w:rPr>
          <w:spacing w:val="-6"/>
        </w:rPr>
      </w:r>
      <w:r>
        <w:rPr>
          <w:spacing w:val="-5"/>
        </w:rPr>
        <w:t>华集团、华润电力、江苏方天、南瑞集团等能源企业，野村综合研究所、富士施乐、电通国际等跨国企业，</w:t>
      </w:r>
      <w:r>
        <w:rPr>
          <w:spacing w:val="-6"/>
        </w:rPr>
        <w:t> </w:t>
      </w:r>
      <w:r>
        <w:rPr>
          <w:spacing w:val="-6"/>
        </w:rPr>
      </w:r>
      <w:r>
        <w:rPr>
          <w:spacing w:val="-2"/>
        </w:rPr>
        <w:t>国元证券、兴业基金、浦银安盛等金融企业；智慧物流客户有：远大住工、华源医药、鸿路钢构等物流货</w:t>
      </w:r>
      <w:r>
        <w:rPr>
          <w:spacing w:val="-42"/>
        </w:rPr>
        <w:t> </w:t>
      </w:r>
      <w:r>
        <w:rPr>
          <w:spacing w:val="-42"/>
        </w:rPr>
      </w:r>
      <w:r>
        <w:rPr>
          <w:spacing w:val="-2"/>
        </w:rPr>
        <w:t>主单位；智能汽车客户有：奇瑞新能源、国机智骏、开沃新能源等新能源车企，宁德时代、国轩高科、捷</w:t>
      </w:r>
      <w:r>
        <w:rPr>
          <w:spacing w:val="-47"/>
        </w:rPr>
        <w:t> </w:t>
      </w:r>
      <w:r>
        <w:rPr>
          <w:spacing w:val="-47"/>
        </w:rPr>
      </w:r>
      <w:r>
        <w:rPr>
          <w:spacing w:val="-2"/>
        </w:rPr>
        <w:t>威动力、多氟多等知名电池企业。公司与优质客户的共同发展推动了公司创新能力的不断提升和服务能力</w:t>
      </w:r>
      <w:r>
        <w:rPr>
          <w:spacing w:val="-44"/>
        </w:rPr>
        <w:t> </w:t>
      </w:r>
      <w:r>
        <w:rPr>
          <w:spacing w:val="-44"/>
        </w:rPr>
      </w:r>
      <w:r>
        <w:rPr/>
        <w:t>的不断提高，同时为公司未来持续的发展奠定了坚实的基础。</w:t>
      </w:r>
    </w:p>
    <w:p>
      <w:pPr>
        <w:spacing w:after="0" w:line="271" w:lineRule="auto"/>
        <w:jc w:val="left"/>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61" w:lineRule="auto"/>
        <w:ind w:right="1126" w:firstLine="420"/>
        <w:jc w:val="both"/>
      </w:pPr>
      <w:r>
        <w:rPr>
          <w:rFonts w:ascii="Times New Roman" w:hAnsi="Times New Roman" w:cs="Times New Roman" w:eastAsia="Times New Roman" w:hint="default"/>
        </w:rPr>
        <w:t>2019</w:t>
      </w:r>
      <w:r>
        <w:rPr/>
        <w:t>年度，公司实现营业收入</w:t>
      </w:r>
      <w:r>
        <w:rPr>
          <w:rFonts w:ascii="Times New Roman" w:hAnsi="Times New Roman" w:cs="Times New Roman" w:eastAsia="Times New Roman" w:hint="default"/>
        </w:rPr>
        <w:t>156,971.78</w:t>
      </w:r>
      <w:r>
        <w:rPr/>
        <w:t>万元，较上年同期增长</w:t>
      </w:r>
      <w:r>
        <w:rPr>
          <w:rFonts w:ascii="Times New Roman" w:hAnsi="Times New Roman" w:cs="Times New Roman" w:eastAsia="Times New Roman" w:hint="default"/>
        </w:rPr>
        <w:t>59.83%</w:t>
      </w:r>
      <w:r>
        <w:rPr/>
        <w:t>；实现归属于上市公司股东的</w:t>
      </w:r>
      <w:r>
        <w:rPr>
          <w:w w:val="100"/>
        </w:rPr>
        <w:t> </w:t>
      </w:r>
      <w:r>
        <w:rPr/>
        <w:t>净利润为</w:t>
      </w:r>
      <w:r>
        <w:rPr>
          <w:rFonts w:ascii="Times New Roman" w:hAnsi="Times New Roman" w:cs="Times New Roman" w:eastAsia="Times New Roman" w:hint="default"/>
        </w:rPr>
        <w:t>11,884.61</w:t>
      </w:r>
      <w:r>
        <w:rPr/>
        <w:t>万元，较上年同期上升</w:t>
      </w:r>
      <w:r>
        <w:rPr>
          <w:rFonts w:ascii="Times New Roman" w:hAnsi="Times New Roman" w:cs="Times New Roman" w:eastAsia="Times New Roman" w:hint="default"/>
        </w:rPr>
        <w:t>143.23%</w:t>
      </w:r>
      <w:r>
        <w:rPr/>
        <w:t>。报告期内，公司坚定执行长期发展战略，围绕年度经</w:t>
      </w:r>
      <w:r>
        <w:rPr>
          <w:spacing w:val="-45"/>
        </w:rPr>
        <w:t> </w:t>
      </w:r>
      <w:r>
        <w:rPr>
          <w:spacing w:val="-45"/>
        </w:rPr>
      </w:r>
      <w:r>
        <w:rPr>
          <w:spacing w:val="-2"/>
        </w:rPr>
        <w:t>营计划有序开展各项业务，核心业务竞争力持续加强，整体经营情况稳中有进；公司业绩增幅较大主要系</w:t>
      </w:r>
      <w:r>
        <w:rPr>
          <w:spacing w:val="-43"/>
        </w:rPr>
        <w:t> </w:t>
      </w:r>
      <w:r>
        <w:rPr>
          <w:spacing w:val="-43"/>
        </w:rPr>
      </w:r>
      <w:r>
        <w:rPr>
          <w:spacing w:val="-3"/>
        </w:rPr>
        <w:t>公司数据智能行业应用、数据智能平台运营业务发展势头良好，业绩保持稳定增长，以及公司智能</w:t>
      </w:r>
      <w:r>
        <w:rPr>
          <w:rFonts w:ascii="Times New Roman" w:hAnsi="Times New Roman" w:cs="Times New Roman" w:eastAsia="Times New Roman" w:hint="default"/>
          <w:spacing w:val="-3"/>
        </w:rPr>
        <w:t>BMS</w:t>
      </w:r>
      <w:r>
        <w:rPr>
          <w:spacing w:val="-3"/>
        </w:rPr>
        <w:t>产</w:t>
      </w:r>
      <w:r>
        <w:rPr>
          <w:spacing w:val="-19"/>
        </w:rPr>
        <w:t> </w:t>
      </w:r>
      <w:r>
        <w:rPr/>
        <w:t>品经营主体贵博新能的经营业绩自报告期初并表所致。</w:t>
      </w:r>
    </w:p>
    <w:p>
      <w:pPr>
        <w:pStyle w:val="BodyText"/>
        <w:spacing w:line="240" w:lineRule="auto" w:before="19"/>
        <w:ind w:left="573" w:right="1133"/>
        <w:jc w:val="left"/>
      </w:pPr>
      <w:r>
        <w:rPr/>
        <w:t>报告期内，公司开展的主要工作如下：</w:t>
      </w:r>
    </w:p>
    <w:p>
      <w:pPr>
        <w:pStyle w:val="BodyText"/>
        <w:spacing w:line="273" w:lineRule="auto" w:before="37"/>
        <w:ind w:left="573" w:right="1133"/>
        <w:jc w:val="left"/>
      </w:pPr>
      <w:r>
        <w:rPr/>
        <w:t>（一）市场开拓</w:t>
      </w:r>
      <w:r>
        <w:rPr>
          <w:spacing w:val="-103"/>
        </w:rPr>
        <w:t> </w:t>
      </w:r>
      <w:r>
        <w:rPr>
          <w:spacing w:val="-103"/>
        </w:rPr>
      </w:r>
      <w:r>
        <w:rPr>
          <w:spacing w:val="-2"/>
        </w:rPr>
        <w:t>报告期内，公司继续坚持市场与研发双轮驱动的经营思路，以市场拓展和品牌推广为抓手，在拥有优</w:t>
      </w:r>
    </w:p>
    <w:p>
      <w:pPr>
        <w:pStyle w:val="BodyText"/>
        <w:spacing w:line="273" w:lineRule="auto" w:before="7"/>
        <w:ind w:right="1133"/>
        <w:jc w:val="left"/>
      </w:pPr>
      <w:r>
        <w:rPr>
          <w:spacing w:val="-2"/>
        </w:rPr>
        <w:t>势产品领域，不断巩固市场和行业地位，快速扩大市场份额；在新进应用领域，持续提升产品方案，重点</w:t>
      </w:r>
      <w:r>
        <w:rPr>
          <w:spacing w:val="-43"/>
        </w:rPr>
        <w:t> </w:t>
      </w:r>
      <w:r>
        <w:rPr>
          <w:spacing w:val="-43"/>
        </w:rPr>
      </w:r>
      <w:r>
        <w:rPr/>
        <w:t>加强标杆示范创建；在战略布局领域，集聚研发力量，面向市场，坚持创新，抢占先机。</w:t>
      </w:r>
    </w:p>
    <w:p>
      <w:pPr>
        <w:pStyle w:val="BodyText"/>
        <w:spacing w:line="256" w:lineRule="auto" w:before="7"/>
        <w:ind w:left="573" w:right="1133"/>
        <w:jc w:val="left"/>
      </w:pPr>
      <w:r>
        <w:rPr>
          <w:rFonts w:ascii="Times New Roman" w:hAnsi="Times New Roman" w:cs="Times New Roman" w:eastAsia="Times New Roman" w:hint="default"/>
        </w:rPr>
        <w:t>1</w:t>
      </w:r>
      <w:r>
        <w:rPr/>
        <w:t>、数据智能行业应用</w:t>
      </w:r>
      <w:r>
        <w:rPr>
          <w:w w:val="100"/>
        </w:rPr>
        <w:t> </w:t>
      </w:r>
      <w:r>
        <w:rPr>
          <w:spacing w:val="-1"/>
        </w:rPr>
        <w:t>报告期内，公司依托自主研发的技术平台，面向运营商、政企等领域持续提供电信</w:t>
      </w:r>
      <w:r>
        <w:rPr>
          <w:rFonts w:ascii="Times New Roman" w:hAnsi="Times New Roman" w:cs="Times New Roman" w:eastAsia="Times New Roman" w:hint="default"/>
          <w:spacing w:val="-1"/>
        </w:rPr>
        <w:t>OSS</w:t>
      </w:r>
      <w:r>
        <w:rPr>
          <w:spacing w:val="-1"/>
        </w:rPr>
        <w:t>智能软件、数</w:t>
      </w:r>
    </w:p>
    <w:p>
      <w:pPr>
        <w:pStyle w:val="BodyText"/>
        <w:spacing w:line="256" w:lineRule="auto" w:before="5"/>
        <w:ind w:right="1133"/>
        <w:jc w:val="left"/>
      </w:pPr>
      <w:r>
        <w:rPr>
          <w:spacing w:val="-1"/>
        </w:rPr>
        <w:t>据智能行业应用软件等产品，市场开拓不断突破，公司数据智能行业应用产品销售收入为</w:t>
      </w:r>
      <w:r>
        <w:rPr>
          <w:rFonts w:ascii="Times New Roman" w:hAnsi="Times New Roman" w:cs="Times New Roman" w:eastAsia="Times New Roman" w:hint="default"/>
          <w:spacing w:val="-1"/>
        </w:rPr>
        <w:t>7.64</w:t>
      </w:r>
      <w:r>
        <w:rPr>
          <w:spacing w:val="-1"/>
        </w:rPr>
        <w:t>亿元，较上</w:t>
      </w:r>
      <w:r>
        <w:rPr>
          <w:spacing w:val="-26"/>
        </w:rPr>
        <w:t> </w:t>
      </w:r>
      <w:r>
        <w:rPr>
          <w:spacing w:val="-26"/>
        </w:rPr>
      </w:r>
      <w:r>
        <w:rPr/>
        <w:t>年同期增长</w:t>
      </w:r>
      <w:r>
        <w:rPr>
          <w:rFonts w:ascii="Times New Roman" w:hAnsi="Times New Roman" w:cs="Times New Roman" w:eastAsia="Times New Roman" w:hint="default"/>
        </w:rPr>
        <w:t>4.27%</w:t>
      </w:r>
      <w:r>
        <w:rPr/>
        <w:t>，其中软件及技术服务收入</w:t>
      </w:r>
      <w:r>
        <w:rPr>
          <w:rFonts w:ascii="Times New Roman" w:hAnsi="Times New Roman" w:cs="Times New Roman" w:eastAsia="Times New Roman" w:hint="default"/>
        </w:rPr>
        <w:t>5.91</w:t>
      </w:r>
      <w:r>
        <w:rPr/>
        <w:t>亿元，较上年同期增长</w:t>
      </w:r>
      <w:r>
        <w:rPr>
          <w:rFonts w:ascii="Times New Roman" w:hAnsi="Times New Roman" w:cs="Times New Roman" w:eastAsia="Times New Roman" w:hint="default"/>
        </w:rPr>
        <w:t>25.49%</w:t>
      </w:r>
      <w:r>
        <w:rPr/>
        <w:t>。</w:t>
      </w:r>
    </w:p>
    <w:p>
      <w:pPr>
        <w:pStyle w:val="BodyText"/>
        <w:spacing w:line="256" w:lineRule="auto" w:before="5"/>
        <w:ind w:right="1126" w:firstLine="420"/>
        <w:jc w:val="both"/>
      </w:pPr>
      <w:r>
        <w:rPr/>
        <w:t>在运营商行业，随着</w:t>
      </w:r>
      <w:r>
        <w:rPr>
          <w:rFonts w:ascii="Times New Roman" w:hAnsi="Times New Roman" w:cs="Times New Roman" w:eastAsia="Times New Roman" w:hint="default"/>
        </w:rPr>
        <w:t>5G</w:t>
      </w:r>
      <w:r>
        <w:rPr/>
        <w:t>的商用，公司抢抓</w:t>
      </w:r>
      <w:r>
        <w:rPr>
          <w:rFonts w:ascii="Times New Roman" w:hAnsi="Times New Roman" w:cs="Times New Roman" w:eastAsia="Times New Roman" w:hint="default"/>
        </w:rPr>
        <w:t>5G</w:t>
      </w:r>
      <w:r>
        <w:rPr/>
        <w:t>发展机遇，提前布局，全程深度参与了中国电信</w:t>
      </w:r>
      <w:r>
        <w:rPr>
          <w:rFonts w:ascii="Times New Roman" w:hAnsi="Times New Roman" w:cs="Times New Roman" w:eastAsia="Times New Roman" w:hint="default"/>
        </w:rPr>
        <w:t>5G</w:t>
      </w:r>
      <w:r>
        <w:rPr/>
        <w:t>开通</w:t>
      </w:r>
      <w:r>
        <w:rPr>
          <w:w w:val="100"/>
        </w:rPr>
        <w:t> </w:t>
      </w:r>
      <w:r>
        <w:rPr/>
        <w:t>激活、</w:t>
      </w:r>
      <w:r>
        <w:rPr>
          <w:rFonts w:ascii="Times New Roman" w:hAnsi="Times New Roman" w:cs="Times New Roman" w:eastAsia="Times New Roman" w:hint="default"/>
        </w:rPr>
        <w:t>5G</w:t>
      </w:r>
      <w:r>
        <w:rPr/>
        <w:t>网络运营等规范编制工作，为公司产品在</w:t>
      </w:r>
      <w:r>
        <w:rPr>
          <w:rFonts w:ascii="Times New Roman" w:hAnsi="Times New Roman" w:cs="Times New Roman" w:eastAsia="Times New Roman" w:hint="default"/>
        </w:rPr>
        <w:t>5G</w:t>
      </w:r>
      <w:r>
        <w:rPr/>
        <w:t>时代的演进提供坚实基础；在运营商</w:t>
      </w:r>
      <w:r>
        <w:rPr>
          <w:rFonts w:ascii="Times New Roman" w:hAnsi="Times New Roman" w:cs="Times New Roman" w:eastAsia="Times New Roman" w:hint="default"/>
        </w:rPr>
        <w:t>AI</w:t>
      </w:r>
      <w:r>
        <w:rPr/>
        <w:t>市场规模不</w:t>
      </w:r>
      <w:r>
        <w:rPr>
          <w:spacing w:val="-23"/>
        </w:rPr>
        <w:t> </w:t>
      </w:r>
      <w:r>
        <w:rPr>
          <w:spacing w:val="-23"/>
        </w:rPr>
      </w:r>
      <w:r>
        <w:rPr>
          <w:spacing w:val="-3"/>
        </w:rPr>
        <w:t>断攀升背景下，公司积极打造国创九章</w:t>
      </w:r>
      <w:r>
        <w:rPr>
          <w:rFonts w:ascii="Times New Roman" w:hAnsi="Times New Roman" w:cs="Times New Roman" w:eastAsia="Times New Roman" w:hint="default"/>
          <w:spacing w:val="-3"/>
        </w:rPr>
        <w:t>AI</w:t>
      </w:r>
      <w:r>
        <w:rPr>
          <w:spacing w:val="-3"/>
        </w:rPr>
        <w:t>平台，不断积累行业算法和业务数据模型，承建了联通集团网络</w:t>
      </w:r>
      <w:r>
        <w:rPr>
          <w:spacing w:val="-7"/>
        </w:rPr>
        <w:t> </w:t>
      </w:r>
      <w:r>
        <w:rPr>
          <w:spacing w:val="-7"/>
        </w:rPr>
      </w:r>
      <w:r>
        <w:rPr>
          <w:rFonts w:ascii="Times New Roman" w:hAnsi="Times New Roman" w:cs="Times New Roman" w:eastAsia="Times New Roman" w:hint="default"/>
        </w:rPr>
        <w:t>CloudAI</w:t>
      </w:r>
      <w:r>
        <w:rPr/>
        <w:t>平台，标志着公司</w:t>
      </w:r>
      <w:r>
        <w:rPr>
          <w:rFonts w:ascii="Times New Roman" w:hAnsi="Times New Roman" w:cs="Times New Roman" w:eastAsia="Times New Roman" w:hint="default"/>
        </w:rPr>
        <w:t>AI</w:t>
      </w:r>
      <w:r>
        <w:rPr/>
        <w:t>研发成果得到行业认可；经济全球化趋势下，公司发挥技术优势，与华为合</w:t>
      </w:r>
      <w:r>
        <w:rPr>
          <w:spacing w:val="-40"/>
        </w:rPr>
        <w:t> </w:t>
      </w:r>
      <w:r>
        <w:rPr>
          <w:spacing w:val="-40"/>
        </w:rPr>
      </w:r>
      <w:r>
        <w:rPr>
          <w:spacing w:val="-1"/>
        </w:rPr>
        <w:t>作承建了老挝</w:t>
      </w:r>
      <w:r>
        <w:rPr>
          <w:rFonts w:ascii="Times New Roman" w:hAnsi="Times New Roman" w:cs="Times New Roman" w:eastAsia="Times New Roman" w:hint="default"/>
          <w:spacing w:val="-1"/>
        </w:rPr>
        <w:t>LTC</w:t>
      </w:r>
      <w:r>
        <w:rPr>
          <w:spacing w:val="-1"/>
        </w:rPr>
        <w:t>装维云项目，标志着公司</w:t>
      </w:r>
      <w:r>
        <w:rPr>
          <w:rFonts w:ascii="Times New Roman" w:hAnsi="Times New Roman" w:cs="Times New Roman" w:eastAsia="Times New Roman" w:hint="default"/>
          <w:spacing w:val="-1"/>
        </w:rPr>
        <w:t>OSS</w:t>
      </w:r>
      <w:r>
        <w:rPr>
          <w:spacing w:val="-1"/>
        </w:rPr>
        <w:t>产品开始走出国门，与国际市场实现接轨。报告期内，公</w:t>
      </w:r>
      <w:r>
        <w:rPr>
          <w:spacing w:val="-28"/>
        </w:rPr>
        <w:t> </w:t>
      </w:r>
      <w:r>
        <w:rPr>
          <w:spacing w:val="-28"/>
        </w:rPr>
      </w:r>
      <w:r>
        <w:rPr>
          <w:spacing w:val="-2"/>
        </w:rPr>
        <w:t>司在运营商行业拓展了中国电信广州研究院、四川联通、中移（上海）产研院、华为等</w:t>
      </w:r>
      <w:r>
        <w:rPr>
          <w:rFonts w:ascii="Times New Roman" w:hAnsi="Times New Roman" w:cs="Times New Roman" w:eastAsia="Times New Roman" w:hint="default"/>
          <w:spacing w:val="-2"/>
        </w:rPr>
        <w:t>15</w:t>
      </w:r>
      <w:r>
        <w:rPr>
          <w:spacing w:val="-2"/>
        </w:rPr>
        <w:t>个新客户，突破</w:t>
      </w:r>
      <w:r>
        <w:rPr>
          <w:spacing w:val="-40"/>
        </w:rPr>
        <w:t> </w:t>
      </w:r>
      <w:r>
        <w:rPr>
          <w:spacing w:val="-40"/>
        </w:rPr>
      </w:r>
      <w:r>
        <w:rPr>
          <w:spacing w:val="-3"/>
        </w:rPr>
        <w:t>了电信集团光宽数据智慧运营分析平台、联通集团</w:t>
      </w:r>
      <w:r>
        <w:rPr>
          <w:rFonts w:ascii="Times New Roman" w:hAnsi="Times New Roman" w:cs="Times New Roman" w:eastAsia="Times New Roman" w:hint="default"/>
          <w:spacing w:val="-3"/>
        </w:rPr>
        <w:t>ONS</w:t>
      </w:r>
      <w:r>
        <w:rPr>
          <w:spacing w:val="-3"/>
        </w:rPr>
        <w:t>运营平台监控管理、移动集团政企云</w:t>
      </w:r>
      <w:r>
        <w:rPr>
          <w:rFonts w:ascii="Times New Roman" w:hAnsi="Times New Roman" w:cs="Times New Roman" w:eastAsia="Times New Roman" w:hint="default"/>
          <w:spacing w:val="-3"/>
        </w:rPr>
        <w:t>MAS</w:t>
      </w:r>
      <w:r>
        <w:rPr>
          <w:spacing w:val="-3"/>
        </w:rPr>
        <w:t>业务平台</w:t>
      </w:r>
      <w:r>
        <w:rPr>
          <w:spacing w:val="-29"/>
        </w:rPr>
        <w:t> </w:t>
      </w:r>
      <w:r>
        <w:rPr>
          <w:spacing w:val="-29"/>
        </w:rPr>
      </w:r>
      <w:r>
        <w:rPr/>
        <w:t>等</w:t>
      </w:r>
      <w:r>
        <w:rPr>
          <w:rFonts w:ascii="Times New Roman" w:hAnsi="Times New Roman" w:cs="Times New Roman" w:eastAsia="Times New Roman" w:hint="default"/>
        </w:rPr>
        <w:t>59</w:t>
      </w:r>
      <w:r>
        <w:rPr/>
        <w:t>个新项目，公司在运营商</w:t>
      </w:r>
      <w:r>
        <w:rPr>
          <w:rFonts w:ascii="Times New Roman" w:hAnsi="Times New Roman" w:cs="Times New Roman" w:eastAsia="Times New Roman" w:hint="default"/>
        </w:rPr>
        <w:t>OSS</w:t>
      </w:r>
      <w:r>
        <w:rPr/>
        <w:t>领域市场地位进一步提升。</w:t>
      </w:r>
    </w:p>
    <w:p>
      <w:pPr>
        <w:pStyle w:val="BodyText"/>
        <w:spacing w:line="268" w:lineRule="auto" w:before="5"/>
        <w:ind w:right="0" w:firstLine="420"/>
        <w:jc w:val="left"/>
      </w:pPr>
      <w:r>
        <w:rPr>
          <w:spacing w:val="-5"/>
        </w:rPr>
        <w:t>在政企领域，公司发挥行业经验、技术、人才等优势，持续加强数据智能行业应用软件在能源、交通、</w:t>
      </w:r>
      <w:r>
        <w:rPr>
          <w:w w:val="100"/>
        </w:rPr>
        <w:t> </w:t>
      </w:r>
      <w:r>
        <w:rPr/>
        <w:t>金融、政府等政企领域的应用，不断丰富完善产品体系，围绕核心客户打造了一批典型应用。报告期内，</w:t>
      </w:r>
      <w:r>
        <w:rPr>
          <w:w w:val="100"/>
        </w:rPr>
        <w:t> </w:t>
      </w:r>
      <w:r>
        <w:rPr>
          <w:spacing w:val="-3"/>
        </w:rPr>
        <w:t>公司助力合肥市蜀山区搭建安徽省首个城市区域大脑</w:t>
      </w:r>
      <w:r>
        <w:rPr>
          <w:rFonts w:ascii="Times New Roman" w:hAnsi="Times New Roman" w:cs="Times New Roman" w:eastAsia="Times New Roman" w:hint="default"/>
          <w:spacing w:val="-3"/>
        </w:rPr>
        <w:t>——“</w:t>
      </w:r>
      <w:r>
        <w:rPr>
          <w:spacing w:val="-3"/>
        </w:rPr>
        <w:t>蜀山融</w:t>
      </w:r>
      <w:r>
        <w:rPr>
          <w:rFonts w:ascii="Times New Roman" w:hAnsi="Times New Roman" w:cs="Times New Roman" w:eastAsia="Times New Roman" w:hint="default"/>
          <w:spacing w:val="-3"/>
        </w:rPr>
        <w:t>•</w:t>
      </w:r>
      <w:r>
        <w:rPr>
          <w:spacing w:val="-3"/>
        </w:rPr>
        <w:t>数字中心</w:t>
      </w:r>
      <w:r>
        <w:rPr>
          <w:rFonts w:ascii="Times New Roman" w:hAnsi="Times New Roman" w:cs="Times New Roman" w:eastAsia="Times New Roman" w:hint="default"/>
          <w:spacing w:val="-3"/>
        </w:rPr>
        <w:t>”</w:t>
      </w:r>
      <w:r>
        <w:rPr>
          <w:spacing w:val="-3"/>
        </w:rPr>
        <w:t>，为城市管理者提供及时、全</w:t>
      </w:r>
      <w:r>
        <w:rPr>
          <w:spacing w:val="-44"/>
        </w:rPr>
        <w:t> </w:t>
      </w:r>
      <w:r>
        <w:rPr>
          <w:spacing w:val="-44"/>
        </w:rPr>
      </w:r>
      <w:r>
        <w:rPr>
          <w:spacing w:val="-2"/>
        </w:rPr>
        <w:t>量、全域的数据智能服务；紧抓电力物联网建设契机，承建能源互联网平台，持续为国电南瑞、江苏方天</w:t>
      </w:r>
      <w:r>
        <w:rPr>
          <w:spacing w:val="-43"/>
        </w:rPr>
        <w:t> </w:t>
      </w:r>
      <w:r>
        <w:rPr>
          <w:spacing w:val="-43"/>
        </w:rPr>
      </w:r>
      <w:r>
        <w:rPr>
          <w:spacing w:val="-2"/>
        </w:rPr>
        <w:t>等提供数据智能技术服务；受益于交通强国战略，交通治超、执法等细分应用复用度持续提升；金融资产</w:t>
      </w:r>
      <w:r>
        <w:rPr>
          <w:spacing w:val="-47"/>
        </w:rPr>
        <w:t> </w:t>
      </w:r>
      <w:r>
        <w:rPr>
          <w:spacing w:val="-47"/>
        </w:rPr>
      </w:r>
      <w:r>
        <w:rPr/>
        <w:t>管理云平台在野村综研、兴业银行等海内外金融用户应用规模稳定增长。</w:t>
      </w:r>
    </w:p>
    <w:p>
      <w:pPr>
        <w:pStyle w:val="BodyText"/>
        <w:spacing w:line="256" w:lineRule="auto" w:before="12"/>
        <w:ind w:left="573" w:right="0"/>
        <w:jc w:val="left"/>
      </w:pPr>
      <w:r>
        <w:rPr>
          <w:rFonts w:ascii="Times New Roman" w:hAnsi="Times New Roman" w:cs="Times New Roman" w:eastAsia="Times New Roman" w:hint="default"/>
        </w:rPr>
        <w:t>2</w:t>
      </w:r>
      <w:r>
        <w:rPr/>
        <w:t>、数据智能平台运营</w:t>
      </w:r>
      <w:r>
        <w:rPr>
          <w:w w:val="100"/>
        </w:rPr>
        <w:t> </w:t>
      </w:r>
      <w:r>
        <w:rPr>
          <w:spacing w:val="-4"/>
        </w:rPr>
        <w:t>报告期内，慧联运继续秉持</w:t>
      </w:r>
      <w:r>
        <w:rPr>
          <w:rFonts w:ascii="Times New Roman" w:hAnsi="Times New Roman" w:cs="Times New Roman" w:eastAsia="Times New Roman" w:hint="default"/>
          <w:spacing w:val="-4"/>
        </w:rPr>
        <w:t>“</w:t>
      </w:r>
      <w:r>
        <w:rPr>
          <w:spacing w:val="-4"/>
        </w:rPr>
        <w:t>智慧联接运输，数据驱动物流</w:t>
      </w:r>
      <w:r>
        <w:rPr>
          <w:rFonts w:ascii="Times New Roman" w:hAnsi="Times New Roman" w:cs="Times New Roman" w:eastAsia="Times New Roman" w:hint="default"/>
          <w:spacing w:val="-4"/>
        </w:rPr>
        <w:t>”</w:t>
      </w:r>
      <w:r>
        <w:rPr>
          <w:spacing w:val="-4"/>
        </w:rPr>
        <w:t>的理念，围绕科技物流承运、物流信息化、</w:t>
      </w:r>
    </w:p>
    <w:p>
      <w:pPr>
        <w:pStyle w:val="BodyText"/>
        <w:spacing w:line="273" w:lineRule="auto" w:before="5"/>
        <w:ind w:right="1133"/>
        <w:jc w:val="left"/>
      </w:pPr>
      <w:r>
        <w:rPr>
          <w:spacing w:val="-2"/>
        </w:rPr>
        <w:t>数据运营等综合服务，强化互联网思维，持续完善专业化、标准化、智能化的智慧物流云平台，业务模式</w:t>
      </w:r>
      <w:r>
        <w:rPr>
          <w:spacing w:val="-43"/>
        </w:rPr>
        <w:t> </w:t>
      </w:r>
      <w:r>
        <w:rPr>
          <w:spacing w:val="-43"/>
        </w:rPr>
      </w:r>
      <w:r>
        <w:rPr/>
        <w:t>逐步清晰。报告期内，公司数据智能平台运营产品销售收入为</w:t>
      </w:r>
      <w:r>
        <w:rPr>
          <w:rFonts w:ascii="Times New Roman" w:hAnsi="Times New Roman" w:cs="Times New Roman" w:eastAsia="Times New Roman" w:hint="default"/>
        </w:rPr>
        <w:t>6.20</w:t>
      </w:r>
      <w:r>
        <w:rPr/>
        <w:t>亿元，较上年同期增长</w:t>
      </w:r>
      <w:r>
        <w:rPr>
          <w:rFonts w:ascii="Times New Roman" w:hAnsi="Times New Roman" w:cs="Times New Roman" w:eastAsia="Times New Roman" w:hint="default"/>
        </w:rPr>
        <w:t>148.51%</w:t>
      </w:r>
      <w:r>
        <w:rPr/>
        <w:t>。</w:t>
      </w:r>
    </w:p>
    <w:p>
      <w:pPr>
        <w:pStyle w:val="BodyText"/>
        <w:spacing w:line="266" w:lineRule="auto"/>
        <w:ind w:right="1126" w:firstLine="420"/>
        <w:jc w:val="both"/>
      </w:pPr>
      <w:r>
        <w:rPr>
          <w:spacing w:val="-2"/>
        </w:rPr>
        <w:t>公司智慧物流云平台科技物流承运持续大力拓展大型物流供应链合作客户，开拓了鸿路钢构、皖维高</w:t>
      </w:r>
      <w:r>
        <w:rPr>
          <w:w w:val="100"/>
        </w:rPr>
        <w:t> </w:t>
      </w:r>
      <w:r>
        <w:rPr>
          <w:spacing w:val="-2"/>
        </w:rPr>
        <w:t>新、黄山胶囊等制造业、医药行业货主企业，持续建设完善科技物流运营体系；物流信息化服务始终以货</w:t>
      </w:r>
      <w:r>
        <w:rPr>
          <w:spacing w:val="-47"/>
        </w:rPr>
        <w:t> </w:t>
      </w:r>
      <w:r>
        <w:rPr>
          <w:spacing w:val="-47"/>
        </w:rPr>
      </w:r>
      <w:r>
        <w:rPr>
          <w:spacing w:val="-2"/>
        </w:rPr>
        <w:t>主、车主、物流公司等用户需求为中心，依托公司数据智能技术优势，不断优化功能流程，目前平台累计</w:t>
      </w:r>
      <w:r>
        <w:rPr>
          <w:spacing w:val="-43"/>
        </w:rPr>
        <w:t> </w:t>
      </w:r>
      <w:r>
        <w:rPr>
          <w:spacing w:val="-43"/>
        </w:rPr>
      </w:r>
      <w:r>
        <w:rPr/>
        <w:t>用户数近</w:t>
      </w:r>
      <w:r>
        <w:rPr>
          <w:rFonts w:ascii="Times New Roman" w:hAnsi="Times New Roman" w:cs="Times New Roman" w:eastAsia="Times New Roman" w:hint="default"/>
        </w:rPr>
        <w:t>20</w:t>
      </w:r>
      <w:r>
        <w:rPr/>
        <w:t>万、累计交易流水达</w:t>
      </w:r>
      <w:r>
        <w:rPr>
          <w:rFonts w:ascii="Times New Roman" w:hAnsi="Times New Roman" w:cs="Times New Roman" w:eastAsia="Times New Roman" w:hint="default"/>
        </w:rPr>
        <w:t>180</w:t>
      </w:r>
      <w:r>
        <w:rPr/>
        <w:t>亿，实现用户规模和体验双提升；数据运营服务通过与中国建行合作</w:t>
      </w:r>
      <w:r>
        <w:rPr>
          <w:spacing w:val="-29"/>
        </w:rPr>
        <w:t> </w:t>
      </w:r>
      <w:r>
        <w:rPr>
          <w:spacing w:val="-29"/>
        </w:rPr>
      </w:r>
      <w:r>
        <w:rPr>
          <w:spacing w:val="-2"/>
        </w:rPr>
        <w:t>推出了基于物流特定场景的金融产品</w:t>
      </w:r>
      <w:r>
        <w:rPr>
          <w:rFonts w:ascii="Times New Roman" w:hAnsi="Times New Roman" w:cs="Times New Roman" w:eastAsia="Times New Roman" w:hint="default"/>
          <w:spacing w:val="-2"/>
        </w:rPr>
        <w:t>“</w:t>
      </w:r>
      <w:r>
        <w:rPr>
          <w:spacing w:val="-2"/>
        </w:rPr>
        <w:t>慧联运司机贷</w:t>
      </w:r>
      <w:r>
        <w:rPr>
          <w:rFonts w:ascii="Times New Roman" w:hAnsi="Times New Roman" w:cs="Times New Roman" w:eastAsia="Times New Roman" w:hint="default"/>
          <w:spacing w:val="-2"/>
        </w:rPr>
        <w:t>”</w:t>
      </w:r>
      <w:r>
        <w:rPr>
          <w:spacing w:val="-2"/>
        </w:rPr>
        <w:t>，为普惠金融在物流领域的落地提供支撑，逐步探索</w:t>
      </w:r>
      <w:r>
        <w:rPr>
          <w:spacing w:val="-21"/>
        </w:rPr>
        <w:t> </w:t>
      </w:r>
      <w:r>
        <w:rPr>
          <w:spacing w:val="-21"/>
        </w:rPr>
      </w:r>
      <w:r>
        <w:rPr/>
        <w:t>数据运营模式，平台生态体系持续完善。</w:t>
      </w:r>
    </w:p>
    <w:p>
      <w:pPr>
        <w:spacing w:after="0" w:line="266"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left="573" w:right="1133"/>
        <w:jc w:val="left"/>
      </w:pPr>
      <w:r>
        <w:rPr>
          <w:rFonts w:ascii="Times New Roman" w:hAnsi="Times New Roman" w:cs="Times New Roman" w:eastAsia="Times New Roman" w:hint="default"/>
        </w:rPr>
        <w:t>3</w:t>
      </w:r>
      <w:r>
        <w:rPr/>
        <w:t>、智能软硬件产品</w:t>
      </w:r>
      <w:r>
        <w:rPr>
          <w:w w:val="100"/>
        </w:rPr>
        <w:t> </w:t>
      </w:r>
      <w:r>
        <w:rPr>
          <w:spacing w:val="-2"/>
        </w:rPr>
        <w:t>报告期内，公司智能</w:t>
      </w:r>
      <w:r>
        <w:rPr>
          <w:rFonts w:ascii="Times New Roman" w:hAnsi="Times New Roman" w:cs="Times New Roman" w:eastAsia="Times New Roman" w:hint="default"/>
          <w:spacing w:val="-2"/>
        </w:rPr>
        <w:t>BMS</w:t>
      </w:r>
      <w:r>
        <w:rPr>
          <w:spacing w:val="-2"/>
        </w:rPr>
        <w:t>产品所处的新能源汽车行业受补贴大幅退坡等因素影响，行业进入调整期，</w:t>
      </w:r>
    </w:p>
    <w:p>
      <w:pPr>
        <w:pStyle w:val="BodyText"/>
        <w:spacing w:line="256" w:lineRule="auto" w:before="5"/>
        <w:ind w:right="1123"/>
        <w:jc w:val="both"/>
      </w:pPr>
      <w:r>
        <w:rPr>
          <w:spacing w:val="-3"/>
        </w:rPr>
        <w:t>国内新能源汽车一改连续多年的高增长态势，销量首次出现下滑局面。</w:t>
      </w:r>
      <w:r>
        <w:rPr>
          <w:rFonts w:ascii="Times New Roman" w:hAnsi="Times New Roman" w:cs="Times New Roman" w:eastAsia="Times New Roman" w:hint="default"/>
          <w:spacing w:val="-3"/>
        </w:rPr>
        <w:t>2019</w:t>
      </w:r>
      <w:r>
        <w:rPr>
          <w:spacing w:val="-3"/>
        </w:rPr>
        <w:t>年国内新能源汽车销量为</w:t>
      </w:r>
      <w:r>
        <w:rPr>
          <w:rFonts w:ascii="Times New Roman" w:hAnsi="Times New Roman" w:cs="Times New Roman" w:eastAsia="Times New Roman" w:hint="default"/>
          <w:spacing w:val="-3"/>
        </w:rPr>
        <w:t>120.6</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万辆，较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125.6</w:t>
      </w:r>
      <w:r>
        <w:rPr>
          <w:spacing w:val="-2"/>
        </w:rPr>
        <w:t>万辆同比减少</w:t>
      </w:r>
      <w:r>
        <w:rPr>
          <w:rFonts w:ascii="Times New Roman" w:hAnsi="Times New Roman" w:cs="Times New Roman" w:eastAsia="Times New Roman" w:hint="default"/>
          <w:spacing w:val="-2"/>
        </w:rPr>
        <w:t>4%</w:t>
      </w:r>
      <w:r>
        <w:rPr>
          <w:spacing w:val="-2"/>
        </w:rPr>
        <w:t>，仅完成年初行业预测</w:t>
      </w:r>
      <w:r>
        <w:rPr>
          <w:rFonts w:ascii="Times New Roman" w:hAnsi="Times New Roman" w:cs="Times New Roman" w:eastAsia="Times New Roman" w:hint="default"/>
          <w:spacing w:val="-2"/>
        </w:rPr>
        <w:t>160</w:t>
      </w:r>
      <w:r>
        <w:rPr>
          <w:spacing w:val="-2"/>
        </w:rPr>
        <w:t>万辆的</w:t>
      </w:r>
      <w:r>
        <w:rPr>
          <w:rFonts w:ascii="Times New Roman" w:hAnsi="Times New Roman" w:cs="Times New Roman" w:eastAsia="Times New Roman" w:hint="default"/>
          <w:spacing w:val="-2"/>
        </w:rPr>
        <w:t>75%</w:t>
      </w:r>
      <w:r>
        <w:rPr>
          <w:spacing w:val="-2"/>
        </w:rPr>
        <w:t>，行业发展短期内未及预期。</w:t>
      </w:r>
      <w:r>
        <w:rPr>
          <w:spacing w:val="-12"/>
        </w:rPr>
        <w:t> </w:t>
      </w:r>
      <w:r>
        <w:rPr>
          <w:spacing w:val="-12"/>
        </w:rPr>
      </w:r>
      <w:r>
        <w:rPr>
          <w:spacing w:val="-3"/>
        </w:rPr>
        <w:t>面对不利局面，公司积极应对，一方面深耕现有核心客户，产品交付保持稳定，并积极开发基于</w:t>
      </w:r>
      <w:r>
        <w:rPr>
          <w:rFonts w:ascii="Times New Roman" w:hAnsi="Times New Roman" w:cs="Times New Roman" w:eastAsia="Times New Roman" w:hint="default"/>
          <w:spacing w:val="-3"/>
        </w:rPr>
        <w:t>VDA</w:t>
      </w:r>
      <w:r>
        <w:rPr>
          <w:spacing w:val="-3"/>
        </w:rPr>
        <w:t>标准</w:t>
      </w:r>
      <w:r>
        <w:rPr>
          <w:spacing w:val="-28"/>
        </w:rPr>
        <w:t> </w:t>
      </w:r>
      <w:r>
        <w:rPr>
          <w:spacing w:val="-2"/>
        </w:rPr>
        <w:t>模组的</w:t>
      </w:r>
      <w:r>
        <w:rPr>
          <w:rFonts w:ascii="Times New Roman" w:hAnsi="Times New Roman" w:cs="Times New Roman" w:eastAsia="Times New Roman" w:hint="default"/>
          <w:spacing w:val="-2"/>
        </w:rPr>
        <w:t>BMS&amp;BDU</w:t>
      </w:r>
      <w:r>
        <w:rPr>
          <w:spacing w:val="-2"/>
        </w:rPr>
        <w:t>一体化产品，不断丰富产品体系，巩固了公司市场地位；同时加大新客户开拓力度，国</w:t>
      </w:r>
      <w:r>
        <w:rPr>
          <w:spacing w:val="-41"/>
        </w:rPr>
        <w:t> </w:t>
      </w:r>
      <w:r>
        <w:rPr>
          <w:spacing w:val="-41"/>
        </w:rPr>
      </w:r>
      <w:r>
        <w:rPr>
          <w:spacing w:val="-3"/>
        </w:rPr>
        <w:t>机智骏、开沃新能源、东风新能源、瑞发新能源等客户均已取得突破；此外，公司积极探索</w:t>
      </w:r>
      <w:r>
        <w:rPr>
          <w:rFonts w:ascii="Times New Roman" w:hAnsi="Times New Roman" w:cs="Times New Roman" w:eastAsia="Times New Roman" w:hint="default"/>
          <w:spacing w:val="-3"/>
        </w:rPr>
        <w:t>BMS</w:t>
      </w:r>
      <w:r>
        <w:rPr>
          <w:spacing w:val="-3"/>
        </w:rPr>
        <w:t>新场景应</w:t>
      </w:r>
      <w:r>
        <w:rPr>
          <w:spacing w:val="-19"/>
        </w:rPr>
        <w:t> </w:t>
      </w:r>
      <w:r>
        <w:rPr>
          <w:spacing w:val="-19"/>
        </w:rPr>
      </w:r>
      <w:r>
        <w:rPr>
          <w:spacing w:val="-2"/>
        </w:rPr>
        <w:t>用需求，积极研发储能</w:t>
      </w:r>
      <w:r>
        <w:rPr>
          <w:rFonts w:ascii="Times New Roman" w:hAnsi="Times New Roman" w:cs="Times New Roman" w:eastAsia="Times New Roman" w:hint="default"/>
          <w:spacing w:val="-2"/>
        </w:rPr>
        <w:t>BMS</w:t>
      </w:r>
      <w:r>
        <w:rPr>
          <w:spacing w:val="-2"/>
        </w:rPr>
        <w:t>、低速车</w:t>
      </w:r>
      <w:r>
        <w:rPr>
          <w:rFonts w:ascii="Times New Roman" w:hAnsi="Times New Roman" w:cs="Times New Roman" w:eastAsia="Times New Roman" w:hint="default"/>
          <w:spacing w:val="-2"/>
        </w:rPr>
        <w:t>BMS</w:t>
      </w:r>
      <w:r>
        <w:rPr>
          <w:spacing w:val="-2"/>
        </w:rPr>
        <w:t>、</w:t>
      </w:r>
      <w:r>
        <w:rPr>
          <w:rFonts w:ascii="Times New Roman" w:hAnsi="Times New Roman" w:cs="Times New Roman" w:eastAsia="Times New Roman" w:hint="default"/>
          <w:spacing w:val="-2"/>
        </w:rPr>
        <w:t>PACK</w:t>
      </w:r>
      <w:r>
        <w:rPr>
          <w:spacing w:val="-2"/>
        </w:rPr>
        <w:t>等新产品，其中储能</w:t>
      </w:r>
      <w:r>
        <w:rPr>
          <w:rFonts w:ascii="Times New Roman" w:hAnsi="Times New Roman" w:cs="Times New Roman" w:eastAsia="Times New Roman" w:hint="default"/>
          <w:spacing w:val="-2"/>
        </w:rPr>
        <w:t>BMS</w:t>
      </w:r>
      <w:r>
        <w:rPr>
          <w:spacing w:val="-2"/>
        </w:rPr>
        <w:t>已成功应用到军工领域。报告</w:t>
      </w:r>
      <w:r>
        <w:rPr>
          <w:spacing w:val="-44"/>
        </w:rPr>
        <w:t> </w:t>
      </w:r>
      <w:r>
        <w:rPr>
          <w:spacing w:val="-44"/>
        </w:rPr>
      </w:r>
      <w:r>
        <w:rPr/>
        <w:t>期内，公司智能</w:t>
      </w:r>
      <w:r>
        <w:rPr>
          <w:rFonts w:ascii="Times New Roman" w:hAnsi="Times New Roman" w:cs="Times New Roman" w:eastAsia="Times New Roman" w:hint="default"/>
        </w:rPr>
        <w:t>BMS</w:t>
      </w:r>
      <w:r>
        <w:rPr/>
        <w:t>产品销售收入为</w:t>
      </w:r>
      <w:r>
        <w:rPr>
          <w:rFonts w:ascii="Times New Roman" w:hAnsi="Times New Roman" w:cs="Times New Roman" w:eastAsia="Times New Roman" w:hint="default"/>
        </w:rPr>
        <w:t>1.86</w:t>
      </w:r>
      <w:r>
        <w:rPr/>
        <w:t>亿元，较上年同期增长</w:t>
      </w:r>
      <w:r>
        <w:rPr>
          <w:rFonts w:ascii="Times New Roman" w:hAnsi="Times New Roman" w:cs="Times New Roman" w:eastAsia="Times New Roman" w:hint="default"/>
        </w:rPr>
        <w:t>4.99%</w:t>
      </w:r>
      <w:r>
        <w:rPr/>
        <w:t>。</w:t>
      </w:r>
    </w:p>
    <w:p>
      <w:pPr>
        <w:pStyle w:val="BodyText"/>
        <w:spacing w:line="273" w:lineRule="auto" w:before="5"/>
        <w:ind w:right="1126" w:firstLine="420"/>
        <w:jc w:val="both"/>
      </w:pPr>
      <w:r>
        <w:rPr>
          <w:spacing w:val="-2"/>
        </w:rPr>
        <w:t>报告期内，公司高可信软件形式化验证产品正处于研发关键阶段，程序分析产品正逐步开展内部应用</w:t>
      </w:r>
      <w:r>
        <w:rPr>
          <w:w w:val="100"/>
        </w:rPr>
        <w:t> </w:t>
      </w:r>
      <w:r>
        <w:rPr>
          <w:spacing w:val="-2"/>
        </w:rPr>
        <w:t>及市场化试用，已完成若干用户的试用部署，通过试用反馈持续优化提升产品；同时，初步搭建销售团队</w:t>
      </w:r>
      <w:r>
        <w:rPr>
          <w:spacing w:val="-47"/>
        </w:rPr>
        <w:t> </w:t>
      </w:r>
      <w:r>
        <w:rPr>
          <w:spacing w:val="-47"/>
        </w:rPr>
      </w:r>
      <w:r>
        <w:rPr/>
        <w:t>开展前期市场咨询工作，为后续全面市场化应用奠定基础。</w:t>
      </w:r>
    </w:p>
    <w:p>
      <w:pPr>
        <w:pStyle w:val="BodyText"/>
        <w:spacing w:line="273" w:lineRule="auto" w:before="8"/>
        <w:ind w:left="573" w:right="1133"/>
        <w:jc w:val="left"/>
      </w:pPr>
      <w:r>
        <w:rPr/>
        <w:t>（二）产品研发</w:t>
      </w:r>
      <w:r>
        <w:rPr>
          <w:spacing w:val="-103"/>
        </w:rPr>
        <w:t> </w:t>
      </w:r>
      <w:r>
        <w:rPr>
          <w:spacing w:val="-103"/>
        </w:rPr>
      </w:r>
      <w:r>
        <w:rPr>
          <w:spacing w:val="-2"/>
        </w:rPr>
        <w:t>公司重视自主研发和技术创新，积极打造以总部、业务群、业务单元三层架构为核心的研发体系。在</w:t>
      </w:r>
    </w:p>
    <w:p>
      <w:pPr>
        <w:pStyle w:val="BodyText"/>
        <w:spacing w:line="256" w:lineRule="auto" w:before="7"/>
        <w:ind w:right="1126"/>
        <w:jc w:val="both"/>
      </w:pPr>
      <w:r>
        <w:rPr>
          <w:spacing w:val="-7"/>
        </w:rPr>
        <w:t>总部层面，发挥中央研究院功能，重点加强数据智能技术的研发，持续打造国创九章</w:t>
      </w:r>
      <w:r>
        <w:rPr>
          <w:rFonts w:ascii="Times New Roman" w:hAnsi="Times New Roman" w:cs="Times New Roman" w:eastAsia="Times New Roman" w:hint="default"/>
          <w:spacing w:val="-7"/>
        </w:rPr>
        <w:t>AI</w:t>
      </w:r>
      <w:r>
        <w:rPr>
          <w:spacing w:val="-7"/>
        </w:rPr>
        <w:t>平台、国创天演</w:t>
      </w:r>
      <w:r>
        <w:rPr>
          <w:rFonts w:ascii="Times New Roman" w:hAnsi="Times New Roman" w:cs="Times New Roman" w:eastAsia="Times New Roman" w:hint="default"/>
          <w:spacing w:val="-7"/>
        </w:rPr>
        <w:t>PaaS</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2"/>
        </w:rPr>
        <w:t>云平台、国创智能产品开发平台、国创</w:t>
      </w:r>
      <w:r>
        <w:rPr>
          <w:rFonts w:ascii="Times New Roman" w:hAnsi="Times New Roman" w:cs="Times New Roman" w:eastAsia="Times New Roman" w:hint="default"/>
          <w:spacing w:val="-2"/>
        </w:rPr>
        <w:t>HCS</w:t>
      </w:r>
      <w:r>
        <w:rPr>
          <w:spacing w:val="-2"/>
        </w:rPr>
        <w:t>集成开发平台，同时面向行业发展的新技术、新趋势，结合公</w:t>
      </w:r>
      <w:r>
        <w:rPr>
          <w:spacing w:val="-33"/>
        </w:rPr>
        <w:t> </w:t>
      </w:r>
      <w:r>
        <w:rPr>
          <w:spacing w:val="-33"/>
        </w:rPr>
      </w:r>
      <w:r>
        <w:rPr/>
        <w:t>司业务积极研究电力物联网、智慧交通、智能电动、数据库、芯片等前沿技术。</w:t>
      </w:r>
    </w:p>
    <w:p>
      <w:pPr>
        <w:pStyle w:val="BodyText"/>
        <w:spacing w:line="259" w:lineRule="auto" w:before="22"/>
        <w:ind w:right="1126" w:firstLine="420"/>
        <w:jc w:val="both"/>
      </w:pPr>
      <w:r>
        <w:rPr>
          <w:spacing w:val="-3"/>
        </w:rPr>
        <w:t>在业务群层面，数据智能行业应用重点布局</w:t>
      </w:r>
      <w:r>
        <w:rPr>
          <w:rFonts w:ascii="Times New Roman" w:hAnsi="Times New Roman" w:cs="Times New Roman" w:eastAsia="Times New Roman" w:hint="default"/>
          <w:spacing w:val="-3"/>
        </w:rPr>
        <w:t>5G</w:t>
      </w:r>
      <w:r>
        <w:rPr>
          <w:spacing w:val="-3"/>
        </w:rPr>
        <w:t>时代的行业应用研发，在运营商领域积极打造</w:t>
      </w:r>
      <w:r>
        <w:rPr>
          <w:rFonts w:ascii="Times New Roman" w:hAnsi="Times New Roman" w:cs="Times New Roman" w:eastAsia="Times New Roman" w:hint="default"/>
          <w:spacing w:val="-3"/>
        </w:rPr>
        <w:t>“</w:t>
      </w:r>
      <w:r>
        <w:rPr>
          <w:spacing w:val="-3"/>
        </w:rPr>
        <w:t>大圣</w:t>
      </w:r>
      <w:r>
        <w:rPr>
          <w:rFonts w:ascii="Times New Roman" w:hAnsi="Times New Roman" w:cs="Times New Roman" w:eastAsia="Times New Roman" w:hint="default"/>
          <w:spacing w:val="-3"/>
        </w:rPr>
        <w:t>”</w:t>
      </w:r>
      <w:r>
        <w:rPr>
          <w:spacing w:val="-3"/>
        </w:rPr>
        <w:t>智</w:t>
      </w:r>
      <w:r>
        <w:rPr>
          <w:w w:val="100"/>
        </w:rPr>
        <w:t> </w:t>
      </w:r>
      <w:r>
        <w:rPr>
          <w:spacing w:val="-2"/>
        </w:rPr>
        <w:t>能</w:t>
      </w:r>
      <w:r>
        <w:rPr>
          <w:rFonts w:ascii="Times New Roman" w:hAnsi="Times New Roman" w:cs="Times New Roman" w:eastAsia="Times New Roman" w:hint="default"/>
          <w:spacing w:val="-2"/>
        </w:rPr>
        <w:t>OSS</w:t>
      </w:r>
      <w:r>
        <w:rPr>
          <w:spacing w:val="-2"/>
        </w:rPr>
        <w:t>系统，在政企领域不断丰富完善数据智能行业应用软件。数据智能平台运营随着平台生态体系不断</w:t>
      </w:r>
      <w:r>
        <w:rPr>
          <w:spacing w:val="-6"/>
        </w:rPr>
        <w:t> </w:t>
      </w:r>
      <w:r>
        <w:rPr>
          <w:spacing w:val="-6"/>
        </w:rPr>
      </w:r>
      <w:r>
        <w:rPr>
          <w:spacing w:val="-2"/>
        </w:rPr>
        <w:t>完善，持续加强智慧物流云平台的创新研发，支撑业务的快速发展。智能软硬件产品一方面紧抓智能汽车</w:t>
      </w:r>
      <w:r>
        <w:rPr>
          <w:spacing w:val="-44"/>
        </w:rPr>
        <w:t> </w:t>
      </w:r>
      <w:r>
        <w:rPr>
          <w:spacing w:val="-44"/>
        </w:rPr>
      </w:r>
      <w:r>
        <w:rPr>
          <w:spacing w:val="-3"/>
        </w:rPr>
        <w:t>发展方向，积极开展以</w:t>
      </w:r>
      <w:r>
        <w:rPr>
          <w:rFonts w:ascii="Times New Roman" w:hAnsi="Times New Roman" w:cs="Times New Roman" w:eastAsia="Times New Roman" w:hint="default"/>
          <w:spacing w:val="-3"/>
        </w:rPr>
        <w:t>BMS</w:t>
      </w:r>
      <w:r>
        <w:rPr>
          <w:spacing w:val="-3"/>
        </w:rPr>
        <w:t>为核心的动力电源总成系统的研发，引领未来智能电动的技术方向；另一方面</w:t>
      </w:r>
      <w:r>
        <w:rPr>
          <w:spacing w:val="-24"/>
        </w:rPr>
        <w:t> </w:t>
      </w:r>
      <w:r>
        <w:rPr>
          <w:spacing w:val="-24"/>
        </w:rPr>
      </w:r>
      <w:r>
        <w:rPr>
          <w:spacing w:val="14"/>
        </w:rPr>
        <w:t>持续加强国际领先的高可信软件研发，并取得了新进展，程序分析工具集新增</w:t>
      </w:r>
      <w:r>
        <w:rPr>
          <w:spacing w:val="87"/>
        </w:rPr>
        <w:t> </w:t>
      </w:r>
      <w:r>
        <w:rPr>
          <w:rFonts w:ascii="Times New Roman" w:hAnsi="Times New Roman" w:cs="Times New Roman" w:eastAsia="Times New Roman" w:hint="default"/>
        </w:rPr>
        <w:t>“SJ/T11682</w:t>
      </w:r>
      <w:r>
        <w:rPr>
          <w:rFonts w:ascii="Times New Roman" w:hAnsi="Times New Roman" w:cs="Times New Roman" w:eastAsia="Times New Roman" w:hint="default"/>
        </w:rPr>
        <w:t>-</w:t>
      </w:r>
      <w:r>
        <w:rPr>
          <w:rFonts w:ascii="Times New Roman" w:hAnsi="Times New Roman" w:cs="Times New Roman" w:eastAsia="Times New Roman" w:hint="default"/>
        </w:rPr>
        <w:t>2017”</w:t>
      </w:r>
      <w:r>
        <w:rPr/>
        <w:t>、</w:t>
      </w:r>
      <w:r>
        <w:rPr>
          <w:spacing w:val="-89"/>
        </w:rPr>
        <w:t> </w:t>
      </w:r>
      <w:r>
        <w:rPr>
          <w:rFonts w:ascii="Times New Roman" w:hAnsi="Times New Roman" w:cs="Times New Roman" w:eastAsia="Times New Roman" w:hint="default"/>
        </w:rPr>
        <w:t>“GJB5369</w:t>
      </w:r>
      <w:r>
        <w:rPr>
          <w:rFonts w:ascii="Times New Roman" w:hAnsi="Times New Roman" w:cs="Times New Roman" w:eastAsia="Times New Roman" w:hint="default"/>
        </w:rPr>
        <w:t>-</w:t>
      </w:r>
      <w:r>
        <w:rPr>
          <w:rFonts w:ascii="Times New Roman" w:hAnsi="Times New Roman" w:cs="Times New Roman" w:eastAsia="Times New Roman" w:hint="default"/>
        </w:rPr>
        <w:t>2005”</w:t>
      </w:r>
      <w:r>
        <w:rPr/>
        <w:t>等领域的对标检测等</w:t>
      </w:r>
      <w:r>
        <w:rPr>
          <w:rFonts w:ascii="Times New Roman" w:hAnsi="Times New Roman" w:cs="Times New Roman" w:eastAsia="Times New Roman" w:hint="default"/>
        </w:rPr>
        <w:t>5</w:t>
      </w:r>
      <w:r>
        <w:rPr/>
        <w:t>项软件著作权，研发了适用于</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Windows</w:t>
      </w:r>
      <w:r>
        <w:rPr/>
        <w:t>、</w:t>
      </w:r>
      <w:r>
        <w:rPr>
          <w:rFonts w:ascii="Times New Roman" w:hAnsi="Times New Roman" w:cs="Times New Roman" w:eastAsia="Times New Roman" w:hint="default"/>
        </w:rPr>
        <w:t>Mac</w:t>
      </w:r>
      <w:r>
        <w:rPr/>
        <w:t>及服务器的分</w:t>
      </w:r>
      <w:r>
        <w:rPr>
          <w:spacing w:val="-31"/>
        </w:rPr>
        <w:t> </w:t>
      </w:r>
      <w:r>
        <w:rPr>
          <w:spacing w:val="-31"/>
        </w:rPr>
      </w:r>
      <w:r>
        <w:rPr/>
        <w:t>析工具平台，程序验证工具开展了小规模实用程序验证的实践，并积极开发基于云平台的</w:t>
      </w:r>
      <w:r>
        <w:rPr>
          <w:rFonts w:ascii="Times New Roman" w:hAnsi="Times New Roman" w:cs="Times New Roman" w:eastAsia="Times New Roman" w:hint="default"/>
        </w:rPr>
        <w:t>C</w:t>
      </w:r>
      <w:r>
        <w:rPr/>
        <w:t>语言程序的验</w:t>
      </w:r>
      <w:r>
        <w:rPr>
          <w:spacing w:val="-60"/>
        </w:rPr>
        <w:t> </w:t>
      </w:r>
      <w:r>
        <w:rPr>
          <w:spacing w:val="-60"/>
        </w:rPr>
      </w:r>
      <w:r>
        <w:rPr/>
        <w:t>证与学习环境。</w:t>
      </w:r>
    </w:p>
    <w:p>
      <w:pPr>
        <w:pStyle w:val="BodyText"/>
        <w:spacing w:line="266" w:lineRule="auto" w:before="20"/>
        <w:ind w:right="1104" w:firstLine="420"/>
        <w:jc w:val="both"/>
      </w:pPr>
      <w:r>
        <w:rPr>
          <w:spacing w:val="-2"/>
        </w:rPr>
        <w:t>在业务单元层面，强调产品研发与市场需求的紧密结合，需求来源于客户，产品服务于客户。在数据</w:t>
      </w:r>
      <w:r>
        <w:rPr>
          <w:w w:val="100"/>
        </w:rPr>
        <w:t> </w:t>
      </w:r>
      <w:r>
        <w:rPr>
          <w:spacing w:val="-3"/>
        </w:rPr>
        <w:t>智能行业应用业务，紧跟</w:t>
      </w:r>
      <w:r>
        <w:rPr>
          <w:rFonts w:ascii="Times New Roman" w:hAnsi="Times New Roman" w:cs="Times New Roman" w:eastAsia="Times New Roman" w:hint="default"/>
          <w:spacing w:val="-3"/>
        </w:rPr>
        <w:t>5G</w:t>
      </w:r>
      <w:r>
        <w:rPr>
          <w:spacing w:val="-3"/>
        </w:rPr>
        <w:t>市场发展和运营商规范要求，完成国际</w:t>
      </w:r>
      <w:r>
        <w:rPr>
          <w:rFonts w:ascii="Times New Roman" w:hAnsi="Times New Roman" w:cs="Times New Roman" w:eastAsia="Times New Roman" w:hint="default"/>
          <w:spacing w:val="-3"/>
        </w:rPr>
        <w:t>OSS</w:t>
      </w:r>
      <w:r>
        <w:rPr>
          <w:spacing w:val="-3"/>
        </w:rPr>
        <w:t>、云管平台等电信运营支撑系统产</w:t>
      </w:r>
      <w:r>
        <w:rPr>
          <w:spacing w:val="-5"/>
        </w:rPr>
        <w:t> </w:t>
      </w:r>
      <w:r>
        <w:rPr>
          <w:spacing w:val="-5"/>
        </w:rPr>
      </w:r>
      <w:r>
        <w:rPr>
          <w:spacing w:val="-2"/>
        </w:rPr>
        <w:t>品体系的研发，围绕政企领域完成数据蜂数据采集、能源智能运维、科技治超、区块链溯源等数据智能行</w:t>
      </w:r>
      <w:r>
        <w:rPr>
          <w:spacing w:val="-47"/>
        </w:rPr>
        <w:t> </w:t>
      </w:r>
      <w:r>
        <w:rPr>
          <w:spacing w:val="-47"/>
        </w:rPr>
      </w:r>
      <w:r>
        <w:rPr>
          <w:spacing w:val="-2"/>
        </w:rPr>
        <w:t>业应用软件产品体系的研发应用；在数据智能平台运营业务，根据用户需求持续完善数据运营模块体系，</w:t>
      </w:r>
      <w:r>
        <w:rPr>
          <w:spacing w:val="-21"/>
        </w:rPr>
        <w:t> </w:t>
      </w:r>
      <w:r>
        <w:rPr>
          <w:spacing w:val="-21"/>
        </w:rPr>
      </w:r>
      <w:r>
        <w:rPr/>
        <w:t>优化使用流程，提升用户体验；在智能软硬件产品业务，围绕智能汽车持续研发基于</w:t>
      </w:r>
      <w:r>
        <w:rPr>
          <w:rFonts w:ascii="Times New Roman" w:hAnsi="Times New Roman" w:cs="Times New Roman" w:eastAsia="Times New Roman" w:hint="default"/>
        </w:rPr>
        <w:t>AUTOSAR</w:t>
      </w:r>
      <w:r>
        <w:rPr/>
        <w:t>架构和功</w:t>
      </w:r>
      <w:r>
        <w:rPr>
          <w:spacing w:val="-69"/>
        </w:rPr>
        <w:t> </w:t>
      </w:r>
      <w:r>
        <w:rPr>
          <w:spacing w:val="-69"/>
        </w:rPr>
      </w:r>
      <w:r>
        <w:rPr/>
        <w:t>能安全的</w:t>
      </w:r>
      <w:r>
        <w:rPr>
          <w:rFonts w:ascii="Times New Roman" w:hAnsi="Times New Roman" w:cs="Times New Roman" w:eastAsia="Times New Roman" w:hint="default"/>
        </w:rPr>
        <w:t>32</w:t>
      </w:r>
      <w:r>
        <w:rPr/>
        <w:t>位平台新一代智能</w:t>
      </w:r>
      <w:r>
        <w:rPr>
          <w:rFonts w:ascii="Times New Roman" w:hAnsi="Times New Roman" w:cs="Times New Roman" w:eastAsia="Times New Roman" w:hint="default"/>
        </w:rPr>
        <w:t>BMS</w:t>
      </w:r>
      <w:r>
        <w:rPr/>
        <w:t>产品、基于</w:t>
      </w:r>
      <w:r>
        <w:rPr>
          <w:rFonts w:ascii="Times New Roman" w:hAnsi="Times New Roman" w:cs="Times New Roman" w:eastAsia="Times New Roman" w:hint="default"/>
        </w:rPr>
        <w:t>VDA</w:t>
      </w:r>
      <w:r>
        <w:rPr/>
        <w:t>标准模组的</w:t>
      </w:r>
      <w:r>
        <w:rPr>
          <w:rFonts w:ascii="Times New Roman" w:hAnsi="Times New Roman" w:cs="Times New Roman" w:eastAsia="Times New Roman" w:hint="default"/>
        </w:rPr>
        <w:t>BMS&amp;BDU</w:t>
      </w:r>
      <w:r>
        <w:rPr/>
        <w:t>一体化产品、储能</w:t>
      </w:r>
      <w:r>
        <w:rPr>
          <w:rFonts w:ascii="Times New Roman" w:hAnsi="Times New Roman" w:cs="Times New Roman" w:eastAsia="Times New Roman" w:hint="default"/>
        </w:rPr>
        <w:t>BMS</w:t>
      </w:r>
      <w:r>
        <w:rPr/>
        <w:t>等。</w:t>
      </w:r>
    </w:p>
    <w:p>
      <w:pPr>
        <w:pStyle w:val="BodyText"/>
        <w:spacing w:line="261" w:lineRule="auto"/>
        <w:ind w:right="1126" w:firstLine="420"/>
        <w:jc w:val="both"/>
      </w:pPr>
      <w:r>
        <w:rPr>
          <w:spacing w:val="-2"/>
        </w:rPr>
        <w:t>报告期内，科大国创软件股份有限公司技术中心被国家发改委认定为国家企业技术中心，同时获得了</w:t>
      </w:r>
      <w:r>
        <w:rPr>
          <w:w w:val="100"/>
        </w:rPr>
        <w:t> </w:t>
      </w:r>
      <w:r>
        <w:rPr>
          <w:rFonts w:ascii="Times New Roman" w:hAnsi="Times New Roman" w:cs="Times New Roman" w:eastAsia="Times New Roman" w:hint="default"/>
        </w:rPr>
        <w:t>“</w:t>
      </w:r>
      <w:r>
        <w:rPr/>
        <w:t>电池智能断路单元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科大国创大数据分析决策平台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中科国创高可信软件分析工具集</w:t>
      </w:r>
      <w:r>
        <w:rPr>
          <w:rFonts w:ascii="Times New Roman" w:hAnsi="Times New Roman" w:cs="Times New Roman" w:eastAsia="Times New Roman" w:hint="default"/>
        </w:rPr>
        <w:t>Visual</w:t>
      </w:r>
      <w:r>
        <w:rPr>
          <w:rFonts w:ascii="Times New Roman" w:hAnsi="Times New Roman" w:cs="Times New Roman" w:eastAsia="Times New Roman" w:hint="default"/>
          <w:spacing w:val="29"/>
        </w:rPr>
        <w:t> </w:t>
      </w:r>
      <w:r>
        <w:rPr>
          <w:rFonts w:ascii="Times New Roman" w:hAnsi="Times New Roman" w:cs="Times New Roman" w:eastAsia="Times New Roman" w:hint="default"/>
        </w:rPr>
        <w:t>Studio</w:t>
      </w:r>
      <w:r>
        <w:rPr/>
        <w:t>插</w:t>
      </w:r>
      <w:r>
        <w:rPr>
          <w:w w:val="100"/>
        </w:rPr>
        <w:t> </w:t>
      </w:r>
      <w:r>
        <w:rPr/>
        <w:t>件版软件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国创云网智慧政务政策智能管理平台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基于大数据的物流信用智能分析系统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贵博集中</w:t>
      </w:r>
      <w:r>
        <w:rPr>
          <w:spacing w:val="-59"/>
        </w:rPr>
        <w:t> </w:t>
      </w:r>
      <w:r>
        <w:rPr>
          <w:spacing w:val="-3"/>
        </w:rPr>
        <w:t>式一体机</w:t>
      </w:r>
      <w:r>
        <w:rPr>
          <w:rFonts w:ascii="Times New Roman" w:hAnsi="Times New Roman" w:cs="Times New Roman" w:eastAsia="Times New Roman" w:hint="default"/>
          <w:spacing w:val="-3"/>
        </w:rPr>
        <w:t>BMS</w:t>
      </w:r>
      <w:r>
        <w:rPr>
          <w:spacing w:val="-3"/>
        </w:rPr>
        <w:t>控制策略软件</w:t>
      </w:r>
      <w:r>
        <w:rPr>
          <w:rFonts w:ascii="Times New Roman" w:hAnsi="Times New Roman" w:cs="Times New Roman" w:eastAsia="Times New Roman" w:hint="default"/>
          <w:spacing w:val="-3"/>
        </w:rPr>
        <w:t>”</w:t>
      </w:r>
      <w:r>
        <w:rPr>
          <w:spacing w:val="-3"/>
        </w:rPr>
        <w:t>等多项专利及软件著作权；截至报告期末，公司累计获得</w:t>
      </w:r>
      <w:r>
        <w:rPr>
          <w:rFonts w:ascii="Times New Roman" w:hAnsi="Times New Roman" w:cs="Times New Roman" w:eastAsia="Times New Roman" w:hint="default"/>
          <w:spacing w:val="-3"/>
        </w:rPr>
        <w:t>400</w:t>
      </w:r>
      <w:r>
        <w:rPr>
          <w:spacing w:val="-3"/>
        </w:rPr>
        <w:t>余项专利和软件</w:t>
      </w:r>
      <w:r>
        <w:rPr>
          <w:spacing w:val="-11"/>
        </w:rPr>
        <w:t> </w:t>
      </w:r>
      <w:r>
        <w:rPr>
          <w:spacing w:val="-11"/>
        </w:rPr>
      </w:r>
      <w:r>
        <w:rPr/>
        <w:t>著作权。</w:t>
      </w:r>
    </w:p>
    <w:p>
      <w:pPr>
        <w:pStyle w:val="BodyText"/>
        <w:spacing w:line="273" w:lineRule="auto" w:before="18"/>
        <w:ind w:left="573" w:right="1133"/>
        <w:jc w:val="left"/>
      </w:pPr>
      <w:r>
        <w:rPr/>
        <w:t>（三）公司管理</w:t>
      </w:r>
      <w:r>
        <w:rPr>
          <w:spacing w:val="-103"/>
        </w:rPr>
        <w:t> </w:t>
      </w:r>
      <w:r>
        <w:rPr>
          <w:spacing w:val="-103"/>
        </w:rPr>
      </w:r>
      <w:r>
        <w:rPr>
          <w:spacing w:val="-2"/>
        </w:rPr>
        <w:t>报告期内，根据公司经营计划，持续打造</w:t>
      </w:r>
      <w:r>
        <w:rPr>
          <w:rFonts w:ascii="Times New Roman" w:hAnsi="Times New Roman" w:cs="Times New Roman" w:eastAsia="Times New Roman" w:hint="default"/>
          <w:spacing w:val="-2"/>
        </w:rPr>
        <w:t>“</w:t>
      </w:r>
      <w:r>
        <w:rPr>
          <w:spacing w:val="-2"/>
        </w:rPr>
        <w:t>战略</w:t>
      </w:r>
      <w:r>
        <w:rPr>
          <w:rFonts w:ascii="Times New Roman" w:hAnsi="Times New Roman" w:cs="Times New Roman" w:eastAsia="Times New Roman" w:hint="default"/>
          <w:spacing w:val="-2"/>
        </w:rPr>
        <w:t>+</w:t>
      </w:r>
      <w:r>
        <w:rPr>
          <w:spacing w:val="-2"/>
        </w:rPr>
        <w:t>管控</w:t>
      </w:r>
      <w:r>
        <w:rPr>
          <w:rFonts w:ascii="Times New Roman" w:hAnsi="Times New Roman" w:cs="Times New Roman" w:eastAsia="Times New Roman" w:hint="default"/>
          <w:spacing w:val="-2"/>
        </w:rPr>
        <w:t>+</w:t>
      </w:r>
      <w:r>
        <w:rPr>
          <w:spacing w:val="-2"/>
        </w:rPr>
        <w:t>赋能</w:t>
      </w:r>
      <w:r>
        <w:rPr>
          <w:rFonts w:ascii="Times New Roman" w:hAnsi="Times New Roman" w:cs="Times New Roman" w:eastAsia="Times New Roman" w:hint="default"/>
          <w:spacing w:val="-2"/>
        </w:rPr>
        <w:t>”</w:t>
      </w:r>
      <w:r>
        <w:rPr>
          <w:spacing w:val="-2"/>
        </w:rPr>
        <w:t>的总部管理模式，加强各业务单元的经营</w:t>
      </w:r>
    </w:p>
    <w:p>
      <w:pPr>
        <w:pStyle w:val="BodyText"/>
        <w:spacing w:line="273" w:lineRule="auto"/>
        <w:ind w:right="0"/>
        <w:jc w:val="left"/>
      </w:pPr>
      <w:r>
        <w:rPr>
          <w:spacing w:val="-5"/>
        </w:rPr>
        <w:t>意识和绩效考核力度。通过强化总部层面的战略导向、内控规范、组织文化、信息沟通、激励机制等要素，</w:t>
      </w:r>
      <w:r>
        <w:rPr>
          <w:spacing w:val="-7"/>
        </w:rPr>
        <w:t> </w:t>
      </w:r>
      <w:r>
        <w:rPr>
          <w:spacing w:val="-7"/>
        </w:rPr>
      </w:r>
      <w:r>
        <w:rPr>
          <w:spacing w:val="-5"/>
        </w:rPr>
        <w:t>明确各经营单元的经营目标、战略规划，实现整个公司的资源优化，提升协同作战能力。在公司管控方面，</w:t>
      </w:r>
      <w:r>
        <w:rPr>
          <w:spacing w:val="-8"/>
        </w:rPr>
        <w:t> </w:t>
      </w:r>
      <w:r>
        <w:rPr>
          <w:spacing w:val="-8"/>
        </w:rPr>
      </w:r>
      <w:r>
        <w:rPr>
          <w:spacing w:val="-2"/>
        </w:rPr>
        <w:t>以加强财务预算、提高人员效率为抓手，初步实现人力、研发、资金、项目的责权利明确分工，营造了你</w:t>
      </w:r>
      <w:r>
        <w:rPr>
          <w:spacing w:val="-45"/>
        </w:rPr>
        <w:t> </w:t>
      </w:r>
      <w:r>
        <w:rPr>
          <w:spacing w:val="-45"/>
        </w:rPr>
      </w:r>
      <w:r>
        <w:rPr>
          <w:spacing w:val="-5"/>
        </w:rPr>
        <w:t>追我赶、积极向上、勇于担当的良好氛围。在打造赋能式总部的思想框架下，初步实现把公司人力、资金、</w:t>
      </w:r>
      <w:r>
        <w:rPr>
          <w:spacing w:val="-8"/>
        </w:rPr>
        <w:t> </w:t>
      </w:r>
      <w:r>
        <w:rPr>
          <w:spacing w:val="-8"/>
        </w:rPr>
      </w:r>
      <w:r>
        <w:rPr/>
        <w:t>品牌、资质、案例、管理、共用技术等资源聚合，并向各经营单元开放，为前方</w:t>
      </w:r>
      <w:r>
        <w:rPr>
          <w:rFonts w:ascii="Times New Roman" w:hAnsi="Times New Roman" w:cs="Times New Roman" w:eastAsia="Times New Roman" w:hint="default"/>
        </w:rPr>
        <w:t>“</w:t>
      </w:r>
      <w:r>
        <w:rPr/>
        <w:t>战场</w:t>
      </w:r>
      <w:r>
        <w:rPr>
          <w:rFonts w:ascii="Times New Roman" w:hAnsi="Times New Roman" w:cs="Times New Roman" w:eastAsia="Times New Roman" w:hint="default"/>
        </w:rPr>
        <w:t>”</w:t>
      </w:r>
      <w:r>
        <w:rPr/>
        <w:t>输送</w:t>
      </w:r>
      <w:r>
        <w:rPr>
          <w:rFonts w:ascii="Times New Roman" w:hAnsi="Times New Roman" w:cs="Times New Roman" w:eastAsia="Times New Roman" w:hint="default"/>
        </w:rPr>
        <w:t>“</w:t>
      </w:r>
      <w:r>
        <w:rPr/>
        <w:t>炮弹</w:t>
      </w:r>
      <w:r>
        <w:rPr>
          <w:rFonts w:ascii="Times New Roman" w:hAnsi="Times New Roman" w:cs="Times New Roman" w:eastAsia="Times New Roman" w:hint="default"/>
        </w:rPr>
        <w:t>”</w:t>
      </w:r>
      <w:r>
        <w:rPr/>
        <w:t>。</w:t>
      </w:r>
    </w:p>
    <w:p>
      <w:pPr>
        <w:pStyle w:val="BodyText"/>
        <w:spacing w:line="263" w:lineRule="exact"/>
        <w:ind w:left="573" w:right="1133"/>
        <w:jc w:val="left"/>
      </w:pPr>
      <w:r>
        <w:rPr/>
        <w:t>（四）投资发展</w:t>
      </w:r>
    </w:p>
    <w:p>
      <w:pPr>
        <w:spacing w:after="0" w:line="263" w:lineRule="exact"/>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1" w:lineRule="auto" w:before="36"/>
        <w:ind w:right="1104" w:firstLine="420"/>
        <w:jc w:val="both"/>
      </w:pPr>
      <w:r>
        <w:rPr>
          <w:spacing w:val="-2"/>
        </w:rPr>
        <w:t>报告期内，公司围绕自身核心业务，以增强公司中长期战略竞争能力为目的，发挥产业链协同效应，</w:t>
      </w:r>
      <w:r>
        <w:rPr>
          <w:w w:val="100"/>
        </w:rPr>
        <w:t> </w:t>
      </w:r>
      <w:r>
        <w:rPr>
          <w:spacing w:val="-2"/>
        </w:rPr>
        <w:t>增投了国仪量子，新投了奇瑞新能源。国仪量子源自中科大中国科学院微观磁共振重点实验室，其以量子</w:t>
      </w:r>
      <w:r>
        <w:rPr>
          <w:spacing w:val="-43"/>
        </w:rPr>
        <w:t> </w:t>
      </w:r>
      <w:r>
        <w:rPr>
          <w:spacing w:val="-43"/>
        </w:rPr>
      </w:r>
      <w:r>
        <w:rPr>
          <w:spacing w:val="-2"/>
        </w:rPr>
        <w:t>精密测量为核心技术，拥有以增强型量子传感器为代表的核心关键器件、用于分析测试的科学仪器装备等</w:t>
      </w:r>
      <w:r>
        <w:rPr>
          <w:spacing w:val="-44"/>
        </w:rPr>
        <w:t> </w:t>
      </w:r>
      <w:r>
        <w:rPr>
          <w:spacing w:val="-44"/>
        </w:rPr>
      </w:r>
      <w:r>
        <w:rPr>
          <w:spacing w:val="-2"/>
        </w:rPr>
        <w:t>产品，目前双方在高端精密仪器领域的系统软件及高可信软件等方面推进合作。奇瑞新能源是全国第八家</w:t>
      </w:r>
      <w:r>
        <w:rPr>
          <w:spacing w:val="-43"/>
        </w:rPr>
        <w:t> </w:t>
      </w:r>
      <w:r>
        <w:rPr>
          <w:spacing w:val="-43"/>
        </w:rPr>
      </w:r>
      <w:r>
        <w:rPr>
          <w:spacing w:val="-2"/>
        </w:rPr>
        <w:t>具备双资质的自主新能源车企，拥有完善的新能源汽车正向开发体系和技术能力，连续多年市场份额位居</w:t>
      </w:r>
      <w:r>
        <w:rPr>
          <w:spacing w:val="-42"/>
        </w:rPr>
        <w:t> </w:t>
      </w:r>
      <w:r>
        <w:rPr>
          <w:spacing w:val="-42"/>
        </w:rPr>
      </w:r>
      <w:r>
        <w:rPr>
          <w:spacing w:val="-3"/>
        </w:rPr>
        <w:t>行业前列，其小蚂蚁车型在细分车型累计销量名列前茅，其是公司智能</w:t>
      </w:r>
      <w:r>
        <w:rPr>
          <w:rFonts w:ascii="Times New Roman" w:hAnsi="Times New Roman" w:cs="Times New Roman" w:eastAsia="Times New Roman" w:hint="default"/>
          <w:spacing w:val="-3"/>
        </w:rPr>
        <w:t>BMS</w:t>
      </w:r>
      <w:r>
        <w:rPr>
          <w:spacing w:val="-3"/>
        </w:rPr>
        <w:t>产品的核心用户，目前双方围</w:t>
      </w:r>
      <w:r>
        <w:rPr>
          <w:spacing w:val="-22"/>
        </w:rPr>
        <w:t> </w:t>
      </w:r>
      <w:r>
        <w:rPr>
          <w:spacing w:val="-22"/>
        </w:rPr>
      </w:r>
      <w:r>
        <w:rPr/>
        <w:t>绕智能汽车动力总成系统以及车载智能软件等领域开展深入合作。</w:t>
      </w:r>
    </w:p>
    <w:p>
      <w:pPr>
        <w:pStyle w:val="BodyText"/>
        <w:spacing w:line="273" w:lineRule="auto" w:before="10"/>
        <w:ind w:right="1126" w:firstLine="420"/>
        <w:jc w:val="both"/>
      </w:pPr>
      <w:r>
        <w:rPr>
          <w:spacing w:val="-2"/>
        </w:rPr>
        <w:t>同时，报告期内公司顺利完成重大资产重组配套募集资金的融资发行工作，成功引入了兴泰控股、华</w:t>
      </w:r>
      <w:r>
        <w:rPr>
          <w:w w:val="100"/>
        </w:rPr>
        <w:t> </w:t>
      </w:r>
      <w:r>
        <w:rPr>
          <w:spacing w:val="-2"/>
        </w:rPr>
        <w:t>安证券等重要股东，优化股东结构的同时，既为公司引入了股东资源，发挥协同效应，也为公司提供了发</w:t>
      </w:r>
      <w:r>
        <w:rPr>
          <w:spacing w:val="-50"/>
        </w:rPr>
        <w:t> </w:t>
      </w:r>
      <w:r>
        <w:rPr>
          <w:spacing w:val="-50"/>
        </w:rPr>
      </w:r>
      <w:r>
        <w:rPr/>
        <w:t>展资金，促进高质量发展。</w:t>
      </w:r>
    </w:p>
    <w:p>
      <w:pPr>
        <w:pStyle w:val="BodyText"/>
        <w:spacing w:line="273" w:lineRule="auto" w:before="7"/>
        <w:ind w:left="573" w:right="1133"/>
        <w:jc w:val="left"/>
      </w:pPr>
      <w:r>
        <w:rPr/>
        <w:t>（五）规范运作</w:t>
      </w:r>
      <w:r>
        <w:rPr>
          <w:spacing w:val="-103"/>
        </w:rPr>
        <w:t> </w:t>
      </w:r>
      <w:r>
        <w:rPr>
          <w:spacing w:val="-103"/>
        </w:rPr>
      </w:r>
      <w:r>
        <w:rPr>
          <w:spacing w:val="-2"/>
        </w:rPr>
        <w:t>报告期内，公司持续按照上市公司监管要求积极推进完善内控建设、信息披露、投资者关系和三会运</w:t>
      </w:r>
    </w:p>
    <w:p>
      <w:pPr>
        <w:pStyle w:val="BodyText"/>
        <w:spacing w:line="266" w:lineRule="auto" w:before="8"/>
        <w:ind w:right="1126"/>
        <w:jc w:val="both"/>
      </w:pPr>
      <w:r>
        <w:rPr>
          <w:spacing w:val="-2"/>
        </w:rPr>
        <w:t>作等工作，不断提升公司治理水平。公司通过切实履行信息披露责任，严格执行信息披露规定，确保信息</w:t>
      </w:r>
      <w:r>
        <w:rPr>
          <w:spacing w:val="-50"/>
        </w:rPr>
        <w:t> </w:t>
      </w:r>
      <w:r>
        <w:rPr>
          <w:spacing w:val="-50"/>
        </w:rPr>
      </w:r>
      <w:r>
        <w:rPr>
          <w:spacing w:val="-1"/>
        </w:rPr>
        <w:t>披露的真实、准确、完整、及时、公平。经深交所考核，公司信息披露考核结果连续两年为</w:t>
      </w:r>
      <w:r>
        <w:rPr>
          <w:rFonts w:ascii="Times New Roman" w:hAnsi="Times New Roman" w:cs="Times New Roman" w:eastAsia="Times New Roman" w:hint="default"/>
          <w:spacing w:val="-1"/>
        </w:rPr>
        <w:t>A</w:t>
      </w:r>
      <w:r>
        <w:rPr>
          <w:spacing w:val="-1"/>
        </w:rPr>
        <w:t>。通过现场</w:t>
      </w:r>
      <w:r>
        <w:rPr>
          <w:spacing w:val="-27"/>
        </w:rPr>
        <w:t> </w:t>
      </w:r>
      <w:r>
        <w:rPr>
          <w:spacing w:val="-27"/>
        </w:rPr>
      </w:r>
      <w:r>
        <w:rPr>
          <w:spacing w:val="-2"/>
        </w:rPr>
        <w:t>调研、互动易平台、投资者关系电话等线下线上多渠道常态互动，畅通投资者与上市公司交流的渠道，充</w:t>
      </w:r>
      <w:r>
        <w:rPr>
          <w:spacing w:val="-44"/>
        </w:rPr>
        <w:t> </w:t>
      </w:r>
      <w:r>
        <w:rPr>
          <w:spacing w:val="-44"/>
        </w:rPr>
      </w:r>
      <w:r>
        <w:rPr/>
        <w:t>分保护中小投资者利益，增强了公司运作透明度，维护了上市公司良好市场形象。</w:t>
      </w:r>
    </w:p>
    <w:p>
      <w:pPr>
        <w:spacing w:line="240" w:lineRule="auto" w:before="1"/>
        <w:rPr>
          <w:rFonts w:ascii="宋体" w:hAnsi="宋体" w:cs="宋体" w:eastAsia="宋体" w:hint="default"/>
          <w:sz w:val="22"/>
          <w:szCs w:val="22"/>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706"/>
        <w:gridCol w:w="1377"/>
        <w:gridCol w:w="1741"/>
        <w:gridCol w:w="1445"/>
        <w:gridCol w:w="1598"/>
      </w:tblGrid>
      <w:tr>
        <w:trPr>
          <w:trHeight w:val="206"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3083"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3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4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6" w:type="dxa"/>
            <w:vMerge/>
            <w:tcBorders>
              <w:left w:val="single" w:sz="4" w:space="0" w:color="000000"/>
              <w:bottom w:val="single" w:sz="4" w:space="0" w:color="000000"/>
              <w:right w:val="single" w:sz="4" w:space="0" w:color="000000"/>
            </w:tcBorders>
            <w:shd w:val="clear" w:color="auto" w:fill="D2D2D2"/>
          </w:tcPr>
          <w:p>
            <w:pPr/>
          </w:p>
        </w:tc>
        <w:tc>
          <w:tcPr>
            <w:tcW w:w="1377" w:type="dxa"/>
            <w:vMerge/>
            <w:tcBorders>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1445"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6"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1,569,717,788.81</w:t>
            </w:r>
          </w:p>
        </w:tc>
        <w:tc>
          <w:tcPr>
            <w:tcW w:w="1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100%</w:t>
            </w:r>
          </w:p>
        </w:tc>
        <w:tc>
          <w:tcPr>
            <w:tcW w:w="174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982,146,999.04</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59.83%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1,569,717,788.81</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982,146,999.04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59.83%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706"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数据智能行业应用</w:t>
            </w:r>
            <w:r>
              <w:rPr>
                <w:rFonts w:ascii="Times New Roman" w:hAnsi="Times New Roman" w:cs="Times New Roman" w:eastAsia="Times New Roman" w:hint="default"/>
                <w:sz w:val="18"/>
                <w:szCs w:val="18"/>
              </w:rPr>
              <w:t>- </w:t>
            </w:r>
            <w:r>
              <w:rPr>
                <w:rFonts w:ascii="宋体" w:hAnsi="宋体" w:cs="宋体" w:eastAsia="宋体" w:hint="default"/>
                <w:sz w:val="18"/>
                <w:szCs w:val="18"/>
              </w:rPr>
              <w:t>行业应用软件</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543,259,781.25</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34.61%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452,193,376.49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20.14%</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173,086,134.30</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11.03%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261,799,942.70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-33.89%</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702"/>
        <w:gridCol w:w="1702"/>
        <w:gridCol w:w="1380"/>
        <w:gridCol w:w="1738"/>
        <w:gridCol w:w="1453"/>
        <w:gridCol w:w="1594"/>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数据智能行业应用</w:t>
            </w:r>
            <w:r>
              <w:rPr>
                <w:rFonts w:ascii="Times New Roman" w:hAnsi="Times New Roman" w:cs="Times New Roman" w:eastAsia="Times New Roman" w:hint="default"/>
                <w:sz w:val="18"/>
                <w:szCs w:val="18"/>
              </w:rPr>
              <w:t>- </w:t>
            </w:r>
            <w:r>
              <w:rPr>
                <w:rFonts w:ascii="宋体" w:hAnsi="宋体" w:cs="宋体" w:eastAsia="宋体" w:hint="default"/>
                <w:sz w:val="18"/>
                <w:szCs w:val="18"/>
              </w:rPr>
              <w:t>信息技术服务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47,411,945.97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18,497,354.60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数据智能平台运营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数据智能平台运营</w:t>
            </w:r>
            <w:r>
              <w:rPr>
                <w:rFonts w:ascii="Times New Roman" w:hAnsi="Times New Roman" w:cs="Times New Roman" w:eastAsia="Times New Roman" w:hint="default"/>
                <w:sz w:val="18"/>
                <w:szCs w:val="18"/>
              </w:rPr>
              <w:t>- </w:t>
            </w:r>
            <w:r>
              <w:rPr>
                <w:rFonts w:ascii="宋体" w:hAnsi="宋体" w:cs="宋体" w:eastAsia="宋体" w:hint="default"/>
                <w:sz w:val="18"/>
                <w:szCs w:val="18"/>
              </w:rPr>
              <w:t>智慧物流云平台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620,422,908.95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249,656,325.25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智能软硬件产品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智能软硬件产品</w:t>
            </w:r>
            <w:r>
              <w:rPr>
                <w:rFonts w:ascii="Times New Roman" w:hAnsi="Times New Roman" w:cs="Times New Roman" w:eastAsia="Times New Roman" w:hint="default"/>
                <w:sz w:val="18"/>
                <w:szCs w:val="18"/>
              </w:rPr>
              <w:t>-</w:t>
            </w:r>
            <w:r>
              <w:rPr>
                <w:rFonts w:ascii="宋体" w:hAnsi="宋体" w:cs="宋体" w:eastAsia="宋体" w:hint="default"/>
                <w:sz w:val="18"/>
                <w:szCs w:val="18"/>
              </w:rPr>
              <w:t>智 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BMS</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185,537,018.34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11.82%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不含 港澳台</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1,484,576,313.14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912,021,766.84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62.78%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含港澳台</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85,141,475.67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70,125,232.20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9"/>
        <w:gridCol w:w="1008"/>
        <w:gridCol w:w="1013"/>
        <w:gridCol w:w="1010"/>
        <w:gridCol w:w="1003"/>
        <w:gridCol w:w="1006"/>
        <w:gridCol w:w="1001"/>
        <w:gridCol w:w="1004"/>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308,930,960.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384,855,242.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333,671,574.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542,260,010.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120,528,241.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183,806,162.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186,776,921.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491,035,673.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r>
        <w:trPr>
          <w:trHeight w:val="394"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vMerge/>
            <w:tcBorders>
              <w:left w:val="single" w:sz="10" w:space="0" w:color="D2D2D2"/>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r>
      <w:tr>
        <w:trPr>
          <w:trHeight w:val="713"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8,541,632.96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21,254,578.6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20,665,364.5</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68,384,567.6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521,813.53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6,324,833.36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13,033,009.8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28,981,085.2</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5</w:t>
            </w:r>
          </w:p>
        </w:tc>
      </w:tr>
    </w:tbl>
    <w:p>
      <w:pPr>
        <w:spacing w:line="360" w:lineRule="auto" w:before="49"/>
        <w:ind w:left="513" w:right="0" w:hanging="36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w:t>
      </w:r>
      <w:r>
        <w:rPr>
          <w:rFonts w:ascii="宋体" w:hAnsi="宋体" w:cs="宋体" w:eastAsia="宋体" w:hint="default"/>
          <w:spacing w:val="-2"/>
          <w:sz w:val="18"/>
          <w:szCs w:val="18"/>
        </w:rPr>
        <w:t>受公司客户性质影响，公司业务具有较为明显的季节性特点。公司数据智能行业应用客户主要为电信运营商以及政府部</w:t>
      </w:r>
    </w:p>
    <w:p>
      <w:pPr>
        <w:spacing w:line="222"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门、大型国有企事业单位，上述客户均执行严格的预算管理制度和采购审批制度，通常公司该类业务收入及回款主要集中在</w:t>
      </w:r>
    </w:p>
    <w:p>
      <w:pPr>
        <w:spacing w:line="314" w:lineRule="auto" w:before="76"/>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下半年。公司智能软硬件产品客户主要是新能源汽车厂商，受我国新能源汽车产业政策和销售季节性影响，第一季度客户通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常在制定年度预算和确认全年采购计划，通常下半年是销售旺季，智能</w:t>
      </w:r>
      <w:r>
        <w:rPr>
          <w:rFonts w:ascii="Times New Roman" w:hAnsi="Times New Roman" w:cs="Times New Roman" w:eastAsia="Times New Roman" w:hint="default"/>
          <w:sz w:val="18"/>
          <w:szCs w:val="18"/>
        </w:rPr>
        <w:t>BMS</w:t>
      </w:r>
      <w:r>
        <w:rPr>
          <w:rFonts w:ascii="宋体" w:hAnsi="宋体" w:cs="宋体" w:eastAsia="宋体" w:hint="default"/>
          <w:sz w:val="18"/>
          <w:szCs w:val="18"/>
        </w:rPr>
        <w:t>是新能源汽车核心部件，其销售受到下游整车</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2"/>
          <w:sz w:val="18"/>
          <w:szCs w:val="18"/>
        </w:rPr>
        <w:t>行业的影响呈现出一定的季节性特征，通常上半年销售收入较下半年少。由于公司的人力成本、差旅费用和研发投入等支出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在年度内发生较为均衡，从而导致公司净利润的季节性波动明显，上半年净利润一般明显少于下半年。公司业绩季节性波动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会导致公司收入、经营性现金流等财务指标在各季度间出现较大的波动，公司业绩存在季节性波动的风险。</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before="44"/>
        <w:ind w:left="153"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3"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419"/>
        <w:gridCol w:w="1073"/>
        <w:gridCol w:w="1366"/>
        <w:gridCol w:w="1368"/>
        <w:gridCol w:w="1371"/>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303,245,775.80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122,215,129.28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460,512,085.72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286,361,710.64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419"/>
        <w:gridCol w:w="1073"/>
        <w:gridCol w:w="1366"/>
        <w:gridCol w:w="1368"/>
        <w:gridCol w:w="1371"/>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620,422,908.95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584,852,150.09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智能汽车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185,537,018.34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110,754,677.74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数据智能行业应用</w:t>
            </w:r>
            <w:r>
              <w:rPr>
                <w:rFonts w:ascii="Times New Roman" w:hAnsi="Times New Roman" w:cs="Times New Roman" w:eastAsia="Times New Roman" w:hint="default"/>
                <w:sz w:val="18"/>
                <w:szCs w:val="18"/>
              </w:rPr>
              <w:t>- </w:t>
            </w:r>
            <w:r>
              <w:rPr>
                <w:rFonts w:ascii="宋体" w:hAnsi="宋体" w:cs="宋体" w:eastAsia="宋体" w:hint="default"/>
                <w:sz w:val="18"/>
                <w:szCs w:val="18"/>
              </w:rPr>
              <w:t>行业应用软件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543,259,781.25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232,067,904.23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173,086,134.30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151,310,697.07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数据智能行业应用</w:t>
            </w:r>
            <w:r>
              <w:rPr>
                <w:rFonts w:ascii="Times New Roman" w:hAnsi="Times New Roman" w:cs="Times New Roman" w:eastAsia="Times New Roman" w:hint="default"/>
                <w:sz w:val="18"/>
                <w:szCs w:val="18"/>
              </w:rPr>
              <w:t>- </w:t>
            </w:r>
            <w:r>
              <w:rPr>
                <w:rFonts w:ascii="宋体" w:hAnsi="宋体" w:cs="宋体" w:eastAsia="宋体" w:hint="default"/>
                <w:sz w:val="18"/>
                <w:szCs w:val="18"/>
              </w:rPr>
              <w:t>信息技术服务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47,411,945.97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25,198,238.63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数据智能平台运营</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数据智能平台运营</w:t>
            </w:r>
            <w:r>
              <w:rPr>
                <w:rFonts w:ascii="Times New Roman" w:hAnsi="Times New Roman" w:cs="Times New Roman" w:eastAsia="Times New Roman" w:hint="default"/>
                <w:sz w:val="18"/>
                <w:szCs w:val="18"/>
              </w:rPr>
              <w:t>- </w:t>
            </w:r>
            <w:r>
              <w:rPr>
                <w:rFonts w:ascii="宋体" w:hAnsi="宋体" w:cs="宋体" w:eastAsia="宋体" w:hint="default"/>
                <w:sz w:val="18"/>
                <w:szCs w:val="18"/>
              </w:rPr>
              <w:t>智慧物流云平台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620,422,908.95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584,852,150.09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智能软硬件产品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智能软硬件产品</w:t>
            </w:r>
            <w:r>
              <w:rPr>
                <w:rFonts w:ascii="Times New Roman" w:hAnsi="Times New Roman" w:cs="Times New Roman" w:eastAsia="Times New Roman" w:hint="default"/>
                <w:sz w:val="18"/>
                <w:szCs w:val="18"/>
              </w:rPr>
              <w:t>-</w:t>
            </w:r>
            <w:r>
              <w:rPr>
                <w:rFonts w:ascii="宋体" w:hAnsi="宋体" w:cs="宋体" w:eastAsia="宋体" w:hint="default"/>
                <w:sz w:val="18"/>
                <w:szCs w:val="18"/>
              </w:rPr>
              <w:t>智 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BMS</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185,537,018.34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110,754,677.74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不含 港澳台</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1,484,576,313.14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1,058,289,692.45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4"/>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含港澳 台</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85,141,475.67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45,893,975.31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0"/>
        <w:gridCol w:w="1275"/>
        <w:gridCol w:w="1419"/>
        <w:gridCol w:w="1418"/>
        <w:gridCol w:w="1275"/>
        <w:gridCol w:w="1418"/>
        <w:gridCol w:w="1066"/>
      </w:tblGrid>
      <w:tr>
        <w:trPr>
          <w:trHeight w:val="402" w:hRule="exact"/>
        </w:trPr>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3" w:right="0"/>
              <w:jc w:val="left"/>
              <w:rPr>
                <w:rFonts w:ascii="Times New Roman" w:hAnsi="Times New Roman" w:cs="Times New Roman" w:eastAsia="Times New Roman" w:hint="default"/>
                <w:sz w:val="18"/>
                <w:szCs w:val="18"/>
              </w:rPr>
            </w:pPr>
            <w:r>
              <w:rPr>
                <w:rFonts w:ascii="Times New Roman"/>
                <w:sz w:val="18"/>
              </w:rPr>
              <w:t>905,183,219.57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0" w:right="0"/>
              <w:jc w:val="left"/>
              <w:rPr>
                <w:rFonts w:ascii="Times New Roman" w:hAnsi="Times New Roman" w:cs="Times New Roman" w:eastAsia="Times New Roman" w:hint="default"/>
                <w:sz w:val="18"/>
                <w:szCs w:val="18"/>
              </w:rPr>
            </w:pPr>
            <w:r>
              <w:rPr>
                <w:rFonts w:ascii="Times New Roman"/>
                <w:sz w:val="18"/>
              </w:rPr>
              <w:t>81.98%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500,084,612.20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81.01%</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9"/>
        <w:gridCol w:w="1418"/>
        <w:gridCol w:w="1275"/>
        <w:gridCol w:w="1418"/>
        <w:gridCol w:w="106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163,421,480.85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144,417,226.45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35,578,967.34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center"/>
              <w:rPr>
                <w:rFonts w:ascii="Times New Roman" w:hAnsi="Times New Roman" w:cs="Times New Roman" w:eastAsia="Times New Roman" w:hint="default"/>
                <w:sz w:val="18"/>
                <w:szCs w:val="18"/>
              </w:rPr>
            </w:pPr>
            <w:r>
              <w:rPr>
                <w:rFonts w:ascii="Times New Roman"/>
                <w:sz w:val="18"/>
              </w:rPr>
              <w:t>19,662,553.43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80.95%</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9"/>
        <w:gridCol w:w="1418"/>
        <w:gridCol w:w="1275"/>
        <w:gridCol w:w="1418"/>
        <w:gridCol w:w="106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219,537,108.62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270,719,271.60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-18.91%</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163,421,480.85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144,417,226.45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25,618,250.45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center"/>
              <w:rPr>
                <w:rFonts w:ascii="Times New Roman" w:hAnsi="Times New Roman" w:cs="Times New Roman" w:eastAsia="Times New Roman" w:hint="default"/>
                <w:sz w:val="18"/>
                <w:szCs w:val="18"/>
              </w:rPr>
            </w:pPr>
            <w:r>
              <w:rPr>
                <w:rFonts w:ascii="Times New Roman"/>
                <w:sz w:val="18"/>
              </w:rPr>
              <w:t>19,662,553.43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30.29%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智慧物流云平台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584,852,150.09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229,365,340.60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BMS</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材料及劳务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100,793,960.85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9.13%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BMS</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9,960,716.89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357" w:lineRule="auto" w:before="49"/>
        <w:ind w:left="153" w:right="2270"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1"/>
          <w:sz w:val="18"/>
          <w:szCs w:val="18"/>
        </w:rPr>
        <w:t>智能</w:t>
      </w:r>
      <w:r>
        <w:rPr>
          <w:rFonts w:ascii="Times New Roman" w:hAnsi="Times New Roman" w:cs="Times New Roman" w:eastAsia="Times New Roman" w:hint="default"/>
          <w:spacing w:val="-1"/>
          <w:sz w:val="18"/>
          <w:szCs w:val="18"/>
        </w:rPr>
        <w:t>BMS</w:t>
      </w:r>
      <w:r>
        <w:rPr>
          <w:rFonts w:ascii="宋体" w:hAnsi="宋体" w:cs="宋体" w:eastAsia="宋体" w:hint="default"/>
          <w:spacing w:val="-1"/>
          <w:sz w:val="18"/>
          <w:szCs w:val="18"/>
        </w:rPr>
        <w:t>自本报告期初纳入合并范围，故</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年智能</w:t>
      </w:r>
      <w:r>
        <w:rPr>
          <w:rFonts w:ascii="Times New Roman" w:hAnsi="Times New Roman" w:cs="Times New Roman" w:eastAsia="Times New Roman" w:hint="default"/>
          <w:spacing w:val="-1"/>
          <w:sz w:val="18"/>
          <w:szCs w:val="18"/>
        </w:rPr>
        <w:t>BMS</w:t>
      </w:r>
      <w:r>
        <w:rPr>
          <w:rFonts w:ascii="宋体" w:hAnsi="宋体" w:cs="宋体" w:eastAsia="宋体" w:hint="default"/>
          <w:spacing w:val="-1"/>
          <w:sz w:val="18"/>
          <w:szCs w:val="18"/>
        </w:rPr>
        <w:t>营业成本无可比数据。</w:t>
      </w:r>
    </w:p>
    <w:p>
      <w:pPr>
        <w:spacing w:line="338" w:lineRule="auto" w:before="6"/>
        <w:ind w:left="153"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其中：材料及劳务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219,537,108.62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270,719,271.60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7"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163,421,480.85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144,417,226.45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25,618,250.45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19,662,553.43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数据智能平台运营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其中：材料及劳务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584,852,150.09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229,365,340.60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智能软硬件产品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其中：材料及劳务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100,793,960.85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9,960,716.89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73" w:lineRule="auto" w:before="83"/>
        <w:ind w:right="1133" w:firstLine="420"/>
        <w:jc w:val="left"/>
        <w:rPr>
          <w:rFonts w:ascii="宋体" w:hAnsi="宋体" w:cs="宋体" w:eastAsia="宋体" w:hint="default"/>
        </w:rPr>
      </w:pPr>
      <w:r>
        <w:rPr>
          <w:spacing w:val="-2"/>
        </w:rPr>
        <w:t>报告期内，公司新设全资子公司国创数字，自成立之日起纳入公司合并范围；公司全资子公司国创恒</w:t>
      </w:r>
      <w:r>
        <w:rPr>
          <w:w w:val="100"/>
        </w:rPr>
        <w:t> </w:t>
      </w:r>
      <w:r>
        <w:rPr/>
        <w:t>星及智能科技已办理完毕注销登记手续，将不再纳入公司合并范围。</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33" w:firstLine="420"/>
        <w:jc w:val="left"/>
      </w:pPr>
      <w:r>
        <w:rPr>
          <w:spacing w:val="-2"/>
        </w:rPr>
        <w:t>公司于</w:t>
      </w:r>
      <w:r>
        <w:rPr>
          <w:rFonts w:ascii="Times New Roman" w:hAnsi="Times New Roman" w:cs="Times New Roman" w:eastAsia="Times New Roman" w:hint="default"/>
          <w:spacing w:val="-2"/>
        </w:rPr>
        <w:t>2018</w:t>
      </w:r>
      <w:r>
        <w:rPr>
          <w:spacing w:val="-2"/>
        </w:rPr>
        <w:t>年完成并购贵博新能的重大资产重组事项，贵博新能成为公司全资子公司，公司新增了智</w:t>
      </w:r>
      <w:r>
        <w:rPr>
          <w:w w:val="100"/>
        </w:rPr>
        <w:t> </w:t>
      </w:r>
      <w:r>
        <w:rPr/>
        <w:t>能</w:t>
      </w:r>
      <w:r>
        <w:rPr>
          <w:rFonts w:ascii="Times New Roman" w:hAnsi="Times New Roman" w:cs="Times New Roman" w:eastAsia="Times New Roman" w:hint="default"/>
        </w:rPr>
        <w:t>BMS</w:t>
      </w:r>
      <w:r>
        <w:rPr/>
        <w:t>产品。贵博新能的经营业绩自本报告期初纳入合并范围。</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507,001,849.16</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32.30%</w:t>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114,822,465.67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113,178,520.38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105,019,155.52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93,104,982.61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80,876,724.98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507,001,849.16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32.30%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368,209,304.53</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26.46%</w:t>
            </w:r>
          </w:p>
        </w:tc>
      </w:tr>
      <w:tr>
        <w:trPr>
          <w:trHeight w:val="71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269,347,681.07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48,117,962.08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20,206,273.88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15,359,353.18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15,178,034.32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368,209,304.53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9"/>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88,404,641.88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74,345,798.36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91,964,034.66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69,667,965.10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32.00%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主要系人力成本增长及贵博新能自 报告期初并表所致</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-882,819.61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1,753,112.22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主要系未确认融资收益摊销所致</w:t>
            </w: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179,176,351.75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134,627,976.63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33.09%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主要系研发持续投入及贵博新能自 报告期初并表所致</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6"/>
          <w:szCs w:val="16"/>
        </w:rPr>
      </w:pPr>
    </w:p>
    <w:p>
      <w:pPr>
        <w:spacing w:line="309" w:lineRule="auto" w:before="0"/>
        <w:ind w:left="153" w:right="0" w:firstLine="432"/>
        <w:jc w:val="left"/>
        <w:rPr>
          <w:rFonts w:ascii="宋体" w:hAnsi="宋体" w:cs="宋体" w:eastAsia="宋体" w:hint="default"/>
          <w:sz w:val="18"/>
          <w:szCs w:val="18"/>
        </w:rPr>
      </w:pPr>
      <w:r>
        <w:rPr>
          <w:rFonts w:ascii="宋体" w:hAnsi="宋体" w:cs="宋体" w:eastAsia="宋体" w:hint="default"/>
          <w:sz w:val="18"/>
          <w:szCs w:val="18"/>
        </w:rPr>
        <w:t>报告期内，公司继续依托总部、业务群、业务单元三层架构的研发体系，重点聚焦数据智能核心技术的研发和应用。 </w:t>
      </w:r>
      <w:r>
        <w:rPr>
          <w:rFonts w:ascii="宋体" w:hAnsi="宋体" w:cs="宋体" w:eastAsia="宋体" w:hint="default"/>
          <w:spacing w:val="-2"/>
          <w:sz w:val="18"/>
          <w:szCs w:val="18"/>
        </w:rPr>
        <w:t>在总部层面，积极研发数据知识挖掘、高可信软件等共性数据智能技术；在业务群层面，积极优化完善国创天演</w:t>
      </w:r>
      <w:r>
        <w:rPr>
          <w:rFonts w:ascii="Times New Roman" w:hAnsi="Times New Roman" w:cs="Times New Roman" w:eastAsia="Times New Roman" w:hint="default"/>
          <w:spacing w:val="-2"/>
          <w:sz w:val="18"/>
          <w:szCs w:val="18"/>
        </w:rPr>
        <w:t>PaaS</w:t>
      </w:r>
      <w:r>
        <w:rPr>
          <w:rFonts w:ascii="宋体" w:hAnsi="宋体" w:cs="宋体" w:eastAsia="宋体" w:hint="default"/>
          <w:spacing w:val="-2"/>
          <w:sz w:val="18"/>
          <w:szCs w:val="18"/>
        </w:rPr>
        <w:t>云平台</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等通用自主技术平台；在业务单元层面，面向行业领域应用，数据智能行业应用板块开展了支持故障预测和自愈的电信智能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客服系统、交通车辆特征提取智能识别监管系统等项目研发，完成了大数据驱动的智能应用软件的研发；数据智能平台运营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板块继续优化迭代智慧物流云平台；智能软硬件产品板块大力研发智能汽车动力电源系统、基于</w:t>
      </w:r>
      <w:r>
        <w:rPr>
          <w:rFonts w:ascii="Times New Roman" w:hAnsi="Times New Roman" w:cs="Times New Roman" w:eastAsia="Times New Roman" w:hint="default"/>
          <w:sz w:val="18"/>
          <w:szCs w:val="18"/>
        </w:rPr>
        <w:t>ISO26262</w:t>
      </w:r>
      <w:r>
        <w:rPr>
          <w:rFonts w:ascii="宋体" w:hAnsi="宋体" w:cs="宋体" w:eastAsia="宋体" w:hint="default"/>
          <w:sz w:val="18"/>
          <w:szCs w:val="18"/>
        </w:rPr>
        <w:t>功能安全的新一 代电池管理系统等。报告期内，公司主要研发项目具体情况见下表：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spacing w:line="633" w:lineRule="exact"/>
        <w:ind w:left="607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71.7pt;height:31.7pt;mso-position-horizontal-relative:char;mso-position-vertical-relative:line" coordorigin="0,0" coordsize="1434,634">
            <v:group style="position:absolute;left:0;top:0;width:1434;height:634" coordorigin="0,0" coordsize="1434,634">
              <v:shape style="position:absolute;left:0;top:0;width:1434;height:634" coordorigin="0,0" coordsize="1434,634" path="m0,634l1433,634,1433,0,0,0,0,634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before="44"/>
        <w:ind w:left="0" w:right="1064" w:firstLine="0"/>
        <w:jc w:val="right"/>
        <w:rPr>
          <w:rFonts w:ascii="宋体" w:hAnsi="宋体" w:cs="宋体" w:eastAsia="宋体" w:hint="default"/>
          <w:sz w:val="18"/>
          <w:szCs w:val="18"/>
        </w:rPr>
      </w:pPr>
      <w:r>
        <w:rPr/>
        <w:pict>
          <v:shape style="position:absolute;margin-left:347.054016pt;margin-top:-62.438278pt;width:77.150pt;height:31.7pt;mso-position-horizontal-relative:page;mso-position-vertical-relative:paragraph;z-index:-11586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46.928009pt;margin-top:1.79172pt;width:77.25pt;height:94.1pt;mso-position-horizontal-relative:page;mso-position-vertical-relative:paragraph;z-index:-11585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51.789978pt;margin-top:1.79172pt;width:72.9pt;height:94.1pt;mso-position-horizontal-relative:page;mso-position-vertical-relative:paragraph;z-index:1288" coordorigin="7036,36" coordsize="1458,1882">
            <v:group style="position:absolute;left:7050;top:36;width:1434;height:1882" coordorigin="7050,36" coordsize="1434,1882">
              <v:shape style="position:absolute;left:7050;top:36;width:1434;height:1882" coordorigin="7050,36" coordsize="1434,1882" path="m7050,1917l8483,1917,8483,36,7050,36,7050,1917xe" filled="true" fillcolor="#ffffff" stroked="false">
                <v:path arrowok="t"/>
                <v:fill type="solid"/>
              </v:shape>
            </v:group>
            <v:group style="position:absolute;left:7041;top:1913;width:1448;height:2" coordorigin="7041,1913" coordsize="1448,2">
              <v:shape style="position:absolute;left:7041;top:1913;width:1448;height:2" coordorigin="7041,1913" coordsize="1448,0" path="m7041,1913l8488,1913e" filled="false" stroked="true" strokeweight=".48004pt" strokecolor="#ffffff">
                <v:path arrowok="t"/>
              </v:shape>
            </v:group>
            <w10:wrap type="none"/>
          </v:group>
        </w:pict>
      </w:r>
      <w:r>
        <w:rPr/>
        <w:pict>
          <v:shape style="position:absolute;margin-left:56.304001pt;margin-top:-192.058273pt;width:484.1pt;height:337.2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4499"/>
                    <w:gridCol w:w="1448"/>
                    <w:gridCol w:w="2304"/>
                  </w:tblGrid>
                  <w:tr>
                    <w:trPr>
                      <w:trHeight w:val="332" w:hRule="exact"/>
                    </w:trPr>
                    <w:tc>
                      <w:tcPr>
                        <w:tcW w:w="1409"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499"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拟达目标</w:t>
                        </w:r>
                        <w:r>
                          <w:rPr>
                            <w:rFonts w:ascii="宋体" w:hAnsi="宋体" w:cs="宋体" w:eastAsia="宋体" w:hint="default"/>
                            <w:sz w:val="18"/>
                            <w:szCs w:val="18"/>
                          </w:rPr>
                        </w:r>
                      </w:p>
                    </w:tc>
                    <w:tc>
                      <w:tcPr>
                        <w:tcW w:w="1448"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研发进度</w:t>
                        </w:r>
                        <w:r>
                          <w:rPr>
                            <w:rFonts w:ascii="宋体" w:hAnsi="宋体" w:cs="宋体" w:eastAsia="宋体" w:hint="default"/>
                            <w:sz w:val="18"/>
                            <w:szCs w:val="18"/>
                          </w:rPr>
                        </w:r>
                      </w:p>
                    </w:tc>
                    <w:tc>
                      <w:tcPr>
                        <w:tcW w:w="2304"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62" w:right="0"/>
                          <w:jc w:val="left"/>
                          <w:rPr>
                            <w:rFonts w:ascii="宋体" w:hAnsi="宋体" w:cs="宋体" w:eastAsia="宋体" w:hint="default"/>
                            <w:sz w:val="18"/>
                            <w:szCs w:val="18"/>
                          </w:rPr>
                        </w:pPr>
                        <w:r>
                          <w:rPr>
                            <w:rFonts w:ascii="宋体" w:hAnsi="宋体" w:cs="宋体" w:eastAsia="宋体" w:hint="default"/>
                            <w:b/>
                            <w:bCs/>
                            <w:sz w:val="18"/>
                            <w:szCs w:val="18"/>
                          </w:rPr>
                          <w:t>预计对公司未来发展的影响</w:t>
                        </w:r>
                        <w:r>
                          <w:rPr>
                            <w:rFonts w:ascii="宋体" w:hAnsi="宋体" w:cs="宋体" w:eastAsia="宋体" w:hint="default"/>
                            <w:sz w:val="18"/>
                            <w:szCs w:val="18"/>
                          </w:rPr>
                        </w:r>
                      </w:p>
                    </w:tc>
                  </w:tr>
                  <w:tr>
                    <w:trPr>
                      <w:trHeight w:val="1301"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数据知识挖掘</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4"/>
                          <w:ind w:left="2" w:right="0"/>
                          <w:jc w:val="both"/>
                          <w:rPr>
                            <w:rFonts w:ascii="宋体" w:hAnsi="宋体" w:cs="宋体" w:eastAsia="宋体" w:hint="default"/>
                            <w:sz w:val="18"/>
                            <w:szCs w:val="18"/>
                          </w:rPr>
                        </w:pPr>
                        <w:r>
                          <w:rPr>
                            <w:rFonts w:ascii="宋体" w:hAnsi="宋体" w:cs="宋体" w:eastAsia="宋体" w:hint="default"/>
                            <w:spacing w:val="-1"/>
                            <w:sz w:val="18"/>
                            <w:szCs w:val="18"/>
                          </w:rPr>
                          <w:t>重点研究多模态数据的完整、精准、高效的理解和知识挖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掘技术，以提供强大的数据资源和智能服务搜索能力，打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造集数据、算法、算力一体化的数据智能平台</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研发中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4"/>
                          <w:ind w:left="4" w:right="-1"/>
                          <w:jc w:val="both"/>
                          <w:rPr>
                            <w:rFonts w:ascii="宋体" w:hAnsi="宋体" w:cs="宋体" w:eastAsia="宋体" w:hint="default"/>
                            <w:sz w:val="18"/>
                            <w:szCs w:val="18"/>
                          </w:rPr>
                        </w:pPr>
                        <w:r>
                          <w:rPr>
                            <w:rFonts w:ascii="宋体" w:hAnsi="宋体" w:cs="宋体" w:eastAsia="宋体" w:hint="default"/>
                            <w:spacing w:val="9"/>
                            <w:sz w:val="18"/>
                            <w:szCs w:val="18"/>
                          </w:rPr>
                          <w:t>是公司数据智能平台的重要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共性技术，推动数据智能在行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业及领域的应用，提高公司竞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争力</w:t>
                        </w:r>
                      </w:p>
                    </w:tc>
                  </w:tr>
                  <w:tr>
                    <w:trPr>
                      <w:trHeight w:val="159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高可信软件</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2" w:right="-1"/>
                          <w:jc w:val="left"/>
                          <w:rPr>
                            <w:rFonts w:ascii="宋体" w:hAnsi="宋体" w:cs="宋体" w:eastAsia="宋体" w:hint="default"/>
                            <w:sz w:val="18"/>
                            <w:szCs w:val="18"/>
                          </w:rPr>
                        </w:pPr>
                        <w:r>
                          <w:rPr>
                            <w:rFonts w:ascii="宋体" w:hAnsi="宋体" w:cs="宋体" w:eastAsia="宋体" w:hint="default"/>
                            <w:spacing w:val="-1"/>
                            <w:sz w:val="18"/>
                            <w:szCs w:val="18"/>
                          </w:rPr>
                          <w:t>针对深度学习等模型，研究可信和形式化验证方法，运用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提高软件可信度的理论和技术，自主研发国际领先的高可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信程序分析和程序验证产品，开展</w:t>
                        </w:r>
                        <w:r>
                          <w:rPr>
                            <w:rFonts w:ascii="Times New Roman" w:hAnsi="Times New Roman" w:cs="Times New Roman" w:eastAsia="Times New Roman" w:hint="default"/>
                            <w:sz w:val="18"/>
                            <w:szCs w:val="18"/>
                          </w:rPr>
                          <w:t>C</w:t>
                        </w:r>
                        <w:r>
                          <w:rPr>
                            <w:rFonts w:ascii="宋体" w:hAnsi="宋体" w:cs="宋体" w:eastAsia="宋体" w:hint="default"/>
                            <w:sz w:val="18"/>
                            <w:szCs w:val="18"/>
                          </w:rPr>
                          <w:t>程序的分析与验证，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嵌入式软件、系统软件的验证，关键领域智能软件的研发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实现高可信软件智能验证，为机器编程打下基础</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程序分析工具基 </w:t>
                        </w:r>
                        <w:r>
                          <w:rPr>
                            <w:rFonts w:ascii="宋体" w:hAnsi="宋体" w:cs="宋体" w:eastAsia="宋体" w:hint="default"/>
                            <w:spacing w:val="-2"/>
                            <w:sz w:val="18"/>
                            <w:szCs w:val="18"/>
                          </w:rPr>
                          <w:t>本完成，验证工具</w:t>
                        </w:r>
                        <w:r>
                          <w:rPr>
                            <w:rFonts w:ascii="宋体" w:hAnsi="宋体" w:cs="宋体" w:eastAsia="宋体" w:hint="default"/>
                            <w:sz w:val="18"/>
                            <w:szCs w:val="18"/>
                          </w:rPr>
                          <w:t> 研发中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both"/>
                          <w:rPr>
                            <w:rFonts w:ascii="宋体" w:hAnsi="宋体" w:cs="宋体" w:eastAsia="宋体" w:hint="default"/>
                            <w:sz w:val="18"/>
                            <w:szCs w:val="18"/>
                          </w:rPr>
                        </w:pPr>
                        <w:r>
                          <w:rPr>
                            <w:rFonts w:ascii="宋体" w:hAnsi="宋体" w:cs="宋体" w:eastAsia="宋体" w:hint="default"/>
                            <w:spacing w:val="-5"/>
                            <w:sz w:val="18"/>
                            <w:szCs w:val="18"/>
                          </w:rPr>
                          <w:t>是国际领先的原创技术，致力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于高可信软件集成开发平台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及验证工具的研发，在人工智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能、航天、核电、军事、医疗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等关键领域开展软件验证</w:t>
                        </w:r>
                      </w:p>
                    </w:tc>
                  </w:tr>
                  <w:tr>
                    <w:trPr>
                      <w:trHeight w:val="2533"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518" w:right="62" w:hanging="452"/>
                          <w:jc w:val="left"/>
                          <w:rPr>
                            <w:rFonts w:ascii="宋体" w:hAnsi="宋体" w:cs="宋体" w:eastAsia="宋体" w:hint="default"/>
                            <w:sz w:val="18"/>
                            <w:szCs w:val="18"/>
                          </w:rPr>
                        </w:pPr>
                        <w:r>
                          <w:rPr>
                            <w:rFonts w:ascii="宋体" w:hAnsi="宋体" w:cs="宋体" w:eastAsia="宋体" w:hint="default"/>
                            <w:sz w:val="18"/>
                            <w:szCs w:val="18"/>
                          </w:rPr>
                          <w:t>国创天演</w:t>
                        </w:r>
                        <w:r>
                          <w:rPr>
                            <w:rFonts w:ascii="Times New Roman" w:hAnsi="Times New Roman" w:cs="Times New Roman" w:eastAsia="Times New Roman" w:hint="default"/>
                            <w:sz w:val="18"/>
                            <w:szCs w:val="18"/>
                          </w:rPr>
                          <w:t>PaaS</w:t>
                        </w:r>
                        <w:r>
                          <w:rPr>
                            <w:rFonts w:ascii="宋体" w:hAnsi="宋体" w:cs="宋体" w:eastAsia="宋体" w:hint="default"/>
                            <w:sz w:val="18"/>
                            <w:szCs w:val="18"/>
                          </w:rPr>
                          <w:t>云 平台</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项目基于数据智能技术，在</w:t>
                        </w:r>
                        <w:r>
                          <w:rPr>
                            <w:rFonts w:ascii="Times New Roman" w:hAnsi="Times New Roman" w:cs="Times New Roman" w:eastAsia="Times New Roman" w:hint="default"/>
                            <w:sz w:val="18"/>
                            <w:szCs w:val="18"/>
                          </w:rPr>
                          <w:t>IaaS</w:t>
                        </w:r>
                        <w:r>
                          <w:rPr>
                            <w:rFonts w:ascii="宋体" w:hAnsi="宋体" w:cs="宋体" w:eastAsia="宋体" w:hint="default"/>
                            <w:sz w:val="18"/>
                            <w:szCs w:val="18"/>
                          </w:rPr>
                          <w:t>、</w:t>
                        </w:r>
                        <w:r>
                          <w:rPr>
                            <w:rFonts w:ascii="Times New Roman" w:hAnsi="Times New Roman" w:cs="Times New Roman" w:eastAsia="Times New Roman" w:hint="default"/>
                            <w:sz w:val="18"/>
                            <w:szCs w:val="18"/>
                          </w:rPr>
                          <w:t>PaaS</w:t>
                        </w:r>
                        <w:r>
                          <w:rPr>
                            <w:rFonts w:ascii="宋体" w:hAnsi="宋体" w:cs="宋体" w:eastAsia="宋体" w:hint="default"/>
                            <w:sz w:val="18"/>
                            <w:szCs w:val="18"/>
                          </w:rPr>
                          <w:t>、</w:t>
                        </w:r>
                        <w:r>
                          <w:rPr>
                            <w:rFonts w:ascii="Times New Roman" w:hAnsi="Times New Roman" w:cs="Times New Roman" w:eastAsia="Times New Roman" w:hint="default"/>
                            <w:sz w:val="18"/>
                            <w:szCs w:val="18"/>
                          </w:rPr>
                          <w:t>SaaS</w:t>
                        </w:r>
                        <w:r>
                          <w:rPr>
                            <w:rFonts w:ascii="宋体" w:hAnsi="宋体" w:cs="宋体" w:eastAsia="宋体" w:hint="default"/>
                            <w:sz w:val="18"/>
                            <w:szCs w:val="18"/>
                          </w:rPr>
                          <w:t>云计算架构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基础之上，提供自主研发的容器云平台、智慧运维平台及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丰富的业务组件和中间件，支持对微服务的全面治理以及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生态化的能力开放，平台基于</w:t>
                        </w:r>
                        <w:r>
                          <w:rPr>
                            <w:rFonts w:ascii="Times New Roman" w:hAnsi="Times New Roman" w:cs="Times New Roman" w:eastAsia="Times New Roman" w:hint="default"/>
                            <w:spacing w:val="-3"/>
                            <w:sz w:val="18"/>
                            <w:szCs w:val="18"/>
                          </w:rPr>
                          <w:t>DevOps</w:t>
                        </w:r>
                        <w:r>
                          <w:rPr>
                            <w:rFonts w:ascii="宋体" w:hAnsi="宋体" w:cs="宋体" w:eastAsia="宋体" w:hint="default"/>
                            <w:spacing w:val="-3"/>
                            <w:sz w:val="18"/>
                            <w:szCs w:val="18"/>
                          </w:rPr>
                          <w:t>理念，运用自主先进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DevOps</w:t>
                        </w:r>
                        <w:r>
                          <w:rPr>
                            <w:rFonts w:ascii="宋体" w:hAnsi="宋体" w:cs="宋体" w:eastAsia="宋体" w:hint="default"/>
                            <w:spacing w:val="-3"/>
                            <w:sz w:val="18"/>
                            <w:szCs w:val="18"/>
                          </w:rPr>
                          <w:t>工具链，辅以规范的安全管理体系，全面实现产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品的云化和自动化。为企业软件研发与运维提供一站式解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决方案，实现高效开发、自动测试、一键部署、智能运维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更可帮助管理者进行全流程的实时透明管控</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68" w:right="-12" w:hanging="264"/>
                          <w:jc w:val="left"/>
                          <w:rPr>
                            <w:rFonts w:ascii="宋体" w:hAnsi="宋体" w:cs="宋体" w:eastAsia="宋体" w:hint="default"/>
                            <w:sz w:val="18"/>
                            <w:szCs w:val="18"/>
                          </w:rPr>
                        </w:pPr>
                        <w:r>
                          <w:rPr>
                            <w:rFonts w:ascii="宋体" w:hAnsi="宋体" w:cs="宋体" w:eastAsia="宋体" w:hint="default"/>
                            <w:sz w:val="18"/>
                            <w:szCs w:val="18"/>
                          </w:rPr>
                          <w:t>基本功能已实现， 持续优化中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pacing w:val="-5"/>
                            <w:sz w:val="18"/>
                            <w:szCs w:val="18"/>
                          </w:rPr>
                          <w:t>打造公司自主云平台，通过开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放共享提升公司产品开发效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率，加速推进在电信、能源 </w:t>
                        </w:r>
                        <w:r>
                          <w:rPr>
                            <w:rFonts w:ascii="宋体" w:hAnsi="宋体" w:cs="宋体" w:eastAsia="宋体" w:hint="default"/>
                            <w:spacing w:val="-5"/>
                            <w:sz w:val="18"/>
                            <w:szCs w:val="18"/>
                          </w:rPr>
                          <w:t>交通、金融、政府等行业领域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的云化应用，推动数字经济的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高质量发展</w:t>
                        </w:r>
                      </w:p>
                    </w:tc>
                  </w:tr>
                  <w:tr>
                    <w:trPr>
                      <w:trHeight w:val="972"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7" w:right="65"/>
                          <w:jc w:val="center"/>
                          <w:rPr>
                            <w:rFonts w:ascii="宋体" w:hAnsi="宋体" w:cs="宋体" w:eastAsia="宋体" w:hint="default"/>
                            <w:sz w:val="18"/>
                            <w:szCs w:val="18"/>
                          </w:rPr>
                        </w:pPr>
                        <w:r>
                          <w:rPr>
                            <w:rFonts w:ascii="宋体" w:hAnsi="宋体" w:cs="宋体" w:eastAsia="宋体" w:hint="default"/>
                            <w:sz w:val="18"/>
                            <w:szCs w:val="18"/>
                          </w:rPr>
                          <w:t>支持故障预测和 自愈的电信智能 客服系统</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9"/>
                          <w:jc w:val="both"/>
                          <w:rPr>
                            <w:rFonts w:ascii="宋体" w:hAnsi="宋体" w:cs="宋体" w:eastAsia="宋体" w:hint="default"/>
                            <w:sz w:val="18"/>
                            <w:szCs w:val="18"/>
                          </w:rPr>
                        </w:pPr>
                        <w:r>
                          <w:rPr>
                            <w:rFonts w:ascii="宋体" w:hAnsi="宋体" w:cs="宋体" w:eastAsia="宋体" w:hint="default"/>
                            <w:sz w:val="18"/>
                            <w:szCs w:val="18"/>
                          </w:rPr>
                          <w:t>项目通过大数据技术，将网络通信数据、服务接触数据、 用户消费数据等海量电信数据进行多维关联建模，智能提 取用户网络、服务、消费、投诉等特征向量，实时构建千</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研发中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是公司数据智能在运营商客 </w:t>
                        </w:r>
                        <w:r>
                          <w:rPr>
                            <w:rFonts w:ascii="宋体" w:hAnsi="宋体" w:cs="宋体" w:eastAsia="宋体" w:hint="default"/>
                            <w:spacing w:val="-5"/>
                            <w:sz w:val="18"/>
                            <w:szCs w:val="18"/>
                          </w:rPr>
                          <w:t>服领域的重要应用，对客服场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景做出的一次积极探索，通过</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1064" w:firstLine="0"/>
        <w:jc w:val="right"/>
        <w:rPr>
          <w:rFonts w:ascii="宋体" w:hAnsi="宋体" w:cs="宋体" w:eastAsia="宋体" w:hint="default"/>
          <w:sz w:val="18"/>
          <w:szCs w:val="18"/>
        </w:rPr>
      </w:pPr>
      <w:r>
        <w:rPr/>
        <w:pict>
          <v:shape style="position:absolute;margin-left:56.304001pt;margin-top:-128.228287pt;width:484.1pt;height:588.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4499"/>
                    <w:gridCol w:w="1448"/>
                    <w:gridCol w:w="2304"/>
                  </w:tblGrid>
                  <w:tr>
                    <w:trPr>
                      <w:trHeight w:val="1596" w:hRule="exact"/>
                    </w:trPr>
                    <w:tc>
                      <w:tcPr>
                        <w:tcW w:w="1409" w:type="dxa"/>
                        <w:tcBorders>
                          <w:top w:val="single" w:sz="6" w:space="0" w:color="000000"/>
                          <w:left w:val="single" w:sz="6" w:space="0" w:color="000000"/>
                          <w:bottom w:val="single" w:sz="6" w:space="0" w:color="000000"/>
                          <w:right w:val="single" w:sz="6" w:space="0" w:color="000000"/>
                        </w:tcBorders>
                      </w:tcPr>
                      <w:p>
                        <w:pP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jc w:val="both"/>
                          <w:rPr>
                            <w:rFonts w:ascii="宋体" w:hAnsi="宋体" w:cs="宋体" w:eastAsia="宋体" w:hint="default"/>
                            <w:sz w:val="18"/>
                            <w:szCs w:val="18"/>
                          </w:rPr>
                        </w:pPr>
                        <w:r>
                          <w:rPr>
                            <w:rFonts w:ascii="宋体" w:hAnsi="宋体" w:cs="宋体" w:eastAsia="宋体" w:hint="default"/>
                            <w:spacing w:val="-1"/>
                            <w:sz w:val="18"/>
                            <w:szCs w:val="18"/>
                          </w:rPr>
                          <w:t>人千面的用户画像，主动预测潜在的网络服务故障，并根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据预测模型识别影响范围和受众群体，再交由智能预处理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模块，使用深度学习算法自动给出解决方案和修复措施并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自动执行，从而实现故障自愈，规避用户投诉风险，提高</w:t>
                        </w:r>
                        <w:r>
                          <w:rPr>
                            <w:rFonts w:ascii="宋体" w:hAnsi="宋体" w:cs="宋体" w:eastAsia="宋体" w:hint="default"/>
                            <w:sz w:val="18"/>
                            <w:szCs w:val="18"/>
                          </w:rPr>
                          <w:t> 服务感知</w:t>
                        </w:r>
                      </w:p>
                    </w:tc>
                    <w:tc>
                      <w:tcPr>
                        <w:tcW w:w="1448"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技术变革推动客服智能化升 </w:t>
                        </w:r>
                        <w:r>
                          <w:rPr>
                            <w:rFonts w:ascii="宋体" w:hAnsi="宋体" w:cs="宋体" w:eastAsia="宋体" w:hint="default"/>
                            <w:spacing w:val="-5"/>
                            <w:sz w:val="18"/>
                            <w:szCs w:val="18"/>
                          </w:rPr>
                          <w:t>级，提高公司在该领域的影响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力和竞争力</w:t>
                        </w:r>
                      </w:p>
                    </w:tc>
                  </w:tr>
                  <w:tr>
                    <w:trPr>
                      <w:trHeight w:val="2218"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7" w:right="65"/>
                          <w:jc w:val="center"/>
                          <w:rPr>
                            <w:rFonts w:ascii="宋体" w:hAnsi="宋体" w:cs="宋体" w:eastAsia="宋体" w:hint="default"/>
                            <w:sz w:val="18"/>
                            <w:szCs w:val="18"/>
                          </w:rPr>
                        </w:pPr>
                        <w:r>
                          <w:rPr>
                            <w:rFonts w:ascii="宋体" w:hAnsi="宋体" w:cs="宋体" w:eastAsia="宋体" w:hint="default"/>
                            <w:sz w:val="18"/>
                            <w:szCs w:val="18"/>
                          </w:rPr>
                          <w:t>交通车辆特征提 取智能识别监管 系统</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9"/>
                          <w:jc w:val="both"/>
                          <w:rPr>
                            <w:rFonts w:ascii="宋体" w:hAnsi="宋体" w:cs="宋体" w:eastAsia="宋体" w:hint="default"/>
                            <w:sz w:val="18"/>
                            <w:szCs w:val="18"/>
                          </w:rPr>
                        </w:pPr>
                        <w:r>
                          <w:rPr>
                            <w:rFonts w:ascii="宋体" w:hAnsi="宋体" w:cs="宋体" w:eastAsia="宋体" w:hint="default"/>
                            <w:sz w:val="18"/>
                            <w:szCs w:val="18"/>
                          </w:rPr>
                          <w:t>项目基于交通大数据、深度学习的视频图像感知与智能识 别技术，利用海量的监控视频和车辆抓拍图片数据资源， 通过大数据分析研判手段，对海量非结构化数据的实时结 构化特征提取、智能识别，主动分析与涉牌违法车辆高度 相似车辆，实时对比分析出遮挡或污损车牌车辆的真实车 牌，锁定潜在的嫌疑车辆，让违法车辆无处遁形，实现对 违法车辆真实信息的有效查证、违法行为的主动发现</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研发中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5"/>
                            <w:sz w:val="18"/>
                            <w:szCs w:val="18"/>
                          </w:rPr>
                          <w:t>是在公司现有综合执法、科技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治超业务领域的重要延伸，同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时也是公司在智慧交通和数 字交通领域的重点突破方向 将为公司在交通监管领域的 发展奠定坚实基础</w:t>
                        </w:r>
                      </w:p>
                    </w:tc>
                  </w:tr>
                  <w:tr>
                    <w:trPr>
                      <w:trHeight w:val="128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7" w:right="65" w:hanging="180"/>
                          <w:jc w:val="left"/>
                          <w:rPr>
                            <w:rFonts w:ascii="宋体" w:hAnsi="宋体" w:cs="宋体" w:eastAsia="宋体" w:hint="default"/>
                            <w:sz w:val="18"/>
                            <w:szCs w:val="18"/>
                          </w:rPr>
                        </w:pPr>
                        <w:r>
                          <w:rPr>
                            <w:rFonts w:ascii="宋体" w:hAnsi="宋体" w:cs="宋体" w:eastAsia="宋体" w:hint="default"/>
                            <w:sz w:val="18"/>
                            <w:szCs w:val="18"/>
                          </w:rPr>
                          <w:t>大数据驱动的智 能应用软件</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1"/>
                            <w:sz w:val="18"/>
                            <w:szCs w:val="18"/>
                          </w:rPr>
                          <w:t>运用大数据采集、存储、分析、挖掘、机器学习、知识获</w:t>
                        </w:r>
                        <w:r>
                          <w:rPr>
                            <w:rFonts w:ascii="宋体" w:hAnsi="宋体" w:cs="宋体" w:eastAsia="宋体" w:hint="default"/>
                            <w:sz w:val="18"/>
                            <w:szCs w:val="18"/>
                          </w:rPr>
                          <w:t> </w:t>
                        </w:r>
                        <w:r>
                          <w:rPr>
                            <w:rFonts w:ascii="宋体" w:hAnsi="宋体" w:cs="宋体" w:eastAsia="宋体" w:hint="default"/>
                            <w:spacing w:val="-1"/>
                            <w:sz w:val="18"/>
                            <w:szCs w:val="18"/>
                          </w:rPr>
                          <w:t>取、自适应、模式识别等技术，为电信、能源、交通、金</w:t>
                        </w:r>
                        <w:r>
                          <w:rPr>
                            <w:rFonts w:ascii="宋体" w:hAnsi="宋体" w:cs="宋体" w:eastAsia="宋体" w:hint="default"/>
                            <w:sz w:val="18"/>
                            <w:szCs w:val="18"/>
                          </w:rPr>
                          <w:t> </w:t>
                        </w:r>
                        <w:r>
                          <w:rPr>
                            <w:rFonts w:ascii="宋体" w:hAnsi="宋体" w:cs="宋体" w:eastAsia="宋体" w:hint="default"/>
                            <w:spacing w:val="-1"/>
                            <w:sz w:val="18"/>
                            <w:szCs w:val="18"/>
                          </w:rPr>
                          <w:t>融、政府等行业或领域用户提供大数据平台、分析决策软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件、智能应用软件</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9"/>
                            <w:sz w:val="18"/>
                            <w:szCs w:val="18"/>
                          </w:rPr>
                          <w:t>占领人工智能时代智能软件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的制高点，使公司成为智能应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用软件领域的领导者</w:t>
                        </w:r>
                      </w:p>
                    </w:tc>
                  </w:tr>
                  <w:tr>
                    <w:trPr>
                      <w:trHeight w:val="1906"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智慧物流云平台</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9"/>
                          <w:jc w:val="both"/>
                          <w:rPr>
                            <w:rFonts w:ascii="宋体" w:hAnsi="宋体" w:cs="宋体" w:eastAsia="宋体" w:hint="default"/>
                            <w:sz w:val="18"/>
                            <w:szCs w:val="18"/>
                          </w:rPr>
                        </w:pPr>
                        <w:r>
                          <w:rPr>
                            <w:rFonts w:ascii="宋体" w:hAnsi="宋体" w:cs="宋体" w:eastAsia="宋体" w:hint="default"/>
                            <w:spacing w:val="-1"/>
                            <w:sz w:val="18"/>
                            <w:szCs w:val="18"/>
                          </w:rPr>
                          <w:t>项目发挥数据智能技术优势，运用互联网思维，将信息技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术与物流供应链深度融合，充分发挥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运力网、智能网、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协同网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竞争优势，构建完整的科技物流服务生态链，并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基于平台沉淀的物流大数据，通过大数据、人工智能、区</w:t>
                        </w:r>
                        <w:r>
                          <w:rPr>
                            <w:rFonts w:ascii="宋体" w:hAnsi="宋体" w:cs="宋体" w:eastAsia="宋体" w:hint="default"/>
                            <w:sz w:val="18"/>
                            <w:szCs w:val="18"/>
                          </w:rPr>
                          <w:t> </w:t>
                        </w:r>
                        <w:r>
                          <w:rPr>
                            <w:rFonts w:ascii="宋体" w:hAnsi="宋体" w:cs="宋体" w:eastAsia="宋体" w:hint="default"/>
                            <w:spacing w:val="6"/>
                            <w:sz w:val="18"/>
                            <w:szCs w:val="18"/>
                          </w:rPr>
                          <w:t>块链等技术建立物流信用体系，为托运方和承运方提供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科技物流承运</w:t>
                        </w:r>
                        <w:r>
                          <w:rPr>
                            <w:rFonts w:ascii="Times New Roman" w:hAnsi="Times New Roman" w:cs="Times New Roman" w:eastAsia="Times New Roman" w:hint="default"/>
                            <w:sz w:val="18"/>
                            <w:szCs w:val="18"/>
                          </w:rPr>
                          <w:t>+</w:t>
                        </w:r>
                        <w:r>
                          <w:rPr>
                            <w:rFonts w:ascii="宋体" w:hAnsi="宋体" w:cs="宋体" w:eastAsia="宋体" w:hint="default"/>
                            <w:sz w:val="18"/>
                            <w:szCs w:val="18"/>
                          </w:rPr>
                          <w:t>数据运营</w:t>
                        </w:r>
                        <w:r>
                          <w:rPr>
                            <w:rFonts w:ascii="Times New Roman" w:hAnsi="Times New Roman" w:cs="Times New Roman" w:eastAsia="Times New Roman" w:hint="default"/>
                            <w:sz w:val="18"/>
                            <w:szCs w:val="18"/>
                          </w:rPr>
                          <w:t>+</w:t>
                        </w:r>
                        <w:r>
                          <w:rPr>
                            <w:rFonts w:ascii="宋体" w:hAnsi="宋体" w:cs="宋体" w:eastAsia="宋体" w:hint="default"/>
                            <w:sz w:val="18"/>
                            <w:szCs w:val="18"/>
                          </w:rPr>
                          <w:t>物流信息化</w:t>
                        </w:r>
                        <w:r>
                          <w:rPr>
                            <w:rFonts w:ascii="Times New Roman" w:hAnsi="Times New Roman" w:cs="Times New Roman" w:eastAsia="Times New Roman" w:hint="default"/>
                            <w:sz w:val="18"/>
                            <w:szCs w:val="18"/>
                          </w:rPr>
                          <w:t>”</w:t>
                        </w:r>
                        <w:r>
                          <w:rPr>
                            <w:rFonts w:ascii="宋体" w:hAnsi="宋体" w:cs="宋体" w:eastAsia="宋体" w:hint="default"/>
                            <w:sz w:val="18"/>
                            <w:szCs w:val="18"/>
                          </w:rPr>
                          <w:t>的综合服务</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8" w:right="-12" w:hanging="84"/>
                          <w:jc w:val="left"/>
                          <w:rPr>
                            <w:rFonts w:ascii="宋体" w:hAnsi="宋体" w:cs="宋体" w:eastAsia="宋体" w:hint="default"/>
                            <w:sz w:val="18"/>
                            <w:szCs w:val="18"/>
                          </w:rPr>
                        </w:pPr>
                        <w:r>
                          <w:rPr>
                            <w:rFonts w:ascii="宋体" w:hAnsi="宋体" w:cs="宋体" w:eastAsia="宋体" w:hint="default"/>
                            <w:sz w:val="18"/>
                            <w:szCs w:val="18"/>
                          </w:rPr>
                          <w:t>基本功能已实现， 新增模块研发中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4" w:right="-5"/>
                          <w:jc w:val="both"/>
                          <w:rPr>
                            <w:rFonts w:ascii="宋体" w:hAnsi="宋体" w:cs="宋体" w:eastAsia="宋体" w:hint="default"/>
                            <w:sz w:val="18"/>
                            <w:szCs w:val="18"/>
                          </w:rPr>
                        </w:pPr>
                        <w:r>
                          <w:rPr>
                            <w:rFonts w:ascii="宋体" w:hAnsi="宋体" w:cs="宋体" w:eastAsia="宋体" w:hint="default"/>
                            <w:spacing w:val="9"/>
                            <w:sz w:val="18"/>
                            <w:szCs w:val="18"/>
                          </w:rPr>
                          <w:t>开展以平台为业务载体的互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智慧物流业务，通过平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台运营服务，实现公司收入的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快速增长</w:t>
                        </w:r>
                      </w:p>
                    </w:tc>
                  </w:tr>
                  <w:tr>
                    <w:trPr>
                      <w:trHeight w:val="2532"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27" w:right="65" w:hanging="360"/>
                          <w:jc w:val="left"/>
                          <w:rPr>
                            <w:rFonts w:ascii="宋体" w:hAnsi="宋体" w:cs="宋体" w:eastAsia="宋体" w:hint="default"/>
                            <w:sz w:val="18"/>
                            <w:szCs w:val="18"/>
                          </w:rPr>
                        </w:pPr>
                        <w:r>
                          <w:rPr>
                            <w:rFonts w:ascii="宋体" w:hAnsi="宋体" w:cs="宋体" w:eastAsia="宋体" w:hint="default"/>
                            <w:sz w:val="18"/>
                            <w:szCs w:val="18"/>
                          </w:rPr>
                          <w:t>智能汽车动力电 源系统</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项目基于公司积累的</w:t>
                        </w:r>
                        <w:r>
                          <w:rPr>
                            <w:rFonts w:ascii="Times New Roman" w:hAnsi="Times New Roman" w:cs="Times New Roman" w:eastAsia="Times New Roman" w:hint="default"/>
                            <w:spacing w:val="-2"/>
                            <w:sz w:val="18"/>
                            <w:szCs w:val="18"/>
                          </w:rPr>
                          <w:t>BMS</w:t>
                        </w:r>
                        <w:r>
                          <w:rPr>
                            <w:rFonts w:ascii="宋体" w:hAnsi="宋体" w:cs="宋体" w:eastAsia="宋体" w:hint="default"/>
                            <w:spacing w:val="-2"/>
                            <w:sz w:val="18"/>
                            <w:szCs w:val="18"/>
                          </w:rPr>
                          <w:t>技术，运用领先的数据智能、高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可信软件和智能算法技术，采用</w:t>
                        </w:r>
                        <w:r>
                          <w:rPr>
                            <w:rFonts w:ascii="Times New Roman" w:hAnsi="Times New Roman" w:cs="Times New Roman" w:eastAsia="Times New Roman" w:hint="default"/>
                            <w:spacing w:val="2"/>
                            <w:sz w:val="18"/>
                            <w:szCs w:val="18"/>
                          </w:rPr>
                          <w:t>MMC</w:t>
                        </w:r>
                        <w:r>
                          <w:rPr>
                            <w:rFonts w:ascii="宋体" w:hAnsi="宋体" w:cs="宋体" w:eastAsia="宋体" w:hint="default"/>
                            <w:spacing w:val="2"/>
                            <w:sz w:val="18"/>
                            <w:szCs w:val="18"/>
                          </w:rPr>
                          <w:t>和多元融合的技术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架构，将动力域</w:t>
                        </w:r>
                        <w:r>
                          <w:rPr>
                            <w:rFonts w:ascii="Times New Roman" w:hAnsi="Times New Roman" w:cs="Times New Roman" w:eastAsia="Times New Roman" w:hint="default"/>
                            <w:spacing w:val="2"/>
                            <w:sz w:val="18"/>
                            <w:szCs w:val="18"/>
                          </w:rPr>
                          <w:t>BMS</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OBC</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MCU</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DC/DC</w:t>
                        </w:r>
                        <w:r>
                          <w:rPr>
                            <w:rFonts w:ascii="宋体" w:hAnsi="宋体" w:cs="宋体" w:eastAsia="宋体" w:hint="default"/>
                            <w:spacing w:val="2"/>
                            <w:sz w:val="18"/>
                            <w:szCs w:val="18"/>
                          </w:rPr>
                          <w:t>等分散控制</w:t>
                        </w:r>
                        <w:r>
                          <w:rPr>
                            <w:rFonts w:ascii="宋体" w:hAnsi="宋体" w:cs="宋体" w:eastAsia="宋体" w:hint="default"/>
                            <w:sz w:val="18"/>
                            <w:szCs w:val="18"/>
                          </w:rPr>
                          <w:t> </w:t>
                        </w:r>
                        <w:r>
                          <w:rPr>
                            <w:rFonts w:ascii="宋体" w:hAnsi="宋体" w:cs="宋体" w:eastAsia="宋体" w:hint="default"/>
                            <w:spacing w:val="-1"/>
                            <w:sz w:val="18"/>
                            <w:szCs w:val="18"/>
                          </w:rPr>
                          <w:t>部件进行集成化一体式开发，可大幅提升系统的效率和可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用性，减轻系统重量、降低系统成本，该系统通过对整车</w:t>
                        </w:r>
                        <w:r>
                          <w:rPr>
                            <w:rFonts w:ascii="宋体" w:hAnsi="宋体" w:cs="宋体" w:eastAsia="宋体" w:hint="default"/>
                            <w:sz w:val="18"/>
                            <w:szCs w:val="18"/>
                          </w:rPr>
                          <w:t> </w:t>
                        </w:r>
                        <w:r>
                          <w:rPr>
                            <w:rFonts w:ascii="宋体" w:hAnsi="宋体" w:cs="宋体" w:eastAsia="宋体" w:hint="default"/>
                            <w:spacing w:val="-1"/>
                            <w:sz w:val="18"/>
                            <w:szCs w:val="18"/>
                          </w:rPr>
                          <w:t>历史数据的建模分析，基于大数据引擎，运用大规模机器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学习、知识挖掘、智能算法等数据智能技术，实现动力域</w:t>
                        </w:r>
                        <w:r>
                          <w:rPr>
                            <w:rFonts w:ascii="宋体" w:hAnsi="宋体" w:cs="宋体" w:eastAsia="宋体" w:hint="default"/>
                            <w:sz w:val="18"/>
                            <w:szCs w:val="18"/>
                          </w:rPr>
                          <w:t> 的智能化</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研发中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both"/>
                          <w:rPr>
                            <w:rFonts w:ascii="宋体" w:hAnsi="宋体" w:cs="宋体" w:eastAsia="宋体" w:hint="default"/>
                            <w:sz w:val="18"/>
                            <w:szCs w:val="18"/>
                          </w:rPr>
                        </w:pPr>
                        <w:r>
                          <w:rPr>
                            <w:rFonts w:ascii="宋体" w:hAnsi="宋体" w:cs="宋体" w:eastAsia="宋体" w:hint="default"/>
                            <w:spacing w:val="9"/>
                            <w:sz w:val="18"/>
                            <w:szCs w:val="18"/>
                          </w:rPr>
                          <w:t>通过打造软硬件一体化智能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产品，实现数据智能技术在智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能汽车的融合应用，将引领智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能电动技术方向，为公司在智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能汽车领域带来跨越式发展</w:t>
                        </w:r>
                      </w:p>
                    </w:tc>
                  </w:tr>
                  <w:tr>
                    <w:trPr>
                      <w:trHeight w:val="2221"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7"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ISO26262</w:t>
                        </w:r>
                        <w:r>
                          <w:rPr>
                            <w:rFonts w:ascii="宋体" w:hAnsi="宋体" w:cs="宋体" w:eastAsia="宋体" w:hint="default"/>
                            <w:sz w:val="18"/>
                            <w:szCs w:val="18"/>
                          </w:rPr>
                          <w:t>功</w:t>
                        </w:r>
                      </w:p>
                      <w:p>
                        <w:pPr>
                          <w:pStyle w:val="TableParagraph"/>
                          <w:spacing w:line="316" w:lineRule="auto" w:before="63"/>
                          <w:ind w:left="158" w:right="65" w:hanging="92"/>
                          <w:jc w:val="left"/>
                          <w:rPr>
                            <w:rFonts w:ascii="宋体" w:hAnsi="宋体" w:cs="宋体" w:eastAsia="宋体" w:hint="default"/>
                            <w:sz w:val="18"/>
                            <w:szCs w:val="18"/>
                          </w:rPr>
                        </w:pPr>
                        <w:r>
                          <w:rPr>
                            <w:rFonts w:ascii="宋体" w:hAnsi="宋体" w:cs="宋体" w:eastAsia="宋体" w:hint="default"/>
                            <w:sz w:val="18"/>
                            <w:szCs w:val="18"/>
                          </w:rPr>
                          <w:t>能安全的新一代 电池管理系统</w:t>
                        </w:r>
                      </w:p>
                    </w:tc>
                    <w:tc>
                      <w:tcPr>
                        <w:tcW w:w="44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2" w:right="0"/>
                          <w:jc w:val="both"/>
                          <w:rPr>
                            <w:rFonts w:ascii="宋体" w:hAnsi="宋体" w:cs="宋体" w:eastAsia="宋体" w:hint="default"/>
                            <w:sz w:val="18"/>
                            <w:szCs w:val="18"/>
                          </w:rPr>
                        </w:pPr>
                        <w:r>
                          <w:rPr>
                            <w:rFonts w:ascii="宋体" w:hAnsi="宋体" w:cs="宋体" w:eastAsia="宋体" w:hint="default"/>
                            <w:spacing w:val="21"/>
                            <w:sz w:val="18"/>
                            <w:szCs w:val="18"/>
                          </w:rPr>
                          <w:t>项目遵循</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“V”</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模</w:t>
                        </w:r>
                        <w:r>
                          <w:rPr>
                            <w:rFonts w:ascii="宋体" w:hAnsi="宋体" w:cs="宋体" w:eastAsia="宋体" w:hint="default"/>
                            <w:spacing w:val="-60"/>
                            <w:sz w:val="18"/>
                            <w:szCs w:val="18"/>
                          </w:rPr>
                          <w:t> </w:t>
                        </w:r>
                        <w:r>
                          <w:rPr>
                            <w:rFonts w:ascii="宋体" w:hAnsi="宋体" w:cs="宋体" w:eastAsia="宋体" w:hint="default"/>
                            <w:sz w:val="18"/>
                            <w:szCs w:val="18"/>
                          </w:rPr>
                          <w:t>型</w:t>
                        </w:r>
                        <w:r>
                          <w:rPr>
                            <w:rFonts w:ascii="宋体" w:hAnsi="宋体" w:cs="宋体" w:eastAsia="宋体" w:hint="default"/>
                            <w:spacing w:val="-62"/>
                            <w:sz w:val="18"/>
                            <w:szCs w:val="18"/>
                          </w:rPr>
                          <w:t> </w:t>
                        </w:r>
                        <w:r>
                          <w:rPr>
                            <w:rFonts w:ascii="宋体" w:hAnsi="宋体" w:cs="宋体" w:eastAsia="宋体" w:hint="default"/>
                            <w:sz w:val="18"/>
                            <w:szCs w:val="18"/>
                          </w:rPr>
                          <w:t>正</w:t>
                        </w:r>
                        <w:r>
                          <w:rPr>
                            <w:rFonts w:ascii="宋体" w:hAnsi="宋体" w:cs="宋体" w:eastAsia="宋体" w:hint="default"/>
                            <w:spacing w:val="-62"/>
                            <w:sz w:val="18"/>
                            <w:szCs w:val="18"/>
                          </w:rPr>
                          <w:t> </w:t>
                        </w:r>
                        <w:r>
                          <w:rPr>
                            <w:rFonts w:ascii="宋体" w:hAnsi="宋体" w:cs="宋体" w:eastAsia="宋体" w:hint="default"/>
                            <w:sz w:val="18"/>
                            <w:szCs w:val="18"/>
                          </w:rPr>
                          <w:t>向</w:t>
                        </w:r>
                        <w:r>
                          <w:rPr>
                            <w:rFonts w:ascii="宋体" w:hAnsi="宋体" w:cs="宋体" w:eastAsia="宋体" w:hint="default"/>
                            <w:spacing w:val="-60"/>
                            <w:sz w:val="18"/>
                            <w:szCs w:val="18"/>
                          </w:rPr>
                          <w:t> </w:t>
                        </w:r>
                        <w:r>
                          <w:rPr>
                            <w:rFonts w:ascii="宋体" w:hAnsi="宋体" w:cs="宋体" w:eastAsia="宋体" w:hint="default"/>
                            <w:sz w:val="18"/>
                            <w:szCs w:val="18"/>
                          </w:rPr>
                          <w:t>开</w:t>
                        </w:r>
                        <w:r>
                          <w:rPr>
                            <w:rFonts w:ascii="宋体" w:hAnsi="宋体" w:cs="宋体" w:eastAsia="宋体" w:hint="default"/>
                            <w:spacing w:val="-62"/>
                            <w:sz w:val="18"/>
                            <w:szCs w:val="18"/>
                          </w:rPr>
                          <w:t> </w:t>
                        </w:r>
                        <w:r>
                          <w:rPr>
                            <w:rFonts w:ascii="宋体" w:hAnsi="宋体" w:cs="宋体" w:eastAsia="宋体" w:hint="default"/>
                            <w:sz w:val="18"/>
                            <w:szCs w:val="18"/>
                          </w:rPr>
                          <w:t>发</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62"/>
                            <w:sz w:val="18"/>
                            <w:szCs w:val="18"/>
                          </w:rPr>
                          <w:t> </w:t>
                        </w:r>
                        <w:r>
                          <w:rPr>
                            <w:rFonts w:ascii="宋体" w:hAnsi="宋体" w:cs="宋体" w:eastAsia="宋体" w:hint="default"/>
                            <w:sz w:val="18"/>
                            <w:szCs w:val="18"/>
                          </w:rPr>
                          <w:t>程</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基</w:t>
                        </w:r>
                        <w:r>
                          <w:rPr>
                            <w:rFonts w:ascii="宋体" w:hAnsi="宋体" w:cs="宋体" w:eastAsia="宋体" w:hint="default"/>
                            <w:spacing w:val="-62"/>
                            <w:sz w:val="18"/>
                            <w:szCs w:val="18"/>
                          </w:rPr>
                          <w:t> </w:t>
                        </w: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界</w:t>
                        </w:r>
                        <w:r>
                          <w:rPr>
                            <w:rFonts w:ascii="宋体" w:hAnsi="宋体" w:cs="宋体" w:eastAsia="宋体" w:hint="default"/>
                            <w:spacing w:val="-62"/>
                            <w:sz w:val="18"/>
                            <w:szCs w:val="18"/>
                          </w:rPr>
                          <w:t> </w:t>
                        </w:r>
                        <w:r>
                          <w:rPr>
                            <w:rFonts w:ascii="宋体" w:hAnsi="宋体" w:cs="宋体" w:eastAsia="宋体" w:hint="default"/>
                            <w:sz w:val="18"/>
                            <w:szCs w:val="18"/>
                          </w:rPr>
                          <w:t>先</w:t>
                        </w:r>
                        <w:r>
                          <w:rPr>
                            <w:rFonts w:ascii="宋体" w:hAnsi="宋体" w:cs="宋体" w:eastAsia="宋体" w:hint="default"/>
                            <w:spacing w:val="-60"/>
                            <w:sz w:val="18"/>
                            <w:szCs w:val="18"/>
                          </w:rPr>
                          <w:t> </w:t>
                        </w:r>
                        <w:r>
                          <w:rPr>
                            <w:rFonts w:ascii="宋体" w:hAnsi="宋体" w:cs="宋体" w:eastAsia="宋体" w:hint="default"/>
                            <w:sz w:val="18"/>
                            <w:szCs w:val="18"/>
                          </w:rPr>
                          <w:t>进</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Times New Roman" w:hAnsi="Times New Roman" w:cs="Times New Roman" w:eastAsia="Times New Roman" w:hint="default"/>
                            <w:sz w:val="18"/>
                            <w:szCs w:val="18"/>
                          </w:rPr>
                          <w:t>AUTOSAR</w:t>
                        </w:r>
                        <w:r>
                          <w:rPr>
                            <w:rFonts w:ascii="宋体" w:hAnsi="宋体" w:cs="宋体" w:eastAsia="宋体" w:hint="default"/>
                            <w:sz w:val="18"/>
                            <w:szCs w:val="18"/>
                          </w:rPr>
                          <w:t>系统软件架构，融合数据智能、高可信软件等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信息技术，基于海量数据，构建基于深度学习算法的自动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特征分析能力，建立深度神经网络模型。通过多模型、</w:t>
                        </w:r>
                        <w:r>
                          <w:rPr>
                            <w:rFonts w:ascii="Times New Roman" w:hAnsi="Times New Roman" w:cs="Times New Roman" w:eastAsia="Times New Roman" w:hint="default"/>
                            <w:spacing w:val="-7"/>
                            <w:sz w:val="18"/>
                            <w:szCs w:val="18"/>
                          </w:rPr>
                          <w:t>EKF</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等修正算法提高系统</w:t>
                        </w:r>
                        <w:r>
                          <w:rPr>
                            <w:rFonts w:ascii="Times New Roman" w:hAnsi="Times New Roman" w:cs="Times New Roman" w:eastAsia="Times New Roman" w:hint="default"/>
                            <w:sz w:val="18"/>
                            <w:szCs w:val="18"/>
                          </w:rPr>
                          <w:t>SOC</w:t>
                        </w:r>
                        <w:r>
                          <w:rPr>
                            <w:rFonts w:ascii="宋体" w:hAnsi="宋体" w:cs="宋体" w:eastAsia="宋体" w:hint="default"/>
                            <w:sz w:val="18"/>
                            <w:szCs w:val="18"/>
                          </w:rPr>
                          <w:t>、</w:t>
                        </w:r>
                        <w:r>
                          <w:rPr>
                            <w:rFonts w:ascii="Times New Roman" w:hAnsi="Times New Roman" w:cs="Times New Roman" w:eastAsia="Times New Roman" w:hint="default"/>
                            <w:sz w:val="18"/>
                            <w:szCs w:val="18"/>
                          </w:rPr>
                          <w:t>SOF</w:t>
                        </w:r>
                        <w:r>
                          <w:rPr>
                            <w:rFonts w:ascii="宋体" w:hAnsi="宋体" w:cs="宋体" w:eastAsia="宋体" w:hint="default"/>
                            <w:sz w:val="18"/>
                            <w:szCs w:val="18"/>
                          </w:rPr>
                          <w:t>、</w:t>
                        </w:r>
                        <w:r>
                          <w:rPr>
                            <w:rFonts w:ascii="Times New Roman" w:hAnsi="Times New Roman" w:cs="Times New Roman" w:eastAsia="Times New Roman" w:hint="default"/>
                            <w:sz w:val="18"/>
                            <w:szCs w:val="18"/>
                          </w:rPr>
                          <w:t>SOH</w:t>
                        </w:r>
                        <w:r>
                          <w:rPr>
                            <w:rFonts w:ascii="宋体" w:hAnsi="宋体" w:cs="宋体" w:eastAsia="宋体" w:hint="default"/>
                            <w:sz w:val="18"/>
                            <w:szCs w:val="18"/>
                          </w:rPr>
                          <w:t>等估算精度，从而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达到对电池系统的精准控制和安全管理，延长系统使用寿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命</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4" w:right="-1" w:hanging="1"/>
                          <w:jc w:val="center"/>
                          <w:rPr>
                            <w:rFonts w:ascii="宋体" w:hAnsi="宋体" w:cs="宋体" w:eastAsia="宋体" w:hint="default"/>
                            <w:sz w:val="18"/>
                            <w:szCs w:val="18"/>
                          </w:rPr>
                        </w:pPr>
                        <w:r>
                          <w:rPr>
                            <w:rFonts w:ascii="宋体" w:hAnsi="宋体" w:cs="宋体" w:eastAsia="宋体" w:hint="default"/>
                            <w:sz w:val="18"/>
                            <w:szCs w:val="18"/>
                          </w:rPr>
                          <w:t>主要功能开发已 完成，并已在 </w:t>
                        </w:r>
                        <w:r>
                          <w:rPr>
                            <w:rFonts w:ascii="Times New Roman" w:hAnsi="Times New Roman" w:cs="Times New Roman" w:eastAsia="Times New Roman" w:hint="default"/>
                            <w:spacing w:val="-2"/>
                            <w:sz w:val="18"/>
                            <w:szCs w:val="18"/>
                          </w:rPr>
                          <w:t>BMS&amp;BDU</w:t>
                        </w:r>
                        <w:r>
                          <w:rPr>
                            <w:rFonts w:ascii="宋体" w:hAnsi="宋体" w:cs="宋体" w:eastAsia="宋体" w:hint="default"/>
                            <w:spacing w:val="-2"/>
                            <w:sz w:val="18"/>
                            <w:szCs w:val="18"/>
                          </w:rPr>
                          <w:t>（二合</w:t>
                        </w:r>
                        <w:r>
                          <w:rPr>
                            <w:rFonts w:ascii="宋体" w:hAnsi="宋体" w:cs="宋体" w:eastAsia="宋体" w:hint="default"/>
                            <w:sz w:val="18"/>
                            <w:szCs w:val="18"/>
                          </w:rPr>
                          <w:t> </w:t>
                        </w:r>
                        <w:r>
                          <w:rPr>
                            <w:rFonts w:ascii="宋体" w:hAnsi="宋体" w:cs="宋体" w:eastAsia="宋体" w:hint="default"/>
                            <w:spacing w:val="-2"/>
                            <w:sz w:val="18"/>
                            <w:szCs w:val="18"/>
                          </w:rPr>
                          <w:t>一、三合一）一体</w:t>
                        </w:r>
                        <w:r>
                          <w:rPr>
                            <w:rFonts w:ascii="宋体" w:hAnsi="宋体" w:cs="宋体" w:eastAsia="宋体" w:hint="default"/>
                            <w:sz w:val="18"/>
                            <w:szCs w:val="18"/>
                          </w:rPr>
                          <w:t> </w:t>
                        </w:r>
                        <w:r>
                          <w:rPr>
                            <w:rFonts w:ascii="宋体" w:hAnsi="宋体" w:cs="宋体" w:eastAsia="宋体" w:hint="default"/>
                            <w:spacing w:val="-4"/>
                            <w:sz w:val="18"/>
                            <w:szCs w:val="18"/>
                          </w:rPr>
                          <w:t>机、储能</w:t>
                        </w:r>
                        <w:r>
                          <w:rPr>
                            <w:rFonts w:ascii="Times New Roman" w:hAnsi="Times New Roman" w:cs="Times New Roman" w:eastAsia="Times New Roman" w:hint="default"/>
                            <w:spacing w:val="-4"/>
                            <w:sz w:val="18"/>
                            <w:szCs w:val="18"/>
                          </w:rPr>
                          <w:t>BMS</w:t>
                        </w:r>
                        <w:r>
                          <w:rPr>
                            <w:rFonts w:ascii="宋体" w:hAnsi="宋体" w:cs="宋体" w:eastAsia="宋体" w:hint="default"/>
                            <w:spacing w:val="-4"/>
                            <w:sz w:val="18"/>
                            <w:szCs w:val="18"/>
                          </w:rPr>
                          <w:t>中应</w:t>
                        </w:r>
                        <w:r>
                          <w:rPr>
                            <w:rFonts w:ascii="宋体" w:hAnsi="宋体" w:cs="宋体" w:eastAsia="宋体" w:hint="default"/>
                            <w:sz w:val="18"/>
                            <w:szCs w:val="18"/>
                          </w:rPr>
                          <w:t> </w:t>
                        </w:r>
                        <w:r>
                          <w:rPr>
                            <w:rFonts w:ascii="宋体" w:hAnsi="宋体" w:cs="宋体" w:eastAsia="宋体" w:hint="default"/>
                            <w:spacing w:val="-2"/>
                            <w:sz w:val="18"/>
                            <w:szCs w:val="18"/>
                          </w:rPr>
                          <w:t>用，系统其它功能</w:t>
                        </w:r>
                        <w:r>
                          <w:rPr>
                            <w:rFonts w:ascii="宋体" w:hAnsi="宋体" w:cs="宋体" w:eastAsia="宋体" w:hint="default"/>
                            <w:sz w:val="18"/>
                            <w:szCs w:val="18"/>
                          </w:rPr>
                          <w:t> 优化中</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4" w:right="-8"/>
                          <w:jc w:val="both"/>
                          <w:rPr>
                            <w:rFonts w:ascii="宋体" w:hAnsi="宋体" w:cs="宋体" w:eastAsia="宋体" w:hint="default"/>
                            <w:sz w:val="18"/>
                            <w:szCs w:val="18"/>
                          </w:rPr>
                        </w:pPr>
                        <w:r>
                          <w:rPr>
                            <w:rFonts w:ascii="宋体" w:hAnsi="宋体" w:cs="宋体" w:eastAsia="宋体" w:hint="default"/>
                            <w:spacing w:val="8"/>
                            <w:sz w:val="18"/>
                            <w:szCs w:val="18"/>
                          </w:rPr>
                          <w:t>软件算法是新一代</w:t>
                        </w:r>
                        <w:r>
                          <w:rPr>
                            <w:rFonts w:ascii="Times New Roman" w:hAnsi="Times New Roman" w:cs="Times New Roman" w:eastAsia="Times New Roman" w:hint="default"/>
                            <w:spacing w:val="8"/>
                            <w:sz w:val="18"/>
                            <w:szCs w:val="18"/>
                          </w:rPr>
                          <w:t>BMS</w:t>
                        </w:r>
                        <w:r>
                          <w:rPr>
                            <w:rFonts w:ascii="宋体" w:hAnsi="宋体" w:cs="宋体" w:eastAsia="宋体" w:hint="default"/>
                            <w:spacing w:val="8"/>
                            <w:sz w:val="18"/>
                            <w:szCs w:val="18"/>
                          </w:rPr>
                          <w:t>的关</w:t>
                        </w:r>
                        <w:r>
                          <w:rPr>
                            <w:rFonts w:ascii="宋体" w:hAnsi="宋体" w:cs="宋体" w:eastAsia="宋体" w:hint="default"/>
                            <w:spacing w:val="9"/>
                            <w:sz w:val="18"/>
                            <w:szCs w:val="18"/>
                          </w:rPr>
                          <w:t> </w:t>
                        </w:r>
                        <w:r>
                          <w:rPr>
                            <w:rFonts w:ascii="宋体" w:hAnsi="宋体" w:cs="宋体" w:eastAsia="宋体" w:hint="default"/>
                            <w:spacing w:val="-5"/>
                            <w:sz w:val="18"/>
                            <w:szCs w:val="18"/>
                          </w:rPr>
                          <w:t>键要素，随着产品的顺利研发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和量产，将为智能汽车、电网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储能、军工装备等领域提供领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先的产品和服务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40.74%</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183,861,158.77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135,586,595.40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131,128,241.60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21.57%</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4,684,807.02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958,618.77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1,141,625.93</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before="49"/>
        <w:ind w:left="153" w:right="-18"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3" w:right="49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3"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2"/>
        <w:ind w:left="153"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8"/>
        <w:gridCol w:w="1417"/>
        <w:gridCol w:w="5247"/>
        <w:gridCol w:w="1488"/>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研发资本化金额</w:t>
            </w:r>
          </w:p>
        </w:tc>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165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二合</w:t>
            </w:r>
            <w:r>
              <w:rPr>
                <w:rFonts w:ascii="宋体" w:hAnsi="宋体" w:cs="宋体" w:eastAsia="宋体" w:hint="default"/>
                <w:w w:val="99"/>
                <w:sz w:val="18"/>
                <w:szCs w:val="18"/>
              </w:rPr>
              <w:t> </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一体机研发项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1,080,758.61</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是新能源汽车动力电池系统的核心部件，该产品基于 </w:t>
            </w:r>
            <w:r>
              <w:rPr>
                <w:rFonts w:ascii="Times New Roman" w:hAnsi="Times New Roman" w:cs="Times New Roman" w:eastAsia="Times New Roman" w:hint="default"/>
                <w:sz w:val="18"/>
                <w:szCs w:val="18"/>
              </w:rPr>
              <w:t>ISO26262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功能安全的新一代电池管理系统技术平台，把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主机 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BDU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一体化（二合一）设计，集成化开发，可以大幅度减少线 </w:t>
            </w:r>
            <w:r>
              <w:rPr>
                <w:rFonts w:ascii="宋体" w:hAnsi="宋体" w:cs="宋体" w:eastAsia="宋体" w:hint="default"/>
                <w:spacing w:val="-2"/>
                <w:sz w:val="18"/>
                <w:szCs w:val="18"/>
              </w:rPr>
              <w:t>束及结构件成本，优化空间利用率，并具有安全可靠性高、性价比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高和轻量化等特点，系行业中首次应用。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649"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62"/>
              <w:jc w:val="both"/>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三合</w:t>
            </w:r>
            <w:r>
              <w:rPr>
                <w:rFonts w:ascii="宋体" w:hAnsi="宋体" w:cs="宋体" w:eastAsia="宋体" w:hint="default"/>
                <w:w w:val="99"/>
                <w:sz w:val="18"/>
                <w:szCs w:val="18"/>
              </w:rPr>
              <w:t> </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一体机研发项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2,137,257.81</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三合一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一体机是基于二合一的基础，将</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spacing w:val="-18"/>
                <w:sz w:val="18"/>
                <w:szCs w:val="18"/>
              </w:rPr>
              <w:t> </w:t>
            </w:r>
            <w:r>
              <w:rPr>
                <w:rFonts w:ascii="宋体" w:hAnsi="宋体" w:cs="宋体" w:eastAsia="宋体" w:hint="default"/>
                <w:spacing w:val="-11"/>
                <w:sz w:val="18"/>
                <w:szCs w:val="18"/>
              </w:rPr>
              <w:t>主机、从</w:t>
            </w:r>
            <w:r>
              <w:rPr>
                <w:rFonts w:ascii="宋体" w:hAnsi="宋体" w:cs="宋体" w:eastAsia="宋体" w:hint="default"/>
                <w:sz w:val="18"/>
                <w:szCs w:val="18"/>
              </w:rPr>
              <w:t> 机与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BDU</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进一步集成化，遵照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VDA </w:t>
            </w:r>
            <w:r>
              <w:rPr>
                <w:rFonts w:ascii="宋体" w:hAnsi="宋体" w:cs="宋体" w:eastAsia="宋体" w:hint="default"/>
                <w:spacing w:val="-4"/>
                <w:sz w:val="18"/>
                <w:szCs w:val="18"/>
              </w:rPr>
              <w:t>标准电池模组尺寸设计，更利</w:t>
            </w:r>
            <w:r>
              <w:rPr>
                <w:rFonts w:ascii="宋体" w:hAnsi="宋体" w:cs="宋体" w:eastAsia="宋体" w:hint="default"/>
                <w:sz w:val="18"/>
                <w:szCs w:val="18"/>
              </w:rPr>
              <w:t> 于</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PACK</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系统内部结构的布局，优化空间利用率，提升电池系统的 </w:t>
            </w:r>
            <w:r>
              <w:rPr>
                <w:rFonts w:ascii="宋体" w:hAnsi="宋体" w:cs="宋体" w:eastAsia="宋体" w:hint="default"/>
                <w:spacing w:val="-2"/>
                <w:sz w:val="18"/>
                <w:szCs w:val="18"/>
              </w:rPr>
              <w:t>能量质量比。新产品可以大量减少线束及结构件成本，并具有安全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可靠性高、性价比高和轻量化等优势，属行业创新应用。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196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宋体" w:hAnsi="宋体" w:cs="宋体" w:eastAsia="宋体" w:hint="default"/>
                <w:sz w:val="18"/>
                <w:szCs w:val="18"/>
              </w:rPr>
              <w:t>储能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系统研 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1,466,790.60</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
              <w:jc w:val="both"/>
              <w:rPr>
                <w:rFonts w:ascii="宋体" w:hAnsi="宋体" w:cs="宋体" w:eastAsia="宋体" w:hint="default"/>
                <w:sz w:val="18"/>
                <w:szCs w:val="18"/>
              </w:rPr>
            </w:pPr>
            <w:r>
              <w:rPr>
                <w:rFonts w:ascii="宋体" w:hAnsi="宋体" w:cs="宋体" w:eastAsia="宋体" w:hint="default"/>
                <w:sz w:val="18"/>
                <w:szCs w:val="18"/>
              </w:rPr>
              <w:t>该项目基于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ISO26262 </w:t>
            </w:r>
            <w:r>
              <w:rPr>
                <w:rFonts w:ascii="宋体" w:hAnsi="宋体" w:cs="宋体" w:eastAsia="宋体" w:hint="default"/>
                <w:sz w:val="18"/>
                <w:szCs w:val="18"/>
              </w:rPr>
              <w:t>功能安全的新一代电池管理系统技术平台， </w:t>
            </w:r>
            <w:r>
              <w:rPr>
                <w:rFonts w:ascii="宋体" w:hAnsi="宋体" w:cs="宋体" w:eastAsia="宋体" w:hint="default"/>
                <w:spacing w:val="-2"/>
                <w:sz w:val="18"/>
                <w:szCs w:val="18"/>
              </w:rPr>
              <w:t>面向电网储能系统和军工大型装备研发的电池管理系统。该产品可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以精密检测电池电压并通过光通信接口将实时数据上传到上位机， </w:t>
            </w:r>
            <w:r>
              <w:rPr>
                <w:rFonts w:ascii="宋体" w:hAnsi="宋体" w:cs="宋体" w:eastAsia="宋体" w:hint="default"/>
                <w:spacing w:val="-2"/>
                <w:sz w:val="18"/>
                <w:szCs w:val="18"/>
              </w:rPr>
              <w:t>上位机软件可以实时分析存储电池管理系统的数据；该产品具有采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集和估算精度高、数据存储量大、同时具备</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CAN</w:t>
            </w:r>
            <w:r>
              <w:rPr>
                <w:rFonts w:ascii="宋体" w:hAnsi="宋体" w:cs="宋体" w:eastAsia="宋体" w:hint="default"/>
                <w:sz w:val="18"/>
                <w:szCs w:val="18"/>
              </w:rPr>
              <w:t>、</w:t>
            </w:r>
            <w:r>
              <w:rPr>
                <w:rFonts w:ascii="Times New Roman" w:hAnsi="Times New Roman" w:cs="Times New Roman" w:eastAsia="Times New Roman" w:hint="default"/>
                <w:sz w:val="18"/>
                <w:szCs w:val="18"/>
              </w:rPr>
              <w:t>RS485</w:t>
            </w:r>
            <w:r>
              <w:rPr>
                <w:rFonts w:ascii="宋体" w:hAnsi="宋体" w:cs="宋体" w:eastAsia="宋体" w:hint="default"/>
                <w:sz w:val="18"/>
                <w:szCs w:val="18"/>
              </w:rPr>
              <w:t>、光接口 等多种通讯功能特点。该产品已应用于军工大型装备。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line="316" w:lineRule="auto" w:before="8"/>
        <w:ind w:left="153" w:right="1133" w:firstLine="420"/>
        <w:jc w:val="left"/>
        <w:rPr>
          <w:rFonts w:ascii="宋体" w:hAnsi="宋体" w:cs="宋体" w:eastAsia="宋体" w:hint="default"/>
          <w:sz w:val="18"/>
          <w:szCs w:val="18"/>
        </w:rPr>
      </w:pPr>
      <w:r>
        <w:rPr>
          <w:rFonts w:ascii="宋体" w:hAnsi="宋体" w:cs="宋体" w:eastAsia="宋体" w:hint="default"/>
          <w:sz w:val="18"/>
          <w:szCs w:val="18"/>
        </w:rPr>
        <w:t>公司研发按照项目管理，在进行充分的调查研究、项目可行性分析报告审批后研发项目进入开发阶段。项目可行性分 析报告审批通过为研发项目资本化时点。</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1,646,855,821.04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1,013,196,551.77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62.54%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1,553,204,231.91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1,031,495,833.23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50.58%</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93,651,589.13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-18,299,281.46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24,696,575.82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6,267,064.66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294.07%</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261,714,631.27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37,510,567.53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597.71%</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-237,018,055.45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-31,243,502.87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-658.62%</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641,759,981.04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161.94%</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264,765,995.45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241,863,438.77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376,993,985.59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3,136,561.23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11,919.34%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234,329,411.64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-47,869,577.95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122"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、经营活动产生的现金流量净额本期为</w:t>
      </w:r>
      <w:r>
        <w:rPr>
          <w:rFonts w:ascii="Times New Roman" w:hAnsi="Times New Roman" w:cs="Times New Roman" w:eastAsia="Times New Roman" w:hint="default"/>
          <w:spacing w:val="-1"/>
          <w:sz w:val="18"/>
          <w:szCs w:val="18"/>
        </w:rPr>
        <w:t>9,365.16</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万元，较上年增长了</w:t>
      </w:r>
      <w:r>
        <w:rPr>
          <w:rFonts w:ascii="Times New Roman" w:hAnsi="Times New Roman" w:cs="Times New Roman" w:eastAsia="Times New Roman" w:hint="default"/>
          <w:spacing w:val="-2"/>
          <w:sz w:val="18"/>
          <w:szCs w:val="18"/>
        </w:rPr>
        <w:t>611.78%</w:t>
      </w:r>
      <w:r>
        <w:rPr>
          <w:rFonts w:ascii="宋体" w:hAnsi="宋体" w:cs="宋体" w:eastAsia="宋体" w:hint="default"/>
          <w:spacing w:val="-2"/>
          <w:sz w:val="18"/>
          <w:szCs w:val="18"/>
        </w:rPr>
        <w:t>，主要系数据智能行业应用和数据智能平</w:t>
      </w:r>
      <w:r>
        <w:rPr>
          <w:rFonts w:ascii="宋体" w:hAnsi="宋体" w:cs="宋体" w:eastAsia="宋体" w:hint="default"/>
          <w:sz w:val="18"/>
          <w:szCs w:val="18"/>
        </w:rPr>
        <w:t> 台运营经营现金流持续改善及贵博新能自报告期初并入所致。</w:t>
      </w:r>
    </w:p>
    <w:p>
      <w:pPr>
        <w:spacing w:line="300" w:lineRule="auto" w:before="70"/>
        <w:ind w:left="153" w:right="111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w:t>
      </w:r>
      <w:r>
        <w:rPr>
          <w:rFonts w:ascii="Times New Roman" w:hAnsi="Times New Roman" w:cs="Times New Roman" w:eastAsia="Times New Roman" w:hint="default"/>
          <w:sz w:val="18"/>
          <w:szCs w:val="18"/>
        </w:rPr>
        <w:t>-23,701.81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万元，较上年下降了</w:t>
      </w:r>
      <w:r>
        <w:rPr>
          <w:rFonts w:ascii="Times New Roman" w:hAnsi="Times New Roman" w:cs="Times New Roman" w:eastAsia="Times New Roman" w:hint="default"/>
          <w:sz w:val="18"/>
          <w:szCs w:val="18"/>
        </w:rPr>
        <w:t>658.62%</w:t>
      </w:r>
      <w:r>
        <w:rPr>
          <w:rFonts w:ascii="宋体" w:hAnsi="宋体" w:cs="宋体" w:eastAsia="宋体" w:hint="default"/>
          <w:sz w:val="18"/>
          <w:szCs w:val="18"/>
        </w:rPr>
        <w:t>，主要系本期对外投资增加，贵博新能生产基 地及公司软件研发生产楼持续投入所致。</w:t>
      </w:r>
    </w:p>
    <w:p>
      <w:pPr>
        <w:spacing w:line="300" w:lineRule="auto" w:before="72"/>
        <w:ind w:left="153" w:right="1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、筹资活动产生的现金流量净额为</w:t>
      </w:r>
      <w:r>
        <w:rPr>
          <w:rFonts w:ascii="Times New Roman" w:hAnsi="Times New Roman" w:cs="Times New Roman" w:eastAsia="Times New Roman" w:hint="default"/>
          <w:sz w:val="18"/>
          <w:szCs w:val="18"/>
        </w:rPr>
        <w:t>37,699.40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万元，较上年增长了</w:t>
      </w:r>
      <w:r>
        <w:rPr>
          <w:rFonts w:ascii="Times New Roman" w:hAnsi="Times New Roman" w:cs="Times New Roman" w:eastAsia="Times New Roman" w:hint="default"/>
          <w:sz w:val="18"/>
          <w:szCs w:val="18"/>
        </w:rPr>
        <w:t>11,919.34%</w:t>
      </w:r>
      <w:r>
        <w:rPr>
          <w:rFonts w:ascii="宋体" w:hAnsi="宋体" w:cs="宋体" w:eastAsia="宋体" w:hint="default"/>
          <w:sz w:val="18"/>
          <w:szCs w:val="18"/>
        </w:rPr>
        <w:t>，主要系本期非公开发行股份募集资金及 新增借款所致。</w:t>
      </w:r>
    </w:p>
    <w:p>
      <w:pPr>
        <w:spacing w:before="72"/>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668"/>
        <w:gridCol w:w="1402"/>
        <w:gridCol w:w="1647"/>
        <w:gridCol w:w="3241"/>
        <w:gridCol w:w="1728"/>
      </w:tblGrid>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1,800,413.62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主要系权益法核算的长期股权投资收益</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29" w:hRule="exact"/>
        </w:trPr>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16,063,303.59</w:t>
            </w:r>
          </w:p>
        </w:tc>
        <w:tc>
          <w:tcPr>
            <w:tcW w:w="16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7" w:right="0"/>
              <w:jc w:val="left"/>
              <w:rPr>
                <w:rFonts w:ascii="Times New Roman" w:hAnsi="Times New Roman" w:cs="Times New Roman" w:eastAsia="Times New Roman" w:hint="default"/>
                <w:sz w:val="18"/>
                <w:szCs w:val="18"/>
              </w:rPr>
            </w:pPr>
            <w:r>
              <w:rPr>
                <w:rFonts w:ascii="Times New Roman"/>
                <w:sz w:val="18"/>
              </w:rPr>
              <w:t>11.99%</w:t>
            </w:r>
          </w:p>
        </w:tc>
        <w:tc>
          <w:tcPr>
            <w:tcW w:w="3241"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因贵博新能未能实现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年度的业绩承 </w:t>
            </w:r>
            <w:r>
              <w:rPr>
                <w:rFonts w:ascii="宋体" w:hAnsi="宋体" w:cs="宋体" w:eastAsia="宋体" w:hint="default"/>
                <w:spacing w:val="-4"/>
                <w:sz w:val="18"/>
                <w:szCs w:val="18"/>
              </w:rPr>
              <w:t>诺，按公司与业绩承诺方签署的相关盈利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补偿协议约定，公司应回购股份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869,697</w:t>
            </w:r>
          </w:p>
          <w:p>
            <w:pPr>
              <w:pStyle w:val="TableParagraph"/>
              <w:spacing w:line="300" w:lineRule="auto" w:before="5"/>
              <w:ind w:left="24" w:right="53"/>
              <w:jc w:val="both"/>
              <w:rPr>
                <w:rFonts w:ascii="宋体" w:hAnsi="宋体" w:cs="宋体" w:eastAsia="宋体" w:hint="default"/>
                <w:sz w:val="18"/>
                <w:szCs w:val="18"/>
              </w:rPr>
            </w:pPr>
            <w:r>
              <w:rPr>
                <w:rFonts w:ascii="宋体" w:hAnsi="宋体" w:cs="宋体" w:eastAsia="宋体" w:hint="default"/>
                <w:sz w:val="18"/>
                <w:szCs w:val="18"/>
              </w:rPr>
              <w:t>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日公司股票收盘 价预计该应回购股份的公允价值</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6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02" w:type="dxa"/>
            <w:vMerge/>
            <w:tcBorders>
              <w:left w:val="single" w:sz="10" w:space="0" w:color="D2D2D2"/>
              <w:right w:val="single" w:sz="4" w:space="0" w:color="000000"/>
            </w:tcBorders>
          </w:tcPr>
          <w:p>
            <w:pPr/>
          </w:p>
        </w:tc>
        <w:tc>
          <w:tcPr>
            <w:tcW w:w="1647" w:type="dxa"/>
            <w:vMerge/>
            <w:tcBorders>
              <w:left w:val="single" w:sz="4" w:space="0" w:color="000000"/>
              <w:right w:val="single" w:sz="4" w:space="0" w:color="000000"/>
            </w:tcBorders>
          </w:tcPr>
          <w:p>
            <w:pPr/>
          </w:p>
        </w:tc>
        <w:tc>
          <w:tcPr>
            <w:tcW w:w="3241"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r>
      <w:tr>
        <w:trPr>
          <w:trHeight w:val="629"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vMerge/>
            <w:tcBorders>
              <w:left w:val="single" w:sz="10" w:space="0" w:color="D2D2D2"/>
              <w:bottom w:val="single" w:sz="4" w:space="0" w:color="000000"/>
              <w:right w:val="single" w:sz="4" w:space="0" w:color="000000"/>
            </w:tcBorders>
          </w:tcPr>
          <w:p>
            <w:pPr/>
          </w:p>
        </w:tc>
        <w:tc>
          <w:tcPr>
            <w:tcW w:w="1647" w:type="dxa"/>
            <w:vMerge/>
            <w:tcBorders>
              <w:left w:val="single" w:sz="4" w:space="0" w:color="000000"/>
              <w:bottom w:val="single" w:sz="4" w:space="0" w:color="000000"/>
              <w:right w:val="single" w:sz="4" w:space="0" w:color="000000"/>
            </w:tcBorders>
          </w:tcPr>
          <w:p>
            <w:pPr/>
          </w:p>
        </w:tc>
        <w:tc>
          <w:tcPr>
            <w:tcW w:w="3241"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2,004,846.21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期末存货计提的跌价准备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4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39,256,313.98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29.31%</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主要系政府补助及递延收益摊销转入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20,221,132.86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期末应收款及应收票据余额相应计提的 坏账准备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0"/>
        <w:rPr>
          <w:rFonts w:ascii="宋体" w:hAnsi="宋体" w:cs="宋体" w:eastAsia="宋体" w:hint="default"/>
          <w:sz w:val="12"/>
          <w:szCs w:val="12"/>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65"/>
        <w:gridCol w:w="1256"/>
        <w:gridCol w:w="1063"/>
        <w:gridCol w:w="1196"/>
        <w:gridCol w:w="1063"/>
        <w:gridCol w:w="797"/>
        <w:gridCol w:w="2919"/>
      </w:tblGrid>
      <w:tr>
        <w:trPr>
          <w:trHeight w:val="380" w:hRule="exact"/>
        </w:trPr>
        <w:tc>
          <w:tcPr>
            <w:tcW w:w="1265"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65" w:type="dxa"/>
            <w:vMerge w:val="restart"/>
            <w:tcBorders>
              <w:top w:val="single" w:sz="14" w:space="0" w:color="FFFFFF"/>
              <w:left w:val="single" w:sz="4" w:space="0" w:color="000000"/>
              <w:right w:val="single" w:sz="4" w:space="0" w:color="000000"/>
            </w:tcBorders>
            <w:shd w:val="clear" w:color="auto" w:fill="D2D2D2"/>
          </w:tcPr>
          <w:p>
            <w:pPr/>
          </w:p>
        </w:tc>
        <w:tc>
          <w:tcPr>
            <w:tcW w:w="125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708,480,946.72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26.15%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466,171,723.91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21.93%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4.22%</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比重无重大变化，货币资金期末余额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较期初增长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51.98%</w:t>
            </w:r>
            <w:r>
              <w:rPr>
                <w:rFonts w:ascii="宋体" w:hAnsi="宋体" w:cs="宋体" w:eastAsia="宋体" w:hint="default"/>
                <w:spacing w:val="-6"/>
                <w:sz w:val="18"/>
                <w:szCs w:val="18"/>
              </w:rPr>
              <w:t>，主要系对外筹资</w:t>
            </w:r>
            <w:r>
              <w:rPr>
                <w:rFonts w:ascii="宋体" w:hAnsi="宋体" w:cs="宋体" w:eastAsia="宋体" w:hint="default"/>
                <w:sz w:val="18"/>
                <w:szCs w:val="18"/>
              </w:rPr>
              <w:t> 增加及经营活动产生的现金流量净 额流入所致</w:t>
            </w:r>
          </w:p>
        </w:tc>
      </w:tr>
      <w:tr>
        <w:trPr>
          <w:trHeight w:val="39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480,901,244.20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426,833,898.16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115,930,786.68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146,855,492.89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6"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11,715,652.59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10,255,812.13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70,503,792.37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59,348,070.30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73"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206,200,724.07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109,747,033.36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2.45%</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比重无重大变化，期末余额较期初增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长</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87.89%</w:t>
            </w:r>
            <w:r>
              <w:rPr>
                <w:rFonts w:ascii="宋体" w:hAnsi="宋体" w:cs="宋体" w:eastAsia="宋体" w:hint="default"/>
                <w:spacing w:val="-5"/>
                <w:sz w:val="18"/>
                <w:szCs w:val="18"/>
              </w:rPr>
              <w:t>，主要系贵博新能生产基地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及公司软件研发生产楼持续投入所 致</w:t>
            </w:r>
          </w:p>
        </w:tc>
      </w:tr>
      <w:tr>
        <w:trPr>
          <w:trHeight w:val="39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6"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319,059,822.55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11.78%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189,800,000.00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8.93%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2.85%</w:t>
            </w:r>
          </w:p>
        </w:tc>
        <w:tc>
          <w:tcPr>
            <w:tcW w:w="2919"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比重无重大变化，期末余额较期初增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长</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68.10%</w:t>
            </w:r>
            <w:r>
              <w:rPr>
                <w:rFonts w:ascii="宋体" w:hAnsi="宋体" w:cs="宋体" w:eastAsia="宋体" w:hint="default"/>
                <w:spacing w:val="-5"/>
                <w:sz w:val="18"/>
                <w:szCs w:val="18"/>
              </w:rPr>
              <w:t>，主要系因资金周转需要增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加借款所致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98,835,129.58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3.65%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4,500,000.00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0.21%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比重无重大变化，期末余额较期初增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长较大，主要系本期新增中长期流动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资金贷款所致</w:t>
            </w:r>
          </w:p>
        </w:tc>
      </w:tr>
      <w:tr>
        <w:trPr>
          <w:trHeight w:val="39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02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 w:right="161"/>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188,019,662.92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比重无重大变化，期末余额较期初增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735.64%</w:t>
            </w:r>
            <w:r>
              <w:rPr>
                <w:rFonts w:ascii="宋体" w:hAnsi="宋体" w:cs="宋体" w:eastAsia="宋体" w:hint="default"/>
                <w:sz w:val="18"/>
                <w:szCs w:val="18"/>
              </w:rPr>
              <w:t>，主要系对外投资增加及 其他权益工具公允价值变动所致</w:t>
            </w: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2" w:right="161"/>
              <w:jc w:val="left"/>
              <w:rPr>
                <w:rFonts w:ascii="宋体" w:hAnsi="宋体" w:cs="宋体" w:eastAsia="宋体" w:hint="default"/>
                <w:sz w:val="18"/>
                <w:szCs w:val="18"/>
              </w:rPr>
            </w:pPr>
            <w:r>
              <w:rPr>
                <w:rFonts w:ascii="宋体" w:hAnsi="宋体" w:cs="宋体" w:eastAsia="宋体" w:hint="default"/>
                <w:sz w:val="18"/>
                <w:szCs w:val="18"/>
              </w:rPr>
              <w:t>一年以内到期 的非流动资产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66,620,985.08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年末 </w:t>
            </w:r>
            <w:r>
              <w:rPr>
                <w:rFonts w:ascii="宋体" w:hAnsi="宋体" w:cs="宋体" w:eastAsia="宋体" w:hint="default"/>
                <w:spacing w:val="-2"/>
                <w:sz w:val="18"/>
                <w:szCs w:val="18"/>
              </w:rPr>
              <w:t>增长较大，主要系长期应收款重分类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4"/>
        <w:gridCol w:w="1156"/>
        <w:gridCol w:w="928"/>
        <w:gridCol w:w="1193"/>
        <w:gridCol w:w="844"/>
        <w:gridCol w:w="1430"/>
        <w:gridCol w:w="699"/>
        <w:gridCol w:w="1132"/>
        <w:gridCol w:w="1212"/>
      </w:tblGrid>
      <w:tr>
        <w:trPr>
          <w:trHeight w:val="161" w:hRule="exact"/>
        </w:trPr>
        <w:tc>
          <w:tcPr>
            <w:tcW w:w="964" w:type="dxa"/>
            <w:vMerge w:val="restart"/>
            <w:tcBorders>
              <w:top w:val="single" w:sz="4" w:space="0" w:color="000000"/>
              <w:left w:val="single" w:sz="4" w:space="0" w:color="000000"/>
              <w:right w:val="single" w:sz="4" w:space="0" w:color="000000"/>
            </w:tcBorders>
            <w:shd w:val="clear" w:color="auto" w:fill="D2D2D2"/>
          </w:tcPr>
          <w:p>
            <w:pPr/>
          </w:p>
        </w:tc>
        <w:tc>
          <w:tcPr>
            <w:tcW w:w="1156"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101"/>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6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2"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4" w:type="dxa"/>
            <w:vMerge/>
            <w:tcBorders>
              <w:left w:val="single" w:sz="4" w:space="0" w:color="000000"/>
              <w:bottom w:val="nil" w:sz="6" w:space="0" w:color="auto"/>
              <w:right w:val="single" w:sz="4" w:space="0" w:color="000000"/>
            </w:tcBorders>
            <w:shd w:val="clear" w:color="auto" w:fill="D2D2D2"/>
          </w:tcPr>
          <w:p>
            <w:pPr/>
          </w:p>
        </w:tc>
        <w:tc>
          <w:tcPr>
            <w:tcW w:w="1156"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1" w:right="54"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430" w:type="dxa"/>
            <w:vMerge/>
            <w:tcBorders>
              <w:left w:val="single" w:sz="4" w:space="0" w:color="000000"/>
              <w:bottom w:val="nil" w:sz="6" w:space="0" w:color="auto"/>
              <w:right w:val="single" w:sz="4" w:space="0" w:color="000000"/>
            </w:tcBorders>
            <w:shd w:val="clear" w:color="auto" w:fill="D2D2D2"/>
          </w:tcPr>
          <w:p>
            <w:pPr/>
          </w:p>
        </w:tc>
        <w:tc>
          <w:tcPr>
            <w:tcW w:w="69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3" w:right="73"/>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132"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2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699" w:type="dxa"/>
            <w:vMerge/>
            <w:tcBorders>
              <w:left w:val="single" w:sz="4" w:space="0" w:color="000000"/>
              <w:right w:val="single" w:sz="4" w:space="0" w:color="000000"/>
            </w:tcBorders>
            <w:shd w:val="clear" w:color="auto" w:fill="D2D2D2"/>
          </w:tcPr>
          <w:p>
            <w:pPr/>
          </w:p>
        </w:tc>
        <w:tc>
          <w:tcPr>
            <w:tcW w:w="1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4" w:type="dxa"/>
            <w:vMerge w:val="restart"/>
            <w:tcBorders>
              <w:top w:val="nil" w:sz="6" w:space="0" w:color="auto"/>
              <w:left w:val="single" w:sz="4" w:space="0" w:color="000000"/>
              <w:right w:val="single" w:sz="4" w:space="0" w:color="000000"/>
            </w:tcBorders>
            <w:shd w:val="clear" w:color="auto" w:fill="D2D2D2"/>
          </w:tcPr>
          <w:p>
            <w:pPr/>
          </w:p>
        </w:tc>
        <w:tc>
          <w:tcPr>
            <w:tcW w:w="1156"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699" w:type="dxa"/>
            <w:vMerge/>
            <w:tcBorders>
              <w:left w:val="single" w:sz="4" w:space="0" w:color="000000"/>
              <w:bottom w:val="nil" w:sz="6" w:space="0" w:color="auto"/>
              <w:right w:val="single" w:sz="4" w:space="0" w:color="000000"/>
            </w:tcBorders>
            <w:shd w:val="clear" w:color="auto" w:fill="D2D2D2"/>
          </w:tcPr>
          <w:p>
            <w:pPr/>
          </w:p>
        </w:tc>
        <w:tc>
          <w:tcPr>
            <w:tcW w:w="1132"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4"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6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4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 投资</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37,883,435.00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6,825,440.00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44,708,875.00</w:t>
            </w:r>
          </w:p>
        </w:tc>
      </w:tr>
      <w:tr>
        <w:trPr>
          <w:trHeight w:val="715"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22,500,000.00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15,522,893.72</w:t>
            </w: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149,996,769.20</w:t>
            </w: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188,019,662.92</w:t>
            </w:r>
          </w:p>
        </w:tc>
      </w:tr>
      <w:tr>
        <w:trPr>
          <w:trHeight w:val="713"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60,383,435.00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15,522,893.72</w:t>
            </w: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149,996,769.20</w:t>
            </w: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6,825,440.00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232,728,537.92</w:t>
            </w:r>
          </w:p>
        </w:tc>
      </w:tr>
      <w:tr>
        <w:trPr>
          <w:trHeight w:val="403"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60,383,435.00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15,522,893.72</w:t>
            </w: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149,996,769.20</w:t>
            </w: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6,825,440.00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232,728,537.92</w:t>
            </w:r>
          </w:p>
        </w:tc>
      </w:tr>
      <w:tr>
        <w:trPr>
          <w:trHeight w:val="401"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92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其他变动的内容 其他变动系本期收到的未兑付银行承兑汇票净额增加。 报告期内公司主要资产计量属性是否发生重大变化</w:t>
      </w:r>
    </w:p>
    <w:p>
      <w:pPr>
        <w:spacing w:before="2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67" w:val="left" w:leader="none"/>
              </w:tabs>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29,582,430.83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用于开具银行承兑汇票和保函</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质押用于开具银行承兑汇票</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18,961,096.88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抵押用于取得银行贷款</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149,996,769.20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717,700,000.00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-79.10%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15"/>
        <w:gridCol w:w="1393"/>
        <w:gridCol w:w="905"/>
        <w:gridCol w:w="1203"/>
        <w:gridCol w:w="1354"/>
        <w:gridCol w:w="785"/>
        <w:gridCol w:w="718"/>
        <w:gridCol w:w="1310"/>
        <w:gridCol w:w="1016"/>
      </w:tblGrid>
      <w:tr>
        <w:trPr>
          <w:trHeight w:val="1025" w:hRule="exact"/>
        </w:trPr>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4"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0" w:right="41"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3"/>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217,205,644.20</w:t>
            </w:r>
          </w:p>
        </w:tc>
        <w:tc>
          <w:tcPr>
            <w:tcW w:w="90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15,522,893.72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149,996,769.20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center"/>
              <w:rPr>
                <w:rFonts w:ascii="Times New Roman" w:hAnsi="Times New Roman" w:cs="Times New Roman" w:eastAsia="Times New Roman" w:hint="default"/>
                <w:sz w:val="18"/>
                <w:szCs w:val="18"/>
              </w:rPr>
            </w:pPr>
            <w:r>
              <w:rPr>
                <w:rFonts w:ascii="Times New Roman"/>
                <w:sz w:val="18"/>
              </w:rPr>
              <w:t>232,728,537.92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217,205,644.20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15,522,893.72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149,996,769.20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232,728,537.92</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2"/>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首次公开 发行股票 募集资金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已全部使 用完毕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发行股份 购买资产 配套募集 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16,485.88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16,230.71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36,045.88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1,052.46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19,815.17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16,230.71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一、首次公开发行股票募集资金：①实际募集资金金额、资金到账时间：经中国证监会《关于核准科大国创软件股份有限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公司首次公开发行股票的批复》（证监许可</w:t>
            </w:r>
            <w:r>
              <w:rPr>
                <w:rFonts w:ascii="Times New Roman" w:hAnsi="Times New Roman" w:cs="Times New Roman" w:eastAsia="Times New Roman" w:hint="default"/>
                <w:spacing w:val="-4"/>
                <w:sz w:val="18"/>
                <w:szCs w:val="18"/>
              </w:rPr>
              <w:t>[2016]1302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号文）核准，并经深圳证券交易所批准，公司向社会公开发行人民</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6"/>
                <w:sz w:val="18"/>
                <w:szCs w:val="18"/>
              </w:rPr>
              <w:t>币普通股（</w:t>
            </w:r>
            <w:r>
              <w:rPr>
                <w:rFonts w:ascii="Times New Roman" w:hAnsi="Times New Roman" w:cs="Times New Roman" w:eastAsia="Times New Roman" w:hint="default"/>
                <w:spacing w:val="-6"/>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2,300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万股，发行价格为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股，募集资金总额人民币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23,115.00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万元，扣除发行费用人民币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3,555.00</w:t>
            </w:r>
          </w:p>
        </w:tc>
      </w:tr>
    </w:tbl>
    <w:p>
      <w:pPr>
        <w:spacing w:after="0" w:line="307"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18"/>
          <w:szCs w:val="18"/>
        </w:rPr>
      </w:pPr>
    </w:p>
    <w:p>
      <w:pPr>
        <w:spacing w:line="4148" w:lineRule="exact"/>
        <w:ind w:left="153" w:right="0" w:firstLine="0"/>
        <w:rPr>
          <w:rFonts w:ascii="宋体" w:hAnsi="宋体" w:cs="宋体" w:eastAsia="宋体" w:hint="default"/>
          <w:sz w:val="20"/>
          <w:szCs w:val="20"/>
        </w:rPr>
      </w:pPr>
      <w:r>
        <w:rPr>
          <w:rFonts w:ascii="宋体" w:hAnsi="宋体" w:cs="宋体" w:eastAsia="宋体" w:hint="default"/>
          <w:position w:val="-82"/>
          <w:sz w:val="20"/>
          <w:szCs w:val="20"/>
        </w:rPr>
        <w:pict>
          <v:shape style="width:478.3pt;height:207.45pt;mso-position-horizontal-relative:char;mso-position-vertical-relative:line" type="#_x0000_t202" filled="false" stroked="true" strokeweight=".47998pt" strokecolor="#000000">
            <w10:anchorlock/>
            <v:textbox inset="0,0,0,0">
              <w:txbxContent>
                <w:p>
                  <w:pPr>
                    <w:spacing w:line="300" w:lineRule="auto" w:before="8"/>
                    <w:ind w:left="24" w:right="17" w:firstLine="0"/>
                    <w:jc w:val="left"/>
                    <w:rPr>
                      <w:rFonts w:ascii="宋体" w:hAnsi="宋体" w:cs="宋体" w:eastAsia="宋体" w:hint="default"/>
                      <w:sz w:val="18"/>
                      <w:szCs w:val="18"/>
                    </w:rPr>
                  </w:pPr>
                  <w:r>
                    <w:rPr>
                      <w:rFonts w:ascii="宋体" w:hAnsi="宋体" w:cs="宋体" w:eastAsia="宋体" w:hint="default"/>
                      <w:sz w:val="18"/>
                      <w:szCs w:val="18"/>
                    </w:rPr>
                    <w:t>万元，实际募集资金净额为人民币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19,560.00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万元。以上募集资金已于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日到位，业经容诚会计师事务所（特 殊普通合伙）会验字</w:t>
                  </w:r>
                  <w:r>
                    <w:rPr>
                      <w:rFonts w:ascii="Times New Roman" w:hAnsi="Times New Roman" w:cs="Times New Roman" w:eastAsia="Times New Roman" w:hint="default"/>
                      <w:sz w:val="18"/>
                      <w:szCs w:val="18"/>
                    </w:rPr>
                    <w:t>[2016]3985 </w:t>
                  </w:r>
                  <w:r>
                    <w:rPr>
                      <w:rFonts w:ascii="宋体" w:hAnsi="宋体" w:cs="宋体" w:eastAsia="宋体" w:hint="default"/>
                      <w:sz w:val="18"/>
                      <w:szCs w:val="18"/>
                    </w:rPr>
                    <w:t>号《验资报告》验证。②募集资金使用及结余情况：</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年度，直接投入募集资金项目 </w:t>
                  </w:r>
                  <w:r>
                    <w:rPr>
                      <w:rFonts w:ascii="Times New Roman" w:hAnsi="Times New Roman" w:cs="Times New Roman" w:eastAsia="Times New Roman" w:hint="default"/>
                      <w:sz w:val="18"/>
                      <w:szCs w:val="18"/>
                    </w:rPr>
                    <w:t>329.17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万元，节余募集资金永久补充流动资金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468.12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19,560.00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万元，累计已使用募集资金专用账户利息收入（扣除银行手续费）</w:t>
                  </w:r>
                  <w:r>
                    <w:rPr>
                      <w:rFonts w:ascii="Times New Roman" w:hAnsi="Times New Roman" w:cs="Times New Roman" w:eastAsia="Times New Roman" w:hint="default"/>
                      <w:sz w:val="18"/>
                      <w:szCs w:val="18"/>
                    </w:rPr>
                    <w:t>378.14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万元，募集资金及利息收入均已使用完毕。</w:t>
                  </w:r>
                </w:p>
                <w:p>
                  <w:pPr>
                    <w:spacing w:line="309" w:lineRule="auto" w:before="53"/>
                    <w:ind w:left="24" w:right="17" w:firstLine="0"/>
                    <w:jc w:val="left"/>
                    <w:rPr>
                      <w:rFonts w:ascii="宋体" w:hAnsi="宋体" w:cs="宋体" w:eastAsia="宋体" w:hint="default"/>
                      <w:sz w:val="18"/>
                      <w:szCs w:val="18"/>
                    </w:rPr>
                  </w:pPr>
                  <w:r>
                    <w:rPr>
                      <w:rFonts w:ascii="宋体" w:hAnsi="宋体" w:cs="宋体" w:eastAsia="宋体" w:hint="default"/>
                      <w:spacing w:val="-1"/>
                      <w:sz w:val="18"/>
                      <w:szCs w:val="18"/>
                    </w:rPr>
                    <w:t>二、发行股份购买资产配套募集资金：①实际募集资金金额、资金到账时间：经中国证监会《关于核准科大国创软件股份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有限公司向孙路等发行股份购买资产并募集配套资金的批复》（证监许可</w:t>
                  </w:r>
                  <w:r>
                    <w:rPr>
                      <w:rFonts w:ascii="Times New Roman" w:hAnsi="Times New Roman" w:cs="Times New Roman" w:eastAsia="Times New Roman" w:hint="default"/>
                      <w:spacing w:val="-3"/>
                      <w:sz w:val="18"/>
                      <w:szCs w:val="18"/>
                    </w:rPr>
                    <w:t>[2018]2063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号）核准，公司通过非公开发行人民</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11,151,078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股，发行价格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万元，扣除发行费用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2,114.12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p>
                  <w:pPr>
                    <w:spacing w:before="5"/>
                    <w:ind w:left="24" w:right="0" w:firstLine="0"/>
                    <w:jc w:val="left"/>
                    <w:rPr>
                      <w:rFonts w:ascii="宋体" w:hAnsi="宋体" w:cs="宋体" w:eastAsia="宋体" w:hint="default"/>
                      <w:sz w:val="18"/>
                      <w:szCs w:val="18"/>
                    </w:rPr>
                  </w:pPr>
                  <w:r>
                    <w:rPr>
                      <w:rFonts w:ascii="宋体" w:hAnsi="宋体" w:cs="宋体" w:eastAsia="宋体" w:hint="default"/>
                      <w:sz w:val="18"/>
                      <w:szCs w:val="18"/>
                    </w:rPr>
                    <w:t>（不含税金额为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1,994.45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16,605.55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万元（含发行费用的进项税额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万元，实际到位募集</w:t>
                  </w:r>
                </w:p>
                <w:p>
                  <w:pPr>
                    <w:spacing w:line="300" w:lineRule="auto" w:before="63"/>
                    <w:ind w:left="24" w:right="46"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16,485.88</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万元）。以上募集资金已于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日到位，业经容诚会计师事务所（特殊普通合伙）会验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字</w:t>
                  </w:r>
                  <w:r>
                    <w:rPr>
                      <w:rFonts w:ascii="Times New Roman" w:hAnsi="Times New Roman" w:cs="Times New Roman" w:eastAsia="Times New Roman" w:hint="default"/>
                      <w:sz w:val="18"/>
                      <w:szCs w:val="18"/>
                    </w:rPr>
                    <w:t>[2019]8141 </w:t>
                  </w:r>
                  <w:r>
                    <w:rPr>
                      <w:rFonts w:ascii="宋体" w:hAnsi="宋体" w:cs="宋体" w:eastAsia="宋体" w:hint="default"/>
                      <w:sz w:val="18"/>
                      <w:szCs w:val="18"/>
                    </w:rPr>
                    <w:t>号《验资报告》验证。② 募集资金使用及结余情况：</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年度，直接使用募集资金投入募集资金投资项目 </w:t>
                  </w:r>
                  <w:r>
                    <w:rPr>
                      <w:rFonts w:ascii="Times New Roman" w:hAnsi="Times New Roman" w:cs="Times New Roman" w:eastAsia="Times New Roman" w:hint="default"/>
                      <w:sz w:val="18"/>
                      <w:szCs w:val="18"/>
                    </w:rPr>
                    <w:t>255.17 </w:t>
                  </w:r>
                  <w:r>
                    <w:rPr>
                      <w:rFonts w:ascii="宋体" w:hAnsi="宋体" w:cs="宋体" w:eastAsia="宋体" w:hint="default"/>
                      <w:sz w:val="18"/>
                      <w:szCs w:val="18"/>
                    </w:rPr>
                    <w:t>万元。截止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255.17 </w:t>
                  </w:r>
                  <w:r>
                    <w:rPr>
                      <w:rFonts w:ascii="宋体" w:hAnsi="宋体" w:cs="宋体" w:eastAsia="宋体" w:hint="default"/>
                      <w:sz w:val="18"/>
                      <w:szCs w:val="18"/>
                    </w:rPr>
                    <w:t>万元，募集资金专用账户余额合计为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16,746.20</w:t>
                  </w:r>
                </w:p>
                <w:p>
                  <w:pPr>
                    <w:spacing w:before="13"/>
                    <w:ind w:left="24"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万元（其中：包括尚未置换的发行费用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514.12 </w:t>
                  </w:r>
                  <w:r>
                    <w:rPr>
                      <w:rFonts w:ascii="宋体" w:hAnsi="宋体" w:cs="宋体" w:eastAsia="宋体" w:hint="default"/>
                      <w:sz w:val="18"/>
                      <w:szCs w:val="18"/>
                    </w:rPr>
                    <w:t>万元及累计收到的利息收入净额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 </w:t>
                  </w:r>
                  <w:r>
                    <w:rPr>
                      <w:rFonts w:ascii="宋体" w:hAnsi="宋体" w:cs="宋体" w:eastAsia="宋体" w:hint="default"/>
                      <w:spacing w:val="-3"/>
                      <w:sz w:val="18"/>
                      <w:szCs w:val="18"/>
                    </w:rPr>
                    <w:t>万元，不含发行费用的进项税额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119.67</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xbxContent>
            </v:textbox>
          </v:shape>
        </w:pict>
      </w:r>
      <w:r>
        <w:rPr>
          <w:rFonts w:ascii="宋体" w:hAnsi="宋体" w:cs="宋体" w:eastAsia="宋体" w:hint="default"/>
          <w:position w:val="-82"/>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708"/>
        <w:gridCol w:w="785"/>
        <w:gridCol w:w="895"/>
        <w:gridCol w:w="727"/>
        <w:gridCol w:w="898"/>
        <w:gridCol w:w="898"/>
        <w:gridCol w:w="727"/>
        <w:gridCol w:w="728"/>
        <w:gridCol w:w="898"/>
        <w:gridCol w:w="728"/>
        <w:gridCol w:w="727"/>
      </w:tblGrid>
      <w:tr>
        <w:trPr>
          <w:trHeight w:val="16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承诺投资 项目和超 募资金投 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7"/>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4" w:lineRule="auto"/>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新一代电 信运营支 撑系统建 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2,200.74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3,724.12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电力企业 一体化管 控软件建 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企业级信 息集成平 台建设项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大数据驱 动的智能 应用软件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5,881.88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2,027.67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2,027.67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研发中心 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2,441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r>
        <w:rPr/>
        <w:pict>
          <v:shape style="position:absolute;margin-left:56.424pt;margin-top:71.999985pt;width:479.3pt;height:694.2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708"/>
                    <w:gridCol w:w="785"/>
                    <w:gridCol w:w="895"/>
                    <w:gridCol w:w="727"/>
                    <w:gridCol w:w="898"/>
                    <w:gridCol w:w="898"/>
                    <w:gridCol w:w="727"/>
                    <w:gridCol w:w="728"/>
                    <w:gridCol w:w="898"/>
                    <w:gridCol w:w="728"/>
                    <w:gridCol w:w="727"/>
                  </w:tblGrid>
                  <w:tr>
                    <w:trPr>
                      <w:trHeight w:val="363"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营销与服 务网络建 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补充公司 流动资金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新能源汽 车电池管 理系统产 业化建设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7,985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新能源汽 车电池管 理系统研 发中心建 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255.17</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新能源汽 车核心控 制器检测 试验中心 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承诺投资 项目小计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35,560</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35,560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584.34</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19,347.05</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4,228.41</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5,751.79</w:t>
                        </w: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852"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85" w:type="dxa"/>
                        <w:vMerge/>
                        <w:tcBorders>
                          <w:left w:val="single" w:sz="9" w:space="0" w:color="D2D2D2"/>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8"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vMerge/>
                        <w:tcBorders>
                          <w:left w:val="single" w:sz="9" w:space="0" w:color="D2D2D2"/>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19,347.05</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4,228.41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5,751.79</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826" w:hRule="exact"/>
                    </w:trPr>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19"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新一代电信运营支撑系统建设项目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实现效益 </w:t>
                        </w:r>
                        <w:r>
                          <w:rPr>
                            <w:rFonts w:ascii="Times New Roman" w:hAnsi="Times New Roman" w:cs="Times New Roman" w:eastAsia="Times New Roman" w:hint="default"/>
                            <w:sz w:val="18"/>
                            <w:szCs w:val="18"/>
                          </w:rPr>
                          <w:t>2,200.74</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大数据驱动的智能应用软件项目</w:t>
                        </w:r>
                        <w:r>
                          <w:rPr>
                            <w:rFonts w:ascii="Times New Roman" w:hAnsi="Times New Roman" w:cs="Times New Roman" w:eastAsia="Times New Roman" w:hint="default"/>
                            <w:spacing w:val="-4"/>
                            <w:sz w:val="18"/>
                            <w:szCs w:val="18"/>
                          </w:rPr>
                          <w:t>”</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实现效益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2,027.67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万元，未达到预计效益。</w:t>
                        </w:r>
                      </w:p>
                      <w:p>
                        <w:pPr>
                          <w:pStyle w:val="TableParagraph"/>
                          <w:spacing w:line="300" w:lineRule="auto" w:before="103"/>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新一代电信运营支撑系统建设项目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成果已经形成，并已广泛应用于三大电信运营商集团总部及</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余家下属各 级公司。随着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的融合发展，运营商的业务正从信息化向数据智能化转变，为抓住运营商下一代运营支 撑系统智能化发展趋势，公司加大投入，在本项目成果基础上融合数据智能技术，前瞻性打造</w:t>
                        </w:r>
                        <w:r>
                          <w:rPr>
                            <w:rFonts w:ascii="Times New Roman" w:hAnsi="Times New Roman" w:cs="Times New Roman" w:eastAsia="Times New Roman" w:hint="default"/>
                            <w:sz w:val="18"/>
                            <w:szCs w:val="18"/>
                          </w:rPr>
                          <w:t>“</w:t>
                        </w:r>
                        <w:r>
                          <w:rPr>
                            <w:rFonts w:ascii="宋体" w:hAnsi="宋体" w:cs="宋体" w:eastAsia="宋体" w:hint="default"/>
                            <w:sz w:val="18"/>
                            <w:szCs w:val="18"/>
                          </w:rPr>
                          <w:t>大圣</w:t>
                        </w:r>
                        <w:r>
                          <w:rPr>
                            <w:rFonts w:ascii="Times New Roman" w:hAnsi="Times New Roman" w:cs="Times New Roman" w:eastAsia="Times New Roman" w:hint="default"/>
                            <w:sz w:val="18"/>
                            <w:szCs w:val="18"/>
                          </w:rPr>
                          <w:t>”</w:t>
                        </w:r>
                        <w:r>
                          <w:rPr>
                            <w:rFonts w:ascii="宋体" w:hAnsi="宋体" w:cs="宋体" w:eastAsia="宋体" w:hint="default"/>
                            <w:sz w:val="18"/>
                            <w:szCs w:val="18"/>
                          </w:rPr>
                          <w:t>智能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OSS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系统，并加大了市场推广力度，导致项目运营成本有所上升，未能达到预计效益。但随着运营商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网络建设 的不断投入，本项目将为后续运营商业务发展奠定坚实基础。</w:t>
                        </w:r>
                      </w:p>
                      <w:p>
                        <w:pPr>
                          <w:pStyle w:val="TableParagraph"/>
                          <w:spacing w:line="309" w:lineRule="auto" w:before="70"/>
                          <w:ind w:left="16"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主要面向能源、交通、金融、政府等政企领域，运用领先的数据智能技术， 结合行业业务特征对组织内外的海量数据进行分析及挖掘，并将结果应用于指导组织的管理及决策，本项目研 </w:t>
                        </w:r>
                        <w:r>
                          <w:rPr>
                            <w:rFonts w:ascii="宋体" w:hAnsi="宋体" w:cs="宋体" w:eastAsia="宋体" w:hint="default"/>
                            <w:spacing w:val="-3"/>
                            <w:sz w:val="18"/>
                            <w:szCs w:val="18"/>
                          </w:rPr>
                          <w:t>发成果已经形成并已实现部分应用。未达到预计效益主要是由于该项目于</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月方才达到预定可使用状态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尚处投产初期，且上述不同行业客户的数字化发展程度不一，客户需求正在逐步释放中，公司将进一步加大该</w:t>
                        </w:r>
                        <w:r>
                          <w:rPr>
                            <w:rFonts w:ascii="宋体" w:hAnsi="宋体" w:cs="宋体" w:eastAsia="宋体" w:hint="default"/>
                            <w:sz w:val="18"/>
                            <w:szCs w:val="18"/>
                          </w:rPr>
                          <w:t> 产品的市场推广力度。</w:t>
                        </w:r>
                      </w:p>
                    </w:tc>
                  </w:tr>
                  <w:tr>
                    <w:trPr>
                      <w:trHeight w:val="2264"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未达到计 划进度或 预计收益 的情况和 原因（分 具体项 目）</w:t>
                        </w:r>
                      </w:p>
                    </w:tc>
                    <w:tc>
                      <w:tcPr>
                        <w:tcW w:w="8719" w:type="dxa"/>
                        <w:gridSpan w:val="11"/>
                        <w:vMerge/>
                        <w:tcBorders>
                          <w:left w:val="single" w:sz="10" w:space="0" w:color="D2D2D2"/>
                          <w:right w:val="single" w:sz="4" w:space="0" w:color="000000"/>
                        </w:tcBorders>
                      </w:tcPr>
                      <w:p>
                        <w:pPr/>
                      </w:p>
                    </w:tc>
                  </w:tr>
                  <w:tr>
                    <w:trPr>
                      <w:trHeight w:val="826" w:hRule="exact"/>
                    </w:trPr>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19" w:type="dxa"/>
                        <w:gridSpan w:val="11"/>
                        <w:vMerge/>
                        <w:tcBorders>
                          <w:left w:val="single" w:sz="10" w:space="0" w:color="D2D2D2"/>
                          <w:bottom w:val="single" w:sz="4" w:space="0" w:color="000000"/>
                          <w:right w:val="single" w:sz="4" w:space="0" w:color="000000"/>
                        </w:tcBorders>
                      </w:tcPr>
                      <w:p>
                        <w:pPr/>
                      </w:p>
                    </w:tc>
                  </w:tr>
                  <w:tr>
                    <w:trPr>
                      <w:trHeight w:val="67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项目可行 性发生重</w:t>
                        </w:r>
                      </w:p>
                    </w:tc>
                    <w:tc>
                      <w:tcPr>
                        <w:tcW w:w="8719" w:type="dxa"/>
                        <w:gridSpan w:val="11"/>
                        <w:tcBorders>
                          <w:top w:val="single" w:sz="4" w:space="0" w:color="000000"/>
                          <w:left w:val="single" w:sz="13" w:space="0" w:color="D2D2D2"/>
                          <w:bottom w:val="single" w:sz="4" w:space="0" w:color="000000"/>
                          <w:right w:val="single" w:sz="4" w:space="0" w:color="000000"/>
                        </w:tcBorders>
                      </w:tcPr>
                      <w:p>
                        <w:pPr>
                          <w:pStyle w:val="TableParagraph"/>
                          <w:spacing w:line="300" w:lineRule="auto" w:before="49"/>
                          <w:ind w:left="11" w:right="15"/>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4"/>
                            <w:sz w:val="18"/>
                            <w:szCs w:val="18"/>
                          </w:rPr>
                          <w:t>日召开了第二届董事会第十三次会议、于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2"/>
                            <w:sz w:val="18"/>
                            <w:szCs w:val="18"/>
                          </w:rPr>
                          <w:t>东大会，会议审议通过了《关于变更部分募集资金用途的议案》，主要内容是：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电力企业一体化管控软件建设</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r>
        <w:rPr/>
        <w:pict>
          <v:shape style="position:absolute;margin-left:56.484001pt;margin-top:71.999985pt;width:479.2pt;height:689.7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8719"/>
                  </w:tblGrid>
                  <w:tr>
                    <w:trPr>
                      <w:trHeight w:val="2859"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96"/>
                          <w:jc w:val="left"/>
                          <w:rPr>
                            <w:rFonts w:ascii="宋体" w:hAnsi="宋体" w:cs="宋体" w:eastAsia="宋体" w:hint="default"/>
                            <w:sz w:val="18"/>
                            <w:szCs w:val="18"/>
                          </w:rPr>
                        </w:pPr>
                        <w:r>
                          <w:rPr>
                            <w:rFonts w:ascii="宋体" w:hAnsi="宋体" w:cs="宋体" w:eastAsia="宋体" w:hint="default"/>
                            <w:sz w:val="18"/>
                            <w:szCs w:val="18"/>
                          </w:rPr>
                          <w:t>大变化的 情况说明</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5"/>
                          <w:jc w:val="both"/>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年立项，原计划通过建设场地、购买设备、搭建研发平台等分 别升级开发电力企业一体化管控软件和企业级信息集成平台。然而随着公司业务的发展，为满足日常经营需要 公司利用现有资源开展了部分升级开发工作，相关成果已经基本达到上述项目的技术开发要求。近年来大数据 </w:t>
                        </w:r>
                        <w:r>
                          <w:rPr>
                            <w:rFonts w:ascii="宋体" w:hAnsi="宋体" w:cs="宋体" w:eastAsia="宋体" w:hint="default"/>
                            <w:spacing w:val="-2"/>
                            <w:sz w:val="18"/>
                            <w:szCs w:val="18"/>
                          </w:rPr>
                          <w:t>云计算、人工智能等逐步成为行业发展方向，为抢占机遇，发挥优势，公司计划建设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大数据驱动的智能应用软</w:t>
                        </w:r>
                        <w:r>
                          <w:rPr>
                            <w:rFonts w:ascii="宋体" w:hAnsi="宋体" w:cs="宋体" w:eastAsia="宋体" w:hint="default"/>
                            <w:spacing w:val="-52"/>
                            <w:sz w:val="18"/>
                            <w:szCs w:val="18"/>
                          </w:rPr>
                          <w:t> </w:t>
                        </w:r>
                        <w:r>
                          <w:rPr>
                            <w:rFonts w:ascii="宋体" w:hAnsi="宋体" w:cs="宋体" w:eastAsia="宋体" w:hint="default"/>
                            <w:spacing w:val="-2"/>
                            <w:sz w:val="18"/>
                            <w:szCs w:val="18"/>
                          </w:rPr>
                          <w:t>件项目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，为电信、能源、交通、金融、政府等行业或领域提供有效智能应用软件，提高用户应用新一代信息技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术的能力，提升公司业务收入及盈利水平，提高募集资金使用效率，实现股东利益最大化。综上，为提高募集 </w:t>
                        </w:r>
                        <w:r>
                          <w:rPr>
                            <w:rFonts w:ascii="宋体" w:hAnsi="宋体" w:cs="宋体" w:eastAsia="宋体" w:hint="default"/>
                            <w:spacing w:val="-2"/>
                            <w:sz w:val="18"/>
                            <w:szCs w:val="18"/>
                          </w:rPr>
                          <w:t>资金使用效率，节约资源，实现股东利益最大化，公司经审慎研究，决定终止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电力企业一体化管控软件建设项</w:t>
                        </w:r>
                        <w:r>
                          <w:rPr>
                            <w:rFonts w:ascii="宋体" w:hAnsi="宋体" w:cs="宋体" w:eastAsia="宋体" w:hint="default"/>
                            <w:spacing w:val="-52"/>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的相关建设内容，并将未投入的募集资金共计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6,350.00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万元及其利息变更 用途用于建设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。具体内容详见公司在巨潮资讯网上披露的相关公告。</w:t>
                        </w:r>
                      </w:p>
                    </w:tc>
                  </w:tr>
                  <w:tr>
                    <w:trPr>
                      <w:trHeight w:val="401"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超募资金 的金额、 用途及使 用进展情 况</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49"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97"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公司配套募集资金原预计发行费用较实际超募</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485.88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万元，截至报告期末，尚未使用的超募资金存放于募集资 金专用账户中。</w:t>
                        </w:r>
                      </w:p>
                    </w:tc>
                  </w:tr>
                  <w:tr>
                    <w:trPr>
                      <w:trHeight w:val="403"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募集资金 投资项目 实施地点 变更情况</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851" w:type="dxa"/>
                        <w:vMerge/>
                        <w:tcBorders>
                          <w:left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募集资金 投资项目 实施方式 调整情况</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851" w:type="dxa"/>
                        <w:vMerge/>
                        <w:tcBorders>
                          <w:left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募集资金 投资项目 先期投入 及置换情 况</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48"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用闲置募 集资金暂 时补充流 动资金情 况</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48"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项目实施 出现募集 资金结余 的金额及 原因</w:t>
                        </w: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7"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7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6"/>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日召开第三届董事会第三次会议，审议通过了《关于部分募投项目结项并将节余募集资 </w:t>
                        </w:r>
                        <w:r>
                          <w:rPr>
                            <w:rFonts w:ascii="宋体" w:hAnsi="宋体" w:cs="宋体" w:eastAsia="宋体" w:hint="default"/>
                            <w:spacing w:val="-3"/>
                            <w:w w:val="100"/>
                            <w:sz w:val="18"/>
                            <w:szCs w:val="18"/>
                          </w:rPr>
                          <w:t>金永久补充流动资金的议案》，同意将公司募集资金投资项目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大数据驱动的智能应用软件项目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结项，并将节余</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468.12</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万元，加上募集资金利息收入（扣除银行手续费等的净额）</w:t>
                        </w:r>
                        <w:r>
                          <w:rPr>
                            <w:rFonts w:ascii="Times New Roman" w:hAnsi="Times New Roman" w:cs="Times New Roman" w:eastAsia="Times New Roman" w:hint="default"/>
                            <w:spacing w:val="-9"/>
                            <w:sz w:val="18"/>
                            <w:szCs w:val="18"/>
                          </w:rPr>
                          <w:t>216.54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万元，实际累计节余金额</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684.66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万元永久补充流动资金。募集资金节余的主要原因：一是在项目建设过程中，严格按照募集资金使用的有关规 定谨慎使用募集资金，本着合理、节约及有效地使用募集资金的原则，在保证项目建设质量的前提下，充分发 挥公司现有部分基础设施、设备的可共用性，积极利用公司前期共性技术的研发积累，各项资源得到合理调度 和优化配置；二是在项目实施过程中，加强对各个环节项目费用的控制、监督和管理，合理降低了项目整体投 入金额；同时在募集资金存放期间，公司进行合理的理财规划，暂未使用的募集资金产生了一定的利息收入。 具体内容详见公司在巨潮资讯网上披露的相关公告。</w:t>
                        </w:r>
                      </w:p>
                    </w:tc>
                  </w:tr>
                </w:tbl>
                <w:p>
                  <w:pPr/>
                </w:p>
              </w:txbxContent>
            </v:textbox>
            <w10:wrap type="none"/>
          </v:shape>
        </w:pict>
      </w:r>
    </w:p>
    <w:p>
      <w:pPr>
        <w:spacing w:line="240" w:lineRule="auto" w:before="7"/>
        <w:rPr>
          <w:rFonts w:ascii="宋体" w:hAnsi="宋体" w:cs="宋体" w:eastAsia="宋体" w:hint="default"/>
          <w:sz w:val="19"/>
          <w:szCs w:val="19"/>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839"/>
        <w:gridCol w:w="8731"/>
      </w:tblGrid>
      <w:tr>
        <w:trPr>
          <w:trHeight w:val="1337"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尚未使用 的募集资 金用途及 去向</w:t>
            </w:r>
          </w:p>
        </w:tc>
        <w:tc>
          <w:tcPr>
            <w:tcW w:w="8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截至报告期末，尚未使用的募集资金存放于募集资金专用账户中。</w:t>
            </w:r>
          </w:p>
        </w:tc>
      </w:tr>
      <w:tr>
        <w:trPr>
          <w:trHeight w:val="1651"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募集资金 使用及披 露中存在 的问题或 其他情况</w:t>
            </w:r>
          </w:p>
        </w:tc>
        <w:tc>
          <w:tcPr>
            <w:tcW w:w="8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1207"/>
        <w:gridCol w:w="1061"/>
        <w:gridCol w:w="994"/>
        <w:gridCol w:w="994"/>
        <w:gridCol w:w="991"/>
        <w:gridCol w:w="992"/>
        <w:gridCol w:w="994"/>
        <w:gridCol w:w="674"/>
        <w:gridCol w:w="958"/>
      </w:tblGrid>
      <w:tr>
        <w:trPr>
          <w:trHeight w:val="133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7" w:right="77"/>
              <w:jc w:val="left"/>
              <w:rPr>
                <w:rFonts w:ascii="宋体" w:hAnsi="宋体" w:cs="宋体" w:eastAsia="宋体" w:hint="default"/>
                <w:sz w:val="18"/>
                <w:szCs w:val="18"/>
              </w:rPr>
            </w:pPr>
            <w:r>
              <w:rPr>
                <w:rFonts w:ascii="宋体" w:hAnsi="宋体" w:cs="宋体" w:eastAsia="宋体" w:hint="default"/>
                <w:sz w:val="18"/>
                <w:szCs w:val="18"/>
              </w:rPr>
              <w:t>变更后 的项目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19" w:right="55"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38"/>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40"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1" w:right="41"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961"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大数据 驱动的 智能应 用软件 项目</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8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电力企业一 体化管控软件 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 集成平台建设 项目</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5,881.88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92.63%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2,027.67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5,881.88</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2,027.67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769" w:hRule="exact"/>
        </w:trPr>
        <w:tc>
          <w:tcPr>
            <w:tcW w:w="29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日召开了第二届董事会第十三次会议、于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307" w:lineRule="auto" w:before="60"/>
              <w:ind w:left="26" w:right="21"/>
              <w:jc w:val="left"/>
              <w:rPr>
                <w:rFonts w:ascii="宋体" w:hAnsi="宋体" w:cs="宋体" w:eastAsia="宋体" w:hint="default"/>
                <w:sz w:val="18"/>
                <w:szCs w:val="18"/>
              </w:rPr>
            </w:pPr>
            <w:r>
              <w:rPr>
                <w:rFonts w:ascii="宋体" w:hAnsi="宋体" w:cs="宋体" w:eastAsia="宋体" w:hint="default"/>
                <w:sz w:val="18"/>
                <w:szCs w:val="18"/>
              </w:rPr>
              <w:t>召开了</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年第一次临时股东大会，会议审议通过了《关于变更部分募集资金用途 </w:t>
            </w:r>
            <w:r>
              <w:rPr>
                <w:rFonts w:ascii="宋体" w:hAnsi="宋体" w:cs="宋体" w:eastAsia="宋体" w:hint="default"/>
                <w:spacing w:val="-3"/>
                <w:w w:val="100"/>
                <w:sz w:val="18"/>
                <w:szCs w:val="18"/>
              </w:rPr>
              <w:t>的议案》，主要内容是：</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电力企业一体化管控软件建设项目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企业级信息集成平</w:t>
            </w:r>
            <w:r>
              <w:rPr>
                <w:rFonts w:ascii="宋体" w:hAnsi="宋体" w:cs="宋体" w:eastAsia="宋体" w:hint="default"/>
                <w:spacing w:val="-70"/>
                <w:w w:val="100"/>
                <w:sz w:val="18"/>
                <w:szCs w:val="18"/>
              </w:rPr>
              <w:t> </w:t>
            </w:r>
            <w:r>
              <w:rPr>
                <w:rFonts w:ascii="宋体" w:hAnsi="宋体" w:cs="宋体" w:eastAsia="宋体" w:hint="default"/>
                <w:sz w:val="18"/>
                <w:szCs w:val="18"/>
              </w:rPr>
              <w:t>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年立项，原计划通过建设场地、购买设备、搭建研发平台等分 别升级开发电力企业一体化管控软件和企业级信息集成平台。然而随着公司业务的 发展，为满足日常经营需要，公司利用现有资源开展了部分升级开发工作，相关成 果已经基本达到上述项目的技术开发要求。近年来大数据、云计算、人工智能等逐 </w:t>
            </w:r>
            <w:r>
              <w:rPr>
                <w:rFonts w:ascii="宋体" w:hAnsi="宋体" w:cs="宋体" w:eastAsia="宋体" w:hint="default"/>
                <w:spacing w:val="-1"/>
                <w:sz w:val="18"/>
                <w:szCs w:val="18"/>
              </w:rPr>
              <w:t>步成为行业发展方向，为抢占机遇，发挥优势，公司计划建设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大数据驱动的智能应</w:t>
            </w:r>
            <w:r>
              <w:rPr>
                <w:rFonts w:ascii="宋体" w:hAnsi="宋体" w:cs="宋体" w:eastAsia="宋体" w:hint="default"/>
                <w:spacing w:val="-77"/>
                <w:sz w:val="18"/>
                <w:szCs w:val="18"/>
              </w:rPr>
              <w:t> </w:t>
            </w:r>
            <w:r>
              <w:rPr>
                <w:rFonts w:ascii="宋体" w:hAnsi="宋体" w:cs="宋体" w:eastAsia="宋体" w:hint="default"/>
                <w:spacing w:val="-1"/>
                <w:sz w:val="18"/>
                <w:szCs w:val="18"/>
              </w:rPr>
              <w:t>用软件项目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，为电信、能源、交通、金融、政府等行业或领域提供有效智能应用软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件，提高用户应用新一代信息技术的能力，提升公司业务收入及盈利水平，提高募 集资金使用效率，实现股东利益最大化。综上，为提高募集资金使用效率，节约资 </w:t>
            </w:r>
            <w:r>
              <w:rPr>
                <w:rFonts w:ascii="宋体" w:hAnsi="宋体" w:cs="宋体" w:eastAsia="宋体" w:hint="default"/>
                <w:spacing w:val="-1"/>
                <w:sz w:val="18"/>
                <w:szCs w:val="18"/>
              </w:rPr>
              <w:t>源，实现股东利益最大化，公司经审慎研究，决定终止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电力企业一体化管控软件建</w:t>
            </w:r>
            <w:r>
              <w:rPr>
                <w:rFonts w:ascii="宋体" w:hAnsi="宋体" w:cs="宋体" w:eastAsia="宋体" w:hint="default"/>
                <w:spacing w:val="-77"/>
                <w:sz w:val="18"/>
                <w:szCs w:val="18"/>
              </w:rPr>
              <w:t> </w:t>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企业级信息集成平台建设项目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的相关建设内容，并将未投入的募集资金 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万元及其利息变更用途用于建设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 具体内容详见公司在巨潮资讯网上披露的相关公告。</w:t>
            </w:r>
          </w:p>
        </w:tc>
      </w:tr>
      <w:tr>
        <w:trPr>
          <w:trHeight w:val="715" w:hRule="exact"/>
        </w:trPr>
        <w:tc>
          <w:tcPr>
            <w:tcW w:w="29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6" w:right="77"/>
              <w:jc w:val="left"/>
              <w:rPr>
                <w:rFonts w:ascii="宋体" w:hAnsi="宋体" w:cs="宋体" w:eastAsia="宋体" w:hint="default"/>
                <w:sz w:val="18"/>
                <w:szCs w:val="18"/>
              </w:rPr>
            </w:pPr>
            <w:r>
              <w:rPr>
                <w:rFonts w:ascii="宋体" w:hAnsi="宋体" w:cs="宋体" w:eastAsia="宋体" w:hint="default"/>
                <w:sz w:val="18"/>
                <w:szCs w:val="18"/>
              </w:rPr>
              <w:t>报告期内，公司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大数据驱动的智能应用软件项目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2,027.67 </w:t>
            </w:r>
            <w:r>
              <w:rPr>
                <w:rFonts w:ascii="宋体" w:hAnsi="宋体" w:cs="宋体" w:eastAsia="宋体" w:hint="default"/>
                <w:sz w:val="18"/>
                <w:szCs w:val="18"/>
              </w:rPr>
              <w:t>万元，未达到 预计效益。该项目主要面向能源、交通、金融、政府等政企领域，运用领先的数据</w:t>
            </w:r>
          </w:p>
        </w:tc>
      </w:tr>
    </w:tbl>
    <w:p>
      <w:pPr>
        <w:spacing w:after="0" w:line="30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1136" w:firstLine="0"/>
        <w:jc w:val="right"/>
        <w:rPr>
          <w:rFonts w:ascii="宋体" w:hAnsi="宋体" w:cs="宋体" w:eastAsia="宋体" w:hint="default"/>
          <w:sz w:val="18"/>
          <w:szCs w:val="18"/>
        </w:rPr>
      </w:pPr>
      <w:r>
        <w:rPr/>
        <w:pict>
          <v:shape style="position:absolute;margin-left:56.484001pt;margin-top:-29.908293pt;width:479.35pt;height:116.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5"/>
                    <w:gridCol w:w="6597"/>
                  </w:tblGrid>
                  <w:tr>
                    <w:trPr>
                      <w:trHeight w:val="1611"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78"/>
                          <w:jc w:val="both"/>
                          <w:rPr>
                            <w:rFonts w:ascii="宋体" w:hAnsi="宋体" w:cs="宋体" w:eastAsia="宋体" w:hint="default"/>
                            <w:sz w:val="18"/>
                            <w:szCs w:val="18"/>
                          </w:rPr>
                        </w:pPr>
                        <w:r>
                          <w:rPr>
                            <w:rFonts w:ascii="宋体" w:hAnsi="宋体" w:cs="宋体" w:eastAsia="宋体" w:hint="default"/>
                            <w:sz w:val="18"/>
                            <w:szCs w:val="18"/>
                          </w:rPr>
                          <w:t>智能技术，结合行业业务特征对组织内外的海量数据进行分析及挖掘，并将结果应 用于指导组织的管理及决策，本项目研发成果已经形成并已实现部分应用。未达到 预计效益主要是由于该项目于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月方才达到预定可使用状态，尚处投产初期</w:t>
                        </w:r>
                        <w:r>
                          <w:rPr>
                            <w:rFonts w:ascii="宋体" w:hAnsi="宋体" w:cs="宋体" w:eastAsia="宋体" w:hint="default"/>
                            <w:sz w:val="18"/>
                            <w:szCs w:val="18"/>
                          </w:rPr>
                          <w:t> 且上述不同行业客户的数字化发展程度不一，客户需求正在逐步释放中，公司将进 一步加大该产品的市场推广力度。</w:t>
                        </w:r>
                      </w:p>
                    </w:tc>
                  </w:tr>
                  <w:tr>
                    <w:trPr>
                      <w:trHeight w:val="713"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6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7" w:footer="979" w:top="120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927"/>
        <w:gridCol w:w="991"/>
        <w:gridCol w:w="1200"/>
        <w:gridCol w:w="1277"/>
        <w:gridCol w:w="1275"/>
        <w:gridCol w:w="1135"/>
        <w:gridCol w:w="1167"/>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科大国创 云网科技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1"/>
              <w:jc w:val="left"/>
              <w:rPr>
                <w:rFonts w:ascii="宋体" w:hAnsi="宋体" w:cs="宋体" w:eastAsia="宋体" w:hint="default"/>
                <w:sz w:val="18"/>
                <w:szCs w:val="18"/>
              </w:rPr>
            </w:pPr>
            <w:r>
              <w:rPr>
                <w:rFonts w:ascii="宋体" w:hAnsi="宋体" w:cs="宋体" w:eastAsia="宋体" w:hint="default"/>
                <w:sz w:val="18"/>
                <w:szCs w:val="18"/>
              </w:rPr>
              <w:t>数据智能 行业应用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275,480,556.15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181,901,659.95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252,432,746.59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34,045,521.26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32,578,489.92</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安徽贵博 新能科技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1"/>
              <w:jc w:val="left"/>
              <w:rPr>
                <w:rFonts w:ascii="宋体" w:hAnsi="宋体" w:cs="宋体" w:eastAsia="宋体" w:hint="default"/>
                <w:sz w:val="18"/>
                <w:szCs w:val="18"/>
              </w:rPr>
            </w:pPr>
            <w:r>
              <w:rPr>
                <w:rFonts w:ascii="宋体" w:hAnsi="宋体" w:cs="宋体" w:eastAsia="宋体" w:hint="default"/>
                <w:sz w:val="18"/>
                <w:szCs w:val="18"/>
              </w:rPr>
              <w:t>智能软硬 件产品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484,176,664.61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284,895,775.77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185,537,018.34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56,205,513.79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48,822,544.96</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安徽科大 国创软件 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71"/>
              <w:jc w:val="left"/>
              <w:rPr>
                <w:rFonts w:ascii="宋体" w:hAnsi="宋体" w:cs="宋体" w:eastAsia="宋体" w:hint="default"/>
                <w:sz w:val="18"/>
                <w:szCs w:val="18"/>
              </w:rPr>
            </w:pPr>
            <w:r>
              <w:rPr>
                <w:rFonts w:ascii="宋体" w:hAnsi="宋体" w:cs="宋体" w:eastAsia="宋体" w:hint="default"/>
                <w:sz w:val="18"/>
                <w:szCs w:val="18"/>
              </w:rPr>
              <w:t>数据智能 行业应用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97,436,955.34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49,517,847.59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164,532,151.40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16,060,211.80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15,638,994.38</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安徽慧联 运科技有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1"/>
              <w:jc w:val="left"/>
              <w:rPr>
                <w:rFonts w:ascii="宋体" w:hAnsi="宋体" w:cs="宋体" w:eastAsia="宋体" w:hint="default"/>
                <w:sz w:val="18"/>
                <w:szCs w:val="18"/>
              </w:rPr>
            </w:pPr>
            <w:r>
              <w:rPr>
                <w:rFonts w:ascii="宋体" w:hAnsi="宋体" w:cs="宋体" w:eastAsia="宋体" w:hint="default"/>
                <w:sz w:val="18"/>
                <w:szCs w:val="18"/>
              </w:rPr>
              <w:t>数据智能 平台运营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276,724,616.09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24,158,467.58</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620,422,908.95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13,594,862.84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12,365,758.32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安徽科大国创数字科技有限公司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报告期内实现净利</w:t>
            </w:r>
            <w:r>
              <w:rPr>
                <w:rFonts w:ascii="Times New Roman" w:hAnsi="Times New Roman" w:cs="Times New Roman" w:eastAsia="Times New Roman" w:hint="default"/>
                <w:sz w:val="18"/>
                <w:szCs w:val="18"/>
              </w:rPr>
              <w:t>-34.71</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万元，无重大影</w:t>
            </w:r>
            <w:r>
              <w:rPr>
                <w:rFonts w:ascii="宋体" w:hAnsi="宋体" w:cs="宋体" w:eastAsia="宋体" w:hint="default"/>
                <w:sz w:val="18"/>
                <w:szCs w:val="18"/>
              </w:rPr>
              <w:t> 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国创恒星（合肥）软件技术有限公司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吸收合并对公司无实质影响，国创恒星 报告期实现净利</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安徽科大国创智能科技有限公司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无实质影响</w:t>
            </w:r>
          </w:p>
        </w:tc>
      </w:tr>
    </w:tbl>
    <w:p>
      <w:pPr>
        <w:spacing w:line="345" w:lineRule="auto" w:before="49"/>
        <w:ind w:left="153" w:right="6973"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主要控股参股公司情况说明 </w:t>
      </w:r>
      <w:r>
        <w:rPr>
          <w:rFonts w:ascii="Times New Roman" w:hAnsi="Times New Roman" w:cs="Times New Roman" w:eastAsia="Times New Roman" w:hint="default"/>
          <w:sz w:val="18"/>
          <w:szCs w:val="18"/>
        </w:rPr>
        <w:t>1</w:t>
      </w:r>
      <w:r>
        <w:rPr>
          <w:rFonts w:ascii="宋体" w:hAnsi="宋体" w:cs="宋体" w:eastAsia="宋体" w:hint="default"/>
          <w:sz w:val="18"/>
          <w:szCs w:val="18"/>
        </w:rPr>
        <w:t>、科大国创云网科技有限公司 注册资本：人民币</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 设立时间：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 公司住所：合肥市高新区文曲路</w:t>
      </w:r>
      <w:r>
        <w:rPr>
          <w:rFonts w:ascii="Times New Roman" w:hAnsi="Times New Roman" w:cs="Times New Roman" w:eastAsia="Times New Roman" w:hint="default"/>
          <w:sz w:val="18"/>
          <w:szCs w:val="18"/>
        </w:rPr>
        <w:t>355</w:t>
      </w:r>
      <w:r>
        <w:rPr>
          <w:rFonts w:ascii="宋体" w:hAnsi="宋体" w:cs="宋体" w:eastAsia="宋体" w:hint="default"/>
          <w:sz w:val="18"/>
          <w:szCs w:val="18"/>
        </w:rPr>
        <w:t>号办公楼</w:t>
      </w:r>
      <w:r>
        <w:rPr>
          <w:rFonts w:ascii="Times New Roman" w:hAnsi="Times New Roman" w:cs="Times New Roman" w:eastAsia="Times New Roman" w:hint="default"/>
          <w:sz w:val="18"/>
          <w:szCs w:val="18"/>
        </w:rPr>
        <w:t>4</w:t>
      </w:r>
      <w:r>
        <w:rPr>
          <w:rFonts w:ascii="宋体" w:hAnsi="宋体" w:cs="宋体" w:eastAsia="宋体" w:hint="default"/>
          <w:sz w:val="18"/>
          <w:szCs w:val="18"/>
        </w:rPr>
        <w:t>层 法定代表人：李飞</w:t>
      </w:r>
    </w:p>
    <w:p>
      <w:pPr>
        <w:spacing w:line="338" w:lineRule="auto" w:before="38"/>
        <w:ind w:left="153" w:right="0" w:firstLine="0"/>
        <w:jc w:val="left"/>
        <w:rPr>
          <w:rFonts w:ascii="宋体" w:hAnsi="宋体" w:cs="宋体" w:eastAsia="宋体" w:hint="default"/>
          <w:sz w:val="18"/>
          <w:szCs w:val="18"/>
        </w:rPr>
      </w:pPr>
      <w:r>
        <w:rPr>
          <w:rFonts w:ascii="宋体" w:hAnsi="宋体" w:cs="宋体" w:eastAsia="宋体" w:hint="default"/>
          <w:sz w:val="18"/>
          <w:szCs w:val="18"/>
        </w:rPr>
        <w:t>公司类型：有限责任公司（自然人投资或控股的法人独资） </w:t>
      </w:r>
      <w:r>
        <w:rPr>
          <w:rFonts w:ascii="宋体" w:hAnsi="宋体" w:cs="宋体" w:eastAsia="宋体" w:hint="default"/>
          <w:spacing w:val="-2"/>
          <w:sz w:val="18"/>
          <w:szCs w:val="18"/>
        </w:rPr>
        <w:t>经营范围：计算机软硬件及其他电子产品的设计、开发、生产、销售；计算机系统集成服务、技术咨询、技术开发、技术转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让；物联网、移动互联网、人工智能、云计算、大数据技术开发及系统集成服务；智慧城市的规划、设计、咨询、实施、运</w:t>
      </w:r>
    </w:p>
    <w:p>
      <w:pPr>
        <w:spacing w:line="357" w:lineRule="auto" w:before="2"/>
        <w:ind w:left="153" w:right="4813" w:firstLine="0"/>
        <w:jc w:val="left"/>
        <w:rPr>
          <w:rFonts w:ascii="宋体" w:hAnsi="宋体" w:cs="宋体" w:eastAsia="宋体" w:hint="default"/>
          <w:sz w:val="18"/>
          <w:szCs w:val="18"/>
        </w:rPr>
      </w:pPr>
      <w:r>
        <w:rPr>
          <w:rFonts w:ascii="宋体" w:hAnsi="宋体" w:cs="宋体" w:eastAsia="宋体" w:hint="default"/>
          <w:sz w:val="18"/>
          <w:szCs w:val="18"/>
        </w:rPr>
        <w:t>维和管理。（依法须经批准的项目，经相关部门批准后方可开展经营活动） 业务定位：主要面向运营商行业，主要产品为数据智能行业应用 </w:t>
      </w:r>
      <w:r>
        <w:rPr>
          <w:rFonts w:ascii="Times New Roman" w:hAnsi="Times New Roman" w:cs="Times New Roman" w:eastAsia="Times New Roman" w:hint="default"/>
          <w:sz w:val="18"/>
          <w:szCs w:val="18"/>
        </w:rPr>
        <w:t>2</w:t>
      </w:r>
      <w:r>
        <w:rPr>
          <w:rFonts w:ascii="宋体" w:hAnsi="宋体" w:cs="宋体" w:eastAsia="宋体" w:hint="default"/>
          <w:sz w:val="18"/>
          <w:szCs w:val="18"/>
        </w:rPr>
        <w:t>、安徽贵博新能科技有限公司</w:t>
      </w:r>
    </w:p>
    <w:p>
      <w:pPr>
        <w:spacing w:line="338" w:lineRule="auto" w:before="6"/>
        <w:ind w:left="153" w:right="8458" w:firstLine="0"/>
        <w:jc w:val="left"/>
        <w:rPr>
          <w:rFonts w:ascii="宋体" w:hAnsi="宋体" w:cs="宋体" w:eastAsia="宋体" w:hint="default"/>
          <w:sz w:val="18"/>
          <w:szCs w:val="18"/>
        </w:rPr>
      </w:pPr>
      <w:r>
        <w:rPr>
          <w:rFonts w:ascii="宋体" w:hAnsi="宋体" w:cs="宋体" w:eastAsia="宋体" w:hint="default"/>
          <w:sz w:val="18"/>
          <w:szCs w:val="18"/>
        </w:rPr>
        <w:t>注册资本：人民币</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 设立时间：</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p>
      <w:pPr>
        <w:spacing w:line="348" w:lineRule="auto" w:before="22"/>
        <w:ind w:left="153" w:right="5593" w:firstLine="0"/>
        <w:jc w:val="left"/>
        <w:rPr>
          <w:rFonts w:ascii="宋体" w:hAnsi="宋体" w:cs="宋体" w:eastAsia="宋体" w:hint="default"/>
          <w:sz w:val="18"/>
          <w:szCs w:val="18"/>
        </w:rPr>
      </w:pPr>
      <w:r>
        <w:rPr>
          <w:rFonts w:ascii="宋体" w:hAnsi="宋体" w:cs="宋体" w:eastAsia="宋体" w:hint="default"/>
          <w:sz w:val="18"/>
          <w:szCs w:val="18"/>
        </w:rPr>
        <w:t>公司住所：安徽省合肥市高新区望江西路</w:t>
      </w:r>
      <w:r>
        <w:rPr>
          <w:rFonts w:ascii="Times New Roman" w:hAnsi="Times New Roman" w:cs="Times New Roman" w:eastAsia="Times New Roman" w:hint="default"/>
          <w:sz w:val="18"/>
          <w:szCs w:val="18"/>
        </w:rPr>
        <w:t>800</w:t>
      </w:r>
      <w:r>
        <w:rPr>
          <w:rFonts w:ascii="宋体" w:hAnsi="宋体" w:cs="宋体" w:eastAsia="宋体" w:hint="default"/>
          <w:sz w:val="18"/>
          <w:szCs w:val="18"/>
        </w:rPr>
        <w:t>号动漫基地</w:t>
      </w:r>
      <w:r>
        <w:rPr>
          <w:rFonts w:ascii="Times New Roman" w:hAnsi="Times New Roman" w:cs="Times New Roman" w:eastAsia="Times New Roman" w:hint="default"/>
          <w:sz w:val="18"/>
          <w:szCs w:val="18"/>
        </w:rPr>
        <w:t>C4#</w:t>
      </w:r>
      <w:r>
        <w:rPr>
          <w:rFonts w:ascii="宋体" w:hAnsi="宋体" w:cs="宋体" w:eastAsia="宋体" w:hint="default"/>
          <w:sz w:val="18"/>
          <w:szCs w:val="18"/>
        </w:rPr>
        <w:t>楼</w:t>
      </w:r>
      <w:r>
        <w:rPr>
          <w:rFonts w:ascii="Times New Roman" w:hAnsi="Times New Roman" w:cs="Times New Roman" w:eastAsia="Times New Roman" w:hint="default"/>
          <w:sz w:val="18"/>
          <w:szCs w:val="18"/>
        </w:rPr>
        <w:t>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法定代表人：孙路 公司类型：有限责任公司（非自然人控股或控股的法人独资）</w:t>
      </w:r>
    </w:p>
    <w:p>
      <w:pPr>
        <w:spacing w:line="316" w:lineRule="auto" w:before="36"/>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经营范围：电池系统生产；新能源行业技术及产品研发、生产、销售，工程建设、运营服务；智能汽车相关的技术及产品研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发、生产、销售、运营服务；车联网技术及产品研发、生产、销售与服务；软件开发；信息系统集成。（依法须经批准的项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目，经相关部门批准后方可开展经营活动）</w:t>
      </w:r>
    </w:p>
    <w:p>
      <w:pPr>
        <w:spacing w:before="59"/>
        <w:ind w:left="153" w:right="1133" w:firstLine="0"/>
        <w:jc w:val="left"/>
        <w:rPr>
          <w:rFonts w:ascii="宋体" w:hAnsi="宋体" w:cs="宋体" w:eastAsia="宋体" w:hint="default"/>
          <w:sz w:val="18"/>
          <w:szCs w:val="18"/>
        </w:rPr>
      </w:pPr>
      <w:r>
        <w:rPr>
          <w:rFonts w:ascii="宋体" w:hAnsi="宋体" w:cs="宋体" w:eastAsia="宋体" w:hint="default"/>
          <w:sz w:val="18"/>
          <w:szCs w:val="18"/>
        </w:rPr>
        <w:t>业务定位：主要面向智能汽车领域，主要产品为智能软硬件产品</w:t>
      </w:r>
    </w:p>
    <w:p>
      <w:pPr>
        <w:spacing w:line="343" w:lineRule="auto" w:before="115"/>
        <w:ind w:left="153" w:right="77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、安徽科大国创软件科技有限公司 注册资本：人民币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 设立时间：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 公司住所：合肥市高新区文曲路</w:t>
      </w:r>
      <w:r>
        <w:rPr>
          <w:rFonts w:ascii="Times New Roman" w:hAnsi="Times New Roman" w:cs="Times New Roman" w:eastAsia="Times New Roman" w:hint="default"/>
          <w:sz w:val="18"/>
          <w:szCs w:val="18"/>
        </w:rPr>
        <w:t>355</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法定代表人：董永东 公司类型：其他有限责任公司</w:t>
      </w:r>
    </w:p>
    <w:p>
      <w:pPr>
        <w:spacing w:line="316" w:lineRule="auto" w:before="37"/>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经营范围：软件研发；系统集成；大数据应用研发；云计算服务；电子和信息技术产品的研发、销售；信息工程咨询、监理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及服务；货物或技术进出口（国家禁止或涉及行政审批的货物和技术进出口除外）。（依法须经批准的项目，经相关部门批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准后方可开展经营活动）</w:t>
      </w:r>
    </w:p>
    <w:p>
      <w:pPr>
        <w:spacing w:before="59"/>
        <w:ind w:left="153" w:right="1133" w:firstLine="0"/>
        <w:jc w:val="left"/>
        <w:rPr>
          <w:rFonts w:ascii="宋体" w:hAnsi="宋体" w:cs="宋体" w:eastAsia="宋体" w:hint="default"/>
          <w:sz w:val="18"/>
          <w:szCs w:val="18"/>
        </w:rPr>
      </w:pPr>
      <w:r>
        <w:rPr>
          <w:rFonts w:ascii="宋体" w:hAnsi="宋体" w:cs="宋体" w:eastAsia="宋体" w:hint="default"/>
          <w:sz w:val="18"/>
          <w:szCs w:val="18"/>
        </w:rPr>
        <w:t>业务定位：主要面向政企领域，主要产品为数据智能行业应用</w:t>
      </w:r>
    </w:p>
    <w:p>
      <w:pPr>
        <w:spacing w:line="338" w:lineRule="auto" w:before="117"/>
        <w:ind w:left="153" w:right="851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、安徽慧联运科技有限公司 注册资本：人民币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 设立时间：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p>
      <w:pPr>
        <w:spacing w:after="0" w:line="338" w:lineRule="auto"/>
        <w:jc w:val="both"/>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line="300" w:lineRule="auto" w:before="44"/>
        <w:ind w:left="153" w:right="6163" w:firstLine="0"/>
        <w:jc w:val="left"/>
        <w:rPr>
          <w:rFonts w:ascii="宋体" w:hAnsi="宋体" w:cs="宋体" w:eastAsia="宋体" w:hint="default"/>
          <w:sz w:val="18"/>
          <w:szCs w:val="18"/>
        </w:rPr>
      </w:pPr>
      <w:r>
        <w:rPr>
          <w:rFonts w:ascii="宋体" w:hAnsi="宋体" w:cs="宋体" w:eastAsia="宋体" w:hint="default"/>
          <w:sz w:val="18"/>
          <w:szCs w:val="18"/>
        </w:rPr>
        <w:t>公司住所：合肥市高新区留学生园二号楼</w:t>
      </w:r>
      <w:r>
        <w:rPr>
          <w:rFonts w:ascii="Times New Roman" w:hAnsi="Times New Roman" w:cs="Times New Roman" w:eastAsia="Times New Roman" w:hint="default"/>
          <w:sz w:val="18"/>
          <w:szCs w:val="18"/>
        </w:rPr>
        <w:t>212</w:t>
      </w:r>
      <w:r>
        <w:rPr>
          <w:rFonts w:ascii="宋体" w:hAnsi="宋体" w:cs="宋体" w:eastAsia="宋体" w:hint="default"/>
          <w:sz w:val="18"/>
          <w:szCs w:val="18"/>
        </w:rPr>
        <w:t>、</w:t>
      </w:r>
      <w:r>
        <w:rPr>
          <w:rFonts w:ascii="Times New Roman" w:hAnsi="Times New Roman" w:cs="Times New Roman" w:eastAsia="Times New Roman" w:hint="default"/>
          <w:sz w:val="18"/>
          <w:szCs w:val="18"/>
        </w:rPr>
        <w:t>214</w:t>
      </w:r>
      <w:r>
        <w:rPr>
          <w:rFonts w:ascii="宋体" w:hAnsi="宋体" w:cs="宋体" w:eastAsia="宋体" w:hint="default"/>
          <w:sz w:val="18"/>
          <w:szCs w:val="18"/>
        </w:rPr>
        <w:t>、</w:t>
      </w:r>
      <w:r>
        <w:rPr>
          <w:rFonts w:ascii="Times New Roman" w:hAnsi="Times New Roman" w:cs="Times New Roman" w:eastAsia="Times New Roman" w:hint="default"/>
          <w:sz w:val="18"/>
          <w:szCs w:val="18"/>
        </w:rPr>
        <w:t>216</w:t>
      </w:r>
      <w:r>
        <w:rPr>
          <w:rFonts w:ascii="宋体" w:hAnsi="宋体" w:cs="宋体" w:eastAsia="宋体" w:hint="default"/>
          <w:sz w:val="18"/>
          <w:szCs w:val="18"/>
        </w:rPr>
        <w:t>室 法定代表人：董永东</w:t>
      </w:r>
    </w:p>
    <w:p>
      <w:pPr>
        <w:spacing w:line="316" w:lineRule="auto" w:before="31"/>
        <w:ind w:left="153" w:right="1033" w:firstLine="0"/>
        <w:jc w:val="left"/>
        <w:rPr>
          <w:rFonts w:ascii="宋体" w:hAnsi="宋体" w:cs="宋体" w:eastAsia="宋体" w:hint="default"/>
          <w:sz w:val="18"/>
          <w:szCs w:val="18"/>
        </w:rPr>
      </w:pPr>
      <w:r>
        <w:rPr>
          <w:rFonts w:ascii="宋体" w:hAnsi="宋体" w:cs="宋体" w:eastAsia="宋体" w:hint="default"/>
          <w:sz w:val="18"/>
          <w:szCs w:val="18"/>
        </w:rPr>
        <w:t>公司类型：其他有限责任公司 经营范围：智慧城市智能系统、智能交通、物联网、智能一卡通、卫星定位、信息服务、信息安全的系统研发及技术转让； </w:t>
      </w:r>
      <w:r>
        <w:rPr>
          <w:rFonts w:ascii="宋体" w:hAnsi="宋体" w:cs="宋体" w:eastAsia="宋体" w:hint="default"/>
          <w:spacing w:val="-2"/>
          <w:sz w:val="18"/>
          <w:szCs w:val="18"/>
        </w:rPr>
        <w:t>软、硬件的销售、技术服务；信息系统运营与服务，软件及系统集成、智能化工程；科技咨询、服务；物流专业承包；供应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链管理、物流服务；道路普通货运、道路货物专用运输（除快递、除危险品）、配送、包装、装卸、仓储（非危险品）、货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运代理及相关咨询与服务；汽车销售；汽车配件销售；油卡代理和销售；经济贸易咨询；设计、制作、发布、代理各类广告。</w:t>
      </w:r>
    </w:p>
    <w:p>
      <w:pPr>
        <w:spacing w:line="360" w:lineRule="auto" w:before="19"/>
        <w:ind w:left="153" w:right="5533" w:firstLine="0"/>
        <w:jc w:val="left"/>
        <w:rPr>
          <w:rFonts w:ascii="宋体" w:hAnsi="宋体" w:cs="宋体" w:eastAsia="宋体" w:hint="default"/>
          <w:sz w:val="18"/>
          <w:szCs w:val="18"/>
        </w:rPr>
      </w:pPr>
      <w:r>
        <w:rPr>
          <w:rFonts w:ascii="宋体" w:hAnsi="宋体" w:cs="宋体" w:eastAsia="宋体" w:hint="default"/>
          <w:sz w:val="18"/>
          <w:szCs w:val="18"/>
        </w:rPr>
        <w:t>（依法须经批准的项目，经相关部门批准后方可开展经营活动） 业务定位：主要面向智慧物流领域，主要产品为数据智能平台运营</w:t>
      </w:r>
    </w:p>
    <w:p>
      <w:pPr>
        <w:spacing w:line="240" w:lineRule="auto" w:before="2"/>
        <w:rPr>
          <w:rFonts w:ascii="宋体" w:hAnsi="宋体" w:cs="宋体" w:eastAsia="宋体" w:hint="default"/>
          <w:sz w:val="18"/>
          <w:szCs w:val="18"/>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left="573" w:right="1133" w:firstLine="2"/>
        <w:jc w:val="left"/>
      </w:pPr>
      <w:r>
        <w:rPr>
          <w:rFonts w:ascii="宋体" w:hAnsi="宋体" w:cs="宋体" w:eastAsia="宋体" w:hint="default"/>
          <w:b/>
          <w:bCs/>
        </w:rPr>
        <w:t>（一）行业格局和趋势</w:t>
      </w:r>
      <w:r>
        <w:rPr>
          <w:rFonts w:ascii="宋体" w:hAnsi="宋体" w:cs="宋体" w:eastAsia="宋体" w:hint="default"/>
          <w:b/>
          <w:bCs/>
          <w:w w:val="100"/>
        </w:rPr>
        <w:t> </w:t>
      </w:r>
      <w:r>
        <w:rPr>
          <w:spacing w:val="-2"/>
        </w:rPr>
        <w:t>公司发展历程与信息技术创新紧密结合，与国家信息化进程共同成长。当前我国软件产业经过多年的</w:t>
      </w:r>
    </w:p>
    <w:p>
      <w:pPr>
        <w:pStyle w:val="BodyText"/>
        <w:spacing w:line="261" w:lineRule="auto" w:before="7"/>
        <w:ind w:right="0"/>
        <w:jc w:val="left"/>
      </w:pPr>
      <w:r>
        <w:rPr>
          <w:spacing w:val="-2"/>
        </w:rPr>
        <w:t>培育，已进入快速成长期，产业规模迅速扩大，技术水平快速提高，骨干企业不断成长，产业体系初步建</w:t>
      </w:r>
      <w:r>
        <w:rPr>
          <w:spacing w:val="-44"/>
        </w:rPr>
        <w:t> </w:t>
      </w:r>
      <w:r>
        <w:rPr>
          <w:spacing w:val="-44"/>
        </w:rPr>
      </w:r>
      <w:r>
        <w:rPr/>
        <w:t>立。在国家新的战略发展时期，新一代信息技术带来新机遇，未来</w:t>
      </w:r>
      <w:r>
        <w:rPr>
          <w:rFonts w:ascii="Times New Roman" w:hAnsi="Times New Roman" w:cs="Times New Roman" w:eastAsia="Times New Roman" w:hint="default"/>
        </w:rPr>
        <w:t>5</w:t>
      </w:r>
      <w:r>
        <w:rPr/>
        <w:t>到</w:t>
      </w:r>
      <w:r>
        <w:rPr>
          <w:rFonts w:ascii="Times New Roman" w:hAnsi="Times New Roman" w:cs="Times New Roman" w:eastAsia="Times New Roman" w:hint="default"/>
        </w:rPr>
        <w:t>10</w:t>
      </w:r>
      <w:r>
        <w:rPr/>
        <w:t>年，全球新一轮科技革命和产业</w:t>
      </w:r>
      <w:r>
        <w:rPr>
          <w:spacing w:val="-22"/>
        </w:rPr>
        <w:t> </w:t>
      </w:r>
      <w:r>
        <w:rPr>
          <w:spacing w:val="-22"/>
        </w:rPr>
      </w:r>
      <w:r>
        <w:rPr>
          <w:spacing w:val="-5"/>
        </w:rPr>
        <w:t>变革将群体迸发，</w:t>
      </w:r>
      <w:r>
        <w:rPr>
          <w:rFonts w:ascii="Times New Roman" w:hAnsi="Times New Roman" w:cs="Times New Roman" w:eastAsia="Times New Roman" w:hint="default"/>
          <w:spacing w:val="-5"/>
        </w:rPr>
        <w:t>5G</w:t>
      </w:r>
      <w:r>
        <w:rPr>
          <w:spacing w:val="-5"/>
        </w:rPr>
        <w:t>、物联网、云计算、大数据、人工智能、区块链等技术广泛渗透于经济社会各个领域，</w:t>
      </w:r>
      <w:r>
        <w:rPr>
          <w:spacing w:val="-49"/>
        </w:rPr>
        <w:t> </w:t>
      </w:r>
      <w:r>
        <w:rPr>
          <w:spacing w:val="-49"/>
        </w:rPr>
      </w:r>
      <w:r>
        <w:rPr>
          <w:spacing w:val="-2"/>
        </w:rPr>
        <w:t>数字经济将持续繁荣昌盛。根据工信部公布的数据，</w:t>
      </w:r>
      <w:r>
        <w:rPr>
          <w:rFonts w:ascii="Times New Roman" w:hAnsi="Times New Roman" w:cs="Times New Roman" w:eastAsia="Times New Roman" w:hint="default"/>
          <w:spacing w:val="-2"/>
        </w:rPr>
        <w:t>2019</w:t>
      </w:r>
      <w:r>
        <w:rPr>
          <w:spacing w:val="-2"/>
        </w:rPr>
        <w:t>年我国软件和信息技术服务业实现软件业务收入</w:t>
      </w:r>
      <w:r>
        <w:rPr>
          <w:spacing w:val="-39"/>
        </w:rPr>
        <w:t> </w:t>
      </w:r>
      <w:r>
        <w:rPr>
          <w:spacing w:val="-39"/>
        </w:rPr>
      </w:r>
      <w:r>
        <w:rPr>
          <w:rFonts w:ascii="Times New Roman" w:hAnsi="Times New Roman" w:cs="Times New Roman" w:eastAsia="Times New Roman" w:hint="default"/>
        </w:rPr>
        <w:t>71,768</w:t>
      </w:r>
      <w:r>
        <w:rPr/>
        <w:t>亿元，同比增长</w:t>
      </w:r>
      <w:r>
        <w:rPr>
          <w:rFonts w:ascii="Times New Roman" w:hAnsi="Times New Roman" w:cs="Times New Roman" w:eastAsia="Times New Roman" w:hint="default"/>
        </w:rPr>
        <w:t>15.4%</w:t>
      </w:r>
      <w:r>
        <w:rPr/>
        <w:t>，实现利润</w:t>
      </w:r>
      <w:r>
        <w:rPr>
          <w:rFonts w:ascii="Times New Roman" w:hAnsi="Times New Roman" w:cs="Times New Roman" w:eastAsia="Times New Roman" w:hint="default"/>
        </w:rPr>
        <w:t>9,362</w:t>
      </w:r>
      <w:r>
        <w:rPr/>
        <w:t>亿元，同比增长</w:t>
      </w:r>
      <w:r>
        <w:rPr>
          <w:rFonts w:ascii="Times New Roman" w:hAnsi="Times New Roman" w:cs="Times New Roman" w:eastAsia="Times New Roman" w:hint="default"/>
        </w:rPr>
        <w:t>9.9%</w:t>
      </w:r>
      <w:r>
        <w:rPr/>
        <w:t>。</w:t>
      </w:r>
    </w:p>
    <w:p>
      <w:pPr>
        <w:pStyle w:val="BodyText"/>
        <w:spacing w:line="256" w:lineRule="auto"/>
        <w:ind w:left="573" w:right="1133"/>
        <w:jc w:val="left"/>
      </w:pPr>
      <w:r>
        <w:rPr>
          <w:rFonts w:ascii="Times New Roman" w:hAnsi="Times New Roman" w:cs="Times New Roman" w:eastAsia="Times New Roman" w:hint="default"/>
        </w:rPr>
        <w:t>1</w:t>
      </w:r>
      <w:r>
        <w:rPr/>
        <w:t>、大数据进入深度应用阶段</w:t>
      </w:r>
      <w:r>
        <w:rPr>
          <w:w w:val="100"/>
        </w:rPr>
        <w:t> </w:t>
      </w:r>
      <w:r>
        <w:rPr>
          <w:spacing w:val="-2"/>
        </w:rPr>
        <w:t>大数据是新一轮信息技术革命与人类经济社会活动的交汇融合的必然产物，全球范围内，运用大数据</w:t>
      </w:r>
    </w:p>
    <w:p>
      <w:pPr>
        <w:pStyle w:val="BodyText"/>
        <w:spacing w:line="259" w:lineRule="auto" w:before="22"/>
        <w:ind w:right="1128"/>
        <w:jc w:val="both"/>
      </w:pPr>
      <w:r>
        <w:rPr>
          <w:spacing w:val="-2"/>
        </w:rPr>
        <w:t>推动经济发展、完善社会治理、提升政府服务和监管能力正成为趋势。而大数据应用正在向制造业、金融</w:t>
      </w:r>
      <w:r>
        <w:rPr>
          <w:spacing w:val="-50"/>
        </w:rPr>
        <w:t> </w:t>
      </w:r>
      <w:r>
        <w:rPr>
          <w:spacing w:val="-50"/>
        </w:rPr>
      </w:r>
      <w:r>
        <w:rPr>
          <w:spacing w:val="-2"/>
        </w:rPr>
        <w:t>及商业、医疗卫生、国计民生等各个领域渗透，涌现出一批互联网创新企业和创新应用。</w:t>
      </w:r>
      <w:r>
        <w:rPr>
          <w:rFonts w:ascii="Times New Roman" w:hAnsi="Times New Roman" w:cs="Times New Roman" w:eastAsia="Times New Roman" w:hint="default"/>
          <w:spacing w:val="-2"/>
        </w:rPr>
        <w:t>2019</w:t>
      </w:r>
      <w:r>
        <w:rPr>
          <w:spacing w:val="-2"/>
        </w:rPr>
        <w:t>年中国数据</w:t>
      </w:r>
      <w:r>
        <w:rPr>
          <w:spacing w:val="-43"/>
        </w:rPr>
        <w:t> </w:t>
      </w:r>
      <w:r>
        <w:rPr>
          <w:spacing w:val="-43"/>
        </w:rPr>
      </w:r>
      <w:r>
        <w:rPr>
          <w:spacing w:val="-3"/>
        </w:rPr>
        <w:t>中心数量大约有</w:t>
      </w:r>
      <w:r>
        <w:rPr>
          <w:rFonts w:ascii="Times New Roman" w:hAnsi="Times New Roman" w:cs="Times New Roman" w:eastAsia="Times New Roman" w:hint="default"/>
          <w:spacing w:val="-3"/>
        </w:rPr>
        <w:t>7.4</w:t>
      </w:r>
      <w:r>
        <w:rPr>
          <w:spacing w:val="-3"/>
        </w:rPr>
        <w:t>万个，约占全球数据中心总量的</w:t>
      </w:r>
      <w:r>
        <w:rPr>
          <w:rFonts w:ascii="Times New Roman" w:hAnsi="Times New Roman" w:cs="Times New Roman" w:eastAsia="Times New Roman" w:hint="default"/>
          <w:spacing w:val="-3"/>
        </w:rPr>
        <w:t>23%</w:t>
      </w:r>
      <w:r>
        <w:rPr>
          <w:spacing w:val="-3"/>
        </w:rPr>
        <w:t>。据预测，到</w:t>
      </w:r>
      <w:r>
        <w:rPr>
          <w:rFonts w:ascii="Times New Roman" w:hAnsi="Times New Roman" w:cs="Times New Roman" w:eastAsia="Times New Roman" w:hint="default"/>
          <w:spacing w:val="-3"/>
        </w:rPr>
        <w:t>2020</w:t>
      </w:r>
      <w:r>
        <w:rPr>
          <w:spacing w:val="-3"/>
        </w:rPr>
        <w:t>年，中国数据总量全球占比将达</w:t>
      </w:r>
      <w:r>
        <w:rPr>
          <w:spacing w:val="-7"/>
        </w:rPr>
        <w:t> </w:t>
      </w:r>
      <w:r>
        <w:rPr>
          <w:spacing w:val="-7"/>
        </w:rPr>
      </w:r>
      <w:r>
        <w:rPr>
          <w:spacing w:val="-1"/>
        </w:rPr>
        <w:t>到</w:t>
      </w:r>
      <w:r>
        <w:rPr>
          <w:rFonts w:ascii="Times New Roman" w:hAnsi="Times New Roman" w:cs="Times New Roman" w:eastAsia="Times New Roman" w:hint="default"/>
          <w:spacing w:val="-1"/>
        </w:rPr>
        <w:t>20%</w:t>
      </w:r>
      <w:r>
        <w:rPr>
          <w:spacing w:val="-1"/>
        </w:rPr>
        <w:t>，成为数据量最大、数据类型最丰富的国家之一；到</w:t>
      </w:r>
      <w:r>
        <w:rPr>
          <w:rFonts w:ascii="Times New Roman" w:hAnsi="Times New Roman" w:cs="Times New Roman" w:eastAsia="Times New Roman" w:hint="default"/>
          <w:spacing w:val="-1"/>
        </w:rPr>
        <w:t>2030</w:t>
      </w:r>
      <w:r>
        <w:rPr>
          <w:spacing w:val="-1"/>
        </w:rPr>
        <w:t>年，中国数据总量将超过</w:t>
      </w:r>
      <w:r>
        <w:rPr>
          <w:rFonts w:ascii="Times New Roman" w:hAnsi="Times New Roman" w:cs="Times New Roman" w:eastAsia="Times New Roman" w:hint="default"/>
          <w:spacing w:val="-1"/>
        </w:rPr>
        <w:t>4YB</w:t>
      </w:r>
      <w:r>
        <w:rPr>
          <w:spacing w:val="-1"/>
        </w:rPr>
        <w:t>，占全球数</w:t>
      </w:r>
      <w:r>
        <w:rPr>
          <w:spacing w:val="-23"/>
        </w:rPr>
        <w:t> </w:t>
      </w:r>
      <w:r>
        <w:rPr>
          <w:spacing w:val="-23"/>
        </w:rPr>
      </w:r>
      <w:r>
        <w:rPr>
          <w:spacing w:val="-3"/>
        </w:rPr>
        <w:t>据量</w:t>
      </w:r>
      <w:r>
        <w:rPr>
          <w:rFonts w:ascii="Times New Roman" w:hAnsi="Times New Roman" w:cs="Times New Roman" w:eastAsia="Times New Roman" w:hint="default"/>
          <w:spacing w:val="-3"/>
        </w:rPr>
        <w:t>30%</w:t>
      </w:r>
      <w:r>
        <w:rPr>
          <w:spacing w:val="-3"/>
        </w:rPr>
        <w:t>，中国将成为世界上第一数据大国和</w:t>
      </w:r>
      <w:r>
        <w:rPr>
          <w:rFonts w:ascii="Times New Roman" w:hAnsi="Times New Roman" w:cs="Times New Roman" w:eastAsia="Times New Roman" w:hint="default"/>
          <w:spacing w:val="-3"/>
        </w:rPr>
        <w:t>“</w:t>
      </w:r>
      <w:r>
        <w:rPr>
          <w:spacing w:val="-3"/>
        </w:rPr>
        <w:t>世界数据中心</w:t>
      </w:r>
      <w:r>
        <w:rPr>
          <w:rFonts w:ascii="Times New Roman" w:hAnsi="Times New Roman" w:cs="Times New Roman" w:eastAsia="Times New Roman" w:hint="default"/>
          <w:spacing w:val="-3"/>
        </w:rPr>
        <w:t>”</w:t>
      </w:r>
      <w:r>
        <w:rPr>
          <w:spacing w:val="-3"/>
        </w:rPr>
        <w:t>。根据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月工信部公布的《大数据产业</w:t>
      </w:r>
      <w:r>
        <w:rPr>
          <w:spacing w:val="-36"/>
        </w:rPr>
        <w:t> </w:t>
      </w:r>
      <w:r>
        <w:rPr>
          <w:spacing w:val="-36"/>
        </w:rPr>
      </w:r>
      <w:r>
        <w:rPr>
          <w:spacing w:val="-2"/>
        </w:rPr>
        <w:t>发展规划</w:t>
      </w:r>
      <w:r>
        <w:rPr>
          <w:rFonts w:ascii="Times New Roman" w:hAnsi="Times New Roman" w:cs="Times New Roman" w:eastAsia="Times New Roman" w:hint="default"/>
          <w:spacing w:val="-2"/>
        </w:rPr>
        <w:t>(2016-2020</w:t>
      </w:r>
      <w:r>
        <w:rPr>
          <w:spacing w:val="-2"/>
        </w:rPr>
        <w:t>年</w:t>
      </w:r>
      <w:r>
        <w:rPr>
          <w:rFonts w:ascii="Times New Roman" w:hAnsi="Times New Roman" w:cs="Times New Roman" w:eastAsia="Times New Roman" w:hint="default"/>
          <w:spacing w:val="-2"/>
        </w:rPr>
        <w:t>)</w:t>
      </w:r>
      <w:r>
        <w:rPr>
          <w:spacing w:val="-2"/>
        </w:rPr>
        <w:t>》，到</w:t>
      </w:r>
      <w:r>
        <w:rPr>
          <w:rFonts w:ascii="Times New Roman" w:hAnsi="Times New Roman" w:cs="Times New Roman" w:eastAsia="Times New Roman" w:hint="default"/>
          <w:spacing w:val="-2"/>
        </w:rPr>
        <w:t>2020</w:t>
      </w:r>
      <w:r>
        <w:rPr>
          <w:spacing w:val="-2"/>
        </w:rPr>
        <w:t>年，技术先进、应用繁荣、保障有力的大数据产业体系基本形成，大数</w:t>
      </w:r>
      <w:r>
        <w:rPr>
          <w:spacing w:val="-31"/>
        </w:rPr>
        <w:t> </w:t>
      </w:r>
      <w:r>
        <w:rPr>
          <w:spacing w:val="-31"/>
        </w:rPr>
      </w:r>
      <w:r>
        <w:rPr/>
        <w:t>据相关产品和服务业务收入突破</w:t>
      </w:r>
      <w:r>
        <w:rPr>
          <w:rFonts w:ascii="Times New Roman" w:hAnsi="Times New Roman" w:cs="Times New Roman" w:eastAsia="Times New Roman" w:hint="default"/>
        </w:rPr>
        <w:t>1</w:t>
      </w:r>
      <w:r>
        <w:rPr/>
        <w:t>万亿元，年均复合增长率保持</w:t>
      </w:r>
      <w:r>
        <w:rPr>
          <w:rFonts w:ascii="Times New Roman" w:hAnsi="Times New Roman" w:cs="Times New Roman" w:eastAsia="Times New Roman" w:hint="default"/>
        </w:rPr>
        <w:t>30%</w:t>
      </w:r>
      <w:r>
        <w:rPr/>
        <w:t>左右。</w:t>
      </w:r>
    </w:p>
    <w:p>
      <w:pPr>
        <w:pStyle w:val="BodyText"/>
        <w:spacing w:line="256" w:lineRule="auto" w:before="2"/>
        <w:ind w:left="573" w:right="1133"/>
        <w:jc w:val="left"/>
      </w:pPr>
      <w:r>
        <w:rPr>
          <w:rFonts w:ascii="Times New Roman" w:hAnsi="Times New Roman" w:cs="Times New Roman" w:eastAsia="Times New Roman" w:hint="default"/>
        </w:rPr>
        <w:t>2</w:t>
      </w:r>
      <w:r>
        <w:rPr/>
        <w:t>、人工智能日益融入产业升级</w:t>
      </w:r>
      <w:r>
        <w:rPr>
          <w:w w:val="100"/>
        </w:rPr>
        <w:t> </w:t>
      </w:r>
      <w:r>
        <w:rPr>
          <w:spacing w:val="-2"/>
        </w:rPr>
        <w:t>人工智能发展进入新阶段。经过多年的演进，特别是在移动互联网、大数据、超级计算、脑科学等新</w:t>
      </w:r>
    </w:p>
    <w:p>
      <w:pPr>
        <w:pStyle w:val="BodyText"/>
        <w:spacing w:line="264" w:lineRule="auto" w:before="23"/>
        <w:ind w:right="1104"/>
        <w:jc w:val="both"/>
        <w:rPr>
          <w:rFonts w:ascii="Times New Roman" w:hAnsi="Times New Roman" w:cs="Times New Roman" w:eastAsia="Times New Roman" w:hint="default"/>
        </w:rPr>
      </w:pPr>
      <w:r>
        <w:rPr>
          <w:spacing w:val="-2"/>
        </w:rPr>
        <w:t>理论新技术以及经济社会发展强烈需求的共同驱动下，人工智能加速发展，呈现出深度学习、人机协同、</w:t>
      </w:r>
      <w:r>
        <w:rPr>
          <w:spacing w:val="-21"/>
        </w:rPr>
        <w:t> </w:t>
      </w:r>
      <w:r>
        <w:rPr>
          <w:spacing w:val="-21"/>
        </w:rPr>
      </w:r>
      <w:r>
        <w:rPr>
          <w:spacing w:val="-2"/>
        </w:rPr>
        <w:t>群智开放、自主操控等新特征。大数据驱动知识学习、跨媒体协同处理、人机协同增强智能、群体集成智</w:t>
      </w:r>
      <w:r>
        <w:rPr>
          <w:spacing w:val="-43"/>
        </w:rPr>
        <w:t> </w:t>
      </w:r>
      <w:r>
        <w:rPr>
          <w:spacing w:val="-43"/>
        </w:rPr>
      </w:r>
      <w:r>
        <w:rPr>
          <w:spacing w:val="-2"/>
        </w:rPr>
        <w:t>能、自主智能系统成为人工智能的发展重点，受脑科学研究成果启发的类脑智能蓄势待发，芯片化硬件化</w:t>
      </w:r>
      <w:r>
        <w:rPr>
          <w:spacing w:val="-43"/>
        </w:rPr>
        <w:t> </w:t>
      </w:r>
      <w:r>
        <w:rPr>
          <w:spacing w:val="-43"/>
        </w:rPr>
      </w:r>
      <w:r>
        <w:rPr>
          <w:spacing w:val="-2"/>
        </w:rPr>
        <w:t>平台化趋势更加明显，人工智能发展进入新阶段。</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月，工信部印发《促进新一代人工智能产业发</w:t>
      </w:r>
      <w:r>
        <w:rPr>
          <w:spacing w:val="-42"/>
        </w:rPr>
        <w:t> </w:t>
      </w:r>
      <w:r>
        <w:rPr>
          <w:spacing w:val="-42"/>
        </w:rPr>
      </w:r>
      <w:r>
        <w:rPr>
          <w:spacing w:val="-1"/>
        </w:rPr>
        <w:t>展三年行动计划（</w:t>
      </w:r>
      <w:r>
        <w:rPr>
          <w:rFonts w:ascii="Times New Roman" w:hAnsi="Times New Roman" w:cs="Times New Roman" w:eastAsia="Times New Roman" w:hint="default"/>
          <w:spacing w:val="-1"/>
        </w:rPr>
        <w:t>2018-2020</w:t>
      </w:r>
      <w:r>
        <w:rPr>
          <w:spacing w:val="-1"/>
        </w:rPr>
        <w:t>）》，提出</w:t>
      </w:r>
      <w:r>
        <w:rPr>
          <w:rFonts w:ascii="Times New Roman" w:hAnsi="Times New Roman" w:cs="Times New Roman" w:eastAsia="Times New Roman" w:hint="default"/>
          <w:spacing w:val="-1"/>
        </w:rPr>
        <w:t>“</w:t>
      </w:r>
      <w:r>
        <w:rPr>
          <w:spacing w:val="-1"/>
        </w:rPr>
        <w:t>力争到</w:t>
      </w:r>
      <w:r>
        <w:rPr>
          <w:rFonts w:ascii="Times New Roman" w:hAnsi="Times New Roman" w:cs="Times New Roman" w:eastAsia="Times New Roman" w:hint="default"/>
          <w:spacing w:val="-1"/>
        </w:rPr>
        <w:t>2020</w:t>
      </w:r>
      <w:r>
        <w:rPr>
          <w:spacing w:val="-1"/>
        </w:rPr>
        <w:t>年，一系列人工智能标志性产品取得重要突破，在若</w:t>
      </w:r>
      <w:r>
        <w:rPr>
          <w:spacing w:val="-36"/>
        </w:rPr>
        <w:t> </w:t>
      </w:r>
      <w:r>
        <w:rPr>
          <w:spacing w:val="-36"/>
        </w:rPr>
      </w:r>
      <w:r>
        <w:rPr/>
        <w:t>干重点领域形成国际竞争优势，人工智能和实体经济融合进一步深化，产业发展环境进一步优化。</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年</w:t>
      </w:r>
      <w:r>
        <w:rPr>
          <w:rFonts w:ascii="Times New Roman" w:hAnsi="Times New Roman" w:cs="Times New Roman" w:eastAsia="Times New Roman" w:hint="default"/>
          <w:spacing w:val="-2"/>
        </w:rPr>
        <w:t>8</w:t>
      </w:r>
      <w:r>
        <w:rPr>
          <w:spacing w:val="-2"/>
        </w:rPr>
        <w:t>月，科技部印发《国家新一代人工智能创新发展试验区建设工作指引》，提出</w:t>
      </w:r>
      <w:r>
        <w:rPr>
          <w:rFonts w:ascii="Times New Roman" w:hAnsi="Times New Roman" w:cs="Times New Roman" w:eastAsia="Times New Roman" w:hint="default"/>
          <w:spacing w:val="-2"/>
        </w:rPr>
        <w:t>“</w:t>
      </w:r>
      <w:r>
        <w:rPr>
          <w:spacing w:val="-2"/>
        </w:rPr>
        <w:t>开展人工智能技术应用</w:t>
      </w:r>
      <w:r>
        <w:rPr>
          <w:spacing w:val="-33"/>
        </w:rPr>
        <w:t> </w:t>
      </w:r>
      <w:r>
        <w:rPr>
          <w:spacing w:val="-33"/>
        </w:rPr>
      </w:r>
      <w:r>
        <w:rPr/>
        <w:t>示范，探索促进人工智能与经济社会发展深度融合的新路径。</w:t>
      </w:r>
      <w:r>
        <w:rPr>
          <w:rFonts w:ascii="Times New Roman" w:hAnsi="Times New Roman" w:cs="Times New Roman" w:eastAsia="Times New Roman" w:hint="default"/>
        </w:rPr>
        <w:t>”</w:t>
      </w:r>
    </w:p>
    <w:p>
      <w:pPr>
        <w:pStyle w:val="BodyText"/>
        <w:spacing w:line="256" w:lineRule="auto"/>
        <w:ind w:left="573" w:right="1133"/>
        <w:jc w:val="left"/>
      </w:pPr>
      <w:r>
        <w:rPr>
          <w:rFonts w:ascii="Times New Roman" w:hAnsi="Times New Roman" w:cs="Times New Roman" w:eastAsia="Times New Roman" w:hint="default"/>
        </w:rPr>
        <w:t>3</w:t>
      </w:r>
      <w:r>
        <w:rPr/>
        <w:t>、数据智能是大数据、人工智能发展的深度融合</w:t>
      </w:r>
      <w:r>
        <w:rPr>
          <w:w w:val="100"/>
        </w:rPr>
        <w:t> </w:t>
      </w:r>
      <w:r>
        <w:rPr>
          <w:spacing w:val="-2"/>
        </w:rPr>
        <w:t>数据智能是大数据和人工智能的融合，通过分析数据获得价值，将原始数据加工为信息和知识，进而</w:t>
      </w:r>
    </w:p>
    <w:p>
      <w:pPr>
        <w:spacing w:after="0" w:line="256"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为人们在基于数据制定决策或执行任务时提供有效的智能支持，已成为推动数字化转型不可或缺的关键技</w:t>
      </w:r>
      <w:r>
        <w:rPr>
          <w:spacing w:val="-43"/>
        </w:rPr>
        <w:t> </w:t>
      </w:r>
      <w:r>
        <w:rPr>
          <w:spacing w:val="-43"/>
        </w:rPr>
      </w:r>
      <w:r>
        <w:rPr>
          <w:spacing w:val="-2"/>
        </w:rPr>
        <w:t>术。数据智能终极目标是利用一系列智能算法和大数据处理技术实现海量数据条件下的人类深度洞察和决</w:t>
      </w:r>
      <w:r>
        <w:rPr>
          <w:spacing w:val="-43"/>
        </w:rPr>
        <w:t> </w:t>
      </w:r>
      <w:r>
        <w:rPr>
          <w:spacing w:val="-43"/>
        </w:rPr>
      </w:r>
      <w:r>
        <w:rPr/>
        <w:t>策智能化，最终走向普世的人机智能融合。</w:t>
      </w:r>
    </w:p>
    <w:p>
      <w:pPr>
        <w:pStyle w:val="Heading3"/>
        <w:spacing w:line="240" w:lineRule="auto" w:before="7"/>
        <w:ind w:left="575" w:right="1133"/>
        <w:jc w:val="left"/>
        <w:rPr>
          <w:b w:val="0"/>
          <w:bCs w:val="0"/>
        </w:rPr>
      </w:pPr>
      <w:r>
        <w:rPr/>
        <w:t>（二）公司发展战略</w:t>
      </w:r>
      <w:r>
        <w:rPr>
          <w:b w:val="0"/>
          <w:bCs w:val="0"/>
        </w:rPr>
      </w:r>
    </w:p>
    <w:p>
      <w:pPr>
        <w:pStyle w:val="BodyText"/>
        <w:spacing w:line="256" w:lineRule="auto" w:before="37"/>
        <w:ind w:left="573" w:right="1133"/>
        <w:jc w:val="left"/>
      </w:pPr>
      <w:r>
        <w:rPr>
          <w:rFonts w:ascii="Times New Roman" w:hAnsi="Times New Roman" w:cs="Times New Roman" w:eastAsia="Times New Roman" w:hint="default"/>
        </w:rPr>
        <w:t>A</w:t>
      </w:r>
      <w:r>
        <w:rPr/>
        <w:t>、发展目标：</w:t>
      </w:r>
      <w:r>
        <w:rPr>
          <w:w w:val="100"/>
        </w:rPr>
        <w:t> </w:t>
      </w:r>
      <w:r>
        <w:rPr>
          <w:rFonts w:ascii="Times New Roman" w:hAnsi="Times New Roman" w:cs="Times New Roman" w:eastAsia="Times New Roman" w:hint="default"/>
          <w:spacing w:val="-1"/>
        </w:rPr>
        <w:t>“</w:t>
      </w:r>
      <w:r>
        <w:rPr>
          <w:spacing w:val="-1"/>
        </w:rPr>
        <w:t>十四五</w:t>
      </w:r>
      <w:r>
        <w:rPr>
          <w:rFonts w:ascii="Times New Roman" w:hAnsi="Times New Roman" w:cs="Times New Roman" w:eastAsia="Times New Roman" w:hint="default"/>
          <w:spacing w:val="-1"/>
        </w:rPr>
        <w:t>”</w:t>
      </w:r>
      <w:r>
        <w:rPr>
          <w:spacing w:val="-1"/>
        </w:rPr>
        <w:t>时期，科大国创将继续肩负</w:t>
      </w:r>
      <w:r>
        <w:rPr>
          <w:rFonts w:ascii="Times New Roman" w:hAnsi="Times New Roman" w:cs="Times New Roman" w:eastAsia="Times New Roman" w:hint="default"/>
          <w:spacing w:val="-1"/>
        </w:rPr>
        <w:t>“</w:t>
      </w:r>
      <w:r>
        <w:rPr>
          <w:spacing w:val="-1"/>
        </w:rPr>
        <w:t>软件兴企报国，创新引领未来</w:t>
      </w:r>
      <w:r>
        <w:rPr>
          <w:rFonts w:ascii="Times New Roman" w:hAnsi="Times New Roman" w:cs="Times New Roman" w:eastAsia="Times New Roman" w:hint="default"/>
          <w:spacing w:val="-1"/>
        </w:rPr>
        <w:t>”</w:t>
      </w:r>
      <w:r>
        <w:rPr>
          <w:spacing w:val="-1"/>
        </w:rPr>
        <w:t>的伟大使命，着力打造一支技术</w:t>
      </w:r>
    </w:p>
    <w:p>
      <w:pPr>
        <w:pStyle w:val="BodyText"/>
        <w:spacing w:line="240" w:lineRule="auto" w:before="5"/>
        <w:ind w:right="0"/>
        <w:jc w:val="both"/>
      </w:pPr>
      <w:r>
        <w:rPr/>
        <w:t>领先、业务精湛的复合型团队，努力成为数据智能领域的引领者，奋力实现百亿国创的目标。</w:t>
      </w:r>
    </w:p>
    <w:p>
      <w:pPr>
        <w:pStyle w:val="BodyText"/>
        <w:spacing w:line="256" w:lineRule="auto" w:before="37"/>
        <w:ind w:left="573" w:right="8947"/>
        <w:jc w:val="left"/>
      </w:pPr>
      <w:r>
        <w:rPr>
          <w:rFonts w:ascii="Times New Roman" w:hAnsi="Times New Roman" w:cs="Times New Roman" w:eastAsia="Times New Roman" w:hint="default"/>
          <w:spacing w:val="-2"/>
        </w:rPr>
        <w:t>B</w:t>
      </w:r>
      <w:r>
        <w:rPr>
          <w:spacing w:val="-2"/>
        </w:rPr>
        <w:t>、发展战略：</w:t>
      </w:r>
      <w:r>
        <w:rPr>
          <w:spacing w:val="-92"/>
        </w:rPr>
        <w:t> </w:t>
      </w:r>
      <w:r>
        <w:rPr>
          <w:spacing w:val="-92"/>
        </w:rPr>
      </w:r>
      <w:r>
        <w:rPr>
          <w:rFonts w:ascii="Times New Roman" w:hAnsi="Times New Roman" w:cs="Times New Roman" w:eastAsia="Times New Roman" w:hint="default"/>
        </w:rPr>
        <w:t>1</w:t>
      </w:r>
      <w:r>
        <w:rPr/>
        <w:t>、核心技术</w:t>
      </w:r>
    </w:p>
    <w:p>
      <w:pPr>
        <w:pStyle w:val="BodyText"/>
        <w:spacing w:line="268" w:lineRule="auto" w:before="5"/>
        <w:ind w:right="0" w:firstLine="420"/>
        <w:jc w:val="left"/>
      </w:pPr>
      <w:r>
        <w:rPr/>
        <w:t>面向数据智能时代，凭借多年积累的大数据处理技术和深厚的行业经验，科大国创坚持大数据驱动的</w:t>
      </w:r>
      <w:r>
        <w:rPr>
          <w:w w:val="100"/>
        </w:rPr>
        <w:t> </w:t>
      </w:r>
      <w:r>
        <w:rPr>
          <w:spacing w:val="-5"/>
        </w:rPr>
        <w:t>智能应用软件的研发思路，依托中科大的技术、人才支撑，组建数据智能研发团队，经过持续的研究发展，</w:t>
      </w:r>
      <w:r>
        <w:rPr>
          <w:spacing w:val="-8"/>
        </w:rPr>
        <w:t> </w:t>
      </w:r>
      <w:r>
        <w:rPr>
          <w:spacing w:val="-8"/>
        </w:rPr>
      </w:r>
      <w:r>
        <w:rPr>
          <w:spacing w:val="-3"/>
        </w:rPr>
        <w:t>逐步形成了数据智能的核心技术体系，构建了国创九章</w:t>
      </w:r>
      <w:r>
        <w:rPr>
          <w:rFonts w:ascii="Times New Roman" w:hAnsi="Times New Roman" w:cs="Times New Roman" w:eastAsia="Times New Roman" w:hint="default"/>
          <w:spacing w:val="-3"/>
        </w:rPr>
        <w:t>AI</w:t>
      </w:r>
      <w:r>
        <w:rPr>
          <w:spacing w:val="-3"/>
        </w:rPr>
        <w:t>平台、国创天演</w:t>
      </w:r>
      <w:r>
        <w:rPr>
          <w:rFonts w:ascii="Times New Roman" w:hAnsi="Times New Roman" w:cs="Times New Roman" w:eastAsia="Times New Roman" w:hint="default"/>
          <w:spacing w:val="-3"/>
        </w:rPr>
        <w:t>PaaS</w:t>
      </w:r>
      <w:r>
        <w:rPr>
          <w:spacing w:val="-3"/>
        </w:rPr>
        <w:t>云平台、国创智能产品开发</w:t>
      </w:r>
      <w:r>
        <w:rPr>
          <w:spacing w:val="-5"/>
        </w:rPr>
        <w:t> </w:t>
      </w:r>
      <w:r>
        <w:rPr>
          <w:spacing w:val="-5"/>
        </w:rPr>
      </w:r>
      <w:r>
        <w:rPr/>
        <w:t>平台、国创</w:t>
      </w:r>
      <w:r>
        <w:rPr>
          <w:rFonts w:ascii="Times New Roman" w:hAnsi="Times New Roman" w:cs="Times New Roman" w:eastAsia="Times New Roman" w:hint="default"/>
        </w:rPr>
        <w:t>HCS</w:t>
      </w:r>
      <w:r>
        <w:rPr/>
        <w:t>集成开发平台等自主技术平台。</w:t>
      </w:r>
    </w:p>
    <w:p>
      <w:pPr>
        <w:pStyle w:val="BodyText"/>
        <w:spacing w:line="266" w:lineRule="auto"/>
        <w:ind w:right="1126" w:firstLine="420"/>
        <w:jc w:val="both"/>
      </w:pPr>
      <w:r>
        <w:rPr>
          <w:spacing w:val="-2"/>
        </w:rPr>
        <w:t>科大国创数据智能基于大数据引擎，通过大规模机器学习、深度学习、知识挖掘等技术，对海量数据</w:t>
      </w:r>
      <w:r>
        <w:rPr>
          <w:w w:val="100"/>
        </w:rPr>
        <w:t> </w:t>
      </w:r>
      <w:r>
        <w:rPr>
          <w:spacing w:val="-2"/>
        </w:rPr>
        <w:t>进行处理、分析和挖掘，提取数据中所包含的有价值的信息和知识，使数据具有</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w:t>
      </w:r>
      <w:r>
        <w:rPr>
          <w:spacing w:val="-2"/>
        </w:rPr>
        <w:t>，从而指导组织进</w:t>
      </w:r>
      <w:r>
        <w:rPr>
          <w:spacing w:val="-16"/>
        </w:rPr>
        <w:t> </w:t>
      </w:r>
      <w:r>
        <w:rPr>
          <w:spacing w:val="-16"/>
        </w:rPr>
      </w:r>
      <w:r>
        <w:rPr>
          <w:spacing w:val="-2"/>
        </w:rPr>
        <w:t>行决策、管理提升、流程优化、服务改进等，提高决策效率，提升决策稳定，替代重复决策，增加价值创</w:t>
      </w:r>
      <w:r>
        <w:rPr>
          <w:spacing w:val="-48"/>
        </w:rPr>
        <w:t> </w:t>
      </w:r>
      <w:r>
        <w:rPr>
          <w:spacing w:val="-48"/>
        </w:rPr>
      </w:r>
      <w:r>
        <w:rPr/>
        <w:t>造，是推动行业数字化转型不可或缺的关键技术。</w:t>
      </w:r>
    </w:p>
    <w:p>
      <w:pPr>
        <w:pStyle w:val="BodyText"/>
        <w:spacing w:line="256" w:lineRule="auto" w:before="14"/>
        <w:ind w:left="573" w:right="1133"/>
        <w:jc w:val="left"/>
      </w:pPr>
      <w:r>
        <w:rPr>
          <w:rFonts w:ascii="Times New Roman" w:hAnsi="Times New Roman" w:cs="Times New Roman" w:eastAsia="Times New Roman" w:hint="default"/>
        </w:rPr>
        <w:t>2</w:t>
      </w:r>
      <w:r>
        <w:rPr/>
        <w:t>、业务模式</w:t>
      </w:r>
      <w:r>
        <w:rPr>
          <w:w w:val="100"/>
        </w:rPr>
        <w:t> </w:t>
      </w:r>
      <w:r>
        <w:rPr>
          <w:spacing w:val="-4"/>
        </w:rPr>
        <w:t>科大国创运用领先的数据智能技术，围绕公司现有的</w:t>
      </w:r>
      <w:r>
        <w:rPr>
          <w:rFonts w:ascii="Times New Roman" w:hAnsi="Times New Roman" w:cs="Times New Roman" w:eastAsia="Times New Roman" w:hint="default"/>
          <w:spacing w:val="-4"/>
        </w:rPr>
        <w:t>“</w:t>
      </w:r>
      <w:r>
        <w:rPr>
          <w:spacing w:val="-4"/>
        </w:rPr>
        <w:t>技术</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平台</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产品</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三大业</w:t>
      </w:r>
    </w:p>
    <w:p>
      <w:pPr>
        <w:pStyle w:val="BodyText"/>
        <w:spacing w:line="256" w:lineRule="auto" w:before="5"/>
        <w:ind w:right="1129"/>
        <w:jc w:val="both"/>
      </w:pPr>
      <w:r>
        <w:rPr>
          <w:spacing w:val="-1"/>
        </w:rPr>
        <w:t>务模式，形成了数据智能行业应用、数据智能平台运营、智能软硬件产品三大业务板块，分别为运营商</w:t>
      </w:r>
      <w:r>
        <w:rPr>
          <w:rFonts w:ascii="Times New Roman" w:hAnsi="Times New Roman" w:cs="Times New Roman" w:eastAsia="Times New Roman" w:hint="default"/>
          <w:spacing w:val="-1"/>
        </w:rPr>
        <w:t>&amp;</w:t>
      </w:r>
      <w:r>
        <w:rPr>
          <w:rFonts w:ascii="Times New Roman" w:hAnsi="Times New Roman" w:cs="Times New Roman" w:eastAsia="Times New Roman" w:hint="default"/>
          <w:spacing w:val="13"/>
        </w:rPr>
        <w:t> </w:t>
      </w:r>
      <w:r>
        <w:rPr/>
        <w:t>政企、智慧物流、智能汽车等行业领域提供优质的产品和服务。</w:t>
      </w:r>
    </w:p>
    <w:p>
      <w:pPr>
        <w:pStyle w:val="BodyText"/>
        <w:spacing w:line="256" w:lineRule="auto" w:before="22"/>
        <w:ind w:right="1132" w:firstLine="420"/>
        <w:jc w:val="both"/>
      </w:pPr>
      <w:r>
        <w:rPr/>
        <w:t>技术</w:t>
      </w:r>
      <w:r>
        <w:rPr>
          <w:rFonts w:ascii="Times New Roman" w:hAnsi="Times New Roman" w:cs="Times New Roman" w:eastAsia="Times New Roman" w:hint="default"/>
        </w:rPr>
        <w:t>+</w:t>
      </w:r>
      <w:r>
        <w:rPr/>
        <w:t>服务主要运用领先的数据智能技术，承接运营商及政府、能源、交通、金融等政企领域客户各</w:t>
      </w:r>
      <w:r>
        <w:rPr>
          <w:w w:val="100"/>
        </w:rPr>
        <w:t> </w:t>
      </w:r>
      <w:r>
        <w:rPr/>
        <w:t>类信息化项目，提供以云平台为基础的</w:t>
      </w:r>
      <w:r>
        <w:rPr>
          <w:rFonts w:ascii="Times New Roman" w:hAnsi="Times New Roman" w:cs="Times New Roman" w:eastAsia="Times New Roman" w:hint="default"/>
        </w:rPr>
        <w:t>IT</w:t>
      </w:r>
      <w:r>
        <w:rPr/>
        <w:t>整体解决方案与服务，满足客户需求。</w:t>
      </w:r>
    </w:p>
    <w:p>
      <w:pPr>
        <w:pStyle w:val="BodyText"/>
        <w:spacing w:line="256" w:lineRule="auto" w:before="5"/>
        <w:ind w:right="1132" w:firstLine="420"/>
        <w:jc w:val="both"/>
      </w:pPr>
      <w:r>
        <w:rPr/>
        <w:t>平台</w:t>
      </w:r>
      <w:r>
        <w:rPr>
          <w:rFonts w:ascii="Times New Roman" w:hAnsi="Times New Roman" w:cs="Times New Roman" w:eastAsia="Times New Roman" w:hint="default"/>
        </w:rPr>
        <w:t>+</w:t>
      </w:r>
      <w:r>
        <w:rPr/>
        <w:t>服务主要面向智慧物流领域，凭借公司技术优势，运用互联网思维，搭建并运营智慧物流云平</w:t>
      </w:r>
      <w:r>
        <w:rPr>
          <w:w w:val="100"/>
        </w:rPr>
        <w:t> </w:t>
      </w:r>
      <w:r>
        <w:rPr/>
        <w:t>台，为货主、物流公司、车主等提供科技物流承运、物流信息化、数据运营等综合服务。</w:t>
      </w:r>
    </w:p>
    <w:p>
      <w:pPr>
        <w:pStyle w:val="BodyText"/>
        <w:spacing w:line="256" w:lineRule="auto" w:before="22"/>
        <w:ind w:right="1128" w:firstLine="420"/>
        <w:jc w:val="both"/>
      </w:pPr>
      <w:r>
        <w:rPr/>
        <w:t>产品</w:t>
      </w:r>
      <w:r>
        <w:rPr>
          <w:rFonts w:ascii="Times New Roman" w:hAnsi="Times New Roman" w:cs="Times New Roman" w:eastAsia="Times New Roman" w:hint="default"/>
        </w:rPr>
        <w:t>+</w:t>
      </w:r>
      <w:r>
        <w:rPr/>
        <w:t>服务主要将多年积累的数据智能技术，与实体产业融合，提供智能</w:t>
      </w:r>
      <w:r>
        <w:rPr>
          <w:rFonts w:ascii="Times New Roman" w:hAnsi="Times New Roman" w:cs="Times New Roman" w:eastAsia="Times New Roman" w:hint="default"/>
        </w:rPr>
        <w:t>BMS</w:t>
      </w:r>
      <w:r>
        <w:rPr/>
        <w:t>等软硬件一体化的智能</w:t>
      </w:r>
      <w:r>
        <w:rPr>
          <w:w w:val="100"/>
        </w:rPr>
        <w:t> </w:t>
      </w:r>
      <w:r>
        <w:rPr/>
        <w:t>产品和服务，满足智能汽车等领域客户需求。</w:t>
      </w:r>
    </w:p>
    <w:p>
      <w:pPr>
        <w:pStyle w:val="BodyText"/>
        <w:spacing w:line="256" w:lineRule="auto" w:before="22"/>
        <w:ind w:left="573" w:right="1133"/>
        <w:jc w:val="left"/>
      </w:pPr>
      <w:r>
        <w:rPr>
          <w:rFonts w:ascii="Times New Roman" w:hAnsi="Times New Roman" w:cs="Times New Roman" w:eastAsia="Times New Roman" w:hint="default"/>
        </w:rPr>
        <w:t>3</w:t>
      </w:r>
      <w:r>
        <w:rPr/>
        <w:t>、战略</w:t>
      </w:r>
      <w:r>
        <w:rPr>
          <w:w w:val="100"/>
        </w:rPr>
        <w:t> </w:t>
      </w:r>
      <w:r>
        <w:rPr>
          <w:spacing w:val="-2"/>
        </w:rPr>
        <w:t>公司将始终以</w:t>
      </w:r>
      <w:r>
        <w:rPr>
          <w:rFonts w:ascii="Times New Roman" w:hAnsi="Times New Roman" w:cs="Times New Roman" w:eastAsia="Times New Roman" w:hint="default"/>
          <w:spacing w:val="-2"/>
        </w:rPr>
        <w:t>“</w:t>
      </w:r>
      <w:r>
        <w:rPr>
          <w:spacing w:val="-2"/>
        </w:rPr>
        <w:t>软件兴企报国，创新引领未来</w:t>
      </w:r>
      <w:r>
        <w:rPr>
          <w:rFonts w:ascii="Times New Roman" w:hAnsi="Times New Roman" w:cs="Times New Roman" w:eastAsia="Times New Roman" w:hint="default"/>
          <w:spacing w:val="-2"/>
        </w:rPr>
        <w:t>”</w:t>
      </w:r>
      <w:r>
        <w:rPr>
          <w:spacing w:val="-2"/>
        </w:rPr>
        <w:t>为使命，继续坚持以内生发展和外延扩张相结合、市场</w:t>
      </w:r>
    </w:p>
    <w:p>
      <w:pPr>
        <w:pStyle w:val="BodyText"/>
        <w:spacing w:line="273" w:lineRule="auto" w:before="5"/>
        <w:ind w:right="1126"/>
        <w:jc w:val="both"/>
      </w:pPr>
      <w:r>
        <w:rPr>
          <w:spacing w:val="-2"/>
        </w:rPr>
        <w:t>与研发双轮驱动、产品和服务共同推进、创新引领和行业精耕细作相融合、团队高素质和工作高效率相协</w:t>
      </w:r>
      <w:r>
        <w:rPr>
          <w:spacing w:val="-44"/>
        </w:rPr>
        <w:t> </w:t>
      </w:r>
      <w:r>
        <w:rPr>
          <w:spacing w:val="-44"/>
        </w:rPr>
      </w:r>
      <w:r>
        <w:rPr>
          <w:spacing w:val="-2"/>
        </w:rPr>
        <w:t>同为总体思路，围绕公司主营业务，应用领先的数据智能技术，向客户提供优质的产品与服务，努力实现</w:t>
      </w:r>
      <w:r>
        <w:rPr>
          <w:spacing w:val="-50"/>
        </w:rPr>
        <w:t> </w:t>
      </w:r>
      <w:r>
        <w:rPr>
          <w:spacing w:val="-50"/>
        </w:rPr>
      </w:r>
      <w:r>
        <w:rPr>
          <w:spacing w:val="-2"/>
        </w:rPr>
        <w:t>十四五时期发展目标。针对公司布局的数据智能行业应用、数据智能平台运营、智能软硬件产品三大业务</w:t>
      </w:r>
      <w:r>
        <w:rPr>
          <w:spacing w:val="-43"/>
        </w:rPr>
        <w:t> </w:t>
      </w:r>
      <w:r>
        <w:rPr>
          <w:spacing w:val="-43"/>
        </w:rPr>
      </w:r>
      <w:r>
        <w:rPr/>
        <w:t>板块，坚定贯彻智慧</w:t>
      </w:r>
      <w:r>
        <w:rPr>
          <w:rFonts w:ascii="Times New Roman" w:hAnsi="Times New Roman" w:cs="Times New Roman" w:eastAsia="Times New Roman" w:hint="default"/>
        </w:rPr>
        <w:t>+</w:t>
      </w:r>
      <w:r>
        <w:rPr/>
        <w:t>、平台驱动、产品引领三大战略。</w:t>
      </w:r>
    </w:p>
    <w:p>
      <w:pPr>
        <w:pStyle w:val="BodyText"/>
        <w:spacing w:line="259" w:lineRule="auto"/>
        <w:ind w:left="573"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w:t>
      </w:r>
      <w:r>
        <w:rPr>
          <w:w w:val="100"/>
        </w:rPr>
        <w:t> </w:t>
      </w:r>
      <w:r>
        <w:rPr/>
        <w:t>坚持以数据智能行业应用为基础的</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战略。数据智能行业应用是公司成长和壮大的基础，积累</w:t>
      </w:r>
    </w:p>
    <w:p>
      <w:pPr>
        <w:pStyle w:val="BodyText"/>
        <w:spacing w:line="264" w:lineRule="auto" w:before="2"/>
        <w:ind w:right="1132"/>
        <w:jc w:val="both"/>
      </w:pPr>
      <w:r>
        <w:rPr>
          <w:spacing w:val="-2"/>
        </w:rPr>
        <w:t>了领先的数据智能技术、深厚的行业经验、过硬的交付能力、优质的行业客户、良好的品牌口碑及专业的</w:t>
      </w:r>
      <w:r>
        <w:rPr>
          <w:spacing w:val="-50"/>
        </w:rPr>
        <w:t> </w:t>
      </w:r>
      <w:r>
        <w:rPr>
          <w:spacing w:val="-50"/>
        </w:rPr>
      </w:r>
      <w:r>
        <w:rPr/>
        <w:t>人才团队等优势竞争力。依托上述优势能力，新时期的</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战略将为公司业务全面发展继续提供坚实</w:t>
      </w:r>
      <w:r>
        <w:rPr>
          <w:spacing w:val="-16"/>
        </w:rPr>
        <w:t> </w:t>
      </w:r>
      <w:r>
        <w:rPr>
          <w:spacing w:val="-16"/>
        </w:rPr>
      </w:r>
      <w:r>
        <w:rPr/>
        <w:t>基础。</w:t>
      </w:r>
    </w:p>
    <w:p>
      <w:pPr>
        <w:pStyle w:val="BodyText"/>
        <w:spacing w:line="264" w:lineRule="auto" w:before="16"/>
        <w:ind w:right="1126" w:firstLine="420"/>
        <w:jc w:val="both"/>
      </w:pPr>
      <w:r>
        <w:rPr/>
        <w:t>践行</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战略是立足运营商等优势行业，保持业绩稳步增长，围绕公司数据智能核心技术的研发</w:t>
      </w:r>
      <w:r>
        <w:rPr>
          <w:w w:val="100"/>
        </w:rPr>
        <w:t> </w:t>
      </w:r>
      <w:r>
        <w:rPr>
          <w:spacing w:val="-2"/>
        </w:rPr>
        <w:t>应用，加大云平台、大数据处理、机器学习等技术与行业应用场景深度融合。围绕政府、交通、能源、金</w:t>
      </w:r>
      <w:r>
        <w:rPr>
          <w:spacing w:val="-45"/>
        </w:rPr>
        <w:t> </w:t>
      </w:r>
      <w:r>
        <w:rPr>
          <w:spacing w:val="-45"/>
        </w:rPr>
      </w:r>
      <w:r>
        <w:rPr>
          <w:spacing w:val="-2"/>
        </w:rPr>
        <w:t>融等政企用户，以数据智能的价值应用、云平台服务模式来推动市场规模的快速增长，精耕细作，基于现</w:t>
      </w:r>
      <w:r>
        <w:rPr>
          <w:spacing w:val="-47"/>
        </w:rPr>
        <w:t> </w:t>
      </w:r>
      <w:r>
        <w:rPr>
          <w:spacing w:val="-47"/>
        </w:rPr>
      </w:r>
      <w:r>
        <w:rPr/>
        <w:t>有产品及服务提炼</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应用价值，巩固优势行业并兼顾向其他领域延展，为运营商</w:t>
      </w:r>
      <w:r>
        <w:rPr>
          <w:rFonts w:ascii="Times New Roman" w:hAnsi="Times New Roman" w:cs="Times New Roman" w:eastAsia="Times New Roman" w:hint="default"/>
        </w:rPr>
        <w:t>&amp;</w:t>
      </w:r>
      <w:r>
        <w:rPr/>
        <w:t>政企用户提供优质</w:t>
      </w:r>
      <w:r>
        <w:rPr>
          <w:spacing w:val="-62"/>
        </w:rPr>
        <w:t> </w:t>
      </w:r>
      <w:r>
        <w:rPr>
          <w:spacing w:val="-2"/>
        </w:rPr>
        <w:t>的</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。积极践行</w:t>
      </w:r>
      <w:r>
        <w:rPr>
          <w:rFonts w:ascii="Times New Roman" w:hAnsi="Times New Roman" w:cs="Times New Roman" w:eastAsia="Times New Roman" w:hint="default"/>
          <w:spacing w:val="-2"/>
        </w:rPr>
        <w:t>“</w:t>
      </w:r>
      <w:r>
        <w:rPr>
          <w:spacing w:val="-2"/>
        </w:rPr>
        <w:t>智慧</w:t>
      </w:r>
      <w:r>
        <w:rPr>
          <w:rFonts w:ascii="Times New Roman" w:hAnsi="Times New Roman" w:cs="Times New Roman" w:eastAsia="Times New Roman" w:hint="default"/>
          <w:spacing w:val="-2"/>
        </w:rPr>
        <w:t>+”</w:t>
      </w:r>
      <w:r>
        <w:rPr>
          <w:spacing w:val="-2"/>
        </w:rPr>
        <w:t>战略，大力发展数据智能应用新业态，将为公司新技术、新产品发展奠</w:t>
      </w:r>
      <w:r>
        <w:rPr>
          <w:spacing w:val="-26"/>
        </w:rPr>
        <w:t> </w:t>
      </w:r>
      <w:r>
        <w:rPr>
          <w:spacing w:val="-26"/>
        </w:rPr>
      </w:r>
      <w:r>
        <w:rPr/>
        <w:t>定基础。</w:t>
      </w:r>
    </w:p>
    <w:p>
      <w:pPr>
        <w:spacing w:after="0" w:line="264"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left="573" w:right="1133"/>
        <w:jc w:val="left"/>
      </w:pPr>
      <w:r>
        <w:rPr/>
        <w:t>（</w:t>
      </w:r>
      <w:r>
        <w:rPr>
          <w:rFonts w:ascii="Times New Roman" w:hAnsi="Times New Roman" w:cs="Times New Roman" w:eastAsia="Times New Roman" w:hint="default"/>
        </w:rPr>
        <w:t>2</w:t>
      </w:r>
      <w:r>
        <w:rPr/>
        <w:t>）平台驱动战略</w:t>
      </w:r>
      <w:r>
        <w:rPr>
          <w:w w:val="100"/>
        </w:rPr>
        <w:t> </w:t>
      </w:r>
      <w:r>
        <w:rPr>
          <w:spacing w:val="-2"/>
        </w:rPr>
        <w:t>坚持数据智能平台运营创新发展的平台驱动战略。数据智能平台运营是公司创新发展的试验田，通过</w:t>
      </w:r>
    </w:p>
    <w:p>
      <w:pPr>
        <w:pStyle w:val="BodyText"/>
        <w:spacing w:line="256" w:lineRule="auto" w:before="22"/>
        <w:ind w:right="0"/>
        <w:jc w:val="left"/>
      </w:pPr>
      <w:r>
        <w:rPr>
          <w:spacing w:val="-3"/>
        </w:rPr>
        <w:t>大力推进技术创新、业务模式创新和管理创新，运用互联网思维，公司积极打造互联网</w:t>
      </w:r>
      <w:r>
        <w:rPr>
          <w:rFonts w:ascii="Times New Roman" w:hAnsi="Times New Roman" w:cs="Times New Roman" w:eastAsia="Times New Roman" w:hint="default"/>
          <w:spacing w:val="-3"/>
        </w:rPr>
        <w:t>+</w:t>
      </w:r>
      <w:r>
        <w:rPr>
          <w:spacing w:val="-3"/>
        </w:rPr>
        <w:t>智慧物流云平台，</w:t>
      </w:r>
      <w:r>
        <w:rPr>
          <w:spacing w:val="-6"/>
        </w:rPr>
        <w:t> </w:t>
      </w:r>
      <w:r>
        <w:rPr>
          <w:spacing w:val="-6"/>
        </w:rPr>
      </w:r>
      <w:r>
        <w:rPr/>
        <w:t>围绕科技物流承运、物流信息化、数据运营等综合服务开展平台化运营，通过</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，实现业绩快</w:t>
      </w:r>
      <w:r>
        <w:rPr>
          <w:spacing w:val="-13"/>
        </w:rPr>
        <w:t> </w:t>
      </w:r>
      <w:r>
        <w:rPr>
          <w:spacing w:val="-13"/>
        </w:rPr>
      </w:r>
      <w:r>
        <w:rPr/>
        <w:t>速增长。数据智能时代，平台驱动战略将指引公司以高质量的创新发展实现平台运营业务几何级数增长。</w:t>
      </w:r>
    </w:p>
    <w:p>
      <w:pPr>
        <w:pStyle w:val="BodyText"/>
        <w:spacing w:line="273" w:lineRule="auto" w:before="22"/>
        <w:ind w:right="1126" w:firstLine="420"/>
        <w:jc w:val="both"/>
      </w:pPr>
      <w:r>
        <w:rPr>
          <w:spacing w:val="-2"/>
        </w:rPr>
        <w:t>平台驱动战略将紧密围绕智慧物流云平台，将数据智能核心技术与物流供应链深度融合，最大限度发</w:t>
      </w:r>
      <w:r>
        <w:rPr>
          <w:w w:val="100"/>
        </w:rPr>
        <w:t> </w:t>
      </w:r>
      <w:r>
        <w:rPr>
          <w:spacing w:val="-2"/>
        </w:rPr>
        <w:t>挥平台效应，将托运方、承运方、金融服务方、增值服务方等物流生态链参与者连接，使各类用户的价值</w:t>
      </w:r>
      <w:r>
        <w:rPr>
          <w:spacing w:val="-43"/>
        </w:rPr>
        <w:t> </w:t>
      </w:r>
      <w:r>
        <w:rPr>
          <w:spacing w:val="-43"/>
        </w:rPr>
      </w:r>
      <w:r>
        <w:rPr>
          <w:spacing w:val="-2"/>
        </w:rPr>
        <w:t>创造和价值获取有效协同。紧扣网络货运的发展契机，以科技物流承运为运营主线，数据运营服务为突破</w:t>
      </w:r>
      <w:r>
        <w:rPr>
          <w:spacing w:val="-43"/>
        </w:rPr>
        <w:t> </w:t>
      </w:r>
      <w:r>
        <w:rPr>
          <w:spacing w:val="-43"/>
        </w:rPr>
      </w:r>
      <w:r>
        <w:rPr>
          <w:spacing w:val="-2"/>
        </w:rPr>
        <w:t>口，用数据智能技术赋能现代物流的转型升级，实现更高质量发展。深入贯彻平台驱动战略，实现公司收</w:t>
      </w:r>
      <w:r>
        <w:rPr>
          <w:spacing w:val="-50"/>
        </w:rPr>
        <w:t> </w:t>
      </w:r>
      <w:r>
        <w:rPr>
          <w:spacing w:val="-50"/>
        </w:rPr>
      </w:r>
      <w:r>
        <w:rPr/>
        <w:t>入快速增长的同时，积累的平台运营服务能力将为公司其他业务的平台化发展提供有益探索。</w:t>
      </w:r>
    </w:p>
    <w:p>
      <w:pPr>
        <w:pStyle w:val="BodyText"/>
        <w:spacing w:line="256" w:lineRule="auto" w:before="7"/>
        <w:ind w:left="573" w:right="1133"/>
        <w:jc w:val="left"/>
      </w:pPr>
      <w:r>
        <w:rPr/>
        <w:t>（</w:t>
      </w:r>
      <w:r>
        <w:rPr>
          <w:rFonts w:ascii="Times New Roman" w:hAnsi="Times New Roman" w:cs="Times New Roman" w:eastAsia="Times New Roman" w:hint="default"/>
        </w:rPr>
        <w:t>3</w:t>
      </w:r>
      <w:r>
        <w:rPr/>
        <w:t>）产品引领战略</w:t>
      </w:r>
      <w:r>
        <w:rPr>
          <w:w w:val="100"/>
        </w:rPr>
        <w:t> </w:t>
      </w:r>
      <w:r>
        <w:rPr>
          <w:spacing w:val="-2"/>
        </w:rPr>
        <w:t>坚持智能软硬件产品为引领的产品引领战略。智能软硬件产品是公司发展的新引擎。随着大数据进入</w:t>
      </w:r>
    </w:p>
    <w:p>
      <w:pPr>
        <w:pStyle w:val="BodyText"/>
        <w:spacing w:line="268" w:lineRule="auto" w:before="23"/>
        <w:ind w:right="1104"/>
        <w:jc w:val="both"/>
      </w:pPr>
      <w:r>
        <w:rPr>
          <w:spacing w:val="-2"/>
        </w:rPr>
        <w:t>深度应用阶段，人工智能日益融入产业升级，物联网开启万物互联新时代，以数据智能为核心技术的智能</w:t>
      </w:r>
      <w:r>
        <w:rPr>
          <w:spacing w:val="-43"/>
        </w:rPr>
        <w:t> </w:t>
      </w:r>
      <w:r>
        <w:rPr>
          <w:spacing w:val="-43"/>
        </w:rPr>
      </w:r>
      <w:r>
        <w:rPr>
          <w:spacing w:val="-2"/>
        </w:rPr>
        <w:t>软硬件产品将在社会各领域得到广泛的应用。公司紧抓机遇，围绕智能汽车、储能、物联网以及对软件安</w:t>
      </w:r>
      <w:r>
        <w:rPr>
          <w:spacing w:val="-47"/>
        </w:rPr>
        <w:t> </w:t>
      </w:r>
      <w:r>
        <w:rPr>
          <w:spacing w:val="-47"/>
        </w:rPr>
      </w:r>
      <w:r>
        <w:rPr>
          <w:spacing w:val="-3"/>
        </w:rPr>
        <w:t>全可靠要求极高的关键领域积极布局智能</w:t>
      </w:r>
      <w:r>
        <w:rPr>
          <w:rFonts w:ascii="Times New Roman" w:hAnsi="Times New Roman" w:cs="Times New Roman" w:eastAsia="Times New Roman" w:hint="default"/>
          <w:spacing w:val="-3"/>
        </w:rPr>
        <w:t>BMS</w:t>
      </w:r>
      <w:r>
        <w:rPr>
          <w:spacing w:val="-3"/>
        </w:rPr>
        <w:t>、高可信软件等智能软硬件产品。目前，公司智能</w:t>
      </w:r>
      <w:r>
        <w:rPr>
          <w:rFonts w:ascii="Times New Roman" w:hAnsi="Times New Roman" w:cs="Times New Roman" w:eastAsia="Times New Roman" w:hint="default"/>
          <w:spacing w:val="-3"/>
        </w:rPr>
        <w:t>BMS</w:t>
      </w:r>
      <w:r>
        <w:rPr>
          <w:spacing w:val="-3"/>
        </w:rPr>
        <w:t>已应</w:t>
      </w:r>
      <w:r>
        <w:rPr>
          <w:spacing w:val="-40"/>
        </w:rPr>
        <w:t> </w:t>
      </w:r>
      <w:r>
        <w:rPr>
          <w:spacing w:val="-2"/>
        </w:rPr>
        <w:t>用于国内多家新能源车厂及军工等用户，市场占有率位居前列；公司高可信软件依托中科大院士、教授、</w:t>
      </w:r>
      <w:r>
        <w:rPr>
          <w:spacing w:val="-21"/>
        </w:rPr>
        <w:t> </w:t>
      </w:r>
      <w:r>
        <w:rPr>
          <w:spacing w:val="-21"/>
        </w:rPr>
      </w:r>
      <w:r>
        <w:rPr/>
        <w:t>博士团队，研发了国际领先的程序分析和程序验证产品，并已开展市场化试用。</w:t>
      </w:r>
    </w:p>
    <w:p>
      <w:pPr>
        <w:pStyle w:val="BodyText"/>
        <w:spacing w:line="264" w:lineRule="auto" w:before="12"/>
        <w:ind w:right="0" w:firstLine="420"/>
        <w:jc w:val="left"/>
      </w:pPr>
      <w:r>
        <w:rPr/>
        <w:t>产品引领战略是以</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模式为智能汽车、储能以及对软件安全可靠要求极高的关键领域提供</w:t>
      </w:r>
      <w:r>
        <w:rPr>
          <w:w w:val="100"/>
        </w:rPr>
        <w:t> </w:t>
      </w:r>
      <w:r>
        <w:rPr>
          <w:spacing w:val="-3"/>
        </w:rPr>
        <w:t>领先的智能</w:t>
      </w:r>
      <w:r>
        <w:rPr>
          <w:rFonts w:ascii="Times New Roman" w:hAnsi="Times New Roman" w:cs="Times New Roman" w:eastAsia="Times New Roman" w:hint="default"/>
          <w:spacing w:val="-3"/>
        </w:rPr>
        <w:t>BMS</w:t>
      </w:r>
      <w:r>
        <w:rPr>
          <w:spacing w:val="-3"/>
        </w:rPr>
        <w:t>、高可信软件等智能软硬件产品。智能</w:t>
      </w:r>
      <w:r>
        <w:rPr>
          <w:rFonts w:ascii="Times New Roman" w:hAnsi="Times New Roman" w:cs="Times New Roman" w:eastAsia="Times New Roman" w:hint="default"/>
          <w:spacing w:val="-3"/>
        </w:rPr>
        <w:t>BMS</w:t>
      </w:r>
      <w:r>
        <w:rPr>
          <w:spacing w:val="-3"/>
        </w:rPr>
        <w:t>将加深数据智能技术与智能汽车、储能产业结</w:t>
      </w:r>
      <w:r>
        <w:rPr>
          <w:spacing w:val="-42"/>
        </w:rPr>
        <w:t> </w:t>
      </w:r>
      <w:r>
        <w:rPr>
          <w:spacing w:val="-42"/>
        </w:rPr>
      </w:r>
      <w:r>
        <w:rPr>
          <w:spacing w:val="-3"/>
        </w:rPr>
        <w:t>合，通过打造国创智能产品开发平台，继续提供领先的智能</w:t>
      </w:r>
      <w:r>
        <w:rPr>
          <w:rFonts w:ascii="Times New Roman" w:hAnsi="Times New Roman" w:cs="Times New Roman" w:eastAsia="Times New Roman" w:hint="default"/>
          <w:spacing w:val="-3"/>
        </w:rPr>
        <w:t>BMS</w:t>
      </w:r>
      <w:r>
        <w:rPr>
          <w:spacing w:val="-3"/>
        </w:rPr>
        <w:t>产品同时，积极研发以</w:t>
      </w:r>
      <w:r>
        <w:rPr>
          <w:rFonts w:ascii="Times New Roman" w:hAnsi="Times New Roman" w:cs="Times New Roman" w:eastAsia="Times New Roman" w:hint="default"/>
          <w:spacing w:val="-3"/>
        </w:rPr>
        <w:t>BMS</w:t>
      </w:r>
      <w:r>
        <w:rPr>
          <w:spacing w:val="-3"/>
        </w:rPr>
        <w:t>为核心的动力</w:t>
      </w:r>
      <w:r>
        <w:rPr>
          <w:spacing w:val="-42"/>
        </w:rPr>
        <w:t> </w:t>
      </w:r>
      <w:r>
        <w:rPr>
          <w:spacing w:val="-42"/>
        </w:rPr>
      </w:r>
      <w:r>
        <w:rPr>
          <w:spacing w:val="-2"/>
        </w:rPr>
        <w:t>电源总成系统及动力域控制器等新产品，提升控制系统效率、降低整车成本，通过对整车历史数据的建模</w:t>
      </w:r>
      <w:r>
        <w:rPr>
          <w:spacing w:val="-45"/>
        </w:rPr>
        <w:t> </w:t>
      </w:r>
      <w:r>
        <w:rPr>
          <w:spacing w:val="-45"/>
        </w:rPr>
      </w:r>
      <w:r>
        <w:rPr>
          <w:spacing w:val="-2"/>
        </w:rPr>
        <w:t>分析，基于大数据引擎，运用数据智能技术，实现动力域的智能化，引领智能电动技术方向，推动智能汽</w:t>
      </w:r>
      <w:r>
        <w:rPr>
          <w:spacing w:val="-43"/>
        </w:rPr>
        <w:t> </w:t>
      </w:r>
      <w:r>
        <w:rPr>
          <w:spacing w:val="-43"/>
        </w:rPr>
      </w:r>
      <w:r>
        <w:rPr/>
        <w:t>车产业发展。高可信软件继续以国际领先的形式化验证理论与技术，打造国创</w:t>
      </w:r>
      <w:r>
        <w:rPr>
          <w:rFonts w:ascii="Times New Roman" w:hAnsi="Times New Roman" w:cs="Times New Roman" w:eastAsia="Times New Roman" w:hint="default"/>
        </w:rPr>
        <w:t>HCS</w:t>
      </w:r>
      <w:r>
        <w:rPr/>
        <w:t>集成开发平台，研发基</w:t>
      </w:r>
      <w:r>
        <w:rPr>
          <w:w w:val="100"/>
        </w:rPr>
        <w:t> </w:t>
      </w:r>
      <w:r>
        <w:rPr>
          <w:spacing w:val="-5"/>
        </w:rPr>
        <w:t>于云平台的高可信软件程序分析和程序验证的原创智能软件产品，致力于为人工智能、机器人、无人驾驶、</w:t>
      </w:r>
      <w:r>
        <w:rPr>
          <w:spacing w:val="-4"/>
        </w:rPr>
        <w:t> </w:t>
      </w:r>
      <w:r>
        <w:rPr>
          <w:spacing w:val="-4"/>
        </w:rPr>
      </w:r>
      <w:r>
        <w:rPr>
          <w:spacing w:val="-5"/>
        </w:rPr>
        <w:t>军工、航天、核电等安全攸关的关键领域提供静态分析与漏洞查找、系统核心软件与关键算法验证等服务。</w:t>
      </w:r>
      <w:r>
        <w:rPr>
          <w:spacing w:val="-3"/>
        </w:rPr>
        <w:t> </w:t>
      </w:r>
      <w:r>
        <w:rPr>
          <w:spacing w:val="-3"/>
        </w:rPr>
      </w:r>
      <w:r>
        <w:rPr/>
        <w:t>产品引领战略将开启公司在数据智能时代发展的</w:t>
      </w:r>
      <w:r>
        <w:rPr>
          <w:rFonts w:ascii="Times New Roman" w:hAnsi="Times New Roman" w:cs="Times New Roman" w:eastAsia="Times New Roman" w:hint="default"/>
        </w:rPr>
        <w:t>“</w:t>
      </w:r>
      <w:r>
        <w:rPr/>
        <w:t>第二曲线</w:t>
      </w:r>
      <w:r>
        <w:rPr>
          <w:rFonts w:ascii="Times New Roman" w:hAnsi="Times New Roman" w:cs="Times New Roman" w:eastAsia="Times New Roman" w:hint="default"/>
        </w:rPr>
        <w:t>”</w:t>
      </w:r>
      <w:r>
        <w:rPr/>
        <w:t>，以产品化助力公司踏上高质量发展新征程。</w:t>
      </w:r>
    </w:p>
    <w:p>
      <w:pPr>
        <w:pStyle w:val="Heading3"/>
        <w:spacing w:line="273" w:lineRule="exact"/>
        <w:ind w:left="575" w:right="1133"/>
        <w:jc w:val="left"/>
        <w:rPr>
          <w:b w:val="0"/>
          <w:bCs w:val="0"/>
        </w:rPr>
      </w:pPr>
      <w:r>
        <w:rPr/>
        <w:t>（三）经营计划</w:t>
      </w:r>
      <w:r>
        <w:rPr>
          <w:b w:val="0"/>
          <w:bCs w:val="0"/>
        </w:rPr>
      </w:r>
    </w:p>
    <w:p>
      <w:pPr>
        <w:pStyle w:val="BodyText"/>
        <w:spacing w:line="264" w:lineRule="auto" w:before="37"/>
        <w:ind w:right="0" w:firstLine="420"/>
        <w:jc w:val="left"/>
      </w:pPr>
      <w:r>
        <w:rPr>
          <w:rFonts w:ascii="Times New Roman" w:hAnsi="Times New Roman" w:cs="Times New Roman" w:eastAsia="Times New Roman" w:hint="default"/>
          <w:spacing w:val="-4"/>
        </w:rPr>
        <w:t>2020</w:t>
      </w:r>
      <w:r>
        <w:rPr>
          <w:spacing w:val="-4"/>
        </w:rPr>
        <w:t>年是全面建成小康社会和</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规划收官之年，在国内经济转型升级、下行压力较大的背景下，</w:t>
      </w:r>
      <w:r>
        <w:rPr>
          <w:w w:val="100"/>
        </w:rPr>
        <w:t> </w:t>
      </w:r>
      <w:r>
        <w:rPr>
          <w:spacing w:val="-2"/>
        </w:rPr>
        <w:t>叠加疫情不利因素，国内多数行业受到明显冲击，市场短期承压较大。疫情期间，公司客户、供应商等利</w:t>
      </w:r>
      <w:r>
        <w:rPr>
          <w:spacing w:val="-43"/>
        </w:rPr>
        <w:t> </w:t>
      </w:r>
      <w:r>
        <w:rPr>
          <w:spacing w:val="-43"/>
        </w:rPr>
      </w:r>
      <w:r>
        <w:rPr>
          <w:spacing w:val="-2"/>
        </w:rPr>
        <w:t>益相关方也遭受到不同程度影响，尽管公司已采取积极措施最大限度减少疫情的不利影响，但短期内仍会</w:t>
      </w:r>
      <w:r>
        <w:rPr>
          <w:spacing w:val="-43"/>
        </w:rPr>
        <w:t> </w:t>
      </w:r>
      <w:r>
        <w:rPr>
          <w:spacing w:val="-43"/>
        </w:rPr>
      </w:r>
      <w:r>
        <w:rPr>
          <w:spacing w:val="-6"/>
        </w:rPr>
        <w:t>对公司经营发展造成一定影响。然而，疫情也给公司带来新的发展机遇，随着</w:t>
      </w:r>
      <w:r>
        <w:rPr>
          <w:rFonts w:ascii="Times New Roman" w:hAnsi="Times New Roman" w:cs="Times New Roman" w:eastAsia="Times New Roman" w:hint="default"/>
          <w:spacing w:val="-6"/>
        </w:rPr>
        <w:t>5G</w:t>
      </w:r>
      <w:r>
        <w:rPr>
          <w:spacing w:val="-6"/>
        </w:rPr>
        <w:t>、大数据中心、人工智能、</w:t>
      </w:r>
      <w:r>
        <w:rPr>
          <w:spacing w:val="-4"/>
        </w:rPr>
        <w:t> </w:t>
      </w:r>
      <w:r>
        <w:rPr>
          <w:spacing w:val="-4"/>
        </w:rPr>
      </w:r>
      <w:r>
        <w:rPr/>
        <w:t>工业互联网等科技新基建的大力投入，将加速行业数字化转型。</w:t>
      </w:r>
    </w:p>
    <w:p>
      <w:pPr>
        <w:pStyle w:val="BodyText"/>
        <w:spacing w:line="256" w:lineRule="auto" w:before="16"/>
        <w:ind w:right="0" w:firstLine="420"/>
        <w:jc w:val="left"/>
      </w:pPr>
      <w:r>
        <w:rPr>
          <w:rFonts w:ascii="Times New Roman" w:hAnsi="Times New Roman" w:cs="Times New Roman" w:eastAsia="Times New Roman" w:hint="default"/>
          <w:spacing w:val="-4"/>
        </w:rPr>
        <w:t>2020</w:t>
      </w:r>
      <w:r>
        <w:rPr>
          <w:spacing w:val="-4"/>
        </w:rPr>
        <w:t>年，公司将在提升内部管理促进工作效能的同时，更积极主动应对市场机会，动态跟踪市场变化，</w:t>
      </w:r>
      <w:r>
        <w:rPr>
          <w:w w:val="100"/>
        </w:rPr>
        <w:t> </w:t>
      </w:r>
      <w:r>
        <w:rPr/>
        <w:t>快速敏捷开发新产品，更高质量的服务社会。公司将以科技新基建为契机，重点开展以下经营管理工作：</w:t>
      </w:r>
    </w:p>
    <w:p>
      <w:pPr>
        <w:pStyle w:val="BodyText"/>
        <w:spacing w:line="240" w:lineRule="auto" w:before="23"/>
        <w:ind w:left="573" w:right="1133"/>
        <w:jc w:val="left"/>
      </w:pPr>
      <w:r>
        <w:rPr>
          <w:rFonts w:ascii="Times New Roman" w:hAnsi="Times New Roman" w:cs="Times New Roman" w:eastAsia="Times New Roman" w:hint="default"/>
        </w:rPr>
        <w:t>1</w:t>
      </w:r>
      <w:r>
        <w:rPr/>
        <w:t>、业务发展</w:t>
      </w:r>
    </w:p>
    <w:p>
      <w:pPr>
        <w:pStyle w:val="BodyText"/>
        <w:spacing w:line="256" w:lineRule="auto" w:before="21"/>
        <w:ind w:left="573" w:right="1133"/>
        <w:jc w:val="left"/>
      </w:pPr>
      <w:r>
        <w:rPr/>
        <w:t>（</w:t>
      </w:r>
      <w:r>
        <w:rPr>
          <w:rFonts w:ascii="Times New Roman" w:hAnsi="Times New Roman" w:cs="Times New Roman" w:eastAsia="Times New Roman" w:hint="default"/>
        </w:rPr>
        <w:t>1</w:t>
      </w:r>
      <w:r>
        <w:rPr/>
        <w:t>）数据智能行业应用</w:t>
      </w:r>
      <w:r>
        <w:rPr>
          <w:w w:val="100"/>
        </w:rPr>
        <w:t> </w:t>
      </w:r>
      <w:r>
        <w:rPr>
          <w:spacing w:val="-2"/>
        </w:rPr>
        <w:t>加强数据智能与行业融合，发挥公司行业经验优势，分析客户需求、挖掘客户需求、引导客户需求，</w:t>
      </w:r>
    </w:p>
    <w:p>
      <w:pPr>
        <w:pStyle w:val="BodyText"/>
        <w:spacing w:line="273" w:lineRule="auto" w:before="22"/>
        <w:ind w:left="573" w:right="1133" w:hanging="420"/>
        <w:jc w:val="left"/>
      </w:pPr>
      <w:r>
        <w:rPr/>
        <w:t>推动数据智能在公司重点布局的行业和领域快速发展应用。</w:t>
      </w:r>
      <w:r>
        <w:rPr>
          <w:w w:val="100"/>
        </w:rPr>
        <w:t> </w:t>
      </w:r>
      <w:r>
        <w:rPr>
          <w:spacing w:val="-3"/>
        </w:rPr>
        <w:t>运营商：紧密围绕三大运营商，紧抓</w:t>
      </w:r>
      <w:r>
        <w:rPr>
          <w:rFonts w:ascii="Times New Roman" w:hAnsi="Times New Roman" w:cs="Times New Roman" w:eastAsia="Times New Roman" w:hint="default"/>
          <w:spacing w:val="-3"/>
        </w:rPr>
        <w:t>5G</w:t>
      </w:r>
      <w:r>
        <w:rPr>
          <w:spacing w:val="-3"/>
        </w:rPr>
        <w:t>发展机遇，聚焦</w:t>
      </w:r>
      <w:r>
        <w:rPr>
          <w:rFonts w:ascii="Times New Roman" w:hAnsi="Times New Roman" w:cs="Times New Roman" w:eastAsia="Times New Roman" w:hint="default"/>
          <w:spacing w:val="-3"/>
        </w:rPr>
        <w:t>OSS</w:t>
      </w:r>
      <w:r>
        <w:rPr>
          <w:spacing w:val="-3"/>
        </w:rPr>
        <w:t>核心业务，继续推动产品价值从信息化向</w:t>
      </w:r>
    </w:p>
    <w:p>
      <w:pPr>
        <w:pStyle w:val="BodyText"/>
        <w:spacing w:line="273" w:lineRule="auto"/>
        <w:ind w:right="1133"/>
        <w:jc w:val="left"/>
      </w:pPr>
      <w:r>
        <w:rPr>
          <w:spacing w:val="-2"/>
        </w:rPr>
        <w:t>数据智能化转变，在既有业务市场占有率不断提升的同时加大新市场开拓力度；继续扩大与华为的合作，</w:t>
      </w:r>
      <w:r>
        <w:rPr>
          <w:spacing w:val="-21"/>
        </w:rPr>
        <w:t> </w:t>
      </w:r>
      <w:r>
        <w:rPr>
          <w:spacing w:val="-21"/>
        </w:rPr>
      </w:r>
      <w:r>
        <w:rPr/>
        <w:t>共同推广国际</w:t>
      </w:r>
      <w:r>
        <w:rPr>
          <w:rFonts w:ascii="Times New Roman" w:hAnsi="Times New Roman" w:cs="Times New Roman" w:eastAsia="Times New Roman" w:hint="default"/>
        </w:rPr>
        <w:t>OSS</w:t>
      </w:r>
      <w:r>
        <w:rPr/>
        <w:t>在其他国家的落地应用；探索</w:t>
      </w:r>
      <w:r>
        <w:rPr>
          <w:rFonts w:ascii="Times New Roman" w:hAnsi="Times New Roman" w:cs="Times New Roman" w:eastAsia="Times New Roman" w:hint="default"/>
        </w:rPr>
        <w:t>5G+</w:t>
      </w:r>
      <w:r>
        <w:rPr/>
        <w:t>工业互联网新业务的实践。</w:t>
      </w:r>
    </w:p>
    <w:p>
      <w:pPr>
        <w:pStyle w:val="BodyText"/>
        <w:spacing w:line="273" w:lineRule="auto"/>
        <w:ind w:right="0" w:firstLine="420"/>
        <w:jc w:val="left"/>
      </w:pPr>
      <w:r>
        <w:rPr/>
        <w:t>政企：围绕现有优势产品和客户加大市场推广力度，实现订单规模和质量上台阶。能源抓住电力物联</w:t>
      </w:r>
      <w:r>
        <w:rPr>
          <w:w w:val="100"/>
        </w:rPr>
        <w:t> </w:t>
      </w:r>
      <w:r>
        <w:rPr>
          <w:spacing w:val="-5"/>
        </w:rPr>
        <w:t>网的建设契机，在现有实时数据库和数据采集交换平台产品的基础上深化数据智能技术应用，拓展新产品、</w:t>
      </w:r>
      <w:r>
        <w:rPr>
          <w:spacing w:val="-6"/>
        </w:rPr>
        <w:t> </w:t>
      </w:r>
      <w:r>
        <w:rPr>
          <w:spacing w:val="-6"/>
        </w:rPr>
      </w:r>
      <w:r>
        <w:rPr/>
        <w:t>新业务；交通响应</w:t>
      </w:r>
      <w:r>
        <w:rPr>
          <w:rFonts w:ascii="Times New Roman" w:hAnsi="Times New Roman" w:cs="Times New Roman" w:eastAsia="Times New Roman" w:hint="default"/>
        </w:rPr>
        <w:t>“</w:t>
      </w:r>
      <w:r>
        <w:rPr/>
        <w:t>交通强国</w:t>
      </w:r>
      <w:r>
        <w:rPr>
          <w:rFonts w:ascii="Times New Roman" w:hAnsi="Times New Roman" w:cs="Times New Roman" w:eastAsia="Times New Roman" w:hint="default"/>
        </w:rPr>
        <w:t>”</w:t>
      </w:r>
      <w:r>
        <w:rPr/>
        <w:t>国家战略，积极参与提升交通基础设施智能化水平，提高交通非现场协同执</w:t>
      </w:r>
    </w:p>
    <w:p>
      <w:pPr>
        <w:spacing w:after="0" w:line="273"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68" w:lineRule="auto" w:before="36"/>
        <w:ind w:right="0"/>
        <w:jc w:val="left"/>
      </w:pPr>
      <w:r>
        <w:rPr>
          <w:spacing w:val="-2"/>
        </w:rPr>
        <w:t>法</w:t>
      </w:r>
      <w:r>
        <w:rPr>
          <w:rFonts w:ascii="Times New Roman" w:hAnsi="Times New Roman" w:cs="Times New Roman" w:eastAsia="Times New Roman" w:hint="default"/>
          <w:spacing w:val="-2"/>
        </w:rPr>
        <w:t>/</w:t>
      </w:r>
      <w:r>
        <w:rPr>
          <w:spacing w:val="-2"/>
        </w:rPr>
        <w:t>综合治超能力，加强建设综合交通运输大数据中心等多项任务；金融持续开拓国内外优质潜在大客户，</w:t>
      </w:r>
      <w:r>
        <w:rPr>
          <w:spacing w:val="-21"/>
        </w:rPr>
        <w:t> </w:t>
      </w:r>
      <w:r>
        <w:rPr>
          <w:spacing w:val="-21"/>
        </w:rPr>
      </w:r>
      <w:r>
        <w:rPr>
          <w:spacing w:val="-2"/>
        </w:rPr>
        <w:t>加大数据智能、区块链在金融行业应用突破，扩大业务规模；政府积极参与数字江淮、皖事通办、智慧园</w:t>
      </w:r>
      <w:r>
        <w:rPr>
          <w:spacing w:val="-43"/>
        </w:rPr>
        <w:t> </w:t>
      </w:r>
      <w:r>
        <w:rPr>
          <w:spacing w:val="-43"/>
        </w:rPr>
      </w:r>
      <w:r>
        <w:rPr>
          <w:spacing w:val="-2"/>
        </w:rPr>
        <w:t>区、智慧城市、应急管理等政府数字化转型，立足安徽拓展全国，积极抓住国产自主可控发展机遇，发挥</w:t>
      </w:r>
      <w:r>
        <w:rPr>
          <w:spacing w:val="-43"/>
        </w:rPr>
        <w:t> </w:t>
      </w:r>
      <w:r>
        <w:rPr>
          <w:spacing w:val="-43"/>
        </w:rPr>
      </w:r>
      <w:r>
        <w:rPr/>
        <w:t>公司软件技术优势，加强软硬件适配，大力拓展信创业务。</w:t>
      </w:r>
    </w:p>
    <w:p>
      <w:pPr>
        <w:pStyle w:val="BodyText"/>
        <w:spacing w:line="256" w:lineRule="auto" w:before="12"/>
        <w:ind w:left="573" w:right="1133"/>
        <w:jc w:val="left"/>
      </w:pPr>
      <w:r>
        <w:rPr/>
        <w:t>（</w:t>
      </w:r>
      <w:r>
        <w:rPr>
          <w:rFonts w:ascii="Times New Roman" w:hAnsi="Times New Roman" w:cs="Times New Roman" w:eastAsia="Times New Roman" w:hint="default"/>
        </w:rPr>
        <w:t>2</w:t>
      </w:r>
      <w:r>
        <w:rPr/>
        <w:t>）数据智能平台运营</w:t>
      </w:r>
      <w:r>
        <w:rPr>
          <w:w w:val="100"/>
        </w:rPr>
        <w:t> </w:t>
      </w:r>
      <w:r>
        <w:rPr>
          <w:spacing w:val="-2"/>
        </w:rPr>
        <w:t>智慧物流云平台充分发挥公司品牌和技术优势，继续围绕科技物流承运、物流信息化、数据运营综合</w:t>
      </w:r>
    </w:p>
    <w:p>
      <w:pPr>
        <w:pStyle w:val="BodyText"/>
        <w:spacing w:line="264" w:lineRule="auto" w:before="22"/>
        <w:ind w:right="1126"/>
        <w:jc w:val="both"/>
      </w:pPr>
      <w:r>
        <w:rPr>
          <w:spacing w:val="-2"/>
        </w:rPr>
        <w:t>服务，加强数据智能技术的融合应用。紧抓网络货运、中小物流企业</w:t>
      </w:r>
      <w:r>
        <w:rPr>
          <w:rFonts w:ascii="Times New Roman" w:hAnsi="Times New Roman" w:cs="Times New Roman" w:eastAsia="Times New Roman" w:hint="default"/>
          <w:spacing w:val="-2"/>
        </w:rPr>
        <w:t>SaaS</w:t>
      </w:r>
      <w:r>
        <w:rPr>
          <w:spacing w:val="-2"/>
        </w:rPr>
        <w:t>服务的发展方向，巩固完善业务</w:t>
      </w:r>
      <w:r>
        <w:rPr>
          <w:spacing w:val="-45"/>
        </w:rPr>
        <w:t> </w:t>
      </w:r>
      <w:r>
        <w:rPr>
          <w:spacing w:val="-45"/>
        </w:rPr>
      </w:r>
      <w:r>
        <w:rPr>
          <w:spacing w:val="-2"/>
        </w:rPr>
        <w:t>模式并实现有效运转，快速拓展核心业务规模。用互联网思维和专注提升用户体验为平台用户提供优质贴</w:t>
      </w:r>
      <w:r>
        <w:rPr>
          <w:spacing w:val="-44"/>
        </w:rPr>
        <w:t> </w:t>
      </w:r>
      <w:r>
        <w:rPr>
          <w:spacing w:val="-44"/>
        </w:rPr>
      </w:r>
      <w:r>
        <w:rPr/>
        <w:t>心的高质量服务，实现公司业绩几何级增长。</w:t>
      </w:r>
    </w:p>
    <w:p>
      <w:pPr>
        <w:pStyle w:val="BodyText"/>
        <w:spacing w:line="256" w:lineRule="auto" w:before="16"/>
        <w:ind w:left="573" w:right="1133"/>
        <w:jc w:val="left"/>
      </w:pPr>
      <w:r>
        <w:rPr/>
        <w:t>（</w:t>
      </w:r>
      <w:r>
        <w:rPr>
          <w:rFonts w:ascii="Times New Roman" w:hAnsi="Times New Roman" w:cs="Times New Roman" w:eastAsia="Times New Roman" w:hint="default"/>
        </w:rPr>
        <w:t>3</w:t>
      </w:r>
      <w:r>
        <w:rPr/>
        <w:t>）智能软硬件产品</w:t>
      </w:r>
      <w:r>
        <w:rPr>
          <w:w w:val="100"/>
        </w:rPr>
        <w:t> </w:t>
      </w:r>
      <w:r>
        <w:rPr>
          <w:spacing w:val="-2"/>
        </w:rPr>
        <w:t>围绕智能汽车的发展趋势，强化在智能电动领域的优势地位，持续深耕现有客户，实现现有核心客户</w:t>
      </w:r>
    </w:p>
    <w:p>
      <w:pPr>
        <w:pStyle w:val="BodyText"/>
        <w:spacing w:line="256" w:lineRule="auto" w:before="22"/>
        <w:ind w:right="1128"/>
        <w:jc w:val="both"/>
      </w:pPr>
      <w:r>
        <w:rPr>
          <w:rFonts w:ascii="Times New Roman" w:hAnsi="Times New Roman" w:cs="Times New Roman" w:eastAsia="Times New Roman" w:hint="default"/>
          <w:spacing w:val="-2"/>
        </w:rPr>
        <w:t>BMS</w:t>
      </w:r>
      <w:r>
        <w:rPr>
          <w:spacing w:val="-2"/>
        </w:rPr>
        <w:t>和</w:t>
      </w:r>
      <w:r>
        <w:rPr>
          <w:rFonts w:ascii="Times New Roman" w:hAnsi="Times New Roman" w:cs="Times New Roman" w:eastAsia="Times New Roman" w:hint="default"/>
          <w:spacing w:val="-2"/>
        </w:rPr>
        <w:t>PACK</w:t>
      </w:r>
      <w:r>
        <w:rPr>
          <w:spacing w:val="-2"/>
        </w:rPr>
        <w:t>的高品质交付，进一步巩固和扩大现有市场份额。加大新客户和低速车</w:t>
      </w:r>
      <w:r>
        <w:rPr>
          <w:rFonts w:ascii="Times New Roman" w:hAnsi="Times New Roman" w:cs="Times New Roman" w:eastAsia="Times New Roman" w:hint="default"/>
          <w:spacing w:val="-2"/>
        </w:rPr>
        <w:t>BMS</w:t>
      </w:r>
      <w:r>
        <w:rPr>
          <w:spacing w:val="-2"/>
        </w:rPr>
        <w:t>的市场开拓，实</w:t>
      </w:r>
      <w:r>
        <w:rPr>
          <w:spacing w:val="-17"/>
        </w:rPr>
        <w:t> </w:t>
      </w:r>
      <w:r>
        <w:rPr>
          <w:spacing w:val="-17"/>
        </w:rPr>
      </w:r>
      <w:r>
        <w:rPr/>
        <w:t>现年度内</w:t>
      </w:r>
      <w:r>
        <w:rPr>
          <w:rFonts w:ascii="Times New Roman" w:hAnsi="Times New Roman" w:cs="Times New Roman" w:eastAsia="Times New Roman" w:hint="default"/>
        </w:rPr>
        <w:t>2-3</w:t>
      </w:r>
      <w:r>
        <w:rPr/>
        <w:t>家客户量产交付，积极推进国内外整车厂的交流互动。针对储能</w:t>
      </w:r>
      <w:r>
        <w:rPr>
          <w:rFonts w:ascii="Times New Roman" w:hAnsi="Times New Roman" w:cs="Times New Roman" w:eastAsia="Times New Roman" w:hint="default"/>
        </w:rPr>
        <w:t>BMS</w:t>
      </w:r>
      <w:r>
        <w:rPr/>
        <w:t>产品，确保现有军工客</w:t>
      </w:r>
      <w:r>
        <w:rPr>
          <w:spacing w:val="-14"/>
        </w:rPr>
        <w:t> </w:t>
      </w:r>
      <w:r>
        <w:rPr>
          <w:spacing w:val="-14"/>
        </w:rPr>
      </w:r>
      <w:r>
        <w:rPr/>
        <w:t>户的领先优势，积极开拓军工、电力等新市场。</w:t>
      </w:r>
    </w:p>
    <w:p>
      <w:pPr>
        <w:pStyle w:val="BodyText"/>
        <w:spacing w:line="273" w:lineRule="auto" w:before="22"/>
        <w:ind w:right="1104" w:firstLine="420"/>
        <w:jc w:val="both"/>
      </w:pPr>
      <w:r>
        <w:rPr>
          <w:spacing w:val="-2"/>
        </w:rPr>
        <w:t>继续坚持国际领先的高可信软件研发和推广。在高可信软件分析产品方面，基于高可信软件分析产品</w:t>
      </w:r>
      <w:r>
        <w:rPr>
          <w:w w:val="100"/>
        </w:rPr>
        <w:t> </w:t>
      </w:r>
      <w:r>
        <w:rPr>
          <w:spacing w:val="-2"/>
        </w:rPr>
        <w:t>现有实用化经验，不断丰富程序分析工具产品线，推出程序分析产品与服务，积极向军工、汽车、核电、</w:t>
      </w:r>
      <w:r>
        <w:rPr>
          <w:spacing w:val="-21"/>
        </w:rPr>
        <w:t> </w:t>
      </w:r>
      <w:r>
        <w:rPr>
          <w:spacing w:val="-21"/>
        </w:rPr>
      </w:r>
      <w:r>
        <w:rPr>
          <w:spacing w:val="-2"/>
        </w:rPr>
        <w:t>医疗等关键领域拓展应用。在高可信软件验证产品方面，推出高可信软件验证云平台，公开验证产品的学</w:t>
      </w:r>
      <w:r>
        <w:rPr>
          <w:spacing w:val="-45"/>
        </w:rPr>
        <w:t> </w:t>
      </w:r>
      <w:r>
        <w:rPr>
          <w:spacing w:val="-45"/>
        </w:rPr>
      </w:r>
      <w:r>
        <w:rPr/>
        <w:t>习版，吸引对高可信软件有需求的行业客户、国内外知名的</w:t>
      </w:r>
      <w:r>
        <w:rPr>
          <w:rFonts w:ascii="Times New Roman" w:hAnsi="Times New Roman" w:cs="Times New Roman" w:eastAsia="Times New Roman" w:hint="default"/>
        </w:rPr>
        <w:t>IT</w:t>
      </w:r>
      <w:r>
        <w:rPr/>
        <w:t>企业、科研单位及高校学习试用。</w:t>
      </w:r>
    </w:p>
    <w:p>
      <w:pPr>
        <w:pStyle w:val="BodyText"/>
        <w:spacing w:line="256" w:lineRule="auto"/>
        <w:ind w:left="573" w:right="1133"/>
        <w:jc w:val="left"/>
      </w:pPr>
      <w:r>
        <w:rPr>
          <w:rFonts w:ascii="Times New Roman" w:hAnsi="Times New Roman" w:cs="Times New Roman" w:eastAsia="Times New Roman" w:hint="default"/>
        </w:rPr>
        <w:t>2</w:t>
      </w:r>
      <w:r>
        <w:rPr/>
        <w:t>、技术研发</w:t>
      </w:r>
      <w:r>
        <w:rPr>
          <w:w w:val="100"/>
        </w:rPr>
        <w:t> </w:t>
      </w:r>
      <w:r>
        <w:rPr>
          <w:spacing w:val="-2"/>
        </w:rPr>
        <w:t>依托总部、业务群、业务单元三层架构的研发体系，重点聚焦数据智能核心技术的研发和应用。在总</w:t>
      </w:r>
    </w:p>
    <w:p>
      <w:pPr>
        <w:pStyle w:val="BodyText"/>
        <w:spacing w:line="273" w:lineRule="auto" w:before="22"/>
        <w:ind w:right="1126"/>
        <w:jc w:val="both"/>
      </w:pPr>
      <w:r>
        <w:rPr>
          <w:spacing w:val="-2"/>
        </w:rPr>
        <w:t>部层面，发挥中央研究院功能，围绕大数据处理、机器学习、深度学习等数据智能技术，重点开展大数据</w:t>
      </w:r>
      <w:r>
        <w:rPr>
          <w:spacing w:val="-43"/>
        </w:rPr>
        <w:t> </w:t>
      </w:r>
      <w:r>
        <w:rPr>
          <w:spacing w:val="-43"/>
        </w:rPr>
      </w:r>
      <w:r>
        <w:rPr>
          <w:spacing w:val="-2"/>
        </w:rPr>
        <w:t>平台优化完善、数据库应用、知识挖掘、自然语义理解、机器人编程、形式化验证等关键技术研发以及智</w:t>
      </w:r>
      <w:r>
        <w:rPr>
          <w:spacing w:val="-43"/>
        </w:rPr>
        <w:t> </w:t>
      </w:r>
      <w:r>
        <w:rPr>
          <w:spacing w:val="-43"/>
        </w:rPr>
      </w:r>
      <w:r>
        <w:rPr/>
        <w:t>能域控制器等关键应用研发。</w:t>
      </w:r>
    </w:p>
    <w:p>
      <w:pPr>
        <w:pStyle w:val="BodyText"/>
        <w:spacing w:line="256" w:lineRule="auto" w:before="8"/>
        <w:ind w:right="1133" w:firstLine="420"/>
        <w:jc w:val="left"/>
      </w:pPr>
      <w:r>
        <w:rPr>
          <w:spacing w:val="-3"/>
        </w:rPr>
        <w:t>在业务群层面，不断加强数据智能及其他共用、通用技术的融合吸收，持续打造国创九章</w:t>
      </w:r>
      <w:r>
        <w:rPr>
          <w:rFonts w:ascii="Times New Roman" w:hAnsi="Times New Roman" w:cs="Times New Roman" w:eastAsia="Times New Roman" w:hint="default"/>
          <w:spacing w:val="-3"/>
        </w:rPr>
        <w:t>AI</w:t>
      </w:r>
      <w:r>
        <w:rPr>
          <w:spacing w:val="-3"/>
        </w:rPr>
        <w:t>平台、国</w:t>
      </w:r>
      <w:r>
        <w:rPr>
          <w:w w:val="100"/>
        </w:rPr>
        <w:t> </w:t>
      </w:r>
      <w:r>
        <w:rPr/>
        <w:t>创天演</w:t>
      </w:r>
      <w:r>
        <w:rPr>
          <w:rFonts w:ascii="Times New Roman" w:hAnsi="Times New Roman" w:cs="Times New Roman" w:eastAsia="Times New Roman" w:hint="default"/>
        </w:rPr>
        <w:t>PaaS</w:t>
      </w:r>
      <w:r>
        <w:rPr/>
        <w:t>云平台、国创智能产品开发平台、国创</w:t>
      </w:r>
      <w:r>
        <w:rPr>
          <w:rFonts w:ascii="Times New Roman" w:hAnsi="Times New Roman" w:cs="Times New Roman" w:eastAsia="Times New Roman" w:hint="default"/>
        </w:rPr>
        <w:t>HCS</w:t>
      </w:r>
      <w:r>
        <w:rPr/>
        <w:t>集成开发平台。</w:t>
      </w:r>
    </w:p>
    <w:p>
      <w:pPr>
        <w:pStyle w:val="BodyText"/>
        <w:spacing w:line="268" w:lineRule="auto" w:before="5"/>
        <w:ind w:right="0" w:firstLine="420"/>
        <w:jc w:val="left"/>
      </w:pPr>
      <w:r>
        <w:rPr>
          <w:spacing w:val="-2"/>
        </w:rPr>
        <w:t>在业务单元层面，运营商围绕</w:t>
      </w:r>
      <w:r>
        <w:rPr>
          <w:rFonts w:ascii="Times New Roman" w:hAnsi="Times New Roman" w:cs="Times New Roman" w:eastAsia="Times New Roman" w:hint="default"/>
          <w:spacing w:val="-2"/>
        </w:rPr>
        <w:t>5G</w:t>
      </w:r>
      <w:r>
        <w:rPr>
          <w:spacing w:val="-2"/>
        </w:rPr>
        <w:t>时代</w:t>
      </w:r>
      <w:r>
        <w:rPr>
          <w:rFonts w:ascii="Times New Roman" w:hAnsi="Times New Roman" w:cs="Times New Roman" w:eastAsia="Times New Roman" w:hint="default"/>
          <w:spacing w:val="-2"/>
        </w:rPr>
        <w:t>OSS</w:t>
      </w:r>
      <w:r>
        <w:rPr>
          <w:spacing w:val="-2"/>
        </w:rPr>
        <w:t>发展趋势，持续丰富</w:t>
      </w:r>
      <w:r>
        <w:rPr>
          <w:rFonts w:ascii="Times New Roman" w:hAnsi="Times New Roman" w:cs="Times New Roman" w:eastAsia="Times New Roman" w:hint="default"/>
          <w:spacing w:val="-2"/>
        </w:rPr>
        <w:t>5G</w:t>
      </w:r>
      <w:r>
        <w:rPr>
          <w:spacing w:val="-2"/>
        </w:rPr>
        <w:t>智能运营支撑产品与解决方案内涵。</w:t>
      </w:r>
      <w:r>
        <w:rPr>
          <w:w w:val="100"/>
        </w:rPr>
        <w:t> </w:t>
      </w:r>
      <w:r>
        <w:rPr>
          <w:spacing w:val="-2"/>
        </w:rPr>
        <w:t>政企面向行业应用，在能源重点开展智能数据采集、图型图像识别、智能辅助决策等数据智能技术在新能</w:t>
      </w:r>
      <w:r>
        <w:rPr>
          <w:spacing w:val="-43"/>
        </w:rPr>
        <w:t> </w:t>
      </w:r>
      <w:r>
        <w:rPr>
          <w:spacing w:val="-43"/>
        </w:rPr>
      </w:r>
      <w:r>
        <w:rPr>
          <w:spacing w:val="-5"/>
        </w:rPr>
        <w:t>源智慧运营平台、智慧安全运营监管平台中的应用；在交通积极开展交通非在线现场执法、治超智能跟踪、 </w:t>
      </w:r>
      <w:r>
        <w:rPr>
          <w:spacing w:val="-5"/>
        </w:rPr>
      </w:r>
      <w:r>
        <w:rPr>
          <w:spacing w:val="-2"/>
        </w:rPr>
        <w:t>交通大数据中心、车路协同等应用研发；在金融运用数据智能、区块链技术重点研发基于区块链的供应链</w:t>
      </w:r>
      <w:r>
        <w:rPr>
          <w:spacing w:val="-44"/>
        </w:rPr>
        <w:t> </w:t>
      </w:r>
      <w:r>
        <w:rPr>
          <w:spacing w:val="-44"/>
        </w:rPr>
      </w:r>
      <w:r>
        <w:rPr>
          <w:spacing w:val="-2"/>
        </w:rPr>
        <w:t>金融平台，实现供应链信息上链存证，降低企业融资成本和金融机构资金风险；在政府抓住应急管理、舆</w:t>
      </w:r>
      <w:r>
        <w:rPr>
          <w:spacing w:val="-47"/>
        </w:rPr>
        <w:t> </w:t>
      </w:r>
      <w:r>
        <w:rPr>
          <w:spacing w:val="-47"/>
        </w:rPr>
      </w:r>
      <w:r>
        <w:rPr>
          <w:spacing w:val="-2"/>
        </w:rPr>
        <w:t>情分析、智慧城市建设等需求积极开展基于卷积神经网络的文本增强语义分析产品和城市级数据智能引擎</w:t>
      </w:r>
      <w:r>
        <w:rPr>
          <w:spacing w:val="-43"/>
        </w:rPr>
        <w:t> </w:t>
      </w:r>
      <w:r>
        <w:rPr>
          <w:spacing w:val="-43"/>
        </w:rPr>
      </w:r>
      <w:r>
        <w:rPr>
          <w:spacing w:val="-3"/>
        </w:rPr>
        <w:t>的研发。智慧物流云平台积极开展中小物流企业</w:t>
      </w:r>
      <w:r>
        <w:rPr>
          <w:rFonts w:ascii="Times New Roman" w:hAnsi="Times New Roman" w:cs="Times New Roman" w:eastAsia="Times New Roman" w:hint="default"/>
          <w:spacing w:val="-3"/>
        </w:rPr>
        <w:t>SaaS</w:t>
      </w:r>
      <w:r>
        <w:rPr>
          <w:spacing w:val="-3"/>
        </w:rPr>
        <w:t>软件研发。智能</w:t>
      </w:r>
      <w:r>
        <w:rPr>
          <w:rFonts w:ascii="Times New Roman" w:hAnsi="Times New Roman" w:cs="Times New Roman" w:eastAsia="Times New Roman" w:hint="default"/>
          <w:spacing w:val="-3"/>
        </w:rPr>
        <w:t>BMS</w:t>
      </w:r>
      <w:r>
        <w:rPr>
          <w:spacing w:val="-3"/>
        </w:rPr>
        <w:t>加快产品开发平台化建设，研发</w:t>
      </w:r>
      <w:r>
        <w:rPr>
          <w:spacing w:val="-16"/>
        </w:rPr>
        <w:t> </w:t>
      </w:r>
      <w:r>
        <w:rPr>
          <w:spacing w:val="-16"/>
        </w:rPr>
      </w:r>
      <w:r>
        <w:rPr/>
        <w:t>接口一致、功能全面的通用型储能</w:t>
      </w:r>
      <w:r>
        <w:rPr>
          <w:rFonts w:ascii="Times New Roman" w:hAnsi="Times New Roman" w:cs="Times New Roman" w:eastAsia="Times New Roman" w:hint="default"/>
        </w:rPr>
        <w:t>BMS</w:t>
      </w:r>
      <w:r>
        <w:rPr/>
        <w:t>。高可信软件不断丰富程序分析产品线。</w:t>
      </w:r>
    </w:p>
    <w:p>
      <w:pPr>
        <w:pStyle w:val="BodyText"/>
        <w:spacing w:line="259" w:lineRule="auto"/>
        <w:ind w:left="573" w:right="1133"/>
        <w:jc w:val="left"/>
      </w:pPr>
      <w:r>
        <w:rPr>
          <w:rFonts w:ascii="Times New Roman" w:hAnsi="Times New Roman" w:cs="Times New Roman" w:eastAsia="Times New Roman" w:hint="default"/>
        </w:rPr>
        <w:t>3</w:t>
      </w:r>
      <w:r>
        <w:rPr/>
        <w:t>、公司管理</w:t>
      </w:r>
      <w:r>
        <w:rPr>
          <w:w w:val="100"/>
        </w:rPr>
        <w:t> </w:t>
      </w:r>
      <w:r>
        <w:rPr>
          <w:spacing w:val="-2"/>
        </w:rPr>
        <w:t>继续推进</w:t>
      </w:r>
      <w:r>
        <w:rPr>
          <w:rFonts w:ascii="Times New Roman" w:hAnsi="Times New Roman" w:cs="Times New Roman" w:eastAsia="Times New Roman" w:hint="default"/>
          <w:spacing w:val="-2"/>
        </w:rPr>
        <w:t>“</w:t>
      </w:r>
      <w:r>
        <w:rPr>
          <w:spacing w:val="-2"/>
        </w:rPr>
        <w:t>战略</w:t>
      </w:r>
      <w:r>
        <w:rPr>
          <w:rFonts w:ascii="Times New Roman" w:hAnsi="Times New Roman" w:cs="Times New Roman" w:eastAsia="Times New Roman" w:hint="default"/>
          <w:spacing w:val="-2"/>
        </w:rPr>
        <w:t>+</w:t>
      </w:r>
      <w:r>
        <w:rPr>
          <w:spacing w:val="-2"/>
        </w:rPr>
        <w:t>管控</w:t>
      </w:r>
      <w:r>
        <w:rPr>
          <w:rFonts w:ascii="Times New Roman" w:hAnsi="Times New Roman" w:cs="Times New Roman" w:eastAsia="Times New Roman" w:hint="default"/>
          <w:spacing w:val="-2"/>
        </w:rPr>
        <w:t>+</w:t>
      </w:r>
      <w:r>
        <w:rPr>
          <w:spacing w:val="-2"/>
        </w:rPr>
        <w:t>赋能</w:t>
      </w:r>
      <w:r>
        <w:rPr>
          <w:rFonts w:ascii="Times New Roman" w:hAnsi="Times New Roman" w:cs="Times New Roman" w:eastAsia="Times New Roman" w:hint="default"/>
          <w:spacing w:val="-2"/>
        </w:rPr>
        <w:t>”</w:t>
      </w:r>
      <w:r>
        <w:rPr>
          <w:spacing w:val="-2"/>
        </w:rPr>
        <w:t>的总部管理模式。清晰公司战略定位，指引各经营单元明确发展目标、战</w:t>
      </w:r>
    </w:p>
    <w:p>
      <w:pPr>
        <w:pStyle w:val="BodyText"/>
        <w:spacing w:line="273" w:lineRule="auto" w:before="2"/>
        <w:ind w:right="1126"/>
        <w:jc w:val="both"/>
      </w:pPr>
      <w:r>
        <w:rPr>
          <w:spacing w:val="-2"/>
        </w:rPr>
        <w:t>略规划，确保公司发展主航道不偏离。以强化总部管控促进公司运作规范，建立健全适应公司发展的制度</w:t>
      </w:r>
      <w:r>
        <w:rPr>
          <w:spacing w:val="-42"/>
        </w:rPr>
        <w:t> </w:t>
      </w:r>
      <w:r>
        <w:rPr>
          <w:spacing w:val="-42"/>
        </w:rPr>
      </w:r>
      <w:r>
        <w:rPr>
          <w:spacing w:val="-2"/>
        </w:rPr>
        <w:t>体系，明确责权利分工，既要把控风险事项，也要防范管控越界。聚合优质资源赋能业务，打通总部与各</w:t>
      </w:r>
      <w:r>
        <w:rPr>
          <w:spacing w:val="-43"/>
        </w:rPr>
        <w:t> </w:t>
      </w:r>
      <w:r>
        <w:rPr>
          <w:spacing w:val="-43"/>
        </w:rPr>
      </w:r>
      <w:r>
        <w:rPr>
          <w:spacing w:val="-2"/>
        </w:rPr>
        <w:t>经营单元以及各经营单元之间的交互渠道，逐步推动市场资源、销售网络、品牌、资质、资金、技术等优</w:t>
      </w:r>
      <w:r>
        <w:rPr>
          <w:spacing w:val="-42"/>
        </w:rPr>
        <w:t> </w:t>
      </w:r>
      <w:r>
        <w:rPr>
          <w:spacing w:val="-42"/>
        </w:rPr>
      </w:r>
      <w:r>
        <w:rPr>
          <w:spacing w:val="-2"/>
        </w:rPr>
        <w:t>质资源共享共用，提高运转效率，促进公司高质量发展。在总部管理模式下，各经营单元应深入贯彻执行</w:t>
      </w:r>
      <w:r>
        <w:rPr>
          <w:spacing w:val="-50"/>
        </w:rPr>
        <w:t> </w:t>
      </w:r>
      <w:r>
        <w:rPr>
          <w:spacing w:val="-50"/>
        </w:rPr>
      </w:r>
      <w:r>
        <w:rPr/>
        <w:t>公司发展战略和思路，以绩效考核、提高团队效率为抓手，确保完成预算目标。</w:t>
      </w:r>
    </w:p>
    <w:p>
      <w:pPr>
        <w:pStyle w:val="BodyText"/>
        <w:spacing w:line="256" w:lineRule="auto" w:before="7"/>
        <w:ind w:left="573" w:right="1133"/>
        <w:jc w:val="left"/>
      </w:pPr>
      <w:r>
        <w:rPr>
          <w:rFonts w:ascii="Times New Roman" w:hAnsi="Times New Roman" w:cs="Times New Roman" w:eastAsia="Times New Roman" w:hint="default"/>
        </w:rPr>
        <w:t>4</w:t>
      </w:r>
      <w:r>
        <w:rPr/>
        <w:t>、人力资源</w:t>
      </w:r>
      <w:r>
        <w:rPr>
          <w:w w:val="100"/>
        </w:rPr>
        <w:t> </w:t>
      </w:r>
      <w:r>
        <w:rPr>
          <w:spacing w:val="-2"/>
        </w:rPr>
        <w:t>继续执行</w:t>
      </w:r>
      <w:r>
        <w:rPr>
          <w:rFonts w:ascii="Times New Roman" w:hAnsi="Times New Roman" w:cs="Times New Roman" w:eastAsia="Times New Roman" w:hint="default"/>
          <w:spacing w:val="-2"/>
        </w:rPr>
        <w:t>“</w:t>
      </w:r>
      <w:r>
        <w:rPr>
          <w:spacing w:val="-2"/>
        </w:rPr>
        <w:t>高质量、高效率、高待遇</w:t>
      </w:r>
      <w:r>
        <w:rPr>
          <w:rFonts w:ascii="Times New Roman" w:hAnsi="Times New Roman" w:cs="Times New Roman" w:eastAsia="Times New Roman" w:hint="default"/>
          <w:spacing w:val="-2"/>
        </w:rPr>
        <w:t>”</w:t>
      </w:r>
      <w:r>
        <w:rPr>
          <w:spacing w:val="-2"/>
        </w:rPr>
        <w:t>经营策略，紧扣公司发展战略，开展人才规划，严控人员规模，</w:t>
      </w:r>
    </w:p>
    <w:p>
      <w:pPr>
        <w:pStyle w:val="BodyText"/>
        <w:spacing w:line="256" w:lineRule="auto" w:before="5"/>
        <w:ind w:right="1104"/>
        <w:jc w:val="both"/>
      </w:pPr>
      <w:r>
        <w:rPr>
          <w:spacing w:val="-2"/>
        </w:rPr>
        <w:t>提高人员质量。完善满足现阶段发展的员工</w:t>
      </w:r>
      <w:r>
        <w:rPr>
          <w:rFonts w:ascii="Times New Roman" w:hAnsi="Times New Roman" w:cs="Times New Roman" w:eastAsia="Times New Roman" w:hint="default"/>
          <w:spacing w:val="-2"/>
        </w:rPr>
        <w:t>“</w:t>
      </w:r>
      <w:r>
        <w:rPr>
          <w:spacing w:val="-2"/>
        </w:rPr>
        <w:t>选、育、用、留</w:t>
      </w:r>
      <w:r>
        <w:rPr>
          <w:rFonts w:ascii="Times New Roman" w:hAnsi="Times New Roman" w:cs="Times New Roman" w:eastAsia="Times New Roman" w:hint="default"/>
          <w:spacing w:val="-2"/>
        </w:rPr>
        <w:t>”</w:t>
      </w:r>
      <w:r>
        <w:rPr>
          <w:spacing w:val="-2"/>
        </w:rPr>
        <w:t>机制，打造量身定制的培训管理体系，积极</w:t>
      </w:r>
      <w:r>
        <w:rPr>
          <w:spacing w:val="-21"/>
        </w:rPr>
        <w:t> </w:t>
      </w:r>
      <w:r>
        <w:rPr>
          <w:spacing w:val="-21"/>
        </w:rPr>
      </w:r>
      <w:r>
        <w:rPr>
          <w:spacing w:val="-2"/>
        </w:rPr>
        <w:t>开展专业技术、营销、管理、企业文化、行业发展等高质量培训，全面提升员工个人能力和团队竞争力、</w:t>
      </w:r>
    </w:p>
    <w:p>
      <w:pPr>
        <w:spacing w:after="0" w:line="256"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凝聚力；打造灵活实用的绩效管理体系，以目标达成为导向，积极探索薪酬、股权激励、事业合伙人等机</w:t>
      </w:r>
      <w:r>
        <w:rPr>
          <w:spacing w:val="-43"/>
        </w:rPr>
        <w:t> </w:t>
      </w:r>
      <w:r>
        <w:rPr>
          <w:spacing w:val="-43"/>
        </w:rPr>
      </w:r>
      <w:r>
        <w:rPr/>
        <w:t>制，优胜劣汰，奖惩分明，努力打造一支技术领先、业务精湛、团结向上的高素质经营管理团队。</w:t>
      </w:r>
    </w:p>
    <w:p>
      <w:pPr>
        <w:pStyle w:val="BodyText"/>
        <w:spacing w:line="256" w:lineRule="auto" w:before="7"/>
        <w:ind w:left="573" w:right="1133"/>
        <w:jc w:val="left"/>
      </w:pPr>
      <w:r>
        <w:rPr>
          <w:rFonts w:ascii="Times New Roman" w:hAnsi="Times New Roman" w:cs="Times New Roman" w:eastAsia="Times New Roman" w:hint="default"/>
        </w:rPr>
        <w:t>5</w:t>
      </w:r>
      <w:r>
        <w:rPr/>
        <w:t>、投资发展</w:t>
      </w:r>
      <w:r>
        <w:rPr>
          <w:w w:val="100"/>
        </w:rPr>
        <w:t> </w:t>
      </w:r>
      <w:r>
        <w:rPr>
          <w:spacing w:val="-2"/>
        </w:rPr>
        <w:t>不断加强与参控股公司的融合与协同，整合优势资源，促进其发展壮大，实现互利共赢；同时，加强</w:t>
      </w:r>
    </w:p>
    <w:p>
      <w:pPr>
        <w:pStyle w:val="BodyText"/>
        <w:spacing w:line="273" w:lineRule="auto" w:before="22"/>
        <w:ind w:right="1126"/>
        <w:jc w:val="both"/>
      </w:pPr>
      <w:r>
        <w:rPr>
          <w:spacing w:val="-2"/>
        </w:rPr>
        <w:t>行业研究，深入理解行业发展趋势，围绕自身核心业务，以增强公司中长期战略竞争能力为目的，一方面</w:t>
      </w:r>
      <w:r>
        <w:rPr>
          <w:spacing w:val="-50"/>
        </w:rPr>
        <w:t> </w:t>
      </w:r>
      <w:r>
        <w:rPr>
          <w:spacing w:val="-50"/>
        </w:rPr>
      </w:r>
      <w:r>
        <w:rPr>
          <w:spacing w:val="-2"/>
        </w:rPr>
        <w:t>积极寻求战略合作伙伴，另一方面前瞻性布局数据智能、国产自主可控软硬件产品以及国际领先的原创技</w:t>
      </w:r>
      <w:r>
        <w:rPr>
          <w:spacing w:val="-42"/>
        </w:rPr>
        <w:t> </w:t>
      </w:r>
      <w:r>
        <w:rPr>
          <w:spacing w:val="-42"/>
        </w:rPr>
      </w:r>
      <w:r>
        <w:rPr/>
        <w:t>术等领域，提升公司的综合竞争力。</w:t>
      </w:r>
    </w:p>
    <w:p>
      <w:pPr>
        <w:pStyle w:val="Heading3"/>
        <w:spacing w:line="240" w:lineRule="auto" w:before="7"/>
        <w:ind w:left="575" w:right="1133"/>
        <w:jc w:val="left"/>
        <w:rPr>
          <w:b w:val="0"/>
          <w:bCs w:val="0"/>
        </w:rPr>
      </w:pPr>
      <w:r>
        <w:rPr/>
        <w:t>（四）经营风险</w:t>
      </w:r>
      <w:r>
        <w:rPr>
          <w:b w:val="0"/>
          <w:bCs w:val="0"/>
        </w:rPr>
      </w:r>
    </w:p>
    <w:p>
      <w:pPr>
        <w:pStyle w:val="BodyText"/>
        <w:spacing w:line="256" w:lineRule="auto" w:before="37"/>
        <w:ind w:left="573" w:right="1133"/>
        <w:jc w:val="left"/>
      </w:pPr>
      <w:r>
        <w:rPr>
          <w:rFonts w:ascii="Times New Roman" w:hAnsi="Times New Roman" w:cs="Times New Roman" w:eastAsia="Times New Roman" w:hint="default"/>
        </w:rPr>
        <w:t>1</w:t>
      </w:r>
      <w:r>
        <w:rPr/>
        <w:t>、市场竞争加剧的风险</w:t>
      </w:r>
      <w:r>
        <w:rPr>
          <w:w w:val="100"/>
        </w:rPr>
        <w:t> </w:t>
      </w:r>
      <w:r>
        <w:rPr>
          <w:spacing w:val="-2"/>
        </w:rPr>
        <w:t>国内软件和信息技术服务市场是一个快速发展、空间广阔的开放市场，从事软件研发服务的企业数量</w:t>
      </w:r>
    </w:p>
    <w:p>
      <w:pPr>
        <w:pStyle w:val="BodyText"/>
        <w:spacing w:line="268" w:lineRule="auto" w:before="22"/>
        <w:ind w:right="1126"/>
        <w:jc w:val="both"/>
      </w:pPr>
      <w:r>
        <w:rPr>
          <w:spacing w:val="-1"/>
        </w:rPr>
        <w:t>持续增加，加剧了行业竞争。虽然公司经过多年的发展，在运营商</w:t>
      </w:r>
      <w:r>
        <w:rPr>
          <w:rFonts w:ascii="Times New Roman" w:hAnsi="Times New Roman" w:cs="Times New Roman" w:eastAsia="Times New Roman" w:hint="default"/>
          <w:spacing w:val="-1"/>
        </w:rPr>
        <w:t>&amp;</w:t>
      </w:r>
      <w:r>
        <w:rPr>
          <w:spacing w:val="-1"/>
        </w:rPr>
        <w:t>政企、智慧物流、智能汽车等领域积</w:t>
      </w:r>
      <w:r>
        <w:rPr>
          <w:spacing w:val="-39"/>
        </w:rPr>
        <w:t> </w:t>
      </w:r>
      <w:r>
        <w:rPr>
          <w:spacing w:val="-39"/>
        </w:rPr>
      </w:r>
      <w:r>
        <w:rPr>
          <w:spacing w:val="-2"/>
        </w:rPr>
        <w:t>累了丰富的业务经验，发展了一批客户黏性度高、业务关系持续稳定的优质客户，确立了公司在行业内的</w:t>
      </w:r>
      <w:r>
        <w:rPr>
          <w:spacing w:val="-44"/>
        </w:rPr>
        <w:t> </w:t>
      </w:r>
      <w:r>
        <w:rPr>
          <w:spacing w:val="-44"/>
        </w:rPr>
      </w:r>
      <w:r>
        <w:rPr>
          <w:spacing w:val="-2"/>
        </w:rPr>
        <w:t>竞争地位，在客户中赢得了良好的声誉，具有较强的市场竞争力。但随着新竞争者的进入、技术的升级和</w:t>
      </w:r>
      <w:r>
        <w:rPr>
          <w:spacing w:val="-50"/>
        </w:rPr>
        <w:t> </w:t>
      </w:r>
      <w:r>
        <w:rPr>
          <w:spacing w:val="-50"/>
        </w:rPr>
      </w:r>
      <w:r>
        <w:rPr>
          <w:spacing w:val="-2"/>
        </w:rPr>
        <w:t>客户信息化需求的提高，若公司不能在产品研发、技术创新、客户服务等方面持续增强实力，公司未来将</w:t>
      </w:r>
      <w:r>
        <w:rPr>
          <w:spacing w:val="-50"/>
        </w:rPr>
        <w:t> </w:t>
      </w:r>
      <w:r>
        <w:rPr>
          <w:spacing w:val="-50"/>
        </w:rPr>
      </w:r>
      <w:r>
        <w:rPr/>
        <w:t>面临市场竞争加剧的风险。</w:t>
      </w:r>
    </w:p>
    <w:p>
      <w:pPr>
        <w:pStyle w:val="BodyText"/>
        <w:spacing w:line="256" w:lineRule="auto" w:before="12"/>
        <w:ind w:left="573" w:right="1133"/>
        <w:jc w:val="left"/>
      </w:pPr>
      <w:r>
        <w:rPr>
          <w:rFonts w:ascii="Times New Roman" w:hAnsi="Times New Roman" w:cs="Times New Roman" w:eastAsia="Times New Roman" w:hint="default"/>
        </w:rPr>
        <w:t>2</w:t>
      </w:r>
      <w:r>
        <w:rPr/>
        <w:t>、季节性波动风险</w:t>
      </w:r>
      <w:r>
        <w:rPr>
          <w:w w:val="100"/>
        </w:rPr>
        <w:t> </w:t>
      </w:r>
      <w:r>
        <w:rPr>
          <w:spacing w:val="-2"/>
        </w:rPr>
        <w:t>受公司客户性质影响，公司业务具有较为明显的季节性特点。公司数据智能行业应用客户主要为电信</w:t>
      </w:r>
    </w:p>
    <w:p>
      <w:pPr>
        <w:pStyle w:val="BodyText"/>
        <w:spacing w:line="271" w:lineRule="auto" w:before="22"/>
        <w:ind w:right="1125"/>
        <w:jc w:val="both"/>
      </w:pPr>
      <w:r>
        <w:rPr>
          <w:spacing w:val="-2"/>
        </w:rPr>
        <w:t>运营商以及政府部门、大型国有企事业单位，上述客户均执行严格的预算管理制度和采购审批制度，通常</w:t>
      </w:r>
      <w:r>
        <w:rPr>
          <w:spacing w:val="-43"/>
        </w:rPr>
        <w:t> </w:t>
      </w:r>
      <w:r>
        <w:rPr>
          <w:spacing w:val="-43"/>
        </w:rPr>
      </w:r>
      <w:r>
        <w:rPr>
          <w:spacing w:val="-2"/>
        </w:rPr>
        <w:t>公司该类业务收入及回款主要集中在下半年。公司智能软硬件产品客户主要是新能源汽车厂商，受我国新</w:t>
      </w:r>
      <w:r>
        <w:rPr>
          <w:spacing w:val="-42"/>
        </w:rPr>
        <w:t> </w:t>
      </w:r>
      <w:r>
        <w:rPr>
          <w:spacing w:val="-42"/>
        </w:rPr>
      </w:r>
      <w:r>
        <w:rPr>
          <w:spacing w:val="-2"/>
        </w:rPr>
        <w:t>能源汽车产业政策和销售季节性影响，第一季度客户通常在制定年度预算和确认全年采购计划，通常下半</w:t>
      </w:r>
      <w:r>
        <w:rPr>
          <w:spacing w:val="-43"/>
        </w:rPr>
        <w:t> </w:t>
      </w:r>
      <w:r>
        <w:rPr>
          <w:spacing w:val="-43"/>
        </w:rPr>
      </w:r>
      <w:r>
        <w:rPr>
          <w:spacing w:val="-3"/>
        </w:rPr>
        <w:t>年是销售旺季，智能</w:t>
      </w:r>
      <w:r>
        <w:rPr>
          <w:rFonts w:ascii="Times New Roman" w:hAnsi="Times New Roman" w:cs="Times New Roman" w:eastAsia="Times New Roman" w:hint="default"/>
          <w:spacing w:val="-3"/>
        </w:rPr>
        <w:t>BMS</w:t>
      </w:r>
      <w:r>
        <w:rPr>
          <w:spacing w:val="-3"/>
        </w:rPr>
        <w:t>是新能源汽车核心部件，其销售受到下游整车行业的影响呈现出一定的季节性特</w:t>
      </w:r>
      <w:r>
        <w:rPr>
          <w:spacing w:val="-18"/>
        </w:rPr>
        <w:t> </w:t>
      </w:r>
      <w:r>
        <w:rPr>
          <w:spacing w:val="-18"/>
        </w:rPr>
      </w:r>
      <w:r>
        <w:rPr>
          <w:spacing w:val="-2"/>
        </w:rPr>
        <w:t>征，通常上半年销售收入较下半年少。由于公司的人力成本、差旅费用和研发投入等支出在年度内发生较</w:t>
      </w:r>
      <w:r>
        <w:rPr>
          <w:spacing w:val="-43"/>
        </w:rPr>
        <w:t> </w:t>
      </w:r>
      <w:r>
        <w:rPr>
          <w:spacing w:val="-43"/>
        </w:rPr>
      </w:r>
      <w:r>
        <w:rPr>
          <w:spacing w:val="-2"/>
        </w:rPr>
        <w:t>为均衡，从而导致公司净利润的季节性波动明显，上半年净利润一般明显少于下半年。公司业绩季节性波</w:t>
      </w:r>
      <w:r>
        <w:rPr>
          <w:spacing w:val="-43"/>
        </w:rPr>
        <w:t> </w:t>
      </w:r>
      <w:r>
        <w:rPr>
          <w:spacing w:val="-43"/>
        </w:rPr>
      </w:r>
      <w:r>
        <w:rPr>
          <w:spacing w:val="-2"/>
        </w:rPr>
        <w:t>动会导致公司收入、经营性现金流等财务指标在各季度间出现较大的波动，公司业绩存在季节性波动的风</w:t>
      </w:r>
      <w:r>
        <w:rPr>
          <w:spacing w:val="-42"/>
        </w:rPr>
        <w:t> </w:t>
      </w:r>
      <w:r>
        <w:rPr>
          <w:spacing w:val="-42"/>
        </w:rPr>
      </w:r>
      <w:r>
        <w:rPr/>
        <w:t>险。</w:t>
      </w:r>
    </w:p>
    <w:p>
      <w:pPr>
        <w:pStyle w:val="BodyText"/>
        <w:spacing w:line="256" w:lineRule="auto" w:before="10"/>
        <w:ind w:left="573" w:right="1133"/>
        <w:jc w:val="left"/>
      </w:pPr>
      <w:r>
        <w:rPr>
          <w:rFonts w:ascii="Times New Roman" w:hAnsi="Times New Roman" w:cs="Times New Roman" w:eastAsia="Times New Roman" w:hint="default"/>
        </w:rPr>
        <w:t>3</w:t>
      </w:r>
      <w:r>
        <w:rPr/>
        <w:t>、核心技术风险</w:t>
      </w:r>
      <w:r>
        <w:rPr>
          <w:w w:val="100"/>
        </w:rPr>
        <w:t> </w:t>
      </w:r>
      <w:r>
        <w:rPr>
          <w:spacing w:val="-2"/>
        </w:rPr>
        <w:t>软件和信息技术发展日新月异，更新换代快，需求不断多样化，公司必须适应技术进步节奏快、软件</w:t>
      </w:r>
    </w:p>
    <w:p>
      <w:pPr>
        <w:pStyle w:val="BodyText"/>
        <w:spacing w:line="273" w:lineRule="auto" w:before="22"/>
        <w:ind w:right="1104"/>
        <w:jc w:val="both"/>
      </w:pPr>
      <w:r>
        <w:rPr>
          <w:spacing w:val="-2"/>
        </w:rPr>
        <w:t>更新频率高、客户需求变化快、软件质量要求高的行业特点。如果今后公司不能准确地预测软件开发技术</w:t>
      </w:r>
      <w:r>
        <w:rPr>
          <w:spacing w:val="-44"/>
        </w:rPr>
        <w:t> </w:t>
      </w:r>
      <w:r>
        <w:rPr>
          <w:spacing w:val="-44"/>
        </w:rPr>
      </w:r>
      <w:r>
        <w:rPr>
          <w:spacing w:val="-2"/>
        </w:rPr>
        <w:t>的发展趋势，或是使用落后、不实用的技术进行软件开发，或对软件和市场需求的把握出现偏差，不能及</w:t>
      </w:r>
      <w:r>
        <w:rPr>
          <w:spacing w:val="-50"/>
        </w:rPr>
        <w:t> </w:t>
      </w:r>
      <w:r>
        <w:rPr>
          <w:spacing w:val="-50"/>
        </w:rPr>
      </w:r>
      <w:r>
        <w:rPr>
          <w:spacing w:val="-2"/>
        </w:rPr>
        <w:t>时调整技术和产品方向，或新技术、新产品不能迅速推广应用，或公司开发的软件存在质量问题，导致客</w:t>
      </w:r>
      <w:r>
        <w:rPr>
          <w:spacing w:val="-50"/>
        </w:rPr>
        <w:t> </w:t>
      </w:r>
      <w:r>
        <w:rPr>
          <w:spacing w:val="-50"/>
        </w:rPr>
      </w:r>
      <w:r>
        <w:rPr>
          <w:spacing w:val="-2"/>
        </w:rPr>
        <w:t>户的正常业务运营和管理受到影响，则会给公司的生产经营造成不利影响。此外，为防止核心技术泄密，</w:t>
      </w:r>
      <w:r>
        <w:rPr>
          <w:spacing w:val="-21"/>
        </w:rPr>
        <w:t> </w:t>
      </w:r>
      <w:r>
        <w:rPr>
          <w:spacing w:val="-21"/>
        </w:rPr>
      </w:r>
      <w:r>
        <w:rPr>
          <w:spacing w:val="-2"/>
        </w:rPr>
        <w:t>公司还采取了制定保密管理制度、申请计算机软件著作权保护等相关知识产权保护措施，但上述措施并不</w:t>
      </w:r>
      <w:r>
        <w:rPr>
          <w:spacing w:val="-44"/>
        </w:rPr>
        <w:t> </w:t>
      </w:r>
      <w:r>
        <w:rPr>
          <w:spacing w:val="-44"/>
        </w:rPr>
      </w:r>
      <w:r>
        <w:rPr/>
        <w:t>能完全保证技术不外泄，一旦核心技术失密，将会对公司的业务发展造成不利影响。</w:t>
      </w:r>
    </w:p>
    <w:p>
      <w:pPr>
        <w:pStyle w:val="BodyText"/>
        <w:spacing w:line="259" w:lineRule="auto" w:before="7"/>
        <w:ind w:left="573" w:right="1133"/>
        <w:jc w:val="left"/>
      </w:pPr>
      <w:r>
        <w:rPr>
          <w:rFonts w:ascii="Times New Roman" w:hAnsi="Times New Roman" w:cs="Times New Roman" w:eastAsia="Times New Roman" w:hint="default"/>
        </w:rPr>
        <w:t>4</w:t>
      </w:r>
      <w:r>
        <w:rPr/>
        <w:t>、人力资源风险</w:t>
      </w:r>
      <w:r>
        <w:rPr>
          <w:w w:val="100"/>
        </w:rPr>
        <w:t> </w:t>
      </w:r>
      <w:r>
        <w:rPr>
          <w:spacing w:val="-2"/>
        </w:rPr>
        <w:t>作为软件企业和高新技术企业，企业发展高度依赖人力资源，公司经过多年的快速发展，已形成了自</w:t>
      </w:r>
    </w:p>
    <w:p>
      <w:pPr>
        <w:pStyle w:val="BodyText"/>
        <w:spacing w:line="273" w:lineRule="auto" w:before="20"/>
        <w:ind w:right="1104"/>
        <w:jc w:val="both"/>
      </w:pPr>
      <w:r>
        <w:rPr>
          <w:spacing w:val="-2"/>
        </w:rPr>
        <w:t>身的人才培养体系，拥有一支具有丰富行业经验、专业化水平高的员工队伍，公司积极倡导创新和谐、以</w:t>
      </w:r>
      <w:r>
        <w:rPr>
          <w:spacing w:val="-47"/>
        </w:rPr>
        <w:t> </w:t>
      </w:r>
      <w:r>
        <w:rPr>
          <w:spacing w:val="-47"/>
        </w:rPr>
      </w:r>
      <w:r>
        <w:rPr>
          <w:spacing w:val="-2"/>
        </w:rPr>
        <w:t>人为本的企业文化，为人才的培育与发展提供良好的环境，对人才具有较强的凝聚力。但是，随着行业竞</w:t>
      </w:r>
      <w:r>
        <w:rPr>
          <w:spacing w:val="-47"/>
        </w:rPr>
        <w:t> </w:t>
      </w:r>
      <w:r>
        <w:rPr>
          <w:spacing w:val="-47"/>
        </w:rPr>
      </w:r>
      <w:r>
        <w:rPr>
          <w:spacing w:val="-2"/>
        </w:rPr>
        <w:t>争的日趋激烈，对优秀人才的争夺亦趋于激烈，人力资源成本上涨较快，公司存在因竞争而导致的人才流</w:t>
      </w:r>
      <w:r>
        <w:rPr>
          <w:spacing w:val="-45"/>
        </w:rPr>
        <w:t> </w:t>
      </w:r>
      <w:r>
        <w:rPr>
          <w:spacing w:val="-45"/>
        </w:rPr>
      </w:r>
      <w:r>
        <w:rPr>
          <w:spacing w:val="-2"/>
        </w:rPr>
        <w:t>失风险。此外，随着公司业务的快速发展，公司对优秀的软件开发、管理及技术服务等各类人才的需求将</w:t>
      </w:r>
      <w:r>
        <w:rPr>
          <w:spacing w:val="-47"/>
        </w:rPr>
        <w:t> </w:t>
      </w:r>
      <w:r>
        <w:rPr>
          <w:spacing w:val="-47"/>
        </w:rPr>
      </w:r>
      <w:r>
        <w:rPr>
          <w:spacing w:val="-2"/>
        </w:rPr>
        <w:t>不断增加。公司虽然具有良好的人才引入制度和比较完善的激励机制，但不排除无法及时引进合适人才，</w:t>
      </w:r>
      <w:r>
        <w:rPr>
          <w:spacing w:val="-21"/>
        </w:rPr>
        <w:t> </w:t>
      </w:r>
      <w:r>
        <w:rPr>
          <w:spacing w:val="-21"/>
        </w:rPr>
      </w:r>
      <w:r>
        <w:rPr/>
        <w:t>从而对公司经营发展造成不利影响。</w:t>
      </w:r>
    </w:p>
    <w:p>
      <w:pPr>
        <w:pStyle w:val="BodyText"/>
        <w:spacing w:line="256" w:lineRule="auto" w:before="7"/>
        <w:ind w:left="573" w:right="1133"/>
        <w:jc w:val="left"/>
      </w:pPr>
      <w:r>
        <w:rPr>
          <w:rFonts w:ascii="Times New Roman" w:hAnsi="Times New Roman" w:cs="Times New Roman" w:eastAsia="Times New Roman" w:hint="default"/>
        </w:rPr>
        <w:t>5</w:t>
      </w:r>
      <w:r>
        <w:rPr/>
        <w:t>、应收账款余额较大的风险</w:t>
      </w:r>
      <w:r>
        <w:rPr>
          <w:w w:val="100"/>
        </w:rPr>
        <w:t> </w:t>
      </w:r>
      <w:r>
        <w:rPr>
          <w:spacing w:val="-2"/>
        </w:rPr>
        <w:t>截至报告期末，公司应收账款余额较大主要受公司行业特点、业务模式、客户性质等因素影响，导致</w:t>
      </w:r>
    </w:p>
    <w:p>
      <w:pPr>
        <w:pStyle w:val="BodyText"/>
        <w:spacing w:line="240" w:lineRule="auto" w:before="22"/>
        <w:ind w:right="0"/>
        <w:jc w:val="both"/>
      </w:pPr>
      <w:r>
        <w:rPr/>
        <w:t>公司应收账款回款周期较长。随着公司销售规模的扩大，应收账款余额有可能继续增加。公司主要客户为</w:t>
      </w:r>
    </w:p>
    <w:p>
      <w:pPr>
        <w:spacing w:after="0" w:line="240"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022"/>
        <w:jc w:val="left"/>
      </w:pPr>
      <w:r>
        <w:rPr>
          <w:spacing w:val="-2"/>
        </w:rPr>
        <w:t>电信运营商、能源企业等国有大中型企业和政府部门、事业单位，以及金融、汽车等行业领域国内外知名</w:t>
      </w:r>
      <w:r>
        <w:rPr>
          <w:spacing w:val="-47"/>
        </w:rPr>
        <w:t> </w:t>
      </w:r>
      <w:r>
        <w:rPr>
          <w:spacing w:val="-47"/>
        </w:rPr>
      </w:r>
      <w:r>
        <w:rPr>
          <w:spacing w:val="-5"/>
        </w:rPr>
        <w:t>企业，上述客户实力雄厚、信誉良好，且公司对应收账款充分计提了坏账准备，并采取了积极的收款措施，</w:t>
      </w:r>
      <w:r>
        <w:rPr>
          <w:spacing w:val="-9"/>
        </w:rPr>
        <w:t> </w:t>
      </w:r>
      <w:r>
        <w:rPr>
          <w:spacing w:val="-9"/>
        </w:rPr>
      </w:r>
      <w:r>
        <w:rPr>
          <w:spacing w:val="2"/>
        </w:rPr>
        <w:t>但仍然存在应收账款不能按期回收或无法回收产生坏账的风险，进而对公司业绩和生产经营产生不利影</w:t>
      </w:r>
      <w:r>
        <w:rPr>
          <w:spacing w:val="-30"/>
        </w:rPr>
        <w:t> </w:t>
      </w:r>
      <w:r>
        <w:rPr>
          <w:spacing w:val="-30"/>
        </w:rPr>
      </w:r>
      <w:r>
        <w:rPr/>
        <w:t>响。</w:t>
      </w:r>
    </w:p>
    <w:p>
      <w:pPr>
        <w:pStyle w:val="BodyText"/>
        <w:spacing w:line="256" w:lineRule="auto" w:before="7"/>
        <w:ind w:left="573" w:right="1133"/>
        <w:jc w:val="left"/>
      </w:pPr>
      <w:r>
        <w:rPr>
          <w:rFonts w:ascii="Times New Roman" w:hAnsi="Times New Roman" w:cs="Times New Roman" w:eastAsia="Times New Roman" w:hint="default"/>
        </w:rPr>
        <w:t>6</w:t>
      </w:r>
      <w:r>
        <w:rPr/>
        <w:t>、政策风险</w:t>
      </w:r>
      <w:r>
        <w:rPr>
          <w:w w:val="100"/>
        </w:rPr>
        <w:t> </w:t>
      </w:r>
      <w:r>
        <w:rPr>
          <w:spacing w:val="-2"/>
        </w:rPr>
        <w:t>国家历来高度重视软件行业的发展，将软件行业列为国家战略性产业，陆续颁布了一系列法律法规和</w:t>
      </w:r>
    </w:p>
    <w:p>
      <w:pPr>
        <w:pStyle w:val="BodyText"/>
        <w:spacing w:line="273" w:lineRule="auto" w:before="22"/>
        <w:ind w:right="1126"/>
        <w:jc w:val="both"/>
      </w:pPr>
      <w:r>
        <w:rPr>
          <w:spacing w:val="-2"/>
        </w:rPr>
        <w:t>支持政策，在软件行业的研发投入、税收优惠、知识产权和人才建设等方面出台了全面的扶持政策，为软</w:t>
      </w:r>
      <w:r>
        <w:rPr>
          <w:spacing w:val="-47"/>
        </w:rPr>
        <w:t> </w:t>
      </w:r>
      <w:r>
        <w:rPr>
          <w:spacing w:val="-47"/>
        </w:rPr>
      </w:r>
      <w:r>
        <w:rPr>
          <w:spacing w:val="-2"/>
        </w:rPr>
        <w:t>件行业发展建立了良好的政策环境。如果上述政策发生变动，可能会对行业内企业及公司的经营活动产生</w:t>
      </w:r>
      <w:r>
        <w:rPr>
          <w:spacing w:val="-42"/>
        </w:rPr>
        <w:t> </w:t>
      </w:r>
      <w:r>
        <w:rPr>
          <w:spacing w:val="-42"/>
        </w:rPr>
      </w:r>
      <w:r>
        <w:rPr>
          <w:spacing w:val="-2"/>
        </w:rPr>
        <w:t>一定影响。同时，公司数据智能行业应用业务客户主要为电信运营商、能源企业等国有大中型企业及政府</w:t>
      </w:r>
      <w:r>
        <w:rPr>
          <w:spacing w:val="-43"/>
        </w:rPr>
        <w:t> </w:t>
      </w:r>
      <w:r>
        <w:rPr>
          <w:spacing w:val="-43"/>
        </w:rPr>
      </w:r>
      <w:r>
        <w:rPr>
          <w:spacing w:val="-2"/>
        </w:rPr>
        <w:t>部门等，如果上述客户所处行业出现周期性调整或政策变化，可能存在客户需求减少从而使公司经营业绩</w:t>
      </w:r>
      <w:r>
        <w:rPr>
          <w:spacing w:val="-43"/>
        </w:rPr>
        <w:t> </w:t>
      </w:r>
      <w:r>
        <w:rPr>
          <w:spacing w:val="-43"/>
        </w:rPr>
      </w:r>
      <w:r>
        <w:rPr>
          <w:spacing w:val="-2"/>
        </w:rPr>
        <w:t>下滑的风险；公司智能软硬件产品目前主要应用在新能源汽车行业，近年来，国家制定了补贴、双积分等</w:t>
      </w:r>
      <w:r>
        <w:rPr>
          <w:spacing w:val="-47"/>
        </w:rPr>
        <w:t> </w:t>
      </w:r>
      <w:r>
        <w:rPr>
          <w:spacing w:val="-47"/>
        </w:rPr>
      </w:r>
      <w:r>
        <w:rPr>
          <w:spacing w:val="-2"/>
        </w:rPr>
        <w:t>一系列政策来支持新能源汽车产业相关企业的发展，但随着新能源汽车补贴加速退坡，导致整个新能源汽</w:t>
      </w:r>
      <w:r>
        <w:rPr>
          <w:spacing w:val="-43"/>
        </w:rPr>
        <w:t> </w:t>
      </w:r>
      <w:r>
        <w:rPr>
          <w:spacing w:val="-43"/>
        </w:rPr>
      </w:r>
      <w:r>
        <w:rPr>
          <w:spacing w:val="-2"/>
        </w:rPr>
        <w:t>车市场面临的不确定性和成本压力骤然上升，如果国家对新能源汽车产业支持政策发生变化，将会对公司</w:t>
      </w:r>
      <w:r>
        <w:rPr>
          <w:spacing w:val="-43"/>
        </w:rPr>
        <w:t> </w:t>
      </w:r>
      <w:r>
        <w:rPr>
          <w:spacing w:val="-43"/>
        </w:rPr>
      </w:r>
      <w:r>
        <w:rPr/>
        <w:t>该项业务的经营产生影响。</w:t>
      </w:r>
    </w:p>
    <w:p>
      <w:pPr>
        <w:pStyle w:val="BodyText"/>
        <w:spacing w:line="256" w:lineRule="auto" w:before="7"/>
        <w:ind w:left="573" w:right="1133"/>
        <w:jc w:val="left"/>
      </w:pPr>
      <w:r>
        <w:rPr>
          <w:rFonts w:ascii="Times New Roman" w:hAnsi="Times New Roman" w:cs="Times New Roman" w:eastAsia="Times New Roman" w:hint="default"/>
        </w:rPr>
        <w:t>7</w:t>
      </w:r>
      <w:r>
        <w:rPr/>
        <w:t>、新型冠状病毒肺炎疫情风险</w:t>
      </w:r>
      <w:r>
        <w:rPr>
          <w:w w:val="100"/>
        </w:rPr>
        <w:t> </w:t>
      </w:r>
      <w:r>
        <w:rPr>
          <w:spacing w:val="-2"/>
        </w:rPr>
        <w:t>自新型冠状病毒肺炎疫情发生以来，全国各省、市相继启动了重大突发公共卫生事件一级响应，各地</w:t>
      </w:r>
    </w:p>
    <w:p>
      <w:pPr>
        <w:pStyle w:val="BodyText"/>
        <w:spacing w:line="273" w:lineRule="auto" w:before="22"/>
        <w:ind w:right="0"/>
        <w:jc w:val="left"/>
      </w:pPr>
      <w:r>
        <w:rPr>
          <w:spacing w:val="-2"/>
        </w:rPr>
        <w:t>采取多种手段防控疫情，导致国内多数行业需求和生产骤降。在国内经济转型升级、下行压力较大的背景</w:t>
      </w:r>
      <w:r>
        <w:rPr>
          <w:spacing w:val="-43"/>
        </w:rPr>
        <w:t> </w:t>
      </w:r>
      <w:r>
        <w:rPr>
          <w:spacing w:val="-43"/>
        </w:rPr>
      </w:r>
      <w:r>
        <w:rPr>
          <w:spacing w:val="-2"/>
        </w:rPr>
        <w:t>下，叠加疫情不利因素，市场短期承压较大。疫情期间，公司的供应商、客户等利益相关方均受到不同程</w:t>
      </w:r>
      <w:r>
        <w:rPr>
          <w:spacing w:val="-43"/>
        </w:rPr>
        <w:t> </w:t>
      </w:r>
      <w:r>
        <w:rPr>
          <w:spacing w:val="-43"/>
        </w:rPr>
      </w:r>
      <w:r>
        <w:rPr>
          <w:spacing w:val="-5"/>
        </w:rPr>
        <w:t>度影响，导致公司业务无法按期正常开展，短期内对公司经营造成一定影响。公司积极贯彻疫情防控工作，</w:t>
      </w:r>
      <w:r>
        <w:rPr>
          <w:spacing w:val="-6"/>
        </w:rPr>
        <w:t> </w:t>
      </w:r>
      <w:r>
        <w:rPr>
          <w:spacing w:val="-6"/>
        </w:rPr>
      </w:r>
      <w:r>
        <w:rPr/>
        <w:t>科学复工复产，并加强与客户和供应商的沟通，最大限度减少疫情对公司经营及发展所带来的不利影响。</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7"/>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巨潮资讯网：投资者关系管理档案</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20190423</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598.995972pt;width:290.95pt;height:20.8pt;mso-position-horizontal-relative:page;mso-position-vertical-relative:page;z-index:-1158400" coordorigin="4856,11980" coordsize="5819,416">
            <v:group style="position:absolute;left:4868;top:11992;width:2;height:392" coordorigin="4868,11992" coordsize="2,392">
              <v:shape style="position:absolute;left:4868;top:11992;width:2;height:392" coordorigin="4868,11992" coordsize="0,392" path="m4868,11992l4868,12384e" filled="false" stroked="true" strokeweight="1.2pt" strokecolor="#ffffff">
                <v:path arrowok="t"/>
              </v:shape>
            </v:group>
            <v:group style="position:absolute;left:4880;top:11992;width:5795;height:392" coordorigin="4880,11992" coordsize="5795,392">
              <v:shape style="position:absolute;left:4880;top:11992;width:5795;height:392" coordorigin="4880,11992" coordsize="5795,392" path="m4880,12384l10675,12384,10675,11992,4880,11992,4880,12384xe" filled="true" fillcolor="#ffffff" stroked="false">
                <v:path arrowok="t"/>
                <v:fill type="solid"/>
              </v:shape>
            </v:group>
            <w10:wrap type="none"/>
          </v:group>
        </w:pict>
      </w:r>
    </w:p>
    <w:p>
      <w:pPr>
        <w:spacing w:line="240" w:lineRule="auto" w:before="3"/>
        <w:rPr>
          <w:rFonts w:ascii="宋体" w:hAnsi="宋体" w:cs="宋体" w:eastAsia="宋体" w:hint="default"/>
          <w:sz w:val="29"/>
          <w:szCs w:val="29"/>
        </w:rPr>
      </w:pPr>
    </w:p>
    <w:p>
      <w:pPr>
        <w:pStyle w:val="Heading1"/>
        <w:spacing w:line="240" w:lineRule="auto"/>
        <w:ind w:right="376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24"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公司严格按照《公司章程》相关利润分配政策和审议程序实施利润分配方案，分红标准和分红比例明确清晰，相关的决策程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序和机制完备。公司利润分配方案须经由董事会、监事会审议通过提交股东大会审议，并由独立董事发表独立意见，审议通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过后在规定时间内进行实施，切实保证了全体股东的利益。</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6"/>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250,384,762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30,046,171.44</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8"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30,046,171.44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140,940,127.34</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经容诚会计师事务所（特殊普通合伙）审计确认，</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年度母公司实现净利润为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31,622,557.17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提取法定公积金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3,162,255.72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元之后，余下未分配利润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28,460,301.45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元，加上以前年度未分配利润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118,460,667.99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除已派发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5,980,842.10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140,940,127.34 </w:t>
            </w:r>
            <w:r>
              <w:rPr>
                <w:rFonts w:ascii="宋体" w:hAnsi="宋体" w:cs="宋体" w:eastAsia="宋体" w:hint="default"/>
                <w:sz w:val="18"/>
                <w:szCs w:val="18"/>
              </w:rPr>
              <w:t>元。公司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年度利润分配拟以现有</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，总计派发现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w:t>
            </w:r>
            <w:r>
              <w:rPr>
                <w:rFonts w:ascii="宋体" w:hAnsi="宋体" w:cs="宋体" w:eastAsia="宋体" w:hint="default"/>
                <w:spacing w:val="-3"/>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。剩余未分配利润结转以后</w:t>
            </w:r>
            <w:r>
              <w:rPr>
                <w:rFonts w:ascii="宋体" w:hAnsi="宋体" w:cs="宋体" w:eastAsia="宋体" w:hint="default"/>
                <w:spacing w:val="2"/>
                <w:sz w:val="18"/>
                <w:szCs w:val="18"/>
              </w:rPr>
              <w:t>年</w:t>
            </w:r>
            <w:r>
              <w:rPr>
                <w:rFonts w:ascii="宋体" w:hAnsi="宋体" w:cs="宋体" w:eastAsia="宋体" w:hint="default"/>
                <w:sz w:val="18"/>
                <w:szCs w:val="18"/>
              </w:rPr>
              <w:t>度分配。本年度不转增股本，不送红股。</w:t>
            </w:r>
          </w:p>
        </w:tc>
      </w:tr>
    </w:tbl>
    <w:p>
      <w:pPr>
        <w:spacing w:line="319" w:lineRule="auto" w:before="49"/>
        <w:ind w:left="153" w:right="1078"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年度利润分配预案：以总股本</w:t>
      </w:r>
      <w:r>
        <w:rPr>
          <w:rFonts w:ascii="Times New Roman" w:hAnsi="Times New Roman" w:cs="Times New Roman" w:eastAsia="Times New Roman" w:hint="default"/>
          <w:spacing w:val="-1"/>
          <w:sz w:val="18"/>
          <w:szCs w:val="18"/>
        </w:rPr>
        <w:t>202,400,000</w:t>
      </w:r>
      <w:r>
        <w:rPr>
          <w:rFonts w:ascii="宋体" w:hAnsi="宋体" w:cs="宋体" w:eastAsia="宋体" w:hint="default"/>
          <w:spacing w:val="-1"/>
          <w:sz w:val="18"/>
          <w:szCs w:val="18"/>
        </w:rPr>
        <w:t>股为基数，向全体股东按每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元（含税），合计派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发现金股利</w:t>
      </w:r>
      <w:r>
        <w:rPr>
          <w:rFonts w:ascii="Times New Roman" w:hAnsi="Times New Roman" w:cs="Times New Roman" w:eastAsia="Times New Roman" w:hint="default"/>
          <w:sz w:val="18"/>
          <w:szCs w:val="18"/>
        </w:rPr>
        <w:t>5,060,000.00</w:t>
      </w:r>
      <w:r>
        <w:rPr>
          <w:rFonts w:ascii="宋体" w:hAnsi="宋体" w:cs="宋体" w:eastAsia="宋体" w:hint="default"/>
          <w:sz w:val="18"/>
          <w:szCs w:val="18"/>
        </w:rPr>
        <w:t>元（含税），剩余未分配利润结转以后年度分配。本年度不转增股本，不送红股。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p>
      <w:pPr>
        <w:spacing w:line="300" w:lineRule="auto" w:before="0"/>
        <w:ind w:left="153" w:right="1133" w:firstLine="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年年度股东大会审议通过上述议案，并于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日披露了《公司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年度权益分派实施公告》，公司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宋体" w:hAnsi="宋体" w:cs="宋体" w:eastAsia="宋体" w:hint="default"/>
          <w:spacing w:val="-57"/>
          <w:sz w:val="18"/>
          <w:szCs w:val="18"/>
        </w:rPr>
        <w:t> </w:t>
      </w:r>
      <w:r>
        <w:rPr>
          <w:rFonts w:ascii="宋体" w:hAnsi="宋体" w:cs="宋体" w:eastAsia="宋体" w:hint="default"/>
          <w:sz w:val="18"/>
          <w:szCs w:val="18"/>
        </w:rPr>
        <w:t>权益分派工作已于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日实施完毕。</w:t>
      </w:r>
    </w:p>
    <w:p>
      <w:pPr>
        <w:spacing w:line="300" w:lineRule="auto" w:before="54"/>
        <w:ind w:left="153" w:right="1128"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年度利润分配预案：以总股本</w:t>
      </w:r>
      <w:r>
        <w:rPr>
          <w:rFonts w:ascii="Times New Roman" w:hAnsi="Times New Roman" w:cs="Times New Roman" w:eastAsia="Times New Roman" w:hint="default"/>
          <w:spacing w:val="-1"/>
          <w:sz w:val="18"/>
          <w:szCs w:val="18"/>
        </w:rPr>
        <w:t>239,233,684</w:t>
      </w:r>
      <w:r>
        <w:rPr>
          <w:rFonts w:ascii="宋体" w:hAnsi="宋体" w:cs="宋体" w:eastAsia="宋体" w:hint="default"/>
          <w:spacing w:val="-1"/>
          <w:sz w:val="18"/>
          <w:szCs w:val="18"/>
        </w:rPr>
        <w:t>股为基数，向全体股东按每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元（含税），合计派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发现金股利</w:t>
      </w:r>
      <w:r>
        <w:rPr>
          <w:rFonts w:ascii="Times New Roman" w:hAnsi="Times New Roman" w:cs="Times New Roman" w:eastAsia="Times New Roman" w:hint="default"/>
          <w:sz w:val="18"/>
          <w:szCs w:val="18"/>
        </w:rPr>
        <w:t>5,980,842.10</w:t>
      </w:r>
      <w:r>
        <w:rPr>
          <w:rFonts w:ascii="宋体" w:hAnsi="宋体" w:cs="宋体" w:eastAsia="宋体" w:hint="default"/>
          <w:sz w:val="18"/>
          <w:szCs w:val="18"/>
        </w:rPr>
        <w:t>元（含税），剩余未分配利润结转以后年度分配。本年度不转增股本，不送红股。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r>
        <w:rPr>
          <w:rFonts w:ascii="宋体" w:hAnsi="宋体" w:cs="宋体" w:eastAsia="宋体" w:hint="default"/>
          <w:spacing w:val="-42"/>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年年度股东大会审议通过上述议案，并于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日披露了《公司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年度权益分派实施公告》，公司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 度权益分派工作已于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日实施完毕。</w:t>
      </w:r>
    </w:p>
    <w:p>
      <w:pPr>
        <w:spacing w:line="319" w:lineRule="auto" w:before="5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年度利润分配预案：以现有总股本</w:t>
      </w:r>
      <w:r>
        <w:rPr>
          <w:rFonts w:ascii="Times New Roman" w:hAnsi="Times New Roman" w:cs="Times New Roman" w:eastAsia="Times New Roman" w:hint="default"/>
          <w:sz w:val="18"/>
          <w:szCs w:val="18"/>
        </w:rPr>
        <w:t>250,384,762</w:t>
      </w:r>
      <w:r>
        <w:rPr>
          <w:rFonts w:ascii="宋体" w:hAnsi="宋体" w:cs="宋体" w:eastAsia="宋体" w:hint="default"/>
          <w:sz w:val="18"/>
          <w:szCs w:val="18"/>
        </w:rPr>
        <w:t>股为基数，向全体股东按每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1.2</w:t>
      </w:r>
      <w:r>
        <w:rPr>
          <w:rFonts w:ascii="宋体" w:hAnsi="宋体" w:cs="宋体" w:eastAsia="宋体" w:hint="default"/>
          <w:sz w:val="18"/>
          <w:szCs w:val="18"/>
        </w:rPr>
        <w:t>元（含税），合</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计派发现金股利</w:t>
      </w:r>
      <w:r>
        <w:rPr>
          <w:rFonts w:ascii="Times New Roman" w:hAnsi="Times New Roman" w:cs="Times New Roman" w:eastAsia="Times New Roman" w:hint="default"/>
          <w:sz w:val="18"/>
          <w:szCs w:val="18"/>
        </w:rPr>
        <w:t>30,046,171.44</w:t>
      </w:r>
      <w:r>
        <w:rPr>
          <w:rFonts w:ascii="宋体" w:hAnsi="宋体" w:cs="宋体" w:eastAsia="宋体" w:hint="default"/>
          <w:sz w:val="18"/>
          <w:szCs w:val="18"/>
        </w:rPr>
        <w:t>元（含税），剩余未分配利润结转以后年度分配。本年度不转增股本，不送红股。 公司近三年（包括本报告期）普通股现金分红情况表</w:t>
      </w:r>
    </w:p>
    <w:p>
      <w:pPr>
        <w:spacing w:before="5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7"/>
        <w:gridCol w:w="1196"/>
        <w:gridCol w:w="1196"/>
        <w:gridCol w:w="1196"/>
        <w:gridCol w:w="118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30,046,171.44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118,846,143.80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30,046,171.44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25.28%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5,980,842.10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48,860,741.98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5,980,842.10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12.24%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18,374,393.31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27.54%</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850"/>
        <w:gridCol w:w="4537"/>
        <w:gridCol w:w="853"/>
        <w:gridCol w:w="708"/>
        <w:gridCol w:w="635"/>
      </w:tblGrid>
      <w:tr>
        <w:trPr>
          <w:trHeight w:val="161"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57" w:right="78"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63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21" w:right="41"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vMerge/>
            <w:tcBorders>
              <w:left w:val="single" w:sz="4" w:space="0" w:color="000000"/>
              <w:right w:val="single" w:sz="4" w:space="0" w:color="000000"/>
            </w:tcBorders>
            <w:shd w:val="clear" w:color="auto" w:fill="D2D2D2"/>
          </w:tcPr>
          <w:p>
            <w:pPr/>
          </w:p>
        </w:tc>
        <w:tc>
          <w:tcPr>
            <w:tcW w:w="635" w:type="dxa"/>
            <w:vMerge/>
            <w:tcBorders>
              <w:left w:val="single" w:sz="4" w:space="0" w:color="000000"/>
              <w:right w:val="single" w:sz="4" w:space="0" w:color="000000"/>
            </w:tcBorders>
            <w:shd w:val="clear" w:color="auto" w:fill="D2D2D2"/>
          </w:tcPr>
          <w:p>
            <w:pPr/>
          </w:p>
        </w:tc>
      </w:tr>
      <w:tr>
        <w:trPr>
          <w:trHeight w:val="161"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63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3"/>
              <w:jc w:val="center"/>
              <w:rPr>
                <w:rFonts w:ascii="宋体" w:hAnsi="宋体" w:cs="宋体" w:eastAsia="宋体" w:hint="default"/>
                <w:sz w:val="18"/>
                <w:szCs w:val="18"/>
              </w:rPr>
            </w:pPr>
            <w:r>
              <w:rPr>
                <w:rFonts w:ascii="宋体" w:hAnsi="宋体" w:cs="宋体" w:eastAsia="宋体" w:hint="default"/>
                <w:sz w:val="18"/>
                <w:szCs w:val="18"/>
              </w:rPr>
              <w:t>收购报告书</w:t>
            </w:r>
          </w:p>
        </w:tc>
        <w:tc>
          <w:tcPr>
            <w:tcW w:w="991"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r>
        <w:rPr/>
        <w:pict>
          <v:shape style="position:absolute;margin-left:383.589996pt;margin-top:121.829987pt;width:84.05pt;height:249.65pt;mso-position-horizontal-relative:page;mso-position-vertical-relative:page;z-index:-1158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个月届满，</w:t>
                  </w:r>
                </w:p>
              </w:txbxContent>
            </v:textbox>
            <w10:wrap type="none"/>
          </v:shape>
        </w:pict>
      </w:r>
      <w:r>
        <w:rPr/>
        <w:pict>
          <v:shape style="position:absolute;margin-left:410.450012pt;margin-top:406.609985pt;width:57.2pt;height:249.65pt;mso-position-horizontal-relative:page;mso-position-vertical-relative:page;z-index:-1158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2"/>
        <w:gridCol w:w="991"/>
        <w:gridCol w:w="850"/>
        <w:gridCol w:w="4537"/>
        <w:gridCol w:w="852"/>
        <w:gridCol w:w="708"/>
        <w:gridCol w:w="636"/>
      </w:tblGrid>
      <w:tr>
        <w:trPr>
          <w:trHeight w:val="987"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57"/>
              <w:jc w:val="both"/>
              <w:rPr>
                <w:rFonts w:ascii="宋体" w:hAnsi="宋体" w:cs="宋体" w:eastAsia="宋体" w:hint="default"/>
                <w:sz w:val="18"/>
                <w:szCs w:val="18"/>
              </w:rPr>
            </w:pPr>
            <w:r>
              <w:rPr>
                <w:rFonts w:ascii="宋体" w:hAnsi="宋体" w:cs="宋体" w:eastAsia="宋体" w:hint="default"/>
                <w:sz w:val="18"/>
                <w:szCs w:val="18"/>
              </w:rPr>
              <w:t>或权益变动 报告书中所 作承诺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698" w:hRule="exact"/>
        </w:trPr>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5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孙路、贵博 投资、董先 </w:t>
            </w:r>
            <w:r>
              <w:rPr>
                <w:rFonts w:ascii="宋体" w:hAnsi="宋体" w:cs="宋体" w:eastAsia="宋体" w:hint="default"/>
                <w:spacing w:val="-12"/>
                <w:sz w:val="18"/>
                <w:szCs w:val="18"/>
              </w:rPr>
              <w:t>权、徐根义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陈学祥、张 起云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724"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0.85pt;height:36.25pt;mso-position-horizontal-relative:char;mso-position-vertical-relative:line" coordorigin="0,0" coordsize="817,725">
                  <v:group style="position:absolute;left:11;top:11;width:2;height:704" coordorigin="11,11" coordsize="2,704">
                    <v:shape style="position:absolute;left:11;top:11;width:2;height:704" coordorigin="11,11" coordsize="0,704" path="m11,11l11,714e" filled="false" stroked="true" strokeweight="1.08pt" strokecolor="#ffffff">
                      <v:path arrowok="t"/>
                    </v:shape>
                  </v:group>
                  <v:group style="position:absolute;left:22;top:11;width:795;height:353" coordorigin="22,11" coordsize="795,353">
                    <v:shape style="position:absolute;left:22;top:11;width:795;height:353" coordorigin="22,11" coordsize="795,353" path="m22,364l816,364,816,11,22,11,22,364xe" filled="true" fillcolor="#ffffff" stroked="false">
                      <v:path arrowok="t"/>
                      <v:fill type="solid"/>
                    </v:shape>
                  </v:group>
                  <v:group style="position:absolute;left:22;top:364;width:795;height:351" coordorigin="22,364" coordsize="795,351">
                    <v:shape style="position:absolute;left:22;top:364;width:795;height:351" coordorigin="22,364" coordsize="795,351" path="m22,714l816,714,816,364,22,364,22,714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537"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49"/>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、若截至其取得本次交易对价股份时，其用于认购股份 的资产持续拥有权益的时间超过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个月的，自其认购的</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新增股份在法定登记机构登记于其名下并上市之日起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个月内，不转让或者委托他人管理其拥有的该等新增股份</w:t>
            </w:r>
          </w:p>
          <w:p>
            <w:pPr>
              <w:pStyle w:val="TableParagraph"/>
              <w:spacing w:line="316" w:lineRule="auto" w:before="76"/>
              <w:ind w:left="24" w:right="14"/>
              <w:jc w:val="both"/>
              <w:rPr>
                <w:rFonts w:ascii="宋体" w:hAnsi="宋体" w:cs="宋体" w:eastAsia="宋体" w:hint="default"/>
                <w:sz w:val="18"/>
                <w:szCs w:val="18"/>
              </w:rPr>
            </w:pPr>
            <w:r>
              <w:rPr>
                <w:rFonts w:ascii="宋体" w:hAnsi="宋体" w:cs="宋体" w:eastAsia="宋体" w:hint="default"/>
                <w:spacing w:val="-1"/>
                <w:sz w:val="18"/>
                <w:szCs w:val="18"/>
              </w:rPr>
              <w:t>（若在其实际转让上市公司股份前，上市公司发生转增股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本、送红股等除权行为的，则其实际可转让股份数将进行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相应调整）。前述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个月期限届满后，具体的解锁期间及</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解锁比例如下</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自新增股份上市之日起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309" w:lineRule="auto" w:before="63"/>
              <w:ind w:left="24" w:right="-49"/>
              <w:jc w:val="left"/>
              <w:rPr>
                <w:rFonts w:ascii="宋体" w:hAnsi="宋体" w:cs="宋体" w:eastAsia="宋体" w:hint="default"/>
                <w:sz w:val="18"/>
                <w:szCs w:val="18"/>
              </w:rPr>
            </w:pPr>
            <w:r>
              <w:rPr>
                <w:rFonts w:ascii="宋体" w:hAnsi="宋体" w:cs="宋体" w:eastAsia="宋体" w:hint="default"/>
                <w:sz w:val="18"/>
                <w:szCs w:val="18"/>
              </w:rPr>
              <w:t>且贵博新能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年度的实际净利润数达到《盈利补偿协 议》约定的承诺业绩，则在具备证券期货从业资格的审计 机构出具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年度贵博新能利润承诺实现情况的《专项 审核报告》后，可转让不超过本次发行中取得的上市公司 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）自新增股份上市之日起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个月届</w:t>
            </w:r>
            <w:r>
              <w:rPr>
                <w:rFonts w:ascii="宋体" w:hAnsi="宋体" w:cs="宋体" w:eastAsia="宋体" w:hint="default"/>
                <w:spacing w:val="-86"/>
                <w:sz w:val="18"/>
                <w:szCs w:val="18"/>
              </w:rPr>
              <w:t> </w:t>
            </w:r>
            <w:r>
              <w:rPr>
                <w:rFonts w:ascii="宋体" w:hAnsi="宋体" w:cs="宋体" w:eastAsia="宋体" w:hint="default"/>
                <w:sz w:val="18"/>
                <w:szCs w:val="18"/>
              </w:rPr>
              <w:t>满，且贵博新能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年度的实际净利润数达到《盈利补 偿协议》约定的承诺业绩，同时其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 的净利润总额达到《盈利补偿协议》约定的该两年度承诺 业绩总额，则在具备证券期货从业资格的审计机构出具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年度贵博新能利润承诺实现情况的《专项审核报告》 后，新增可转让不超过本次发行中取得的上市公司股份数 量的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35%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）业绩承诺期届满，在具备证券期货从业资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格的审计机构出具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年度贵博新能利润承诺实现情况 的《专项审核报告》以及对标的资产进行减值测试的《减 值测试报告》后，且以履行了《盈利补偿协议》的利润补 偿和标的资产减值测试所需补偿义务为前提，其于本次发 行中取得的上市公司股份可以转让。</w:t>
            </w:r>
            <w:r>
              <w:rPr>
                <w:rFonts w:ascii="Times New Roman" w:hAnsi="Times New Roman" w:cs="Times New Roman" w:eastAsia="Times New Roman" w:hint="default"/>
                <w:sz w:val="18"/>
                <w:szCs w:val="18"/>
              </w:rPr>
              <w:t>2</w:t>
            </w:r>
            <w:r>
              <w:rPr>
                <w:rFonts w:ascii="宋体" w:hAnsi="宋体" w:cs="宋体" w:eastAsia="宋体" w:hint="default"/>
                <w:sz w:val="18"/>
                <w:szCs w:val="18"/>
              </w:rPr>
              <w:t>、若截至其取得本 次交易对价股份时，其用于认购股份的资产持续拥有权益 的时间不足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个月的，该部分资产认购的上市公司股</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个月内不转让。自股份上市之</w:t>
            </w:r>
          </w:p>
          <w:p>
            <w:pPr>
              <w:pStyle w:val="TableParagraph"/>
              <w:spacing w:line="314"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个月届满，在具备证券期货从业资格的审计机构 </w:t>
            </w:r>
            <w:r>
              <w:rPr>
                <w:rFonts w:ascii="宋体" w:hAnsi="宋体" w:cs="宋体" w:eastAsia="宋体" w:hint="default"/>
                <w:spacing w:val="-1"/>
                <w:sz w:val="18"/>
                <w:szCs w:val="18"/>
              </w:rPr>
              <w:t>出具相应年度贵博新能利润承诺实现情况的《专项审核报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告》以及对标的资产进行减值测试的《减值测试报告》</w:t>
            </w:r>
            <w:r>
              <w:rPr>
                <w:rFonts w:ascii="宋体" w:hAnsi="宋体" w:cs="宋体" w:eastAsia="宋体" w:hint="default"/>
                <w:sz w:val="18"/>
                <w:szCs w:val="18"/>
              </w:rPr>
              <w:t> </w:t>
            </w:r>
            <w:r>
              <w:rPr>
                <w:rFonts w:ascii="宋体" w:hAnsi="宋体" w:cs="宋体" w:eastAsia="宋体" w:hint="default"/>
                <w:spacing w:val="-1"/>
                <w:sz w:val="18"/>
                <w:szCs w:val="18"/>
              </w:rPr>
              <w:t>且以履行了《盈利补偿协议》的利润补偿和标的资产减值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测试所需补偿义务为前提，其于本次发行中取得的上市公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司股份可以转让。</w:t>
            </w:r>
          </w:p>
        </w:tc>
        <w:tc>
          <w:tcPr>
            <w:tcW w:w="852" w:type="dxa"/>
            <w:tcBorders>
              <w:top w:val="single" w:sz="4" w:space="0" w:color="000000"/>
              <w:left w:val="single" w:sz="9" w:space="0" w:color="FFFFFF"/>
              <w:bottom w:val="single" w:sz="4" w:space="0" w:color="000000"/>
              <w:right w:val="single" w:sz="4" w:space="0" w:color="000000"/>
            </w:tcBorders>
          </w:tcPr>
          <w:p>
            <w:pPr>
              <w:pStyle w:val="TableParagraph"/>
              <w:spacing w:line="4992" w:lineRule="exact"/>
              <w:ind w:left="-4"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pict>
                <v:group style="width:42pt;height:249.65pt;mso-position-horizontal-relative:char;mso-position-vertical-relative:line" coordorigin="0,0" coordsize="840,4993">
                  <v:group style="position:absolute;left:0;top:0;width:840;height:4993" coordorigin="0,0" coordsize="840,4993">
                    <v:shape style="position:absolute;left:0;top:0;width:840;height:4993" coordorigin="0,0" coordsize="840,4993" path="m0,4992l840,4992,840,0,0,0,0,4992xe" filled="true" fillcolor="#ffffff" stroked="false">
                      <v:path arrowok="t"/>
                      <v:fill type="solid"/>
                    </v:shape>
                  </v:group>
                </v:group>
              </w:pict>
            </w:r>
            <w:r>
              <w:rPr>
                <w:rFonts w:ascii="Times New Roman" w:hAnsi="Times New Roman" w:cs="Times New Roman" w:eastAsia="Times New Roman" w:hint="default"/>
                <w:position w:val="-99"/>
                <w:sz w:val="20"/>
                <w:szCs w:val="20"/>
              </w:rPr>
            </w:r>
          </w:p>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4993" w:lineRule="exact"/>
              <w:ind w:left="-4"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pict>
                <v:group style="width:42pt;height:249.65pt;mso-position-horizontal-relative:char;mso-position-vertical-relative:line" coordorigin="0,0" coordsize="840,4993">
                  <v:group style="position:absolute;left:0;top:0;width:840;height:4993" coordorigin="0,0" coordsize="840,4993">
                    <v:shape style="position:absolute;left:0;top:0;width:840;height:4993" coordorigin="0,0" coordsize="840,4993" path="m0,4993l840,4993,840,0,0,0,0,4993xe" filled="true" fillcolor="#ffffff" stroked="false">
                      <v:path arrowok="t"/>
                      <v:fill type="solid"/>
                    </v:shape>
                  </v:group>
                </v:group>
              </w:pict>
            </w:r>
            <w:r>
              <w:rPr>
                <w:rFonts w:ascii="Times New Roman" w:hAnsi="Times New Roman" w:cs="Times New Roman" w:eastAsia="Times New Roman" w:hint="default"/>
                <w:position w:val="-99"/>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2022-01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234"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pacing w:val="-1"/>
                <w:sz w:val="18"/>
                <w:szCs w:val="18"/>
              </w:rPr>
              <w:t>取得的交易对价股份，自在法定登记机构登记于其名下并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个月内，不转让或者委托他人管理其拥有 </w:t>
            </w:r>
            <w:r>
              <w:rPr>
                <w:rFonts w:ascii="宋体" w:hAnsi="宋体" w:cs="宋体" w:eastAsia="宋体" w:hint="default"/>
                <w:spacing w:val="-1"/>
                <w:sz w:val="18"/>
                <w:szCs w:val="18"/>
              </w:rPr>
              <w:t>的该等新增股份（若在其实际转让上市公司股份前，上市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公司发生转增股本、送红股等除权行为的，则其实际可转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让股份数将进行相应调整）。自股份上市之日起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个月届 </w:t>
            </w:r>
            <w:r>
              <w:rPr>
                <w:rFonts w:ascii="宋体" w:hAnsi="宋体" w:cs="宋体" w:eastAsia="宋体" w:hint="default"/>
                <w:spacing w:val="-1"/>
                <w:sz w:val="18"/>
                <w:szCs w:val="18"/>
              </w:rPr>
              <w:t>满，在具备证券期货从业资格的审计机构出具相应年度贵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博新能利润承诺实现情况的《专项审核报告》以及对标的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r>
        <w:rPr/>
        <w:pict>
          <v:group style="position:absolute;margin-left:157.339996pt;margin-top:282.289978pt;width:39.75pt;height:33.25pt;mso-position-horizontal-relative:page;mso-position-vertical-relative:page;z-index:-1158256" coordorigin="3147,5646" coordsize="795,665">
            <v:group style="position:absolute;left:3147;top:5646;width:795;height:353" coordorigin="3147,5646" coordsize="795,353">
              <v:shape style="position:absolute;left:3147;top:5646;width:795;height:353" coordorigin="3147,5646" coordsize="795,353" path="m3147,5999l3942,5999,3942,5646,3147,5646,3147,5999xe" filled="true" fillcolor="#ffffff" stroked="false">
                <v:path arrowok="t"/>
                <v:fill type="solid"/>
              </v:shape>
            </v:group>
            <v:group style="position:absolute;left:3147;top:5999;width:795;height:312" coordorigin="3147,5999" coordsize="795,312">
              <v:shape style="position:absolute;left:3147;top:5999;width:795;height:312" coordorigin="3147,5999" coordsize="795,312" path="m3147,6311l3942,6311,3942,5999,3147,5999,3147,6311xe" filled="true" fillcolor="#ffffff" stroked="false">
                <v:path arrowok="t"/>
                <v:fill type="solid"/>
              </v:shape>
            </v:group>
            <w10:wrap type="none"/>
          </v:group>
        </w:pict>
      </w:r>
      <w:r>
        <w:rPr/>
        <w:pict>
          <v:group style="position:absolute;margin-left:157.339996pt;margin-top:419.449982pt;width:39.75pt;height:33.3pt;mso-position-horizontal-relative:page;mso-position-vertical-relative:page;z-index:-1158232" coordorigin="3147,8389" coordsize="795,666">
            <v:group style="position:absolute;left:3147;top:8389;width:795;height:353" coordorigin="3147,8389" coordsize="795,353">
              <v:shape style="position:absolute;left:3147;top:8389;width:795;height:353" coordorigin="3147,8389" coordsize="795,353" path="m3147,8742l3942,8742,3942,8389,3147,8389,3147,8742xe" filled="true" fillcolor="#ffffff" stroked="false">
                <v:path arrowok="t"/>
                <v:fill type="solid"/>
              </v:shape>
            </v:group>
            <v:group style="position:absolute;left:3147;top:8742;width:795;height:313" coordorigin="3147,8742" coordsize="795,313">
              <v:shape style="position:absolute;left:3147;top:8742;width:795;height:313" coordorigin="3147,8742" coordsize="795,313" path="m3147,9054l3942,9054,3942,8742,3147,8742,3147,9054xe" filled="true" fillcolor="#ffffff" stroked="false">
                <v:path arrowok="t"/>
                <v:fill type="solid"/>
              </v:shape>
            </v:group>
            <w10:wrap type="none"/>
          </v:group>
        </w:pict>
      </w:r>
      <w:r>
        <w:rPr/>
        <w:pict>
          <v:group style="position:absolute;margin-left:157.339996pt;margin-top:595.515991pt;width:39.75pt;height:33.3pt;mso-position-horizontal-relative:page;mso-position-vertical-relative:page;z-index:-1158208" coordorigin="3147,11910" coordsize="795,666">
            <v:group style="position:absolute;left:3147;top:11910;width:795;height:354" coordorigin="3147,11910" coordsize="795,354">
              <v:shape style="position:absolute;left:3147;top:11910;width:795;height:354" coordorigin="3147,11910" coordsize="795,354" path="m3147,12264l3942,12264,3942,11910,3147,11910,3147,12264xe" filled="true" fillcolor="#ffffff" stroked="false">
                <v:path arrowok="t"/>
                <v:fill type="solid"/>
              </v:shape>
            </v:group>
            <v:group style="position:absolute;left:3147;top:12264;width:795;height:312" coordorigin="3147,12264" coordsize="795,312">
              <v:shape style="position:absolute;left:3147;top:12264;width:795;height:312" coordorigin="3147,12264" coordsize="795,312" path="m3147,12576l3942,12576,3942,12264,3147,12264,3147,1257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92"/>
        <w:gridCol w:w="991"/>
        <w:gridCol w:w="850"/>
        <w:gridCol w:w="4537"/>
        <w:gridCol w:w="852"/>
        <w:gridCol w:w="708"/>
        <w:gridCol w:w="636"/>
      </w:tblGrid>
      <w:tr>
        <w:trPr>
          <w:trHeight w:val="315" w:hRule="exact"/>
        </w:trPr>
        <w:tc>
          <w:tcPr>
            <w:tcW w:w="992"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8"/>
                <w:sz w:val="18"/>
                <w:szCs w:val="18"/>
              </w:rPr>
              <w:t>资产进行减值测试的《减值测试报告》后，且以履行了《盈</w:t>
            </w:r>
          </w:p>
        </w:tc>
        <w:tc>
          <w:tcPr>
            <w:tcW w:w="85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利补偿协议》的利润补偿和标的资产减值测试所需补偿义</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务为前提，其于本次发行中取得的上市公司股份可以转</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w:t>
            </w: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5"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取得的交易对价股份，自在法定登记机构登记于其名下并</w:t>
            </w: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紫煦投资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个月内，不转让或者委托他人管理其拥有 </w:t>
            </w:r>
            <w:r>
              <w:rPr>
                <w:rFonts w:ascii="宋体" w:hAnsi="宋体" w:cs="宋体" w:eastAsia="宋体" w:hint="default"/>
                <w:spacing w:val="-1"/>
                <w:sz w:val="18"/>
                <w:szCs w:val="18"/>
              </w:rPr>
              <w:t>的该等新增股份（若在其实际转让上市公司股份前，上市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公司发生转增股本、送红股等除权行为的，则其实际可转</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35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让股份数将进行相应调整</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 </w:t>
            </w:r>
            <w:r>
              <w:rPr>
                <w:rFonts w:ascii="Times New Roman" w:hAnsi="Times New Roman" w:cs="Times New Roman" w:eastAsia="Times New Roman" w:hint="default"/>
                <w:sz w:val="18"/>
                <w:szCs w:val="18"/>
              </w:rPr>
              <w:t>2018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2019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2020</w:t>
            </w:r>
            <w:r>
              <w:rPr>
                <w:rFonts w:ascii="Times New Roman" w:hAnsi="Times New Roman" w:cs="Times New Roman" w:eastAsia="Times New Roman" w:hint="default"/>
                <w:spacing w:val="-24"/>
                <w:sz w:val="18"/>
                <w:szCs w:val="18"/>
              </w:rPr>
              <w:t> </w:t>
            </w:r>
            <w:r>
              <w:rPr>
                <w:rFonts w:ascii="宋体" w:hAnsi="宋体" w:cs="宋体" w:eastAsia="宋体" w:hint="default"/>
                <w:spacing w:val="-4"/>
                <w:sz w:val="18"/>
                <w:szCs w:val="18"/>
              </w:rPr>
              <w:t>年度净利润数（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净</w:t>
            </w: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Times New Roman" w:hAnsi="Times New Roman" w:cs="Times New Roman" w:eastAsia="Times New Roman" w:hint="default"/>
                <w:sz w:val="18"/>
                <w:szCs w:val="18"/>
              </w:rPr>
              <w:t>”</w:t>
            </w:r>
            <w:r>
              <w:rPr>
                <w:rFonts w:ascii="宋体" w:hAnsi="宋体" w:cs="宋体" w:eastAsia="宋体" w:hint="default"/>
                <w:sz w:val="18"/>
                <w:szCs w:val="18"/>
              </w:rPr>
              <w:t>是指科大国创聘请的具有证券期货业务资格的会计</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13" w:space="0" w:color="FFFFFF"/>
            </w:tcBorders>
          </w:tcPr>
          <w:p>
            <w:pPr>
              <w:pStyle w:val="TableParagraph"/>
              <w:spacing w:line="316" w:lineRule="auto" w:before="162"/>
              <w:ind w:left="23" w:right="43"/>
              <w:jc w:val="both"/>
              <w:rPr>
                <w:rFonts w:ascii="宋体" w:hAnsi="宋体" w:cs="宋体" w:eastAsia="宋体" w:hint="default"/>
                <w:sz w:val="18"/>
                <w:szCs w:val="18"/>
              </w:rPr>
            </w:pPr>
            <w:r>
              <w:rPr>
                <w:rFonts w:ascii="宋体" w:hAnsi="宋体" w:cs="宋体" w:eastAsia="宋体" w:hint="default"/>
                <w:sz w:val="18"/>
                <w:szCs w:val="18"/>
              </w:rPr>
              <w:t>孙路、贵博 投资、董先 </w:t>
            </w:r>
            <w:r>
              <w:rPr>
                <w:rFonts w:ascii="宋体" w:hAnsi="宋体" w:cs="宋体" w:eastAsia="宋体" w:hint="default"/>
                <w:spacing w:val="-12"/>
                <w:sz w:val="18"/>
                <w:szCs w:val="18"/>
              </w:rPr>
              <w:t>权、徐根义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史兴领、陈 学祥、张起 云</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业绩承诺</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及补偿安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排</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4" w:right="18"/>
              <w:jc w:val="left"/>
              <w:rPr>
                <w:rFonts w:ascii="宋体" w:hAnsi="宋体" w:cs="宋体" w:eastAsia="宋体" w:hint="default"/>
                <w:sz w:val="18"/>
                <w:szCs w:val="18"/>
              </w:rPr>
            </w:pPr>
            <w:r>
              <w:rPr>
                <w:rFonts w:ascii="宋体" w:hAnsi="宋体" w:cs="宋体" w:eastAsia="宋体" w:hint="default"/>
                <w:sz w:val="18"/>
                <w:szCs w:val="18"/>
              </w:rPr>
              <w:t>师事务所审计的贵博新能合并报表中归属于母公司所有 </w:t>
            </w:r>
            <w:r>
              <w:rPr>
                <w:rFonts w:ascii="宋体" w:hAnsi="宋体" w:cs="宋体" w:eastAsia="宋体" w:hint="default"/>
                <w:spacing w:val="-1"/>
                <w:sz w:val="18"/>
                <w:szCs w:val="18"/>
              </w:rPr>
              <w:t>者的税后净利润，且该净利润以扣除非经常性损益前后孰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低者为准）分别不低于人民币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5,000</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6,000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万元（三年累计承诺净利润为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15,000</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万元）。若贵博新能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在业绩承诺期间任何一年的截至当期期末累积实现净利 </w:t>
            </w:r>
            <w:r>
              <w:rPr>
                <w:rFonts w:ascii="宋体" w:hAnsi="宋体" w:cs="宋体" w:eastAsia="宋体" w:hint="default"/>
                <w:spacing w:val="-1"/>
                <w:sz w:val="18"/>
                <w:szCs w:val="18"/>
              </w:rPr>
              <w:t>润数低于截至当期期末累积承诺净利润数，则业绩承诺方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应向科大国创作出补偿。在补偿时，业绩承诺方应当先以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股份方式进行补偿；若股份不足补偿的，不足部分以现金</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方式补偿。</w:t>
            </w: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孙路、贵博</w:t>
            </w: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13" w:space="0" w:color="FFFFFF"/>
            </w:tcBorders>
          </w:tcPr>
          <w:p>
            <w:pPr>
              <w:pStyle w:val="TableParagraph"/>
              <w:spacing w:line="319" w:lineRule="auto" w:before="10"/>
              <w:ind w:left="23" w:right="43"/>
              <w:jc w:val="both"/>
              <w:rPr>
                <w:rFonts w:ascii="宋体" w:hAnsi="宋体" w:cs="宋体" w:eastAsia="宋体" w:hint="default"/>
                <w:sz w:val="18"/>
                <w:szCs w:val="18"/>
              </w:rPr>
            </w:pPr>
            <w:r>
              <w:rPr>
                <w:rFonts w:ascii="宋体" w:hAnsi="宋体" w:cs="宋体" w:eastAsia="宋体" w:hint="default"/>
                <w:sz w:val="18"/>
                <w:szCs w:val="18"/>
              </w:rPr>
              <w:t>投资、董先 </w:t>
            </w:r>
            <w:r>
              <w:rPr>
                <w:rFonts w:ascii="宋体" w:hAnsi="宋体" w:cs="宋体" w:eastAsia="宋体" w:hint="default"/>
                <w:spacing w:val="-12"/>
                <w:sz w:val="18"/>
                <w:szCs w:val="18"/>
              </w:rPr>
              <w:t>权、徐根义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史兴领、陈 学祥、张起</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关于避免</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同业竞争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4" w:right="1"/>
              <w:jc w:val="left"/>
              <w:rPr>
                <w:rFonts w:ascii="宋体" w:hAnsi="宋体" w:cs="宋体" w:eastAsia="宋体" w:hint="default"/>
                <w:sz w:val="18"/>
                <w:szCs w:val="18"/>
              </w:rPr>
            </w:pPr>
            <w:r>
              <w:rPr>
                <w:rFonts w:ascii="宋体" w:hAnsi="宋体" w:cs="宋体" w:eastAsia="宋体" w:hint="default"/>
                <w:sz w:val="18"/>
                <w:szCs w:val="18"/>
              </w:rPr>
              <w:t>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股权交割完成后，除本承诺人持有科大国 创股份外，承诺人及其关联方将不再以任何形式从事、参 与或协助他人从事任何与贵博新能有竞争关系的经营活 动，不再投资于任何与贵博新能有竞争关系的经济实体。</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5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、本次交易完成后，在承诺人作为上市公司股东期间，</w:t>
            </w: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承诺人将尽量避免或减少与上市公司及其子公司之间产</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生关联交易事项；对于不可避免发生的关联业务往来或交</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易，将在平等、自愿的基础上，按照公平、公允和等价有</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偿的原则进行，交易价格将按照市场公认的合理价格确</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孙路、贵博</w:t>
            </w: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2</w:t>
            </w:r>
            <w:r>
              <w:rPr>
                <w:rFonts w:ascii="宋体" w:hAnsi="宋体" w:cs="宋体" w:eastAsia="宋体" w:hint="default"/>
                <w:sz w:val="18"/>
                <w:szCs w:val="18"/>
              </w:rPr>
              <w:t>、在承诺人作为上市公司股东期间，不利用股东地</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13" w:space="0" w:color="FFFFFF"/>
            </w:tcBorders>
          </w:tcPr>
          <w:p>
            <w:pPr>
              <w:pStyle w:val="TableParagraph"/>
              <w:spacing w:line="319" w:lineRule="auto" w:before="5"/>
              <w:ind w:left="23" w:right="43"/>
              <w:jc w:val="both"/>
              <w:rPr>
                <w:rFonts w:ascii="宋体" w:hAnsi="宋体" w:cs="宋体" w:eastAsia="宋体" w:hint="default"/>
                <w:sz w:val="18"/>
                <w:szCs w:val="18"/>
              </w:rPr>
            </w:pPr>
            <w:r>
              <w:rPr>
                <w:rFonts w:ascii="宋体" w:hAnsi="宋体" w:cs="宋体" w:eastAsia="宋体" w:hint="default"/>
                <w:sz w:val="18"/>
                <w:szCs w:val="18"/>
              </w:rPr>
              <w:t>投资、董先 </w:t>
            </w:r>
            <w:r>
              <w:rPr>
                <w:rFonts w:ascii="宋体" w:hAnsi="宋体" w:cs="宋体" w:eastAsia="宋体" w:hint="default"/>
                <w:spacing w:val="-12"/>
                <w:sz w:val="18"/>
                <w:szCs w:val="18"/>
              </w:rPr>
              <w:t>权、徐根义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紫煦投资、 史兴领、陈 学祥、张起</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196" w:lineRule="exact" w:before="161"/>
              <w:ind w:left="11" w:right="0"/>
              <w:jc w:val="left"/>
              <w:rPr>
                <w:rFonts w:ascii="宋体" w:hAnsi="宋体" w:cs="宋体" w:eastAsia="宋体" w:hint="default"/>
                <w:sz w:val="18"/>
                <w:szCs w:val="18"/>
              </w:rPr>
            </w:pPr>
            <w:r>
              <w:rPr>
                <w:rFonts w:ascii="宋体" w:hAnsi="宋体" w:cs="宋体" w:eastAsia="宋体" w:hint="default"/>
                <w:sz w:val="18"/>
                <w:szCs w:val="18"/>
              </w:rPr>
              <w:t>关于减少</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及规范关</w:t>
            </w:r>
          </w:p>
          <w:p>
            <w:pPr>
              <w:pStyle w:val="TableParagraph"/>
              <w:spacing w:line="316" w:lineRule="auto" w:before="76"/>
              <w:ind w:left="11" w:right="94"/>
              <w:jc w:val="left"/>
              <w:rPr>
                <w:rFonts w:ascii="宋体" w:hAnsi="宋体" w:cs="宋体" w:eastAsia="宋体" w:hint="default"/>
                <w:sz w:val="18"/>
                <w:szCs w:val="18"/>
              </w:rPr>
            </w:pPr>
            <w:r>
              <w:rPr>
                <w:rFonts w:ascii="宋体" w:hAnsi="宋体" w:cs="宋体" w:eastAsia="宋体" w:hint="default"/>
                <w:sz w:val="18"/>
                <w:szCs w:val="18"/>
              </w:rPr>
              <w:t>联交易的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20"/>
              <w:jc w:val="left"/>
              <w:rPr>
                <w:rFonts w:ascii="宋体" w:hAnsi="宋体" w:cs="宋体" w:eastAsia="宋体" w:hint="default"/>
                <w:sz w:val="18"/>
                <w:szCs w:val="18"/>
              </w:rPr>
            </w:pPr>
            <w:r>
              <w:rPr>
                <w:rFonts w:ascii="宋体" w:hAnsi="宋体" w:cs="宋体" w:eastAsia="宋体" w:hint="default"/>
                <w:sz w:val="18"/>
                <w:szCs w:val="18"/>
              </w:rPr>
              <w:t>位及影响谋求上市公司在业务合作等方面给予优于市场 </w:t>
            </w:r>
            <w:r>
              <w:rPr>
                <w:rFonts w:ascii="宋体" w:hAnsi="宋体" w:cs="宋体" w:eastAsia="宋体" w:hint="default"/>
                <w:spacing w:val="-1"/>
                <w:sz w:val="18"/>
                <w:szCs w:val="18"/>
              </w:rPr>
              <w:t>第三方的权利；不利用股东地位及影响谋求与公司达成交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、在承诺人作为上市公司股东期间，承 诺人将严格遵守上市公司章程等规范性文件中关于关联 </w:t>
            </w:r>
            <w:r>
              <w:rPr>
                <w:rFonts w:ascii="宋体" w:hAnsi="宋体" w:cs="宋体" w:eastAsia="宋体" w:hint="default"/>
                <w:spacing w:val="-1"/>
                <w:sz w:val="18"/>
                <w:szCs w:val="18"/>
              </w:rPr>
              <w:t>交易事项的回避规定，所涉及的关联交易均按照规定的决</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策程序进行，并将履行合法程序、及时对关联交易事项进</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行信息披露；不利用关联交易转移、输送利润，损害上市</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、承诺人将杜绝一切非法</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占用上市公司的资金、资产的行为，在任何情况下，不要</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求上市公司向承诺人及承诺人控制的企业提供任何形式</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的担保。</w:t>
            </w: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4"/>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7" w:footer="979" w:top="1200" w:bottom="1160" w:left="980" w:right="0"/>
        </w:sectPr>
      </w:pPr>
    </w:p>
    <w:p>
      <w:pPr>
        <w:spacing w:line="319" w:lineRule="auto" w:before="44"/>
        <w:ind w:left="1175" w:right="-19" w:firstLine="0"/>
        <w:jc w:val="left"/>
        <w:rPr>
          <w:rFonts w:ascii="宋体" w:hAnsi="宋体" w:cs="宋体" w:eastAsia="宋体" w:hint="default"/>
          <w:sz w:val="18"/>
          <w:szCs w:val="18"/>
        </w:rPr>
      </w:pPr>
      <w:r>
        <w:rPr>
          <w:rFonts w:ascii="宋体" w:hAnsi="宋体" w:cs="宋体" w:eastAsia="宋体" w:hint="default"/>
          <w:sz w:val="18"/>
          <w:szCs w:val="18"/>
        </w:rPr>
        <w:t>孙路、贵博 投资、董先 </w:t>
      </w:r>
      <w:r>
        <w:rPr>
          <w:rFonts w:ascii="宋体" w:hAnsi="宋体" w:cs="宋体" w:eastAsia="宋体" w:hint="default"/>
          <w:spacing w:val="-9"/>
          <w:sz w:val="18"/>
          <w:szCs w:val="18"/>
        </w:rPr>
        <w:t>权、徐根义、关于不占</w:t>
      </w:r>
    </w:p>
    <w:p>
      <w:pPr>
        <w:spacing w:line="212" w:lineRule="exact" w:before="17"/>
        <w:ind w:left="1175" w:right="-20" w:firstLine="0"/>
        <w:jc w:val="left"/>
        <w:rPr>
          <w:rFonts w:ascii="宋体" w:hAnsi="宋体" w:cs="宋体" w:eastAsia="宋体" w:hint="default"/>
          <w:sz w:val="18"/>
          <w:szCs w:val="18"/>
        </w:rPr>
      </w:pPr>
      <w:r>
        <w:rPr>
          <w:rFonts w:ascii="宋体" w:hAnsi="宋体" w:cs="宋体" w:eastAsia="宋体" w:hint="default"/>
          <w:sz w:val="18"/>
          <w:szCs w:val="18"/>
        </w:rPr>
        <w:t>紫煦投资、</w:t>
      </w:r>
      <w:r>
        <w:rPr>
          <w:rFonts w:ascii="宋体" w:hAnsi="宋体" w:cs="宋体" w:eastAsia="宋体" w:hint="default"/>
          <w:spacing w:val="1"/>
          <w:sz w:val="18"/>
          <w:szCs w:val="18"/>
        </w:rPr>
        <w:t> </w:t>
      </w:r>
      <w:r>
        <w:rPr>
          <w:rFonts w:ascii="宋体" w:hAnsi="宋体" w:cs="宋体" w:eastAsia="宋体" w:hint="default"/>
          <w:sz w:val="18"/>
          <w:szCs w:val="18"/>
        </w:rPr>
        <w:t>用资金的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310" w:lineRule="atLeast" w:before="123"/>
        <w:ind w:left="90" w:right="-14" w:firstLine="0"/>
        <w:jc w:val="left"/>
        <w:rPr>
          <w:rFonts w:ascii="宋体" w:hAnsi="宋体" w:cs="宋体" w:eastAsia="宋体" w:hint="default"/>
          <w:sz w:val="18"/>
          <w:szCs w:val="18"/>
        </w:rPr>
      </w:pPr>
      <w:r>
        <w:rPr>
          <w:rFonts w:ascii="宋体" w:hAnsi="宋体" w:cs="宋体" w:eastAsia="宋体" w:hint="default"/>
          <w:spacing w:val="-1"/>
          <w:sz w:val="18"/>
          <w:szCs w:val="18"/>
        </w:rPr>
        <w:t>承诺人作为本次交易的交易对方之一，现承诺：承诺人及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关联方未来不会以任何方式向贵博新能借款或占用贵博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16" w:right="-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9999-12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spacing w:before="0"/>
        <w:ind w:left="65" w:right="0" w:firstLine="0"/>
        <w:jc w:val="left"/>
        <w:rPr>
          <w:rFonts w:ascii="宋体" w:hAnsi="宋体" w:cs="宋体" w:eastAsia="宋体" w:hint="default"/>
          <w:sz w:val="18"/>
          <w:szCs w:val="18"/>
        </w:rPr>
      </w:pPr>
      <w:r>
        <w:rPr>
          <w:rFonts w:ascii="宋体" w:hAnsi="宋体" w:cs="宋体" w:eastAsia="宋体" w:hint="default"/>
          <w:sz w:val="18"/>
          <w:szCs w:val="18"/>
        </w:rPr>
        <w:t>正常履</w:t>
      </w:r>
    </w:p>
    <w:p>
      <w:pPr>
        <w:spacing w:after="0"/>
        <w:jc w:val="left"/>
        <w:rPr>
          <w:rFonts w:ascii="宋体" w:hAnsi="宋体" w:cs="宋体" w:eastAsia="宋体" w:hint="default"/>
          <w:sz w:val="18"/>
          <w:szCs w:val="18"/>
        </w:rPr>
        <w:sectPr>
          <w:type w:val="continuous"/>
          <w:pgSz w:w="11910" w:h="16840"/>
          <w:pgMar w:top="1200" w:bottom="1160" w:left="980" w:right="0"/>
          <w:cols w:num="4" w:equalWidth="0">
            <w:col w:w="2887" w:space="40"/>
            <w:col w:w="4572" w:space="40"/>
            <w:col w:w="1471" w:space="40"/>
            <w:col w:w="1880"/>
          </w:cols>
        </w:sectPr>
      </w:pPr>
    </w:p>
    <w:p>
      <w:pPr>
        <w:spacing w:line="316" w:lineRule="auto" w:before="76"/>
        <w:ind w:left="1175" w:right="-20" w:firstLine="0"/>
        <w:jc w:val="left"/>
        <w:rPr>
          <w:rFonts w:ascii="宋体" w:hAnsi="宋体" w:cs="宋体" w:eastAsia="宋体" w:hint="default"/>
          <w:sz w:val="18"/>
          <w:szCs w:val="18"/>
        </w:rPr>
      </w:pPr>
      <w:r>
        <w:rPr>
          <w:rFonts w:ascii="宋体" w:hAnsi="宋体" w:cs="宋体" w:eastAsia="宋体" w:hint="default"/>
          <w:sz w:val="18"/>
          <w:szCs w:val="18"/>
        </w:rPr>
        <w:t>史兴领、陈</w:t>
      </w:r>
      <w:r>
        <w:rPr>
          <w:rFonts w:ascii="宋体" w:hAnsi="宋体" w:cs="宋体" w:eastAsia="宋体" w:hint="default"/>
          <w:spacing w:val="1"/>
          <w:sz w:val="18"/>
          <w:szCs w:val="18"/>
        </w:rPr>
        <w:t> </w:t>
      </w:r>
      <w:r>
        <w:rPr>
          <w:rFonts w:ascii="宋体" w:hAnsi="宋体" w:cs="宋体" w:eastAsia="宋体" w:hint="default"/>
          <w:sz w:val="18"/>
          <w:szCs w:val="18"/>
        </w:rPr>
        <w:t>承诺</w:t>
      </w:r>
      <w:r>
        <w:rPr>
          <w:rFonts w:ascii="宋体" w:hAnsi="宋体" w:cs="宋体" w:eastAsia="宋体" w:hint="default"/>
          <w:sz w:val="18"/>
          <w:szCs w:val="18"/>
        </w:rPr>
        <w:t> 学祥、张起</w:t>
      </w:r>
    </w:p>
    <w:p>
      <w:pPr>
        <w:spacing w:before="19"/>
        <w:ind w:left="975" w:right="971" w:firstLine="0"/>
        <w:jc w:val="center"/>
        <w:rPr>
          <w:rFonts w:ascii="宋体" w:hAnsi="宋体" w:cs="宋体" w:eastAsia="宋体" w:hint="default"/>
          <w:sz w:val="18"/>
          <w:szCs w:val="18"/>
        </w:rPr>
      </w:pPr>
      <w:r>
        <w:rPr>
          <w:rFonts w:ascii="宋体" w:hAnsi="宋体" w:cs="宋体" w:eastAsia="宋体" w:hint="default"/>
          <w:sz w:val="18"/>
          <w:szCs w:val="18"/>
        </w:rPr>
        <w:t>云</w:t>
      </w:r>
    </w:p>
    <w:p>
      <w:pPr>
        <w:spacing w:before="76"/>
        <w:ind w:left="45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新能资金。</w:t>
      </w:r>
    </w:p>
    <w:p>
      <w:pPr>
        <w:spacing w:line="170" w:lineRule="exact" w:before="0"/>
        <w:ind w:left="1175"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886" w:val="left" w:leader="none"/>
        </w:tabs>
        <w:spacing w:line="170" w:lineRule="exact" w:before="0"/>
        <w:ind w:left="17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-31</w:t>
        <w:tab/>
      </w:r>
      <w:r>
        <w:rPr>
          <w:rFonts w:ascii="宋体" w:hAnsi="宋体" w:cs="宋体" w:eastAsia="宋体" w:hint="default"/>
          <w:sz w:val="18"/>
          <w:szCs w:val="18"/>
        </w:rPr>
        <w:t>行中</w:t>
      </w:r>
    </w:p>
    <w:p>
      <w:pPr>
        <w:spacing w:after="0" w:line="170" w:lineRule="exact"/>
        <w:jc w:val="left"/>
        <w:rPr>
          <w:rFonts w:ascii="宋体" w:hAnsi="宋体" w:cs="宋体" w:eastAsia="宋体" w:hint="default"/>
          <w:sz w:val="18"/>
          <w:szCs w:val="18"/>
        </w:rPr>
        <w:sectPr>
          <w:type w:val="continuous"/>
          <w:pgSz w:w="11910" w:h="16840"/>
          <w:pgMar w:top="1200" w:bottom="1160" w:left="980" w:right="0"/>
          <w:cols w:num="4" w:equalWidth="0">
            <w:col w:w="2527" w:space="40"/>
            <w:col w:w="1351" w:space="2461"/>
            <w:col w:w="1810" w:space="40"/>
            <w:col w:w="2701"/>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20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4" w:lineRule="auto" w:before="118"/>
        <w:ind w:left="1175" w:right="-20" w:firstLine="0"/>
        <w:jc w:val="left"/>
        <w:rPr>
          <w:rFonts w:ascii="宋体" w:hAnsi="宋体" w:cs="宋体" w:eastAsia="宋体" w:hint="default"/>
          <w:sz w:val="18"/>
          <w:szCs w:val="18"/>
        </w:rPr>
      </w:pPr>
      <w:r>
        <w:rPr>
          <w:rFonts w:ascii="宋体" w:hAnsi="宋体" w:cs="宋体" w:eastAsia="宋体" w:hint="default"/>
          <w:sz w:val="18"/>
          <w:szCs w:val="18"/>
        </w:rPr>
        <w:t>孙路、贵博 投资、董先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line="310" w:lineRule="atLeast" w:before="0"/>
        <w:ind w:left="51" w:right="-20" w:firstLine="0"/>
        <w:jc w:val="left"/>
        <w:rPr>
          <w:rFonts w:ascii="宋体" w:hAnsi="宋体" w:cs="宋体" w:eastAsia="宋体" w:hint="default"/>
          <w:sz w:val="18"/>
          <w:szCs w:val="18"/>
        </w:rPr>
      </w:pPr>
      <w:r>
        <w:rPr>
          <w:rFonts w:ascii="宋体" w:hAnsi="宋体" w:cs="宋体" w:eastAsia="宋体" w:hint="default"/>
          <w:sz w:val="18"/>
          <w:szCs w:val="18"/>
        </w:rPr>
        <w:t>关于交易 标的出</w:t>
      </w:r>
    </w:p>
    <w:p>
      <w:pPr>
        <w:spacing w:line="316" w:lineRule="auto" w:before="44"/>
        <w:ind w:left="90" w:right="3426" w:firstLine="0"/>
        <w:jc w:val="both"/>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承诺人拥有贵博新能股权完整的所有权，依法拥有贵博新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能股权有效的占有、使用、收益及处分权；上述股权权属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清晰，不存在委托持股、信托持股、其他协议安排或利益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输送情况以及其他任何为第三方代持股权的情形，没有设</w:t>
      </w:r>
    </w:p>
    <w:p>
      <w:pPr>
        <w:spacing w:line="212" w:lineRule="exact" w:before="19"/>
        <w:ind w:left="90" w:right="0" w:firstLine="0"/>
        <w:jc w:val="both"/>
        <w:rPr>
          <w:rFonts w:ascii="宋体" w:hAnsi="宋体" w:cs="宋体" w:eastAsia="宋体" w:hint="default"/>
          <w:sz w:val="18"/>
          <w:szCs w:val="18"/>
        </w:rPr>
      </w:pPr>
      <w:r>
        <w:rPr>
          <w:rFonts w:ascii="宋体" w:hAnsi="宋体" w:cs="宋体" w:eastAsia="宋体" w:hint="default"/>
          <w:sz w:val="18"/>
          <w:szCs w:val="18"/>
        </w:rPr>
        <w:t>置抵押、质押、留置等任何担保权益，也不存在任何可能</w:t>
      </w:r>
    </w:p>
    <w:p>
      <w:pPr>
        <w:spacing w:after="0" w:line="212" w:lineRule="exact"/>
        <w:jc w:val="both"/>
        <w:rPr>
          <w:rFonts w:ascii="宋体" w:hAnsi="宋体" w:cs="宋体" w:eastAsia="宋体" w:hint="default"/>
          <w:sz w:val="18"/>
          <w:szCs w:val="18"/>
        </w:rPr>
        <w:sectPr>
          <w:type w:val="continuous"/>
          <w:pgSz w:w="11910" w:h="16840"/>
          <w:pgMar w:top="1200" w:bottom="1160" w:left="980" w:right="0"/>
          <w:cols w:num="3" w:equalWidth="0">
            <w:col w:w="2076" w:space="40"/>
            <w:col w:w="772" w:space="40"/>
            <w:col w:w="8002"/>
          </w:cols>
        </w:sectPr>
      </w:pPr>
    </w:p>
    <w:p>
      <w:pPr>
        <w:spacing w:line="117" w:lineRule="exact" w:before="0"/>
        <w:ind w:left="1175" w:right="-19" w:firstLine="0"/>
        <w:jc w:val="left"/>
        <w:rPr>
          <w:rFonts w:ascii="宋体" w:hAnsi="宋体" w:cs="宋体" w:eastAsia="宋体" w:hint="default"/>
          <w:sz w:val="18"/>
          <w:szCs w:val="18"/>
        </w:rPr>
      </w:pPr>
      <w:r>
        <w:rPr>
          <w:rFonts w:ascii="宋体" w:hAnsi="宋体" w:cs="宋体" w:eastAsia="宋体" w:hint="default"/>
          <w:spacing w:val="-10"/>
          <w:sz w:val="18"/>
          <w:szCs w:val="18"/>
        </w:rPr>
        <w:t>权、徐根义、</w:t>
      </w: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资、股权</w:t>
      </w:r>
    </w:p>
    <w:p>
      <w:pPr>
        <w:spacing w:line="209" w:lineRule="exact" w:before="79"/>
        <w:ind w:left="90" w:right="-1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导致上述股权被有关司法机关或行政机关查封、冻结、征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9999-12</w:t>
      </w:r>
    </w:p>
    <w:p>
      <w:pPr>
        <w:spacing w:line="209" w:lineRule="exact" w:before="79"/>
        <w:ind w:left="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正常履</w:t>
      </w:r>
    </w:p>
    <w:p>
      <w:pPr>
        <w:spacing w:after="0" w:line="209" w:lineRule="exact"/>
        <w:jc w:val="left"/>
        <w:rPr>
          <w:rFonts w:ascii="宋体" w:hAnsi="宋体" w:cs="宋体" w:eastAsia="宋体" w:hint="default"/>
          <w:sz w:val="18"/>
          <w:szCs w:val="18"/>
        </w:rPr>
        <w:sectPr>
          <w:type w:val="continuous"/>
          <w:pgSz w:w="11910" w:h="16840"/>
          <w:pgMar w:top="1200" w:bottom="1160" w:left="980" w:right="0"/>
          <w:cols w:num="3" w:equalWidth="0">
            <w:col w:w="2887" w:space="40"/>
            <w:col w:w="6082" w:space="40"/>
            <w:col w:w="1881"/>
          </w:cols>
        </w:sectPr>
      </w:pPr>
    </w:p>
    <w:p>
      <w:pPr>
        <w:spacing w:line="180" w:lineRule="exact" w:before="0"/>
        <w:ind w:left="1175" w:right="0" w:firstLine="0"/>
        <w:jc w:val="both"/>
        <w:rPr>
          <w:rFonts w:ascii="宋体" w:hAnsi="宋体" w:cs="宋体" w:eastAsia="宋体" w:hint="default"/>
          <w:sz w:val="18"/>
          <w:szCs w:val="18"/>
        </w:rPr>
      </w:pPr>
      <w:r>
        <w:rPr>
          <w:rFonts w:ascii="宋体" w:hAnsi="宋体" w:cs="宋体" w:eastAsia="宋体" w:hint="default"/>
          <w:sz w:val="18"/>
          <w:szCs w:val="18"/>
        </w:rPr>
        <w:t>紫煦投资、</w:t>
      </w:r>
    </w:p>
    <w:p>
      <w:pPr>
        <w:spacing w:line="316" w:lineRule="auto" w:before="76"/>
        <w:ind w:left="1175" w:right="0" w:firstLine="0"/>
        <w:jc w:val="both"/>
        <w:rPr>
          <w:rFonts w:ascii="宋体" w:hAnsi="宋体" w:cs="宋体" w:eastAsia="宋体" w:hint="default"/>
          <w:sz w:val="18"/>
          <w:szCs w:val="18"/>
        </w:rPr>
      </w:pPr>
      <w:r>
        <w:rPr>
          <w:rFonts w:ascii="宋体" w:hAnsi="宋体" w:cs="宋体" w:eastAsia="宋体" w:hint="default"/>
          <w:sz w:val="18"/>
          <w:szCs w:val="18"/>
        </w:rPr>
        <w:t>史兴领、陈 学祥、张起 云</w:t>
      </w:r>
    </w:p>
    <w:p>
      <w:pPr>
        <w:spacing w:line="316" w:lineRule="auto" w:before="100"/>
        <w:ind w:left="5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无瑕疵及 合法存续 的承诺</w:t>
      </w:r>
    </w:p>
    <w:p>
      <w:pPr>
        <w:spacing w:line="314" w:lineRule="auto" w:before="100"/>
        <w:ind w:left="90"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用或限制转让的未决或潜在的诉讼、仲裁以及任何其他行</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 政或司法程序，股权过户或转移不存在法律障碍。承诺人 已履行了《安徽贵博新能科技有限公司章程》规定的全额 出资义务，全部缴足了注册资本，不存在出资不实以及其 他影响其合法存续的情况。如因本公司出资或股权瑕疵而 导致科大国创产生任何损失由本承诺人承担。</w:t>
      </w:r>
    </w:p>
    <w:p>
      <w:pPr>
        <w:tabs>
          <w:tab w:pos="886" w:val="left" w:leader="none"/>
        </w:tabs>
        <w:spacing w:before="100"/>
        <w:ind w:left="17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-31</w:t>
        <w:tab/>
      </w:r>
      <w:r>
        <w:rPr>
          <w:rFonts w:ascii="宋体" w:hAnsi="宋体" w:cs="宋体" w:eastAsia="宋体" w:hint="default"/>
          <w:sz w:val="18"/>
          <w:szCs w:val="18"/>
        </w:rPr>
        <w:t>行中</w:t>
      </w:r>
    </w:p>
    <w:p>
      <w:pPr>
        <w:spacing w:after="0"/>
        <w:jc w:val="left"/>
        <w:rPr>
          <w:rFonts w:ascii="宋体" w:hAnsi="宋体" w:cs="宋体" w:eastAsia="宋体" w:hint="default"/>
          <w:sz w:val="18"/>
          <w:szCs w:val="18"/>
        </w:rPr>
        <w:sectPr>
          <w:type w:val="continuous"/>
          <w:pgSz w:w="11910" w:h="16840"/>
          <w:pgMar w:top="1200" w:bottom="1160" w:left="980" w:right="0"/>
          <w:cols w:num="4" w:equalWidth="0">
            <w:col w:w="2076" w:space="40"/>
            <w:col w:w="772" w:space="40"/>
            <w:col w:w="5261" w:space="40"/>
            <w:col w:w="2701"/>
          </w:cols>
        </w:sectPr>
      </w:pPr>
    </w:p>
    <w:p>
      <w:pPr>
        <w:spacing w:line="316" w:lineRule="auto" w:before="112"/>
        <w:ind w:left="1175" w:right="-20" w:firstLine="0"/>
        <w:jc w:val="left"/>
        <w:rPr>
          <w:rFonts w:ascii="宋体" w:hAnsi="宋体" w:cs="宋体" w:eastAsia="宋体" w:hint="default"/>
          <w:sz w:val="18"/>
          <w:szCs w:val="18"/>
        </w:rPr>
      </w:pPr>
      <w:r>
        <w:rPr>
          <w:rFonts w:ascii="宋体" w:hAnsi="宋体" w:cs="宋体" w:eastAsia="宋体" w:hint="default"/>
          <w:sz w:val="18"/>
          <w:szCs w:val="18"/>
        </w:rPr>
        <w:t>孙路、贵博 投资、董先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6"/>
          <w:szCs w:val="26"/>
        </w:rPr>
      </w:pPr>
    </w:p>
    <w:p>
      <w:pPr>
        <w:spacing w:line="212" w:lineRule="exact" w:before="0"/>
        <w:ind w:left="51" w:right="0" w:firstLine="0"/>
        <w:jc w:val="left"/>
        <w:rPr>
          <w:rFonts w:ascii="宋体" w:hAnsi="宋体" w:cs="宋体" w:eastAsia="宋体" w:hint="default"/>
          <w:sz w:val="18"/>
          <w:szCs w:val="18"/>
        </w:rPr>
      </w:pPr>
      <w:r>
        <w:rPr>
          <w:rFonts w:ascii="宋体" w:hAnsi="宋体" w:cs="宋体" w:eastAsia="宋体" w:hint="default"/>
          <w:sz w:val="18"/>
          <w:szCs w:val="18"/>
        </w:rPr>
        <w:t>不谋求上</w:t>
      </w:r>
    </w:p>
    <w:p>
      <w:pPr>
        <w:spacing w:after="0" w:line="212" w:lineRule="exact"/>
        <w:jc w:val="left"/>
        <w:rPr>
          <w:rFonts w:ascii="宋体" w:hAnsi="宋体" w:cs="宋体" w:eastAsia="宋体" w:hint="default"/>
          <w:sz w:val="18"/>
          <w:szCs w:val="18"/>
        </w:rPr>
        <w:sectPr>
          <w:type w:val="continuous"/>
          <w:pgSz w:w="11910" w:h="16840"/>
          <w:pgMar w:top="1200" w:bottom="1160" w:left="980" w:right="0"/>
          <w:cols w:num="2" w:equalWidth="0">
            <w:col w:w="2076" w:space="40"/>
            <w:col w:w="8814"/>
          </w:cols>
        </w:sectPr>
      </w:pPr>
    </w:p>
    <w:p>
      <w:pPr>
        <w:spacing w:line="140" w:lineRule="exact" w:before="0"/>
        <w:ind w:left="1175" w:right="-19" w:firstLine="0"/>
        <w:jc w:val="left"/>
        <w:rPr>
          <w:rFonts w:ascii="宋体" w:hAnsi="宋体" w:cs="宋体" w:eastAsia="宋体" w:hint="default"/>
          <w:sz w:val="18"/>
          <w:szCs w:val="18"/>
        </w:rPr>
      </w:pPr>
      <w:r>
        <w:rPr>
          <w:rFonts w:ascii="宋体" w:hAnsi="宋体" w:cs="宋体" w:eastAsia="宋体" w:hint="default"/>
          <w:spacing w:val="-10"/>
          <w:sz w:val="18"/>
          <w:szCs w:val="18"/>
        </w:rPr>
        <w:t>权、徐根义、</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市公司控</w:t>
      </w:r>
    </w:p>
    <w:p>
      <w:pPr>
        <w:spacing w:line="172" w:lineRule="exact" w:before="0"/>
        <w:ind w:left="1175" w:right="-19" w:firstLine="0"/>
        <w:jc w:val="left"/>
        <w:rPr>
          <w:rFonts w:ascii="宋体" w:hAnsi="宋体" w:cs="宋体" w:eastAsia="宋体" w:hint="default"/>
          <w:sz w:val="18"/>
          <w:szCs w:val="18"/>
        </w:rPr>
      </w:pPr>
      <w:r>
        <w:rPr>
          <w:rFonts w:ascii="宋体" w:hAnsi="宋体" w:cs="宋体" w:eastAsia="宋体" w:hint="default"/>
          <w:sz w:val="18"/>
          <w:szCs w:val="18"/>
        </w:rPr>
        <w:t>紫煦投资、</w:t>
      </w:r>
    </w:p>
    <w:p>
      <w:pPr>
        <w:spacing w:line="180" w:lineRule="exact" w:before="0"/>
        <w:ind w:left="90" w:right="-15"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承诺人作为本次交易的交易对方之一，保证在本次交易完</w:t>
      </w:r>
    </w:p>
    <w:p>
      <w:pPr>
        <w:spacing w:line="212" w:lineRule="exact" w:before="77"/>
        <w:ind w:left="90" w:right="-15" w:firstLine="0"/>
        <w:jc w:val="left"/>
        <w:rPr>
          <w:rFonts w:ascii="宋体" w:hAnsi="宋体" w:cs="宋体" w:eastAsia="宋体" w:hint="default"/>
          <w:sz w:val="18"/>
          <w:szCs w:val="18"/>
        </w:rPr>
      </w:pPr>
      <w:r>
        <w:rPr>
          <w:rFonts w:ascii="宋体" w:hAnsi="宋体" w:cs="宋体" w:eastAsia="宋体" w:hint="default"/>
          <w:spacing w:val="-1"/>
          <w:sz w:val="18"/>
          <w:szCs w:val="18"/>
        </w:rPr>
        <w:t>成后，不主动单独或联合他人谋求科大国创的第一大股东</w:t>
      </w:r>
    </w:p>
    <w:p>
      <w:pPr>
        <w:spacing w:before="100"/>
        <w:ind w:left="16" w:right="-14"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9999-12</w:t>
      </w:r>
    </w:p>
    <w:p>
      <w:pPr>
        <w:spacing w:before="100"/>
        <w:ind w:left="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正常履</w:t>
      </w:r>
    </w:p>
    <w:p>
      <w:pPr>
        <w:spacing w:after="0"/>
        <w:jc w:val="left"/>
        <w:rPr>
          <w:rFonts w:ascii="宋体" w:hAnsi="宋体" w:cs="宋体" w:eastAsia="宋体" w:hint="default"/>
          <w:sz w:val="18"/>
          <w:szCs w:val="18"/>
        </w:rPr>
        <w:sectPr>
          <w:type w:val="continuous"/>
          <w:pgSz w:w="11910" w:h="16840"/>
          <w:pgMar w:top="1200" w:bottom="1160" w:left="980" w:right="0"/>
          <w:cols w:num="4" w:equalWidth="0">
            <w:col w:w="2887" w:space="40"/>
            <w:col w:w="4571" w:space="40"/>
            <w:col w:w="1471" w:space="40"/>
            <w:col w:w="1881"/>
          </w:cols>
        </w:sectPr>
      </w:pPr>
    </w:p>
    <w:p>
      <w:pPr>
        <w:spacing w:line="316" w:lineRule="auto" w:before="100"/>
        <w:ind w:left="1175" w:right="0" w:firstLine="0"/>
        <w:jc w:val="both"/>
        <w:rPr>
          <w:rFonts w:ascii="宋体" w:hAnsi="宋体" w:cs="宋体" w:eastAsia="宋体" w:hint="default"/>
          <w:sz w:val="18"/>
          <w:szCs w:val="18"/>
        </w:rPr>
      </w:pPr>
      <w:r>
        <w:rPr>
          <w:rFonts w:ascii="宋体" w:hAnsi="宋体" w:cs="宋体" w:eastAsia="宋体" w:hint="default"/>
          <w:sz w:val="18"/>
          <w:szCs w:val="18"/>
        </w:rPr>
        <w:t>史兴领、陈 学祥、张起 云</w:t>
      </w:r>
    </w:p>
    <w:p>
      <w:pPr>
        <w:spacing w:line="180" w:lineRule="exact" w:before="0"/>
        <w:ind w:left="5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制权的承</w:t>
      </w:r>
    </w:p>
    <w:p>
      <w:pPr>
        <w:spacing w:before="76"/>
        <w:ind w:left="51" w:right="-20" w:firstLine="0"/>
        <w:jc w:val="left"/>
        <w:rPr>
          <w:rFonts w:ascii="宋体" w:hAnsi="宋体" w:cs="宋体" w:eastAsia="宋体" w:hint="default"/>
          <w:sz w:val="18"/>
          <w:szCs w:val="18"/>
        </w:rPr>
      </w:pPr>
      <w:r>
        <w:rPr>
          <w:rFonts w:ascii="宋体" w:hAnsi="宋体" w:cs="宋体" w:eastAsia="宋体" w:hint="default"/>
          <w:sz w:val="18"/>
          <w:szCs w:val="18"/>
        </w:rPr>
        <w:t>诺</w:t>
      </w:r>
    </w:p>
    <w:p>
      <w:pPr>
        <w:spacing w:before="100"/>
        <w:ind w:left="9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地位或实际控制人地位。</w:t>
      </w:r>
    </w:p>
    <w:p>
      <w:pPr>
        <w:spacing w:line="194" w:lineRule="exact" w:before="0"/>
        <w:ind w:left="1175"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886" w:val="left" w:leader="none"/>
        </w:tabs>
        <w:spacing w:line="194" w:lineRule="exact" w:before="0"/>
        <w:ind w:left="17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-31</w:t>
        <w:tab/>
      </w:r>
      <w:r>
        <w:rPr>
          <w:rFonts w:ascii="宋体" w:hAnsi="宋体" w:cs="宋体" w:eastAsia="宋体" w:hint="default"/>
          <w:sz w:val="18"/>
          <w:szCs w:val="18"/>
        </w:rPr>
        <w:t>行中</w:t>
      </w:r>
    </w:p>
    <w:p>
      <w:pPr>
        <w:spacing w:after="0" w:line="194" w:lineRule="exact"/>
        <w:jc w:val="left"/>
        <w:rPr>
          <w:rFonts w:ascii="宋体" w:hAnsi="宋体" w:cs="宋体" w:eastAsia="宋体" w:hint="default"/>
          <w:sz w:val="18"/>
          <w:szCs w:val="18"/>
        </w:rPr>
        <w:sectPr>
          <w:type w:val="continuous"/>
          <w:pgSz w:w="11910" w:h="16840"/>
          <w:pgMar w:top="1200" w:bottom="1160" w:left="980" w:right="0"/>
          <w:cols w:num="5" w:equalWidth="0">
            <w:col w:w="2076" w:space="40"/>
            <w:col w:w="772" w:space="40"/>
            <w:col w:w="2071" w:space="1381"/>
            <w:col w:w="1810" w:space="40"/>
            <w:col w:w="2700"/>
          </w:cols>
        </w:sectPr>
      </w:pPr>
    </w:p>
    <w:p>
      <w:pPr>
        <w:spacing w:line="314" w:lineRule="auto" w:before="110"/>
        <w:ind w:left="1175" w:right="-20" w:firstLine="0"/>
        <w:jc w:val="left"/>
        <w:rPr>
          <w:rFonts w:ascii="宋体" w:hAnsi="宋体" w:cs="宋体" w:eastAsia="宋体" w:hint="default"/>
          <w:sz w:val="18"/>
          <w:szCs w:val="18"/>
        </w:rPr>
      </w:pPr>
      <w:r>
        <w:rPr>
          <w:rFonts w:ascii="宋体" w:hAnsi="宋体" w:cs="宋体" w:eastAsia="宋体" w:hint="default"/>
          <w:sz w:val="18"/>
          <w:szCs w:val="18"/>
        </w:rPr>
        <w:t>孙路、贵博 投资、董先</w:t>
      </w:r>
    </w:p>
    <w:p>
      <w:pPr>
        <w:spacing w:line="240" w:lineRule="auto" w:before="8"/>
        <w:rPr>
          <w:rFonts w:ascii="宋体" w:hAnsi="宋体" w:cs="宋体" w:eastAsia="宋体" w:hint="default"/>
          <w:sz w:val="14"/>
          <w:szCs w:val="14"/>
        </w:rPr>
      </w:pPr>
      <w:r>
        <w:rPr/>
        <w:br w:type="column"/>
      </w:r>
      <w:r>
        <w:rPr>
          <w:rFonts w:ascii="宋体"/>
          <w:sz w:val="14"/>
        </w:rPr>
      </w:r>
    </w:p>
    <w:p>
      <w:pPr>
        <w:spacing w:line="310" w:lineRule="atLeast" w:before="0"/>
        <w:ind w:left="51" w:right="8019" w:firstLine="0"/>
        <w:jc w:val="left"/>
        <w:rPr>
          <w:rFonts w:ascii="宋体" w:hAnsi="宋体" w:cs="宋体" w:eastAsia="宋体" w:hint="default"/>
          <w:sz w:val="18"/>
          <w:szCs w:val="18"/>
        </w:rPr>
      </w:pPr>
      <w:r>
        <w:rPr>
          <w:rFonts w:ascii="宋体" w:hAnsi="宋体" w:cs="宋体" w:eastAsia="宋体" w:hint="default"/>
          <w:sz w:val="18"/>
          <w:szCs w:val="18"/>
        </w:rPr>
        <w:t>关于不参 与募集配</w:t>
      </w:r>
    </w:p>
    <w:p>
      <w:pPr>
        <w:spacing w:after="0" w:line="310" w:lineRule="atLeast"/>
        <w:jc w:val="left"/>
        <w:rPr>
          <w:rFonts w:ascii="宋体" w:hAnsi="宋体" w:cs="宋体" w:eastAsia="宋体" w:hint="default"/>
          <w:sz w:val="18"/>
          <w:szCs w:val="18"/>
        </w:rPr>
        <w:sectPr>
          <w:type w:val="continuous"/>
          <w:pgSz w:w="11910" w:h="16840"/>
          <w:pgMar w:top="1200" w:bottom="1160" w:left="980" w:right="0"/>
          <w:cols w:num="2" w:equalWidth="0">
            <w:col w:w="2076" w:space="40"/>
            <w:col w:w="8814"/>
          </w:cols>
        </w:sectPr>
      </w:pPr>
    </w:p>
    <w:p>
      <w:pPr>
        <w:spacing w:line="116" w:lineRule="exact" w:before="0"/>
        <w:ind w:left="1175" w:right="-19" w:firstLine="0"/>
        <w:jc w:val="left"/>
        <w:rPr>
          <w:rFonts w:ascii="宋体" w:hAnsi="宋体" w:cs="宋体" w:eastAsia="宋体" w:hint="default"/>
          <w:sz w:val="18"/>
          <w:szCs w:val="18"/>
        </w:rPr>
      </w:pPr>
      <w:r>
        <w:rPr>
          <w:rFonts w:ascii="宋体" w:hAnsi="宋体" w:cs="宋体" w:eastAsia="宋体" w:hint="default"/>
          <w:spacing w:val="-10"/>
          <w:sz w:val="18"/>
          <w:szCs w:val="18"/>
        </w:rPr>
        <w:t>权、徐根义、</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套资金所</w:t>
      </w:r>
    </w:p>
    <w:p>
      <w:pPr>
        <w:spacing w:line="172" w:lineRule="exact" w:before="0"/>
        <w:ind w:left="1175" w:right="-19" w:firstLine="0"/>
        <w:jc w:val="left"/>
        <w:rPr>
          <w:rFonts w:ascii="宋体" w:hAnsi="宋体" w:cs="宋体" w:eastAsia="宋体" w:hint="default"/>
          <w:sz w:val="18"/>
          <w:szCs w:val="18"/>
        </w:rPr>
      </w:pPr>
      <w:r>
        <w:rPr>
          <w:rFonts w:ascii="宋体" w:hAnsi="宋体" w:cs="宋体" w:eastAsia="宋体" w:hint="default"/>
          <w:sz w:val="18"/>
          <w:szCs w:val="18"/>
        </w:rPr>
        <w:t>紫煦投资、</w:t>
      </w:r>
    </w:p>
    <w:p>
      <w:pPr>
        <w:spacing w:line="158" w:lineRule="exact" w:before="0"/>
        <w:ind w:left="90" w:right="-14"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承诺人作为本次交易的交易对方之一，现承诺：承诺人及</w:t>
      </w:r>
    </w:p>
    <w:p>
      <w:pPr>
        <w:spacing w:line="212" w:lineRule="exact" w:before="74"/>
        <w:ind w:left="90" w:right="-14" w:firstLine="0"/>
        <w:jc w:val="left"/>
        <w:rPr>
          <w:rFonts w:ascii="宋体" w:hAnsi="宋体" w:cs="宋体" w:eastAsia="宋体" w:hint="default"/>
          <w:sz w:val="18"/>
          <w:szCs w:val="18"/>
        </w:rPr>
      </w:pPr>
      <w:r>
        <w:rPr>
          <w:rFonts w:ascii="宋体" w:hAnsi="宋体" w:cs="宋体" w:eastAsia="宋体" w:hint="default"/>
          <w:spacing w:val="-1"/>
          <w:sz w:val="18"/>
          <w:szCs w:val="18"/>
        </w:rPr>
        <w:t>关联方不认购本次配套募集资金发行股份，且在本次交易</w:t>
      </w:r>
    </w:p>
    <w:p>
      <w:pPr>
        <w:spacing w:before="79"/>
        <w:ind w:left="16" w:right="-14"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2020-01</w:t>
      </w:r>
    </w:p>
    <w:p>
      <w:pPr>
        <w:spacing w:before="79"/>
        <w:ind w:left="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履行完</w:t>
      </w:r>
    </w:p>
    <w:p>
      <w:pPr>
        <w:spacing w:after="0"/>
        <w:jc w:val="left"/>
        <w:rPr>
          <w:rFonts w:ascii="宋体" w:hAnsi="宋体" w:cs="宋体" w:eastAsia="宋体" w:hint="default"/>
          <w:sz w:val="18"/>
          <w:szCs w:val="18"/>
        </w:rPr>
        <w:sectPr>
          <w:type w:val="continuous"/>
          <w:pgSz w:w="11910" w:h="16840"/>
          <w:pgMar w:top="1200" w:bottom="1160" w:left="980" w:right="0"/>
          <w:cols w:num="4" w:equalWidth="0">
            <w:col w:w="2887" w:space="40"/>
            <w:col w:w="4572" w:space="40"/>
            <w:col w:w="1471" w:space="40"/>
            <w:col w:w="1880"/>
          </w:cols>
        </w:sectPr>
      </w:pPr>
    </w:p>
    <w:p>
      <w:pPr>
        <w:spacing w:line="316" w:lineRule="auto" w:before="100"/>
        <w:ind w:left="1175" w:right="0" w:firstLine="0"/>
        <w:jc w:val="both"/>
        <w:rPr>
          <w:rFonts w:ascii="宋体" w:hAnsi="宋体" w:cs="宋体" w:eastAsia="宋体" w:hint="default"/>
          <w:sz w:val="18"/>
          <w:szCs w:val="18"/>
        </w:rPr>
      </w:pPr>
      <w:r>
        <w:rPr>
          <w:rFonts w:ascii="宋体" w:hAnsi="宋体" w:cs="宋体" w:eastAsia="宋体" w:hint="default"/>
          <w:sz w:val="18"/>
          <w:szCs w:val="18"/>
        </w:rPr>
        <w:t>史兴领、陈 学祥、张起 云</w:t>
      </w:r>
    </w:p>
    <w:p>
      <w:pPr>
        <w:spacing w:line="180" w:lineRule="exact" w:before="0"/>
        <w:ind w:left="5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发行股份</w:t>
      </w:r>
    </w:p>
    <w:p>
      <w:pPr>
        <w:spacing w:line="316" w:lineRule="auto" w:before="76"/>
        <w:ind w:left="51" w:right="-20" w:firstLine="0"/>
        <w:jc w:val="left"/>
        <w:rPr>
          <w:rFonts w:ascii="宋体" w:hAnsi="宋体" w:cs="宋体" w:eastAsia="宋体" w:hint="default"/>
          <w:sz w:val="18"/>
          <w:szCs w:val="18"/>
        </w:rPr>
      </w:pPr>
      <w:r>
        <w:rPr>
          <w:rFonts w:ascii="宋体" w:hAnsi="宋体" w:cs="宋体" w:eastAsia="宋体" w:hint="default"/>
          <w:sz w:val="18"/>
          <w:szCs w:val="18"/>
        </w:rPr>
        <w:t>认购的承 诺</w:t>
      </w:r>
    </w:p>
    <w:p>
      <w:pPr>
        <w:spacing w:before="100"/>
        <w:ind w:left="90"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个月内没有增持科大国创股票的计划。</w:t>
      </w:r>
    </w:p>
    <w:p>
      <w:pPr>
        <w:spacing w:line="194" w:lineRule="exact" w:before="0"/>
        <w:ind w:left="625"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886" w:val="left" w:leader="none"/>
        </w:tabs>
        <w:spacing w:line="194" w:lineRule="exact" w:before="0"/>
        <w:ind w:left="17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-10</w:t>
        <w:tab/>
      </w:r>
      <w:r>
        <w:rPr>
          <w:rFonts w:ascii="宋体" w:hAnsi="宋体" w:cs="宋体" w:eastAsia="宋体" w:hint="default"/>
          <w:sz w:val="18"/>
          <w:szCs w:val="18"/>
        </w:rPr>
        <w:t>毕</w:t>
      </w:r>
    </w:p>
    <w:p>
      <w:pPr>
        <w:spacing w:after="0" w:line="194" w:lineRule="exact"/>
        <w:jc w:val="left"/>
        <w:rPr>
          <w:rFonts w:ascii="宋体" w:hAnsi="宋体" w:cs="宋体" w:eastAsia="宋体" w:hint="default"/>
          <w:sz w:val="18"/>
          <w:szCs w:val="18"/>
        </w:rPr>
        <w:sectPr>
          <w:type w:val="continuous"/>
          <w:pgSz w:w="11910" w:h="16840"/>
          <w:pgMar w:top="1200" w:bottom="1160" w:left="980" w:right="0"/>
          <w:cols w:num="5" w:equalWidth="0">
            <w:col w:w="2076" w:space="40"/>
            <w:col w:w="772" w:space="40"/>
            <w:col w:w="3962" w:space="40"/>
            <w:col w:w="1260" w:space="40"/>
            <w:col w:w="2700"/>
          </w:cols>
        </w:sectPr>
      </w:pPr>
    </w:p>
    <w:p>
      <w:pPr>
        <w:spacing w:line="316" w:lineRule="auto" w:before="110"/>
        <w:ind w:left="1175" w:right="-17" w:firstLine="0"/>
        <w:jc w:val="left"/>
        <w:rPr>
          <w:rFonts w:ascii="宋体" w:hAnsi="宋体" w:cs="宋体" w:eastAsia="宋体" w:hint="default"/>
          <w:sz w:val="18"/>
          <w:szCs w:val="18"/>
        </w:rPr>
      </w:pPr>
      <w:r>
        <w:rPr>
          <w:rFonts w:ascii="宋体" w:hAnsi="宋体" w:cs="宋体" w:eastAsia="宋体" w:hint="default"/>
          <w:sz w:val="18"/>
          <w:szCs w:val="18"/>
        </w:rPr>
        <w:t>孙路、</w:t>
      </w:r>
      <w:r>
        <w:rPr>
          <w:rFonts w:ascii="宋体" w:hAnsi="宋体" w:cs="宋体" w:eastAsia="宋体" w:hint="default"/>
          <w:spacing w:val="2"/>
          <w:sz w:val="18"/>
          <w:szCs w:val="18"/>
        </w:rPr>
        <w:t> </w:t>
      </w:r>
      <w:r>
        <w:rPr>
          <w:rFonts w:ascii="宋体" w:hAnsi="宋体" w:cs="宋体" w:eastAsia="宋体" w:hint="default"/>
          <w:sz w:val="18"/>
          <w:szCs w:val="18"/>
        </w:rPr>
        <w:t>董</w:t>
      </w:r>
      <w:r>
        <w:rPr>
          <w:rFonts w:ascii="宋体" w:hAnsi="宋体" w:cs="宋体" w:eastAsia="宋体" w:hint="default"/>
          <w:sz w:val="18"/>
          <w:szCs w:val="18"/>
        </w:rPr>
        <w:t> 先权、徐根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spacing w:line="212" w:lineRule="exact" w:before="0"/>
        <w:ind w:left="48" w:right="-20" w:firstLine="0"/>
        <w:jc w:val="left"/>
        <w:rPr>
          <w:rFonts w:ascii="宋体" w:hAnsi="宋体" w:cs="宋体" w:eastAsia="宋体" w:hint="default"/>
          <w:sz w:val="18"/>
          <w:szCs w:val="18"/>
        </w:rPr>
      </w:pPr>
      <w:r>
        <w:rPr>
          <w:rFonts w:ascii="宋体" w:hAnsi="宋体" w:cs="宋体" w:eastAsia="宋体" w:hint="default"/>
          <w:sz w:val="18"/>
          <w:szCs w:val="18"/>
        </w:rPr>
        <w:t>兼业禁止</w:t>
      </w:r>
    </w:p>
    <w:p>
      <w:pPr>
        <w:spacing w:line="316" w:lineRule="auto" w:before="110"/>
        <w:ind w:left="90" w:right="-15"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本人未经科大国创书面同意，不会在其他与贵博新能及科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大国创有竞争关系的任何单位兼职。如果本人违反上述承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spacing w:line="212" w:lineRule="exact" w:before="0"/>
        <w:ind w:left="16" w:right="-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9999-12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spacing w:line="212" w:lineRule="exact" w:before="0"/>
        <w:ind w:left="65" w:right="0" w:firstLine="0"/>
        <w:jc w:val="left"/>
        <w:rPr>
          <w:rFonts w:ascii="宋体" w:hAnsi="宋体" w:cs="宋体" w:eastAsia="宋体" w:hint="default"/>
          <w:sz w:val="18"/>
          <w:szCs w:val="18"/>
        </w:rPr>
      </w:pPr>
      <w:r>
        <w:rPr>
          <w:rFonts w:ascii="宋体" w:hAnsi="宋体" w:cs="宋体" w:eastAsia="宋体" w:hint="default"/>
          <w:sz w:val="18"/>
          <w:szCs w:val="18"/>
        </w:rPr>
        <w:t>正常履</w:t>
      </w:r>
    </w:p>
    <w:p>
      <w:pPr>
        <w:spacing w:after="0" w:line="212" w:lineRule="exact"/>
        <w:jc w:val="left"/>
        <w:rPr>
          <w:rFonts w:ascii="宋体" w:hAnsi="宋体" w:cs="宋体" w:eastAsia="宋体" w:hint="default"/>
          <w:sz w:val="18"/>
          <w:szCs w:val="18"/>
        </w:rPr>
        <w:sectPr>
          <w:type w:val="continuous"/>
          <w:pgSz w:w="11910" w:h="16840"/>
          <w:pgMar w:top="1200" w:bottom="1160" w:left="980" w:right="0"/>
          <w:cols w:num="5" w:equalWidth="0">
            <w:col w:w="2079" w:space="40"/>
            <w:col w:w="769" w:space="40"/>
            <w:col w:w="4571" w:space="40"/>
            <w:col w:w="1471" w:space="40"/>
            <w:col w:w="1880"/>
          </w:cols>
        </w:sectPr>
      </w:pPr>
    </w:p>
    <w:p>
      <w:pPr>
        <w:spacing w:line="140" w:lineRule="exact" w:before="0"/>
        <w:ind w:left="1175" w:right="-20" w:firstLine="0"/>
        <w:jc w:val="left"/>
        <w:rPr>
          <w:rFonts w:ascii="宋体" w:hAnsi="宋体" w:cs="宋体" w:eastAsia="宋体" w:hint="default"/>
          <w:sz w:val="18"/>
          <w:szCs w:val="18"/>
        </w:rPr>
      </w:pPr>
      <w:r>
        <w:rPr>
          <w:rFonts w:ascii="宋体" w:hAnsi="宋体" w:cs="宋体" w:eastAsia="宋体" w:hint="default"/>
          <w:spacing w:val="-10"/>
          <w:sz w:val="18"/>
          <w:szCs w:val="18"/>
        </w:rPr>
        <w:t>义、史兴领、</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承诺</w:t>
      </w:r>
    </w:p>
    <w:p>
      <w:pPr>
        <w:spacing w:line="196" w:lineRule="exact" w:before="0"/>
        <w:ind w:left="1175" w:right="-20" w:firstLine="0"/>
        <w:jc w:val="left"/>
        <w:rPr>
          <w:rFonts w:ascii="宋体" w:hAnsi="宋体" w:cs="宋体" w:eastAsia="宋体" w:hint="default"/>
          <w:sz w:val="18"/>
          <w:szCs w:val="18"/>
        </w:rPr>
      </w:pPr>
      <w:r>
        <w:rPr>
          <w:rFonts w:ascii="宋体" w:hAnsi="宋体" w:cs="宋体" w:eastAsia="宋体" w:hint="default"/>
          <w:sz w:val="18"/>
          <w:szCs w:val="18"/>
        </w:rPr>
        <w:t>陈学祥、张</w:t>
      </w:r>
    </w:p>
    <w:p>
      <w:pPr>
        <w:spacing w:before="76"/>
        <w:ind w:left="1155" w:right="971" w:firstLine="0"/>
        <w:jc w:val="center"/>
        <w:rPr>
          <w:rFonts w:ascii="宋体" w:hAnsi="宋体" w:cs="宋体" w:eastAsia="宋体" w:hint="default"/>
          <w:sz w:val="18"/>
          <w:szCs w:val="18"/>
        </w:rPr>
      </w:pPr>
      <w:r>
        <w:rPr>
          <w:rFonts w:ascii="宋体" w:hAnsi="宋体" w:cs="宋体" w:eastAsia="宋体" w:hint="default"/>
          <w:sz w:val="18"/>
          <w:szCs w:val="18"/>
        </w:rPr>
        <w:t>起云</w:t>
      </w:r>
    </w:p>
    <w:p>
      <w:pPr>
        <w:spacing w:line="180" w:lineRule="exact" w:before="0"/>
        <w:ind w:left="450" w:right="-12"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诺，相关所得归科大国创所有，并赔偿科大国创的全部损</w:t>
      </w:r>
    </w:p>
    <w:p>
      <w:pPr>
        <w:spacing w:line="300" w:lineRule="auto" w:before="76"/>
        <w:ind w:left="450" w:right="-18" w:firstLine="0"/>
        <w:jc w:val="left"/>
        <w:rPr>
          <w:rFonts w:ascii="宋体" w:hAnsi="宋体" w:cs="宋体" w:eastAsia="宋体" w:hint="default"/>
          <w:sz w:val="18"/>
          <w:szCs w:val="18"/>
        </w:rPr>
      </w:pPr>
      <w:r>
        <w:rPr>
          <w:rFonts w:ascii="宋体" w:hAnsi="宋体" w:cs="宋体" w:eastAsia="宋体" w:hint="default"/>
          <w:spacing w:val="-3"/>
          <w:sz w:val="18"/>
          <w:szCs w:val="18"/>
        </w:rPr>
        <w:t>失，同时将本次交易中所获对价的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作为违约金以现金 方式支付给科大国创。</w:t>
      </w:r>
    </w:p>
    <w:p>
      <w:pPr>
        <w:spacing w:before="100"/>
        <w:ind w:left="13"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886" w:val="left" w:leader="none"/>
        </w:tabs>
        <w:spacing w:before="100"/>
        <w:ind w:left="17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-31</w:t>
        <w:tab/>
      </w:r>
      <w:r>
        <w:rPr>
          <w:rFonts w:ascii="宋体" w:hAnsi="宋体" w:cs="宋体" w:eastAsia="宋体" w:hint="default"/>
          <w:sz w:val="18"/>
          <w:szCs w:val="18"/>
        </w:rPr>
        <w:t>行中</w:t>
      </w:r>
    </w:p>
    <w:p>
      <w:pPr>
        <w:spacing w:after="0"/>
        <w:jc w:val="left"/>
        <w:rPr>
          <w:rFonts w:ascii="宋体" w:hAnsi="宋体" w:cs="宋体" w:eastAsia="宋体" w:hint="default"/>
          <w:sz w:val="18"/>
          <w:szCs w:val="18"/>
        </w:rPr>
        <w:sectPr>
          <w:type w:val="continuous"/>
          <w:pgSz w:w="11910" w:h="16840"/>
          <w:pgMar w:top="1200" w:bottom="1160" w:left="980" w:right="0"/>
          <w:cols w:num="4" w:equalWidth="0">
            <w:col w:w="2527" w:space="40"/>
            <w:col w:w="4934" w:space="40"/>
            <w:col w:w="647" w:space="40"/>
            <w:col w:w="2702"/>
          </w:cols>
        </w:sectPr>
      </w:pPr>
    </w:p>
    <w:p>
      <w:pPr>
        <w:spacing w:line="240" w:lineRule="auto" w:before="4"/>
        <w:rPr>
          <w:rFonts w:ascii="宋体" w:hAnsi="宋体" w:cs="宋体" w:eastAsia="宋体" w:hint="default"/>
          <w:sz w:val="21"/>
          <w:szCs w:val="21"/>
        </w:rPr>
      </w:pPr>
    </w:p>
    <w:p>
      <w:pPr>
        <w:spacing w:line="295" w:lineRule="auto" w:before="0"/>
        <w:ind w:left="1175" w:right="-20" w:firstLine="0"/>
        <w:jc w:val="left"/>
        <w:rPr>
          <w:rFonts w:ascii="宋体" w:hAnsi="宋体" w:cs="宋体" w:eastAsia="宋体" w:hint="default"/>
          <w:sz w:val="18"/>
          <w:szCs w:val="18"/>
        </w:rPr>
      </w:pPr>
      <w:r>
        <w:rPr>
          <w:rFonts w:ascii="宋体" w:hAnsi="宋体" w:cs="宋体" w:eastAsia="宋体" w:hint="default"/>
          <w:sz w:val="18"/>
          <w:szCs w:val="18"/>
        </w:rPr>
        <w:t>孙路、 </w:t>
      </w:r>
      <w:r>
        <w:rPr>
          <w:rFonts w:ascii="宋体" w:hAnsi="宋体" w:cs="宋体" w:eastAsia="宋体" w:hint="default"/>
          <w:spacing w:val="2"/>
          <w:sz w:val="18"/>
          <w:szCs w:val="18"/>
        </w:rPr>
        <w:t> </w:t>
      </w:r>
      <w:r>
        <w:rPr>
          <w:rFonts w:ascii="宋体" w:hAnsi="宋体" w:cs="宋体" w:eastAsia="宋体" w:hint="default"/>
          <w:sz w:val="18"/>
          <w:szCs w:val="18"/>
        </w:rPr>
        <w:t>董</w:t>
      </w:r>
      <w:r>
        <w:rPr>
          <w:rFonts w:ascii="宋体" w:hAnsi="宋体" w:cs="宋体" w:eastAsia="宋体" w:hint="default"/>
          <w:sz w:val="18"/>
          <w:szCs w:val="18"/>
        </w:rPr>
        <w:t> 先权、徐根</w:t>
      </w:r>
      <w:r>
        <w:rPr>
          <w:rFonts w:ascii="宋体" w:hAnsi="宋体" w:cs="宋体" w:eastAsia="宋体" w:hint="default"/>
          <w:spacing w:val="1"/>
          <w:sz w:val="18"/>
          <w:szCs w:val="18"/>
        </w:rPr>
        <w:t> </w:t>
      </w:r>
      <w:r>
        <w:rPr>
          <w:rFonts w:ascii="宋体" w:hAnsi="宋体" w:cs="宋体" w:eastAsia="宋体" w:hint="default"/>
          <w:position w:val="2"/>
          <w:sz w:val="18"/>
          <w:szCs w:val="18"/>
        </w:rPr>
        <w:t>竞业禁止</w:t>
      </w:r>
      <w:r>
        <w:rPr>
          <w:rFonts w:ascii="宋体" w:hAnsi="宋体" w:cs="宋体" w:eastAsia="宋体" w:hint="default"/>
          <w:sz w:val="18"/>
          <w:szCs w:val="18"/>
        </w:rPr>
      </w:r>
    </w:p>
    <w:p>
      <w:pPr>
        <w:spacing w:line="314" w:lineRule="auto" w:before="122"/>
        <w:ind w:left="90" w:right="-2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在本次交易前后，本人不存在违反相关单位竞业禁止规定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的情形。若因本人违反相关竞业禁止规定，导致本人或贵</w:t>
      </w:r>
    </w:p>
    <w:p>
      <w:pPr>
        <w:spacing w:line="192" w:lineRule="exact" w:before="20"/>
        <w:ind w:left="90" w:right="-20" w:firstLine="0"/>
        <w:jc w:val="left"/>
        <w:rPr>
          <w:rFonts w:ascii="宋体" w:hAnsi="宋体" w:cs="宋体" w:eastAsia="宋体" w:hint="default"/>
          <w:sz w:val="18"/>
          <w:szCs w:val="18"/>
        </w:rPr>
      </w:pPr>
      <w:r>
        <w:rPr>
          <w:rFonts w:ascii="宋体" w:hAnsi="宋体" w:cs="宋体" w:eastAsia="宋体" w:hint="default"/>
          <w:sz w:val="18"/>
          <w:szCs w:val="18"/>
        </w:rPr>
        <w:t>博新能、科大国创侵犯他人权利的，本人承担全部责任，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5"/>
          <w:szCs w:val="25"/>
        </w:rPr>
      </w:pPr>
    </w:p>
    <w:p>
      <w:pPr>
        <w:spacing w:before="0"/>
        <w:ind w:left="-4"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9999-12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before="155"/>
        <w:ind w:left="65" w:right="0" w:firstLine="0"/>
        <w:jc w:val="left"/>
        <w:rPr>
          <w:rFonts w:ascii="宋体" w:hAnsi="宋体" w:cs="宋体" w:eastAsia="宋体" w:hint="default"/>
          <w:sz w:val="18"/>
          <w:szCs w:val="18"/>
        </w:rPr>
      </w:pPr>
      <w:r>
        <w:rPr>
          <w:rFonts w:ascii="宋体" w:hAnsi="宋体" w:cs="宋体" w:eastAsia="宋体" w:hint="default"/>
          <w:sz w:val="18"/>
          <w:szCs w:val="18"/>
        </w:rPr>
        <w:t>正常履</w:t>
      </w:r>
    </w:p>
    <w:p>
      <w:pPr>
        <w:spacing w:after="0"/>
        <w:jc w:val="left"/>
        <w:rPr>
          <w:rFonts w:ascii="宋体" w:hAnsi="宋体" w:cs="宋体" w:eastAsia="宋体" w:hint="default"/>
          <w:sz w:val="18"/>
          <w:szCs w:val="18"/>
        </w:rPr>
        <w:sectPr>
          <w:type w:val="continuous"/>
          <w:pgSz w:w="11910" w:h="16840"/>
          <w:pgMar w:top="1200" w:bottom="1160" w:left="980" w:right="0"/>
          <w:cols w:num="4" w:equalWidth="0">
            <w:col w:w="2887" w:space="40"/>
            <w:col w:w="4591" w:space="40"/>
            <w:col w:w="1452" w:space="40"/>
            <w:col w:w="1880"/>
          </w:cols>
        </w:sectPr>
      </w:pPr>
    </w:p>
    <w:p>
      <w:pPr>
        <w:spacing w:line="199" w:lineRule="exact" w:before="0"/>
        <w:ind w:left="1175" w:right="-13" w:firstLine="0"/>
        <w:jc w:val="left"/>
        <w:rPr>
          <w:rFonts w:ascii="宋体" w:hAnsi="宋体" w:cs="宋体" w:eastAsia="宋体" w:hint="default"/>
          <w:sz w:val="18"/>
          <w:szCs w:val="18"/>
        </w:rPr>
      </w:pPr>
      <w:r>
        <w:rPr/>
        <w:pict>
          <v:group style="position:absolute;margin-left:56.424pt;margin-top:71.759979pt;width:478.9pt;height:696.85pt;mso-position-horizontal-relative:page;mso-position-vertical-relative:page;z-index:-1158184" coordorigin="1128,1435" coordsize="9578,13937">
            <v:group style="position:absolute;left:1140;top:1450;width:982;height:2264" coordorigin="1140,1450" coordsize="982,2264">
              <v:shape style="position:absolute;left:1140;top:1450;width:982;height:2264" coordorigin="1140,1450" coordsize="982,2264" path="m1140,3713l2122,3713,2122,1450,1140,1450,1140,3713xe" filled="true" fillcolor="#d2d2d2" stroked="false">
                <v:path arrowok="t"/>
                <v:fill type="solid"/>
              </v:shape>
            </v:group>
            <v:group style="position:absolute;left:1138;top:1445;width:984;height:2" coordorigin="1138,1445" coordsize="984,2">
              <v:shape style="position:absolute;left:1138;top:1445;width:984;height:2" coordorigin="1138,1445" coordsize="984,0" path="m1138,1445l2122,1445e" filled="false" stroked="true" strokeweight=".48pt" strokecolor="#000000">
                <v:path arrowok="t"/>
              </v:shape>
            </v:group>
            <v:group style="position:absolute;left:2132;top:1445;width:982;height:2" coordorigin="2132,1445" coordsize="982,2">
              <v:shape style="position:absolute;left:2132;top:1445;width:982;height:2" coordorigin="2132,1445" coordsize="982,0" path="m2132,1445l3113,1445e" filled="false" stroked="true" strokeweight=".48pt" strokecolor="#000000">
                <v:path arrowok="t"/>
              </v:shape>
            </v:group>
            <v:group style="position:absolute;left:3123;top:1445;width:841;height:2" coordorigin="3123,1445" coordsize="841,2">
              <v:shape style="position:absolute;left:3123;top:1445;width:841;height:2" coordorigin="3123,1445" coordsize="841,0" path="m3123,1445l3963,1445e" filled="false" stroked="true" strokeweight=".48pt" strokecolor="#000000">
                <v:path arrowok="t"/>
              </v:shape>
            </v:group>
            <v:group style="position:absolute;left:3973;top:1445;width:4528;height:2" coordorigin="3973,1445" coordsize="4528,2">
              <v:shape style="position:absolute;left:3973;top:1445;width:4528;height:2" coordorigin="3973,1445" coordsize="4528,0" path="m3973,1445l8500,1445e" filled="false" stroked="true" strokeweight=".48pt" strokecolor="#000000">
                <v:path arrowok="t"/>
              </v:shape>
            </v:group>
            <v:group style="position:absolute;left:8510;top:1445;width:843;height:2" coordorigin="8510,1445" coordsize="843,2">
              <v:shape style="position:absolute;left:8510;top:1445;width:843;height:2" coordorigin="8510,1445" coordsize="843,0" path="m8510,1445l9352,1445e" filled="false" stroked="true" strokeweight=".48pt" strokecolor="#000000">
                <v:path arrowok="t"/>
              </v:shape>
            </v:group>
            <v:group style="position:absolute;left:9362;top:1445;width:699;height:2" coordorigin="9362,1445" coordsize="699,2">
              <v:shape style="position:absolute;left:9362;top:1445;width:699;height:2" coordorigin="9362,1445" coordsize="699,0" path="m9362,1445l10061,1445e" filled="false" stroked="true" strokeweight=".48pt" strokecolor="#000000">
                <v:path arrowok="t"/>
              </v:shape>
            </v:group>
            <v:group style="position:absolute;left:10070;top:1445;width:627;height:2" coordorigin="10070,1445" coordsize="627,2">
              <v:shape style="position:absolute;left:10070;top:1445;width:627;height:2" coordorigin="10070,1445" coordsize="627,0" path="m10070,1445l10697,1445e" filled="false" stroked="true" strokeweight=".48pt" strokecolor="#000000">
                <v:path arrowok="t"/>
              </v:shape>
            </v:group>
            <v:group style="position:absolute;left:1140;top:3716;width:982;height:3834" coordorigin="1140,3716" coordsize="982,3834">
              <v:shape style="position:absolute;left:1140;top:3716;width:982;height:3834" coordorigin="1140,3716" coordsize="982,3834" path="m1140,7549l2122,7549,2122,3716,1140,3716,1140,7549xe" filled="true" fillcolor="#d2d2d2" stroked="false">
                <v:path arrowok="t"/>
                <v:fill type="solid"/>
              </v:shape>
            </v:group>
            <v:group style="position:absolute;left:3136;top:4661;width:2;height:1952" coordorigin="3136,4661" coordsize="2,1952">
              <v:shape style="position:absolute;left:3136;top:4661;width:2;height:1952" coordorigin="3136,4661" coordsize="0,1952" path="m3136,4661l3136,6613e" filled="false" stroked="true" strokeweight="1.08pt" strokecolor="#ffffff">
                <v:path arrowok="t"/>
              </v:shape>
            </v:group>
            <v:group style="position:absolute;left:3147;top:5012;width:795;height:313" coordorigin="3147,5012" coordsize="795,313">
              <v:shape style="position:absolute;left:3147;top:5012;width:795;height:313" coordorigin="3147,5012" coordsize="795,313" path="m3147,5324l3942,5324,3942,5012,3147,5012,3147,5324xe" filled="true" fillcolor="#ffffff" stroked="false">
                <v:path arrowok="t"/>
                <v:fill type="solid"/>
              </v:shape>
            </v:group>
            <v:group style="position:absolute;left:3147;top:5324;width:795;height:312" coordorigin="3147,5324" coordsize="795,312">
              <v:shape style="position:absolute;left:3147;top:5324;width:795;height:312" coordorigin="3147,5324" coordsize="795,312" path="m3147,5636l3942,5636,3942,5324,3147,5324,3147,5636xe" filled="true" fillcolor="#ffffff" stroked="false">
                <v:path arrowok="t"/>
                <v:fill type="solid"/>
              </v:shape>
            </v:group>
            <v:group style="position:absolute;left:2132;top:3718;width:982;height:2" coordorigin="2132,3718" coordsize="982,2">
              <v:shape style="position:absolute;left:2132;top:3718;width:982;height:2" coordorigin="2132,3718" coordsize="982,0" path="m2132,3718l3113,3718e" filled="false" stroked="true" strokeweight=".48pt" strokecolor="#000000">
                <v:path arrowok="t"/>
              </v:shape>
            </v:group>
            <v:group style="position:absolute;left:3123;top:3718;width:841;height:2" coordorigin="3123,3718" coordsize="841,2">
              <v:shape style="position:absolute;left:3123;top:3718;width:841;height:2" coordorigin="3123,3718" coordsize="841,0" path="m3123,3718l3963,3718e" filled="false" stroked="true" strokeweight=".48pt" strokecolor="#000000">
                <v:path arrowok="t"/>
              </v:shape>
            </v:group>
            <v:group style="position:absolute;left:3973;top:3718;width:4528;height:2" coordorigin="3973,3718" coordsize="4528,2">
              <v:shape style="position:absolute;left:3973;top:3718;width:4528;height:2" coordorigin="3973,3718" coordsize="4528,0" path="m3973,3718l8500,3718e" filled="false" stroked="true" strokeweight=".48pt" strokecolor="#000000">
                <v:path arrowok="t"/>
              </v:shape>
            </v:group>
            <v:group style="position:absolute;left:8510;top:3718;width:843;height:2" coordorigin="8510,3718" coordsize="843,2">
              <v:shape style="position:absolute;left:8510;top:3718;width:843;height:2" coordorigin="8510,3718" coordsize="843,0" path="m8510,3718l9352,3718e" filled="false" stroked="true" strokeweight=".48pt" strokecolor="#000000">
                <v:path arrowok="t"/>
              </v:shape>
            </v:group>
            <v:group style="position:absolute;left:9362;top:3718;width:699;height:2" coordorigin="9362,3718" coordsize="699,2">
              <v:shape style="position:absolute;left:9362;top:3718;width:699;height:2" coordorigin="9362,3718" coordsize="699,0" path="m9362,3718l10061,3718e" filled="false" stroked="true" strokeweight=".48pt" strokecolor="#000000">
                <v:path arrowok="t"/>
              </v:shape>
            </v:group>
            <v:group style="position:absolute;left:10070;top:3718;width:627;height:2" coordorigin="10070,3718" coordsize="627,2">
              <v:shape style="position:absolute;left:10070;top:3718;width:627;height:2" coordorigin="10070,3718" coordsize="627,0" path="m10070,3718l10697,3718e" filled="false" stroked="true" strokeweight=".48pt" strokecolor="#000000">
                <v:path arrowok="t"/>
              </v:shape>
            </v:group>
            <v:group style="position:absolute;left:1140;top:7549;width:982;height:2274" coordorigin="1140,7549" coordsize="982,2274">
              <v:shape style="position:absolute;left:1140;top:7549;width:982;height:2274" coordorigin="1140,7549" coordsize="982,2274" path="m1140,9822l2122,9822,2122,7549,1140,7549,1140,9822xe" filled="true" fillcolor="#d2d2d2" stroked="false">
                <v:path arrowok="t"/>
                <v:fill type="solid"/>
              </v:shape>
            </v:group>
            <v:group style="position:absolute;left:3136;top:8027;width:2;height:1328" coordorigin="3136,8027" coordsize="2,1328">
              <v:shape style="position:absolute;left:3136;top:8027;width:2;height:1328" coordorigin="3136,8027" coordsize="0,1328" path="m3136,8027l3136,9354e" filled="false" stroked="true" strokeweight="1.08pt" strokecolor="#ffffff">
                <v:path arrowok="t"/>
              </v:shape>
            </v:group>
            <v:group style="position:absolute;left:3147;top:8027;width:795;height:353" coordorigin="3147,8027" coordsize="795,353">
              <v:shape style="position:absolute;left:3147;top:8027;width:795;height:353" coordorigin="3147,8027" coordsize="795,353" path="m3147,8379l3942,8379,3942,8027,3147,8027,3147,8379xe" filled="true" fillcolor="#ffffff" stroked="false">
                <v:path arrowok="t"/>
                <v:fill type="solid"/>
              </v:shape>
            </v:group>
            <v:group style="position:absolute;left:3147;top:8379;width:795;height:312" coordorigin="3147,8379" coordsize="795,312">
              <v:shape style="position:absolute;left:3147;top:8379;width:795;height:312" coordorigin="3147,8379" coordsize="795,312" path="m3147,8691l3942,8691,3942,8379,3147,8379,3147,8691xe" filled="true" fillcolor="#ffffff" stroked="false">
                <v:path arrowok="t"/>
                <v:fill type="solid"/>
              </v:shape>
            </v:group>
            <v:group style="position:absolute;left:2132;top:7554;width:982;height:2" coordorigin="2132,7554" coordsize="982,2">
              <v:shape style="position:absolute;left:2132;top:7554;width:982;height:2" coordorigin="2132,7554" coordsize="982,0" path="m2132,7554l3113,7554e" filled="false" stroked="true" strokeweight=".48001pt" strokecolor="#000000">
                <v:path arrowok="t"/>
              </v:shape>
            </v:group>
            <v:group style="position:absolute;left:3123;top:7554;width:841;height:2" coordorigin="3123,7554" coordsize="841,2">
              <v:shape style="position:absolute;left:3123;top:7554;width:841;height:2" coordorigin="3123,7554" coordsize="841,0" path="m3123,7554l3963,7554e" filled="false" stroked="true" strokeweight=".48001pt" strokecolor="#000000">
                <v:path arrowok="t"/>
              </v:shape>
            </v:group>
            <v:group style="position:absolute;left:3973;top:7554;width:4528;height:2" coordorigin="3973,7554" coordsize="4528,2">
              <v:shape style="position:absolute;left:3973;top:7554;width:4528;height:2" coordorigin="3973,7554" coordsize="4528,0" path="m3973,7554l8500,7554e" filled="false" stroked="true" strokeweight=".48001pt" strokecolor="#000000">
                <v:path arrowok="t"/>
              </v:shape>
            </v:group>
            <v:group style="position:absolute;left:8510;top:7554;width:843;height:2" coordorigin="8510,7554" coordsize="843,2">
              <v:shape style="position:absolute;left:8510;top:7554;width:843;height:2" coordorigin="8510,7554" coordsize="843,0" path="m8510,7554l9352,7554e" filled="false" stroked="true" strokeweight=".48001pt" strokecolor="#000000">
                <v:path arrowok="t"/>
              </v:shape>
            </v:group>
            <v:group style="position:absolute;left:9362;top:7554;width:699;height:2" coordorigin="9362,7554" coordsize="699,2">
              <v:shape style="position:absolute;left:9362;top:7554;width:699;height:2" coordorigin="9362,7554" coordsize="699,0" path="m9362,7554l10061,7554e" filled="false" stroked="true" strokeweight=".48001pt" strokecolor="#000000">
                <v:path arrowok="t"/>
              </v:shape>
            </v:group>
            <v:group style="position:absolute;left:10070;top:7554;width:627;height:2" coordorigin="10070,7554" coordsize="627,2">
              <v:shape style="position:absolute;left:10070;top:7554;width:627;height:2" coordorigin="10070,7554" coordsize="627,0" path="m10070,7554l10697,7554e" filled="false" stroked="true" strokeweight=".48001pt" strokecolor="#000000">
                <v:path arrowok="t"/>
              </v:shape>
            </v:group>
            <v:group style="position:absolute;left:1140;top:9825;width:982;height:2273" coordorigin="1140,9825" coordsize="982,2273">
              <v:shape style="position:absolute;left:1140;top:9825;width:982;height:2273" coordorigin="1140,9825" coordsize="982,2273" path="m1140,12097l2122,12097,2122,9825,1140,9825,1140,12097xe" filled="true" fillcolor="#d2d2d2" stroked="false">
                <v:path arrowok="t"/>
                <v:fill type="solid"/>
              </v:shape>
            </v:group>
            <v:group style="position:absolute;left:3136;top:9990;width:2;height:1952" coordorigin="3136,9990" coordsize="2,1952">
              <v:shape style="position:absolute;left:3136;top:9990;width:2;height:1952" coordorigin="3136,9990" coordsize="0,1952" path="m3136,9990l3136,11941e" filled="false" stroked="true" strokeweight="1.08pt" strokecolor="#ffffff">
                <v:path arrowok="t"/>
              </v:shape>
            </v:group>
            <v:group style="position:absolute;left:3147;top:10341;width:795;height:312" coordorigin="3147,10341" coordsize="795,312">
              <v:shape style="position:absolute;left:3147;top:10341;width:795;height:312" coordorigin="3147,10341" coordsize="795,312" path="m3147,10653l3942,10653,3942,10341,3147,10341,3147,10653xe" filled="true" fillcolor="#ffffff" stroked="false">
                <v:path arrowok="t"/>
                <v:fill type="solid"/>
              </v:shape>
            </v:group>
            <v:group style="position:absolute;left:3147;top:10653;width:795;height:312" coordorigin="3147,10653" coordsize="795,312">
              <v:shape style="position:absolute;left:3147;top:10653;width:795;height:312" coordorigin="3147,10653" coordsize="795,312" path="m3147,10965l3942,10965,3942,10653,3147,10653,3147,10965xe" filled="true" fillcolor="#ffffff" stroked="false">
                <v:path arrowok="t"/>
                <v:fill type="solid"/>
              </v:shape>
            </v:group>
            <v:group style="position:absolute;left:2132;top:9827;width:982;height:2" coordorigin="2132,9827" coordsize="982,2">
              <v:shape style="position:absolute;left:2132;top:9827;width:982;height:2" coordorigin="2132,9827" coordsize="982,0" path="m2132,9827l3113,9827e" filled="false" stroked="true" strokeweight=".48001pt" strokecolor="#000000">
                <v:path arrowok="t"/>
              </v:shape>
            </v:group>
            <v:group style="position:absolute;left:3123;top:9827;width:841;height:2" coordorigin="3123,9827" coordsize="841,2">
              <v:shape style="position:absolute;left:3123;top:9827;width:841;height:2" coordorigin="3123,9827" coordsize="841,0" path="m3123,9827l3963,9827e" filled="false" stroked="true" strokeweight=".48001pt" strokecolor="#000000">
                <v:path arrowok="t"/>
              </v:shape>
            </v:group>
            <v:group style="position:absolute;left:3973;top:9827;width:4528;height:2" coordorigin="3973,9827" coordsize="4528,2">
              <v:shape style="position:absolute;left:3973;top:9827;width:4528;height:2" coordorigin="3973,9827" coordsize="4528,0" path="m3973,9827l8500,9827e" filled="false" stroked="true" strokeweight=".48001pt" strokecolor="#000000">
                <v:path arrowok="t"/>
              </v:shape>
            </v:group>
            <v:group style="position:absolute;left:8510;top:9827;width:843;height:2" coordorigin="8510,9827" coordsize="843,2">
              <v:shape style="position:absolute;left:8510;top:9827;width:843;height:2" coordorigin="8510,9827" coordsize="843,0" path="m8510,9827l9352,9827e" filled="false" stroked="true" strokeweight=".48001pt" strokecolor="#000000">
                <v:path arrowok="t"/>
              </v:shape>
            </v:group>
            <v:group style="position:absolute;left:9362;top:9827;width:699;height:2" coordorigin="9362,9827" coordsize="699,2">
              <v:shape style="position:absolute;left:9362;top:9827;width:699;height:2" coordorigin="9362,9827" coordsize="699,0" path="m9362,9827l10061,9827e" filled="false" stroked="true" strokeweight=".48001pt" strokecolor="#000000">
                <v:path arrowok="t"/>
              </v:shape>
            </v:group>
            <v:group style="position:absolute;left:10070;top:9827;width:627;height:2" coordorigin="10070,9827" coordsize="627,2">
              <v:shape style="position:absolute;left:10070;top:9827;width:627;height:2" coordorigin="10070,9827" coordsize="627,0" path="m10070,9827l10697,9827e" filled="false" stroked="true" strokeweight=".48001pt" strokecolor="#000000">
                <v:path arrowok="t"/>
              </v:shape>
            </v:group>
            <v:group style="position:absolute;left:1140;top:12098;width:982;height:1650" coordorigin="1140,12098" coordsize="982,1650">
              <v:shape style="position:absolute;left:1140;top:12098;width:982;height:1650" coordorigin="1140,12098" coordsize="982,1650" path="m1140,13747l2122,13747,2122,12098,1140,12098,1140,13747xe" filled="true" fillcolor="#d2d2d2" stroked="false">
                <v:path arrowok="t"/>
                <v:fill type="solid"/>
              </v:shape>
            </v:group>
            <v:group style="position:absolute;left:3136;top:12576;width:2;height:704" coordorigin="3136,12576" coordsize="2,704">
              <v:shape style="position:absolute;left:3136;top:12576;width:2;height:704" coordorigin="3136,12576" coordsize="0,704" path="m3136,12576l3136,13279e" filled="false" stroked="true" strokeweight="1.08pt" strokecolor="#ffffff">
                <v:path arrowok="t"/>
              </v:shape>
            </v:group>
            <v:group style="position:absolute;left:3147;top:12576;width:795;height:353" coordorigin="3147,12576" coordsize="795,353">
              <v:shape style="position:absolute;left:3147;top:12576;width:795;height:353" coordorigin="3147,12576" coordsize="795,353" path="m3147,12928l3942,12928,3942,12576,3147,12576,3147,12928xe" filled="true" fillcolor="#ffffff" stroked="false">
                <v:path arrowok="t"/>
                <v:fill type="solid"/>
              </v:shape>
            </v:group>
            <v:group style="position:absolute;left:3147;top:12928;width:795;height:351" coordorigin="3147,12928" coordsize="795,351">
              <v:shape style="position:absolute;left:3147;top:12928;width:795;height:351" coordorigin="3147,12928" coordsize="795,351" path="m3147,13279l3942,13279,3942,12928,3147,12928,3147,13279xe" filled="true" fillcolor="#ffffff" stroked="false">
                <v:path arrowok="t"/>
                <v:fill type="solid"/>
              </v:shape>
            </v:group>
            <v:group style="position:absolute;left:2132;top:12102;width:982;height:2" coordorigin="2132,12102" coordsize="982,2">
              <v:shape style="position:absolute;left:2132;top:12102;width:982;height:2" coordorigin="2132,12102" coordsize="982,0" path="m2132,12102l3113,12102e" filled="false" stroked="true" strokeweight=".47998pt" strokecolor="#000000">
                <v:path arrowok="t"/>
              </v:shape>
            </v:group>
            <v:group style="position:absolute;left:3123;top:12102;width:841;height:2" coordorigin="3123,12102" coordsize="841,2">
              <v:shape style="position:absolute;left:3123;top:12102;width:841;height:2" coordorigin="3123,12102" coordsize="841,0" path="m3123,12102l3963,12102e" filled="false" stroked="true" strokeweight=".47998pt" strokecolor="#000000">
                <v:path arrowok="t"/>
              </v:shape>
            </v:group>
            <v:group style="position:absolute;left:3973;top:12102;width:4528;height:2" coordorigin="3973,12102" coordsize="4528,2">
              <v:shape style="position:absolute;left:3973;top:12102;width:4528;height:2" coordorigin="3973,12102" coordsize="4528,0" path="m3973,12102l8500,12102e" filled="false" stroked="true" strokeweight=".47998pt" strokecolor="#000000">
                <v:path arrowok="t"/>
              </v:shape>
            </v:group>
            <v:group style="position:absolute;left:8510;top:12102;width:843;height:2" coordorigin="8510,12102" coordsize="843,2">
              <v:shape style="position:absolute;left:8510;top:12102;width:843;height:2" coordorigin="8510,12102" coordsize="843,0" path="m8510,12102l9352,12102e" filled="false" stroked="true" strokeweight=".47998pt" strokecolor="#000000">
                <v:path arrowok="t"/>
              </v:shape>
            </v:group>
            <v:group style="position:absolute;left:9362;top:12102;width:699;height:2" coordorigin="9362,12102" coordsize="699,2">
              <v:shape style="position:absolute;left:9362;top:12102;width:699;height:2" coordorigin="9362,12102" coordsize="699,0" path="m9362,12102l10061,12102e" filled="false" stroked="true" strokeweight=".47998pt" strokecolor="#000000">
                <v:path arrowok="t"/>
              </v:shape>
            </v:group>
            <v:group style="position:absolute;left:10070;top:12102;width:627;height:2" coordorigin="10070,12102" coordsize="627,2">
              <v:shape style="position:absolute;left:10070;top:12102;width:627;height:2" coordorigin="10070,12102" coordsize="627,0" path="m10070,12102l10697,12102e" filled="false" stroked="true" strokeweight=".47998pt" strokecolor="#000000">
                <v:path arrowok="t"/>
              </v:shape>
            </v:group>
            <v:group style="position:absolute;left:1140;top:13749;width:982;height:1608" coordorigin="1140,13749" coordsize="982,1608">
              <v:shape style="position:absolute;left:1140;top:13749;width:982;height:1608" coordorigin="1140,13749" coordsize="982,1608" path="m1140,15357l2122,15357,2122,13749,1140,13749,1140,15357xe" filled="true" fillcolor="#d2d2d2" stroked="false">
                <v:path arrowok="t"/>
                <v:fill type="solid"/>
              </v:shape>
            </v:group>
            <v:group style="position:absolute;left:3136;top:14205;width:2;height:706" coordorigin="3136,14205" coordsize="2,706">
              <v:shape style="position:absolute;left:3136;top:14205;width:2;height:706" coordorigin="3136,14205" coordsize="0,706" path="m3136,14205l3136,14911e" filled="false" stroked="true" strokeweight="1.08pt" strokecolor="#ffffff">
                <v:path arrowok="t"/>
              </v:shape>
            </v:group>
            <v:group style="position:absolute;left:3147;top:14558;width:795;height:353" coordorigin="3147,14558" coordsize="795,353">
              <v:shape style="position:absolute;left:3147;top:14558;width:795;height:353" coordorigin="3147,14558" coordsize="795,353" path="m3147,14911l3942,14911,3942,14558,3147,14558,3147,14911xe" filled="true" fillcolor="#ffffff" stroked="false">
                <v:path arrowok="t"/>
                <v:fill type="solid"/>
              </v:shape>
            </v:group>
            <v:group style="position:absolute;left:2132;top:13752;width:982;height:2" coordorigin="2132,13752" coordsize="982,2">
              <v:shape style="position:absolute;left:2132;top:13752;width:982;height:2" coordorigin="2132,13752" coordsize="982,0" path="m2132,13752l3113,13752e" filled="false" stroked="true" strokeweight=".47998pt" strokecolor="#000000">
                <v:path arrowok="t"/>
              </v:shape>
            </v:group>
            <v:group style="position:absolute;left:3123;top:13752;width:841;height:2" coordorigin="3123,13752" coordsize="841,2">
              <v:shape style="position:absolute;left:3123;top:13752;width:841;height:2" coordorigin="3123,13752" coordsize="841,0" path="m3123,13752l3963,13752e" filled="false" stroked="true" strokeweight=".47998pt" strokecolor="#000000">
                <v:path arrowok="t"/>
              </v:shape>
            </v:group>
            <v:group style="position:absolute;left:3973;top:13752;width:4528;height:2" coordorigin="3973,13752" coordsize="4528,2">
              <v:shape style="position:absolute;left:3973;top:13752;width:4528;height:2" coordorigin="3973,13752" coordsize="4528,0" path="m3973,13752l8500,13752e" filled="false" stroked="true" strokeweight=".47998pt" strokecolor="#000000">
                <v:path arrowok="t"/>
              </v:shape>
            </v:group>
            <v:group style="position:absolute;left:8510;top:13752;width:843;height:2" coordorigin="8510,13752" coordsize="843,2">
              <v:shape style="position:absolute;left:8510;top:13752;width:843;height:2" coordorigin="8510,13752" coordsize="843,0" path="m8510,13752l9352,13752e" filled="false" stroked="true" strokeweight=".47998pt" strokecolor="#000000">
                <v:path arrowok="t"/>
              </v:shape>
            </v:group>
            <v:group style="position:absolute;left:9362;top:13752;width:699;height:2" coordorigin="9362,13752" coordsize="699,2">
              <v:shape style="position:absolute;left:9362;top:13752;width:699;height:2" coordorigin="9362,13752" coordsize="699,0" path="m9362,13752l10061,13752e" filled="false" stroked="true" strokeweight=".47998pt" strokecolor="#000000">
                <v:path arrowok="t"/>
              </v:shape>
            </v:group>
            <v:group style="position:absolute;left:10070;top:13752;width:627;height:2" coordorigin="10070,13752" coordsize="627,2">
              <v:shape style="position:absolute;left:10070;top:13752;width:627;height:2" coordorigin="10070,13752" coordsize="627,0" path="m10070,13752l10697,13752e" filled="false" stroked="true" strokeweight=".47998pt" strokecolor="#000000">
                <v:path arrowok="t"/>
              </v:shape>
            </v:group>
            <v:group style="position:absolute;left:1133;top:1440;width:2;height:13927" coordorigin="1133,1440" coordsize="2,13927">
              <v:shape style="position:absolute;left:1133;top:1440;width:2;height:13927" coordorigin="1133,1440" coordsize="0,13927" path="m1133,1440l1133,15367e" filled="false" stroked="true" strokeweight=".48pt" strokecolor="#000000">
                <v:path arrowok="t"/>
              </v:shape>
            </v:group>
            <v:group style="position:absolute;left:1138;top:15362;width:984;height:2" coordorigin="1138,15362" coordsize="984,2">
              <v:shape style="position:absolute;left:1138;top:15362;width:984;height:2" coordorigin="1138,15362" coordsize="984,0" path="m1138,15362l2122,15362e" filled="false" stroked="true" strokeweight=".47998pt" strokecolor="#000000">
                <v:path arrowok="t"/>
              </v:shape>
            </v:group>
            <v:group style="position:absolute;left:2127;top:1440;width:2;height:13927" coordorigin="2127,1440" coordsize="2,13927">
              <v:shape style="position:absolute;left:2127;top:1440;width:2;height:13927" coordorigin="2127,1440" coordsize="0,13927" path="m2127,1440l2127,15367e" filled="false" stroked="true" strokeweight=".48pt" strokecolor="#000000">
                <v:path arrowok="t"/>
              </v:shape>
            </v:group>
            <v:group style="position:absolute;left:2132;top:15362;width:982;height:2" coordorigin="2132,15362" coordsize="982,2">
              <v:shape style="position:absolute;left:2132;top:15362;width:982;height:2" coordorigin="2132,15362" coordsize="982,0" path="m2132,15362l3113,15362e" filled="false" stroked="true" strokeweight=".47998pt" strokecolor="#000000">
                <v:path arrowok="t"/>
              </v:shape>
            </v:group>
            <v:group style="position:absolute;left:3136;top:2074;width:2;height:1016" coordorigin="3136,2074" coordsize="2,1016">
              <v:shape style="position:absolute;left:3136;top:2074;width:2;height:1016" coordorigin="3136,2074" coordsize="0,1016" path="m3136,2074l3136,3089e" filled="false" stroked="true" strokeweight="1.08pt" strokecolor="#ffffff">
                <v:path arrowok="t"/>
              </v:shape>
            </v:group>
            <v:group style="position:absolute;left:3147;top:2074;width:795;height:353" coordorigin="3147,2074" coordsize="795,353">
              <v:shape style="position:absolute;left:3147;top:2074;width:795;height:353" coordorigin="3147,2074" coordsize="795,353" path="m3147,2427l3942,2427,3942,2074,3147,2074,3147,2427xe" filled="true" fillcolor="#ffffff" stroked="false">
                <v:path arrowok="t"/>
                <v:fill type="solid"/>
              </v:shape>
            </v:group>
            <v:group style="position:absolute;left:3118;top:1440;width:2;height:13927" coordorigin="3118,1440" coordsize="2,13927">
              <v:shape style="position:absolute;left:3118;top:1440;width:2;height:13927" coordorigin="3118,1440" coordsize="0,13927" path="m3118,1440l3118,15367e" filled="false" stroked="true" strokeweight=".48pt" strokecolor="#000000">
                <v:path arrowok="t"/>
              </v:shape>
            </v:group>
            <v:group style="position:absolute;left:3123;top:15362;width:841;height:2" coordorigin="3123,15362" coordsize="841,2">
              <v:shape style="position:absolute;left:3123;top:15362;width:841;height:2" coordorigin="3123,15362" coordsize="841,0" path="m3123,15362l3963,15362e" filled="false" stroked="true" strokeweight=".47998pt" strokecolor="#000000">
                <v:path arrowok="t"/>
              </v:shape>
            </v:group>
            <v:group style="position:absolute;left:3968;top:1440;width:2;height:13927" coordorigin="3968,1440" coordsize="2,13927">
              <v:shape style="position:absolute;left:3968;top:1440;width:2;height:13927" coordorigin="3968,1440" coordsize="0,13927" path="m3968,1440l3968,15367e" filled="false" stroked="true" strokeweight=".48pt" strokecolor="#000000">
                <v:path arrowok="t"/>
              </v:shape>
            </v:group>
            <v:group style="position:absolute;left:3973;top:15362;width:4528;height:2" coordorigin="3973,15362" coordsize="4528,2">
              <v:shape style="position:absolute;left:3973;top:15362;width:4528;height:2" coordorigin="3973,15362" coordsize="4528,0" path="m3973,15362l8500,15362e" filled="false" stroked="true" strokeweight=".47998pt" strokecolor="#000000">
                <v:path arrowok="t"/>
              </v:shape>
            </v:group>
            <v:group style="position:absolute;left:8505;top:1440;width:2;height:13927" coordorigin="8505,1440" coordsize="2,13927">
              <v:shape style="position:absolute;left:8505;top:1440;width:2;height:13927" coordorigin="8505,1440" coordsize="0,13927" path="m8505,1440l8505,15367e" filled="false" stroked="true" strokeweight=".48001pt" strokecolor="#000000">
                <v:path arrowok="t"/>
              </v:shape>
            </v:group>
            <v:group style="position:absolute;left:8510;top:15362;width:843;height:2" coordorigin="8510,15362" coordsize="843,2">
              <v:shape style="position:absolute;left:8510;top:15362;width:843;height:2" coordorigin="8510,15362" coordsize="843,0" path="m8510,15362l9352,15362e" filled="false" stroked="true" strokeweight=".47998pt" strokecolor="#000000">
                <v:path arrowok="t"/>
              </v:shape>
            </v:group>
            <v:group style="position:absolute;left:9357;top:1440;width:2;height:13927" coordorigin="9357,1440" coordsize="2,13927">
              <v:shape style="position:absolute;left:9357;top:1440;width:2;height:13927" coordorigin="9357,1440" coordsize="0,13927" path="m9357,1440l9357,15367e" filled="false" stroked="true" strokeweight=".48001pt" strokecolor="#000000">
                <v:path arrowok="t"/>
              </v:shape>
            </v:group>
            <v:group style="position:absolute;left:9362;top:15362;width:699;height:2" coordorigin="9362,15362" coordsize="699,2">
              <v:shape style="position:absolute;left:9362;top:15362;width:699;height:2" coordorigin="9362,15362" coordsize="699,0" path="m9362,15362l10061,15362e" filled="false" stroked="true" strokeweight=".47998pt" strokecolor="#000000">
                <v:path arrowok="t"/>
              </v:shape>
            </v:group>
            <v:group style="position:absolute;left:10066;top:1440;width:2;height:13927" coordorigin="10066,1440" coordsize="2,13927">
              <v:shape style="position:absolute;left:10066;top:1440;width:2;height:13927" coordorigin="10066,1440" coordsize="0,13927" path="m10066,1440l10066,15367e" filled="false" stroked="true" strokeweight=".48001pt" strokecolor="#000000">
                <v:path arrowok="t"/>
              </v:shape>
            </v:group>
            <v:group style="position:absolute;left:10070;top:15362;width:627;height:2" coordorigin="10070,15362" coordsize="627,2">
              <v:shape style="position:absolute;left:10070;top:15362;width:627;height:2" coordorigin="10070,15362" coordsize="627,0" path="m10070,15362l10697,15362e" filled="false" stroked="true" strokeweight=".47998pt" strokecolor="#000000">
                <v:path arrowok="t"/>
              </v:shape>
            </v:group>
            <v:group style="position:absolute;left:10702;top:1440;width:2;height:13927" coordorigin="10702,1440" coordsize="2,13927">
              <v:shape style="position:absolute;left:10702;top:1440;width:2;height:13927" coordorigin="10702,1440" coordsize="0,13927" path="m10702,1440l10702,15367e" filled="false" stroked="true" strokeweight=".47998pt" strokecolor="#000000">
                <v:path arrowok="t"/>
              </v:shape>
            </v:group>
            <w10:wrap type="none"/>
          </v:group>
        </w:pict>
      </w:r>
      <w:r>
        <w:rPr>
          <w:rFonts w:ascii="宋体" w:hAnsi="宋体" w:cs="宋体" w:eastAsia="宋体" w:hint="default"/>
          <w:spacing w:val="-12"/>
          <w:sz w:val="18"/>
          <w:szCs w:val="18"/>
        </w:rPr>
        <w:t>义、史兴领、</w:t>
      </w:r>
      <w:r>
        <w:rPr>
          <w:rFonts w:ascii="宋体" w:hAnsi="宋体" w:cs="宋体" w:eastAsia="宋体" w:hint="default"/>
          <w:spacing w:val="-12"/>
          <w:position w:val="2"/>
          <w:sz w:val="18"/>
          <w:szCs w:val="18"/>
        </w:rPr>
        <w:t>承诺</w:t>
      </w:r>
      <w:r>
        <w:rPr>
          <w:rFonts w:ascii="宋体" w:hAnsi="宋体" w:cs="宋体" w:eastAsia="宋体" w:hint="default"/>
          <w:spacing w:val="-12"/>
          <w:sz w:val="18"/>
          <w:szCs w:val="18"/>
        </w:rPr>
      </w:r>
    </w:p>
    <w:p>
      <w:pPr>
        <w:spacing w:before="76"/>
        <w:ind w:left="1175" w:right="-20" w:firstLine="0"/>
        <w:jc w:val="left"/>
        <w:rPr>
          <w:rFonts w:ascii="宋体" w:hAnsi="宋体" w:cs="宋体" w:eastAsia="宋体" w:hint="default"/>
          <w:sz w:val="18"/>
          <w:szCs w:val="18"/>
        </w:rPr>
      </w:pPr>
      <w:r>
        <w:rPr>
          <w:rFonts w:ascii="宋体" w:hAnsi="宋体" w:cs="宋体" w:eastAsia="宋体" w:hint="default"/>
          <w:sz w:val="18"/>
          <w:szCs w:val="18"/>
        </w:rPr>
        <w:t>陈学祥、张</w:t>
      </w:r>
    </w:p>
    <w:p>
      <w:pPr>
        <w:spacing w:line="316" w:lineRule="auto" w:before="119"/>
        <w:ind w:left="450" w:right="-2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科大国创和贵博新能无需承担责任，若贵博新能或科大国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创由此遭受损失的，则孙路、史兴领、徐根义、陈学祥、</w:t>
      </w:r>
    </w:p>
    <w:p>
      <w:pPr>
        <w:spacing w:line="194" w:lineRule="exact" w:before="0"/>
        <w:ind w:left="-4"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886" w:val="left" w:leader="none"/>
        </w:tabs>
        <w:spacing w:line="194" w:lineRule="exact" w:before="0"/>
        <w:ind w:left="17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-31</w:t>
        <w:tab/>
      </w:r>
      <w:r>
        <w:rPr>
          <w:rFonts w:ascii="宋体" w:hAnsi="宋体" w:cs="宋体" w:eastAsia="宋体" w:hint="default"/>
          <w:sz w:val="18"/>
          <w:szCs w:val="18"/>
        </w:rPr>
        <w:t>行中</w:t>
      </w:r>
    </w:p>
    <w:p>
      <w:pPr>
        <w:spacing w:after="0" w:line="194" w:lineRule="exact"/>
        <w:jc w:val="left"/>
        <w:rPr>
          <w:rFonts w:ascii="宋体" w:hAnsi="宋体" w:cs="宋体" w:eastAsia="宋体" w:hint="default"/>
          <w:sz w:val="18"/>
          <w:szCs w:val="18"/>
        </w:rPr>
        <w:sectPr>
          <w:type w:val="continuous"/>
          <w:pgSz w:w="11910" w:h="16840"/>
          <w:pgMar w:top="1200" w:bottom="1160" w:left="980" w:right="0"/>
          <w:cols w:num="4" w:equalWidth="0">
            <w:col w:w="2527" w:space="40"/>
            <w:col w:w="4951" w:space="40"/>
            <w:col w:w="631" w:space="40"/>
            <w:col w:w="2701"/>
          </w:cols>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992"/>
        <w:gridCol w:w="991"/>
        <w:gridCol w:w="850"/>
        <w:gridCol w:w="4537"/>
        <w:gridCol w:w="852"/>
        <w:gridCol w:w="708"/>
        <w:gridCol w:w="636"/>
      </w:tblGrid>
      <w:tr>
        <w:trPr>
          <w:trHeight w:val="987" w:hRule="exact"/>
        </w:trPr>
        <w:tc>
          <w:tcPr>
            <w:tcW w:w="992"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起云</w:t>
            </w:r>
          </w:p>
        </w:tc>
        <w:tc>
          <w:tcPr>
            <w:tcW w:w="850"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张起云、董先权共同连带赔偿科大国创或贵博新能的损 </w:t>
            </w:r>
            <w:r>
              <w:rPr>
                <w:rFonts w:ascii="宋体" w:hAnsi="宋体" w:cs="宋体" w:eastAsia="宋体" w:hint="default"/>
                <w:spacing w:val="-3"/>
                <w:sz w:val="18"/>
                <w:szCs w:val="18"/>
              </w:rPr>
              <w:t>失，同时将本次交易中所获对价的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作为违约金以现金</w:t>
            </w:r>
            <w:r>
              <w:rPr>
                <w:rFonts w:ascii="宋体" w:hAnsi="宋体" w:cs="宋体" w:eastAsia="宋体" w:hint="default"/>
                <w:spacing w:val="-88"/>
                <w:sz w:val="18"/>
                <w:szCs w:val="18"/>
              </w:rPr>
              <w:t> </w:t>
            </w:r>
            <w:r>
              <w:rPr>
                <w:rFonts w:ascii="宋体" w:hAnsi="宋体" w:cs="宋体" w:eastAsia="宋体" w:hint="default"/>
                <w:sz w:val="18"/>
                <w:szCs w:val="18"/>
              </w:rPr>
              <w:t>方式支付给科大国创。</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3"/>
              <w:jc w:val="both"/>
              <w:rPr>
                <w:rFonts w:ascii="宋体" w:hAnsi="宋体" w:cs="宋体" w:eastAsia="宋体" w:hint="default"/>
                <w:sz w:val="18"/>
                <w:szCs w:val="18"/>
              </w:rPr>
            </w:pPr>
            <w:r>
              <w:rPr>
                <w:rFonts w:ascii="宋体" w:hAnsi="宋体" w:cs="宋体" w:eastAsia="宋体" w:hint="default"/>
                <w:sz w:val="18"/>
                <w:szCs w:val="18"/>
              </w:rPr>
              <w:t>孙路、</w:t>
            </w:r>
            <w:r>
              <w:rPr>
                <w:rFonts w:ascii="宋体" w:hAnsi="宋体" w:cs="宋体" w:eastAsia="宋体" w:hint="default"/>
                <w:spacing w:val="2"/>
                <w:sz w:val="18"/>
                <w:szCs w:val="18"/>
              </w:rPr>
              <w:t> </w:t>
            </w:r>
            <w:r>
              <w:rPr>
                <w:rFonts w:ascii="宋体" w:hAnsi="宋体" w:cs="宋体" w:eastAsia="宋体" w:hint="default"/>
                <w:sz w:val="18"/>
                <w:szCs w:val="18"/>
              </w:rPr>
              <w:t>董</w:t>
            </w:r>
            <w:r>
              <w:rPr>
                <w:rFonts w:ascii="宋体" w:hAnsi="宋体" w:cs="宋体" w:eastAsia="宋体" w:hint="default"/>
                <w:sz w:val="18"/>
                <w:szCs w:val="18"/>
              </w:rPr>
              <w:t> 先权、徐根 </w:t>
            </w:r>
            <w:r>
              <w:rPr>
                <w:rFonts w:ascii="宋体" w:hAnsi="宋体" w:cs="宋体" w:eastAsia="宋体" w:hint="default"/>
                <w:spacing w:val="-12"/>
                <w:sz w:val="18"/>
                <w:szCs w:val="18"/>
              </w:rPr>
              <w:t>义、史兴领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陈学祥、张 起云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7"/>
              <w:ind w:left="24" w:right="0"/>
              <w:jc w:val="left"/>
              <w:rPr>
                <w:rFonts w:ascii="宋体" w:hAnsi="宋体" w:cs="宋体" w:eastAsia="宋体" w:hint="default"/>
                <w:sz w:val="18"/>
                <w:szCs w:val="18"/>
              </w:rPr>
            </w:pPr>
            <w:r>
              <w:rPr>
                <w:rFonts w:ascii="宋体" w:hAnsi="宋体" w:cs="宋体" w:eastAsia="宋体" w:hint="default"/>
                <w:sz w:val="18"/>
                <w:szCs w:val="18"/>
              </w:rPr>
              <w:t>不离职承</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724"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0.85pt;height:36.25pt;mso-position-horizontal-relative:char;mso-position-vertical-relative:line" coordorigin="0,0" coordsize="817,725">
                  <v:group style="position:absolute;left:11;top:11;width:2;height:704" coordorigin="11,11" coordsize="2,704">
                    <v:shape style="position:absolute;left:11;top:11;width:2;height:704" coordorigin="11,11" coordsize="0,704" path="m11,11l11,714e" filled="false" stroked="true" strokeweight="1.08pt" strokecolor="#ffffff">
                      <v:path arrowok="t"/>
                    </v:shape>
                  </v:group>
                  <v:group style="position:absolute;left:22;top:11;width:795;height:353" coordorigin="22,11" coordsize="795,353">
                    <v:shape style="position:absolute;left:22;top:11;width:795;height:353" coordorigin="22,11" coordsize="795,353" path="m22,364l816,364,816,11,22,11,22,364xe" filled="true" fillcolor="#ffffff" stroked="false">
                      <v:path arrowok="t"/>
                      <v:fill type="solid"/>
                    </v:shape>
                  </v:group>
                  <v:group style="position:absolute;left:22;top:364;width:795;height:351" coordorigin="22,364" coordsize="795,351">
                    <v:shape style="position:absolute;left:22;top:364;width:795;height:351" coordorigin="22,364" coordsize="795,351" path="m22,714l816,714,816,364,22,364,22,714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自发行股份购买资产协议签署之日开始至本次交易完成 </w:t>
            </w:r>
            <w:r>
              <w:rPr>
                <w:rFonts w:ascii="宋体" w:hAnsi="宋体" w:cs="宋体" w:eastAsia="宋体" w:hint="default"/>
                <w:spacing w:val="-1"/>
                <w:sz w:val="18"/>
                <w:szCs w:val="18"/>
              </w:rPr>
              <w:t>期间，以及本次交易完成之日起五年内仍在贵博新能或科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大国创及其子公司任职。若在五年内离职，违反上述任职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期限承诺，本人将赔偿科大国创的全部损失，同时将本次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交易中所获对价的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作为违约金以现金方式支付给科 </w:t>
            </w:r>
            <w:r>
              <w:rPr>
                <w:rFonts w:ascii="宋体" w:hAnsi="宋体" w:cs="宋体" w:eastAsia="宋体" w:hint="default"/>
                <w:spacing w:val="-1"/>
                <w:sz w:val="18"/>
                <w:szCs w:val="18"/>
              </w:rPr>
              <w:t>大国创。如因退休、丧失或部分丧失民事行为能力、死亡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或宣告死亡、宣告失踪或者被贵博新能、科大国创及其子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公司解除劳动关系的，不视为违反任职期限承诺。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2024-01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900" w:hRule="exact"/>
        </w:trPr>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5"/>
              <w:jc w:val="both"/>
              <w:rPr>
                <w:rFonts w:ascii="宋体" w:hAnsi="宋体" w:cs="宋体" w:eastAsia="宋体" w:hint="default"/>
                <w:sz w:val="18"/>
                <w:szCs w:val="18"/>
              </w:rPr>
            </w:pPr>
            <w:r>
              <w:rPr>
                <w:rFonts w:ascii="宋体" w:hAnsi="宋体" w:cs="宋体" w:eastAsia="宋体" w:hint="default"/>
                <w:sz w:val="18"/>
                <w:szCs w:val="18"/>
              </w:rPr>
              <w:t>合肥国创智 能科技有限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pacing w:val="-1"/>
                <w:sz w:val="18"/>
                <w:szCs w:val="18"/>
              </w:rPr>
              <w:t>除公司首次公开发行股票时其公开发售的股份外，自公司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股票上市之日起三十六个月内，不转让或者委托他人管理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其所持有的公司公开发行股票前已发行的股份，也不由公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司回购上述股份；公司上市后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个交易日的收盘价均低于公司首次公开发行股票时的发 </w:t>
            </w:r>
            <w:r>
              <w:rPr>
                <w:rFonts w:ascii="宋体" w:hAnsi="宋体" w:cs="宋体" w:eastAsia="宋体" w:hint="default"/>
                <w:spacing w:val="-3"/>
                <w:sz w:val="18"/>
                <w:szCs w:val="18"/>
              </w:rPr>
              <w:t>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个月期末收盘价低于公司首次公开发 </w:t>
            </w:r>
            <w:r>
              <w:rPr>
                <w:rFonts w:ascii="宋体" w:hAnsi="宋体" w:cs="宋体" w:eastAsia="宋体" w:hint="default"/>
                <w:spacing w:val="-1"/>
                <w:sz w:val="18"/>
                <w:szCs w:val="18"/>
              </w:rPr>
              <w:t>行股票时的发行价，其持有公司股票的锁定期限自动延长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个月。若公司股票在此期间发生除权、除息的，发行价 格将作相应调整。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2019-07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60"/>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4145"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55"/>
              <w:jc w:val="both"/>
              <w:rPr>
                <w:rFonts w:ascii="宋体" w:hAnsi="宋体" w:cs="宋体" w:eastAsia="宋体" w:hint="default"/>
                <w:sz w:val="18"/>
                <w:szCs w:val="18"/>
              </w:rPr>
            </w:pPr>
            <w:r>
              <w:rPr>
                <w:rFonts w:ascii="宋体" w:hAnsi="宋体" w:cs="宋体" w:eastAsia="宋体" w:hint="default"/>
                <w:sz w:val="18"/>
                <w:szCs w:val="18"/>
              </w:rPr>
              <w:t>董永东、杨 </w:t>
            </w:r>
            <w:r>
              <w:rPr>
                <w:rFonts w:ascii="宋体" w:hAnsi="宋体" w:cs="宋体" w:eastAsia="宋体" w:hint="default"/>
                <w:spacing w:val="-12"/>
                <w:sz w:val="18"/>
                <w:szCs w:val="18"/>
              </w:rPr>
              <w:t>杨、史兴领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许广德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09"/>
              <w:ind w:left="24"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724"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0.85pt;height:36.25pt;mso-position-horizontal-relative:char;mso-position-vertical-relative:line" coordorigin="0,0" coordsize="817,725">
                  <v:group style="position:absolute;left:11;top:11;width:2;height:704" coordorigin="11,11" coordsize="2,704">
                    <v:shape style="position:absolute;left:11;top:11;width:2;height:704" coordorigin="11,11" coordsize="0,704" path="m11,11l11,714e" filled="false" stroked="true" strokeweight="1.08pt" strokecolor="#ffffff">
                      <v:path arrowok="t"/>
                    </v:shape>
                  </v:group>
                  <v:group style="position:absolute;left:22;top:11;width:795;height:353" coordorigin="22,11" coordsize="795,353">
                    <v:shape style="position:absolute;left:22;top:11;width:795;height:353" coordorigin="22,11" coordsize="795,353" path="m22,364l816,364,816,11,22,11,22,364xe" filled="true" fillcolor="#ffffff" stroked="false">
                      <v:path arrowok="t"/>
                      <v:fill type="solid"/>
                    </v:shape>
                  </v:group>
                  <v:group style="position:absolute;left:22;top:364;width:795;height:351" coordorigin="22,364" coordsize="795,351">
                    <v:shape style="position:absolute;left:22;top:364;width:795;height:351" coordorigin="22,364" coordsize="795,351" path="m22,714l816,714,816,364,22,364,22,714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除公司首次公开发行股票时合肥国创所公开发售的股份 </w:t>
            </w:r>
            <w:r>
              <w:rPr>
                <w:rFonts w:ascii="宋体" w:hAnsi="宋体" w:cs="宋体" w:eastAsia="宋体" w:hint="default"/>
                <w:spacing w:val="-1"/>
                <w:sz w:val="18"/>
                <w:szCs w:val="18"/>
              </w:rPr>
              <w:t>外，自公司股票上市之日起三十六个月内，不转让或者委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托他人管理其直接或间接持有的公司公开发行股票前已 </w:t>
            </w:r>
            <w:r>
              <w:rPr>
                <w:rFonts w:ascii="宋体" w:hAnsi="宋体" w:cs="宋体" w:eastAsia="宋体" w:hint="default"/>
                <w:spacing w:val="-1"/>
                <w:sz w:val="18"/>
                <w:szCs w:val="18"/>
              </w:rPr>
              <w:t>发行的股份，也不由公司回购上述股份；在本人股份锁定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期满后，担任公司董事、监事或高级管理人员期间每年转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让的公司股份不超过其持有的公司股份总数的百分之二 </w:t>
            </w:r>
            <w:r>
              <w:rPr>
                <w:rFonts w:ascii="宋体" w:hAnsi="宋体" w:cs="宋体" w:eastAsia="宋体" w:hint="default"/>
                <w:spacing w:val="-1"/>
                <w:sz w:val="18"/>
                <w:szCs w:val="18"/>
              </w:rPr>
              <w:t>十五；离职后半年内不转让本人持有的公司股份；公司上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w:t>
            </w:r>
          </w:p>
          <w:p>
            <w:pPr>
              <w:pStyle w:val="TableParagraph"/>
              <w:spacing w:line="309" w:lineRule="auto"/>
              <w:ind w:left="24" w:right="17"/>
              <w:jc w:val="both"/>
              <w:rPr>
                <w:rFonts w:ascii="宋体" w:hAnsi="宋体" w:cs="宋体" w:eastAsia="宋体" w:hint="default"/>
                <w:sz w:val="18"/>
                <w:szCs w:val="18"/>
              </w:rPr>
            </w:pPr>
            <w:r>
              <w:rPr>
                <w:rFonts w:ascii="宋体" w:hAnsi="宋体" w:cs="宋体" w:eastAsia="宋体" w:hint="default"/>
                <w:sz w:val="18"/>
                <w:szCs w:val="18"/>
              </w:rPr>
              <w:t>于公司首次公开发行股票时的发行价，或者上市后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 </w:t>
            </w:r>
            <w:r>
              <w:rPr>
                <w:rFonts w:ascii="宋体" w:hAnsi="宋体" w:cs="宋体" w:eastAsia="宋体" w:hint="default"/>
                <w:spacing w:val="-1"/>
                <w:sz w:val="18"/>
                <w:szCs w:val="18"/>
              </w:rPr>
              <w:t>期末收盘价低于公司首次公开发行股票时的发行价，其持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有公司股票的锁定期限自动延长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个月，若公司股票在此 </w:t>
            </w:r>
            <w:r>
              <w:rPr>
                <w:rFonts w:ascii="宋体" w:hAnsi="宋体" w:cs="宋体" w:eastAsia="宋体" w:hint="default"/>
                <w:spacing w:val="-1"/>
                <w:sz w:val="18"/>
                <w:szCs w:val="18"/>
              </w:rPr>
              <w:t>期间发生除权、除息的，发行价格将作相应调整；本人不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会因职务变更、离职等原因而拒绝履行上述承诺。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2019-07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60"/>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3171"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在本人股份锁定期满后，担任公司董事、监事或高级管理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人员期间每年转让的公司股份不超过所持有的公司股份 </w:t>
            </w:r>
            <w:r>
              <w:rPr>
                <w:rFonts w:ascii="宋体" w:hAnsi="宋体" w:cs="宋体" w:eastAsia="宋体" w:hint="default"/>
                <w:spacing w:val="-1"/>
                <w:sz w:val="18"/>
                <w:szCs w:val="18"/>
              </w:rPr>
              <w:t>总数的百分之二十五；若本人自公司股票上市之日起六个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月内申报离职，自申报离职之日起十八个月内不转让本人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持有的公司股份；若本人自公司股票上市之日起第七个月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至第十二个月之间申报离职，自申报离职之日起十二个月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内不转让本人持有的公司股份；若本人自公司股票上市之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日起十二个月之后离职，离职后半年内不转让本人持有的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公司股份；且若本人在锁定期满后两年内减持的，减持价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格将不低于公司股票首次公开发行价格（若发生除权、除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履行完 毕</w:t>
            </w:r>
          </w:p>
        </w:tc>
      </w:tr>
    </w:tbl>
    <w:p>
      <w:pPr>
        <w:spacing w:after="0" w:line="316"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r>
        <w:rPr/>
        <w:pict>
          <v:shape style="position:absolute;margin-left:302.324005pt;margin-top:426.765991pt;width:165.3pt;height:46.85pt;mso-position-horizontal-relative:page;mso-position-vertical-relative:page;z-index:-1158112" type="#_x0000_t202" filled="false" stroked="false">
            <v:textbox inset="0,0,0,0">
              <w:txbxContent>
                <w:p>
                  <w:pPr>
                    <w:spacing w:line="240" w:lineRule="auto" w:before="4"/>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转让价格由转让双方协商确定，</w:t>
                  </w:r>
                </w:p>
              </w:txbxContent>
            </v:textbox>
            <w10:wrap type="none"/>
          </v:shape>
        </w:pict>
      </w:r>
      <w:r>
        <w:rPr/>
        <w:pict>
          <v:group style="position:absolute;margin-left:425.619995pt;margin-top:426.765991pt;width:42pt;height:46.85pt;mso-position-horizontal-relative:page;mso-position-vertical-relative:page;z-index:-1158088" coordorigin="8512,8535" coordsize="840,937">
            <v:shape style="position:absolute;left:8512;top:8535;width:840;height:937" coordorigin="8512,8535" coordsize="840,937" path="m8512,9472l9352,9472,9352,8535,8512,8535,8512,947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92"/>
        <w:gridCol w:w="991"/>
        <w:gridCol w:w="850"/>
        <w:gridCol w:w="4537"/>
        <w:gridCol w:w="852"/>
        <w:gridCol w:w="708"/>
        <w:gridCol w:w="636"/>
      </w:tblGrid>
      <w:tr>
        <w:trPr>
          <w:trHeight w:val="320" w:hRule="exact"/>
        </w:trPr>
        <w:tc>
          <w:tcPr>
            <w:tcW w:w="992"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息事项的，减持价格作相应调整</w:t>
            </w:r>
            <w:r>
              <w:rPr>
                <w:rFonts w:ascii="宋体" w:hAnsi="宋体" w:cs="宋体" w:eastAsia="宋体" w:hint="default"/>
                <w:spacing w:val="-92"/>
                <w:sz w:val="18"/>
                <w:szCs w:val="18"/>
              </w:rPr>
              <w:t>）</w:t>
            </w:r>
            <w:r>
              <w:rPr>
                <w:rFonts w:ascii="宋体" w:hAnsi="宋体" w:cs="宋体" w:eastAsia="宋体" w:hint="default"/>
                <w:sz w:val="18"/>
                <w:szCs w:val="18"/>
              </w:rPr>
              <w:t>；公司上市后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85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个交易日的收盘价均低于公司首次公</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开发行股票时的发行价，或者上市后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个月期末收盘价低</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于公司首次公开发行股票时的发行价，本人持有公司股票</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的锁定期限自动延长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个月，若公司股票在此期间发生除</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权、除息的，发行价格将作相应调整；本人不会因职务变</w:t>
            </w: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更、离职等原因而拒绝履行上述承诺。</w:t>
            </w: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在所持公司股票锁定期届满后的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年内，在不丧失公司第</w:t>
            </w: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一大股东及实际控制人地位，以及不违反合肥国创及董永</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878"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55"/>
              <w:jc w:val="both"/>
              <w:rPr>
                <w:rFonts w:ascii="宋体" w:hAnsi="宋体" w:cs="宋体" w:eastAsia="宋体" w:hint="default"/>
                <w:sz w:val="18"/>
                <w:szCs w:val="18"/>
              </w:rPr>
            </w:pPr>
            <w:r>
              <w:rPr>
                <w:rFonts w:ascii="宋体" w:hAnsi="宋体" w:cs="宋体" w:eastAsia="宋体" w:hint="default"/>
                <w:sz w:val="18"/>
                <w:szCs w:val="18"/>
              </w:rPr>
              <w:t>合肥国创智 能科技有限 公司、董永 东、杨杨、 史兴领</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东、杨杨、史兴领已作出的相关承诺的前提下，合肥国创 及董永东、杨杨、史兴领存在对所持公司股票实施有限减 </w:t>
            </w:r>
            <w:r>
              <w:rPr>
                <w:rFonts w:ascii="宋体" w:hAnsi="宋体" w:cs="宋体" w:eastAsia="宋体" w:hint="default"/>
                <w:spacing w:val="-4"/>
                <w:sz w:val="18"/>
                <w:szCs w:val="18"/>
              </w:rPr>
              <w:t>持的可能性，但届时的减持数量和价格将以此为限：（</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合肥国创及董永东、杨杨、史兴领在所持公司股票锁定期</w:t>
            </w:r>
            <w:r>
              <w:rPr>
                <w:rFonts w:ascii="宋体" w:hAnsi="宋体" w:cs="宋体" w:eastAsia="宋体" w:hint="default"/>
                <w:sz w:val="18"/>
                <w:szCs w:val="18"/>
              </w:rPr>
              <w:t> 届满后的二年内，合计减持数量将不超过公司股份总数的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，各自减持公司股票的数量在减持前由前述各方协商确</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-08</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15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68"/>
                <w:sz w:val="18"/>
                <w:szCs w:val="18"/>
              </w:rPr>
              <w:t>）</w:t>
            </w:r>
            <w:r>
              <w:rPr>
                <w:rFonts w:ascii="宋体" w:hAnsi="宋体" w:cs="宋体" w:eastAsia="宋体" w:hint="default"/>
                <w:sz w:val="18"/>
                <w:szCs w:val="18"/>
              </w:rPr>
              <w:t>减持价格将不低于公</w:t>
            </w:r>
            <w:r>
              <w:rPr>
                <w:rFonts w:ascii="宋体" w:hAnsi="宋体" w:cs="宋体" w:eastAsia="宋体" w:hint="default"/>
                <w:spacing w:val="2"/>
                <w:sz w:val="18"/>
                <w:szCs w:val="18"/>
              </w:rPr>
              <w:t>司</w:t>
            </w:r>
            <w:r>
              <w:rPr>
                <w:rFonts w:ascii="宋体" w:hAnsi="宋体" w:cs="宋体" w:eastAsia="宋体" w:hint="default"/>
                <w:sz w:val="18"/>
                <w:szCs w:val="18"/>
              </w:rPr>
              <w:t>股票首次公开发行价</w:t>
            </w:r>
            <w:r>
              <w:rPr>
                <w:rFonts w:ascii="宋体" w:hAnsi="宋体" w:cs="宋体" w:eastAsia="宋体" w:hint="default"/>
                <w:spacing w:val="-68"/>
                <w:sz w:val="18"/>
                <w:szCs w:val="18"/>
              </w:rPr>
              <w:t>格</w:t>
            </w:r>
            <w:r>
              <w:rPr>
                <w:rFonts w:ascii="宋体" w:hAnsi="宋体" w:cs="宋体" w:eastAsia="宋体" w:hint="default"/>
                <w:sz w:val="18"/>
                <w:szCs w:val="18"/>
              </w:rPr>
              <w:t>（若</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发生除权、除息事项的，减持价格作相应调整</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所持公司股票锁定期届满后二年内，在不违反已作出的相</w:t>
            </w: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关承诺的前提下，存在对所持公司股票实施减持的可能</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上海雅弘股</w:t>
            </w: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8"/>
                <w:sz w:val="18"/>
                <w:szCs w:val="18"/>
              </w:rPr>
              <w:t>，</w:t>
            </w:r>
            <w:r>
              <w:rPr>
                <w:rFonts w:ascii="宋体" w:hAnsi="宋体" w:cs="宋体" w:eastAsia="宋体" w:hint="default"/>
                <w:sz w:val="18"/>
                <w:szCs w:val="18"/>
              </w:rPr>
              <w:t>但届时的减持数量和价格将以此为限</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7"/>
                <w:sz w:val="18"/>
                <w:szCs w:val="18"/>
              </w:rPr>
              <w:t>）</w:t>
            </w:r>
            <w:r>
              <w:rPr>
                <w:rFonts w:ascii="宋体" w:hAnsi="宋体" w:cs="宋体" w:eastAsia="宋体" w:hint="default"/>
                <w:sz w:val="18"/>
                <w:szCs w:val="18"/>
              </w:rPr>
              <w:t>在所持公</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权投资基金</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股份减持</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司股票锁定期届满后的二年内，可减持所持公司全部股</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2019-07</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履行完</w:t>
            </w: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中心（有限</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通过证券交易所集中竞价交易系统减持股份的价</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-08</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0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格按届时的市场价格确定；通过证券交易所大宗交易系</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统、协议转让减持股份的，</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并符合有关法律、法规规定。</w:t>
            </w: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在本公司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本人持有科大国创股份期间，本公司及本公司控</w:t>
            </w: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制的其他企业（若有）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本人及本人控制的其他企业，不会</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55"/>
              <w:jc w:val="both"/>
              <w:rPr>
                <w:rFonts w:ascii="宋体" w:hAnsi="宋体" w:cs="宋体" w:eastAsia="宋体" w:hint="default"/>
                <w:sz w:val="18"/>
                <w:szCs w:val="18"/>
              </w:rPr>
            </w:pPr>
            <w:r>
              <w:rPr>
                <w:rFonts w:ascii="宋体" w:hAnsi="宋体" w:cs="宋体" w:eastAsia="宋体" w:hint="default"/>
                <w:sz w:val="18"/>
                <w:szCs w:val="18"/>
              </w:rPr>
              <w:t>合肥国创智 能科技有限 公司、董永 东、杨杨、 史兴领、许 广德</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9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1"/>
              <w:jc w:val="both"/>
              <w:rPr>
                <w:rFonts w:ascii="宋体" w:hAnsi="宋体" w:cs="宋体" w:eastAsia="宋体" w:hint="default"/>
                <w:sz w:val="18"/>
                <w:szCs w:val="18"/>
              </w:rPr>
            </w:pPr>
            <w:r>
              <w:rPr>
                <w:rFonts w:ascii="宋体" w:hAnsi="宋体" w:cs="宋体" w:eastAsia="宋体" w:hint="default"/>
                <w:sz w:val="18"/>
                <w:szCs w:val="18"/>
              </w:rPr>
              <w:t>以任何形式从事与科大国创主营业务相同或相似的业务， 不会投资、收购、兼并与科大国创主营业务相同或相似的 公司、企业和项目，不会以任何方式为科大国创的竞争企 业提供帮助；若违反上述承诺，则本公司及本公司控制的 </w:t>
            </w:r>
            <w:r>
              <w:rPr>
                <w:rFonts w:ascii="宋体" w:hAnsi="宋体" w:cs="宋体" w:eastAsia="宋体" w:hint="default"/>
                <w:spacing w:val="-3"/>
                <w:sz w:val="18"/>
                <w:szCs w:val="18"/>
              </w:rPr>
              <w:t>其他企业（若有）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本人及本人控制的其他企业从事同业竞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争所获得的收益全部归科大国创所有，并赔偿由此给科大</w:t>
            </w:r>
            <w:r>
              <w:rPr>
                <w:rFonts w:ascii="宋体" w:hAnsi="宋体" w:cs="宋体" w:eastAsia="宋体" w:hint="default"/>
                <w:sz w:val="18"/>
                <w:szCs w:val="18"/>
              </w:rPr>
              <w:t> 国创造成的一切经济损失，同时，本公司及本公司控制的</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7"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其他企业（若有）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本人及本人控制的其他企业放弃此类同</w:t>
            </w: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92"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合肥兴泰金</w:t>
            </w:r>
          </w:p>
        </w:tc>
        <w:tc>
          <w:tcPr>
            <w:tcW w:w="850"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融控股（集</w:t>
            </w: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55"/>
              <w:jc w:val="both"/>
              <w:rPr>
                <w:rFonts w:ascii="宋体" w:hAnsi="宋体" w:cs="宋体" w:eastAsia="宋体" w:hint="default"/>
                <w:sz w:val="18"/>
                <w:szCs w:val="18"/>
              </w:rPr>
            </w:pPr>
            <w:r>
              <w:rPr>
                <w:rFonts w:ascii="宋体" w:hAnsi="宋体" w:cs="宋体" w:eastAsia="宋体" w:hint="default"/>
                <w:sz w:val="18"/>
                <w:szCs w:val="18"/>
              </w:rPr>
              <w:t>团）有限公 司、合肥兴 泰资本管理</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81"/>
              <w:jc w:val="left"/>
              <w:rPr>
                <w:rFonts w:ascii="宋体" w:hAnsi="宋体" w:cs="宋体" w:eastAsia="宋体" w:hint="default"/>
                <w:sz w:val="18"/>
                <w:szCs w:val="18"/>
              </w:rPr>
            </w:pPr>
            <w:r>
              <w:rPr>
                <w:rFonts w:ascii="宋体" w:hAnsi="宋体" w:cs="宋体" w:eastAsia="宋体" w:hint="default"/>
                <w:sz w:val="18"/>
                <w:szCs w:val="18"/>
              </w:rPr>
              <w:t>本次所认购科大国创非公开发行股份自此次非公开发行 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月内不予转让，并申请予以锁定。</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安徽安华创</w:t>
            </w:r>
          </w:p>
        </w:tc>
        <w:tc>
          <w:tcPr>
            <w:tcW w:w="850"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992"/>
        <w:gridCol w:w="991"/>
        <w:gridCol w:w="850"/>
        <w:gridCol w:w="4537"/>
        <w:gridCol w:w="852"/>
        <w:gridCol w:w="708"/>
        <w:gridCol w:w="636"/>
      </w:tblGrid>
      <w:tr>
        <w:trPr>
          <w:trHeight w:val="987"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5"/>
              <w:jc w:val="both"/>
              <w:rPr>
                <w:rFonts w:ascii="宋体" w:hAnsi="宋体" w:cs="宋体" w:eastAsia="宋体" w:hint="default"/>
                <w:sz w:val="18"/>
                <w:szCs w:val="18"/>
              </w:rPr>
            </w:pPr>
            <w:r>
              <w:rPr>
                <w:rFonts w:ascii="宋体" w:hAnsi="宋体" w:cs="宋体" w:eastAsia="宋体" w:hint="default"/>
                <w:sz w:val="18"/>
                <w:szCs w:val="18"/>
              </w:rPr>
              <w:t>新三期风险 投资基金有 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7"/>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7"/>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7"/>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8"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7"/>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931"/>
        <w:gridCol w:w="850"/>
        <w:gridCol w:w="1277"/>
        <w:gridCol w:w="1277"/>
        <w:gridCol w:w="1702"/>
        <w:gridCol w:w="1140"/>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0" w:right="98"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5" w:right="34" w:hanging="540"/>
              <w:jc w:val="left"/>
              <w:rPr>
                <w:rFonts w:ascii="宋体" w:hAnsi="宋体" w:cs="宋体" w:eastAsia="宋体" w:hint="default"/>
                <w:sz w:val="18"/>
                <w:szCs w:val="18"/>
              </w:rPr>
            </w:pPr>
            <w:r>
              <w:rPr>
                <w:rFonts w:ascii="宋体" w:hAnsi="宋体" w:cs="宋体" w:eastAsia="宋体" w:hint="default"/>
                <w:sz w:val="18"/>
                <w:szCs w:val="18"/>
              </w:rPr>
              <w:t>未达预测的原因（如 适用）</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3"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9" w:right="0"/>
              <w:jc w:val="left"/>
              <w:rPr>
                <w:rFonts w:ascii="Times New Roman" w:hAnsi="Times New Roman" w:cs="Times New Roman" w:eastAsia="Times New Roman" w:hint="default"/>
                <w:sz w:val="18"/>
                <w:szCs w:val="18"/>
              </w:rPr>
            </w:pPr>
            <w:r>
              <w:rPr>
                <w:rFonts w:ascii="Times New Roman"/>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4,493.94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主要是行业阶段性调 整影响及市场开拓周 期影响。具体详见公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p>
          <w:p>
            <w:pPr>
              <w:pStyle w:val="TableParagraph"/>
              <w:spacing w:line="314" w:lineRule="auto" w:before="63"/>
              <w:ind w:left="23" w:right="46"/>
              <w:jc w:val="left"/>
              <w:rPr>
                <w:rFonts w:ascii="宋体" w:hAnsi="宋体" w:cs="宋体" w:eastAsia="宋体" w:hint="default"/>
                <w:sz w:val="18"/>
                <w:szCs w:val="18"/>
              </w:rPr>
            </w:pPr>
            <w:r>
              <w:rPr>
                <w:rFonts w:ascii="宋体" w:hAnsi="宋体" w:cs="宋体" w:eastAsia="宋体" w:hint="default"/>
                <w:sz w:val="18"/>
                <w:szCs w:val="18"/>
              </w:rPr>
              <w:t>）上披露的《关于安 徽贵博新能科技有限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 承诺实现情况说明的 公告》</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）《科大</w:t>
            </w:r>
            <w:r>
              <w:rPr>
                <w:rFonts w:ascii="宋体" w:hAnsi="宋体" w:cs="宋体" w:eastAsia="宋体" w:hint="default"/>
                <w:sz w:val="18"/>
                <w:szCs w:val="18"/>
              </w:rPr>
              <w:t> 国创软件股份 有限公司发行 股份购买资金 并募集配套资 金暨关联交易 预案》</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line="340" w:lineRule="auto" w:before="115"/>
        <w:ind w:left="513" w:right="113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年完成并购重组贵博新能事项，交易对手方孙路、贵博投资、董先权、徐根义、史兴领、陈学祥、张起云承</w:t>
      </w:r>
    </w:p>
    <w:p>
      <w:pPr>
        <w:spacing w:line="22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诺：贵博新能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是指科大国创聘请的具有证券期货业务资格的会计师事务</w:t>
      </w:r>
    </w:p>
    <w:p>
      <w:pPr>
        <w:spacing w:line="316" w:lineRule="auto" w:before="6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所审计的贵博新能合并报表中归属于母公司所有者的税后净利润，且该净利润以扣除非经常性损益前后孰低者为准）分别不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低于人民币</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万元（三年累计承诺净利润为</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r>
        <w:rPr>
          <w:rFonts w:ascii="宋体" w:hAnsi="宋体" w:cs="宋体" w:eastAsia="宋体" w:hint="default"/>
          <w:sz w:val="18"/>
          <w:szCs w:val="18"/>
        </w:rPr>
        <w:t> </w:t>
      </w:r>
    </w:p>
    <w:p>
      <w:pPr>
        <w:spacing w:after="0" w:line="316"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300" w:lineRule="auto" w:before="115"/>
        <w:ind w:left="153" w:right="1039" w:firstLine="360"/>
        <w:jc w:val="left"/>
        <w:rPr>
          <w:rFonts w:ascii="宋体" w:hAnsi="宋体" w:cs="宋体" w:eastAsia="宋体" w:hint="default"/>
          <w:sz w:val="18"/>
          <w:szCs w:val="18"/>
        </w:rPr>
      </w:pPr>
      <w:r>
        <w:rPr>
          <w:rFonts w:ascii="宋体" w:hAnsi="宋体" w:cs="宋体" w:eastAsia="宋体" w:hint="default"/>
          <w:spacing w:val="-3"/>
          <w:sz w:val="18"/>
          <w:szCs w:val="18"/>
        </w:rPr>
        <w:t>公司收购贵博新能的业绩承诺期为</w:t>
      </w:r>
      <w:r>
        <w:rPr>
          <w:rFonts w:ascii="Times New Roman" w:hAnsi="Times New Roman" w:cs="Times New Roman" w:eastAsia="Times New Roman" w:hint="default"/>
          <w:spacing w:val="-3"/>
          <w:sz w:val="18"/>
          <w:szCs w:val="18"/>
        </w:rPr>
        <w:t>2018-2020</w:t>
      </w:r>
      <w:r>
        <w:rPr>
          <w:rFonts w:ascii="宋体" w:hAnsi="宋体" w:cs="宋体" w:eastAsia="宋体" w:hint="default"/>
          <w:spacing w:val="-3"/>
          <w:sz w:val="18"/>
          <w:szCs w:val="18"/>
        </w:rPr>
        <w:t>年度，根据容诚会计师事务所（特殊普通合伙）出具的《关于贵博新能</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年度业绩承诺实现情况说明的审核报告》（容诚专字</w:t>
      </w:r>
      <w:r>
        <w:rPr>
          <w:rFonts w:ascii="Times New Roman" w:hAnsi="Times New Roman" w:cs="Times New Roman" w:eastAsia="Times New Roman" w:hint="default"/>
          <w:spacing w:val="-1"/>
          <w:sz w:val="18"/>
          <w:szCs w:val="18"/>
        </w:rPr>
        <w:t>[2020]230Z0600</w:t>
      </w:r>
      <w:r>
        <w:rPr>
          <w:rFonts w:ascii="宋体" w:hAnsi="宋体" w:cs="宋体" w:eastAsia="宋体" w:hint="default"/>
          <w:spacing w:val="-1"/>
          <w:sz w:val="18"/>
          <w:szCs w:val="18"/>
        </w:rPr>
        <w:t>号），贵博新能</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年度的业绩承诺实现</w:t>
      </w:r>
      <w:r>
        <w:rPr>
          <w:rFonts w:ascii="Times New Roman" w:hAnsi="Times New Roman" w:cs="Times New Roman" w:eastAsia="Times New Roman" w:hint="default"/>
          <w:spacing w:val="-1"/>
          <w:sz w:val="18"/>
          <w:szCs w:val="18"/>
        </w:rPr>
        <w:t>4,151.89</w:t>
      </w:r>
      <w:r>
        <w:rPr>
          <w:rFonts w:ascii="宋体" w:hAnsi="宋体" w:cs="宋体" w:eastAsia="宋体" w:hint="default"/>
          <w:spacing w:val="-1"/>
          <w:sz w:val="18"/>
          <w:szCs w:val="18"/>
        </w:rPr>
        <w:t>万元，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完成当年业绩承诺的</w:t>
      </w:r>
      <w:r>
        <w:rPr>
          <w:rFonts w:ascii="Times New Roman" w:hAnsi="Times New Roman" w:cs="Times New Roman" w:eastAsia="Times New Roman" w:hint="default"/>
          <w:sz w:val="18"/>
          <w:szCs w:val="18"/>
        </w:rPr>
        <w:t>103.80%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年度的业绩承诺实现</w:t>
      </w:r>
      <w:r>
        <w:rPr>
          <w:rFonts w:ascii="Times New Roman" w:hAnsi="Times New Roman" w:cs="Times New Roman" w:eastAsia="Times New Roman" w:hint="default"/>
          <w:sz w:val="18"/>
          <w:szCs w:val="18"/>
        </w:rPr>
        <w:t>4,493.94</w:t>
      </w:r>
      <w:r>
        <w:rPr>
          <w:rFonts w:ascii="宋体" w:hAnsi="宋体" w:cs="宋体" w:eastAsia="宋体" w:hint="default"/>
          <w:sz w:val="18"/>
          <w:szCs w:val="18"/>
        </w:rPr>
        <w:t>万元，完成当年业绩承诺的</w:t>
      </w:r>
      <w:r>
        <w:rPr>
          <w:rFonts w:ascii="Times New Roman" w:hAnsi="Times New Roman" w:cs="Times New Roman" w:eastAsia="Times New Roman" w:hint="default"/>
          <w:sz w:val="18"/>
          <w:szCs w:val="18"/>
        </w:rPr>
        <w:t>89.88%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宋体" w:hAnsi="宋体" w:cs="宋体" w:eastAsia="宋体" w:hint="default"/>
          <w:spacing w:val="-42"/>
          <w:sz w:val="18"/>
          <w:szCs w:val="18"/>
        </w:rPr>
        <w:t> </w:t>
      </w:r>
      <w:r>
        <w:rPr>
          <w:rFonts w:ascii="宋体" w:hAnsi="宋体" w:cs="宋体" w:eastAsia="宋体" w:hint="default"/>
          <w:sz w:val="18"/>
          <w:szCs w:val="18"/>
        </w:rPr>
        <w:t>的业绩承诺累计实现</w:t>
      </w:r>
      <w:r>
        <w:rPr>
          <w:rFonts w:ascii="Times New Roman" w:hAnsi="Times New Roman" w:cs="Times New Roman" w:eastAsia="Times New Roman" w:hint="default"/>
          <w:sz w:val="18"/>
          <w:szCs w:val="18"/>
        </w:rPr>
        <w:t>8,645.83</w:t>
      </w:r>
      <w:r>
        <w:rPr>
          <w:rFonts w:ascii="宋体" w:hAnsi="宋体" w:cs="宋体" w:eastAsia="宋体" w:hint="default"/>
          <w:sz w:val="18"/>
          <w:szCs w:val="18"/>
        </w:rPr>
        <w:t>万元，较两年累计承诺数</w:t>
      </w:r>
      <w:r>
        <w:rPr>
          <w:rFonts w:ascii="Times New Roman" w:hAnsi="Times New Roman" w:cs="Times New Roman" w:eastAsia="Times New Roman" w:hint="default"/>
          <w:sz w:val="18"/>
          <w:szCs w:val="18"/>
        </w:rPr>
        <w:t>9,000</w:t>
      </w:r>
      <w:r>
        <w:rPr>
          <w:rFonts w:ascii="宋体" w:hAnsi="宋体" w:cs="宋体" w:eastAsia="宋体" w:hint="default"/>
          <w:sz w:val="18"/>
          <w:szCs w:val="18"/>
        </w:rPr>
        <w:t>万元相差</w:t>
      </w:r>
      <w:r>
        <w:rPr>
          <w:rFonts w:ascii="Times New Roman" w:hAnsi="Times New Roman" w:cs="Times New Roman" w:eastAsia="Times New Roman" w:hint="default"/>
          <w:sz w:val="18"/>
          <w:szCs w:val="18"/>
        </w:rPr>
        <w:t>-354.17</w:t>
      </w:r>
      <w:r>
        <w:rPr>
          <w:rFonts w:ascii="宋体" w:hAnsi="宋体" w:cs="宋体" w:eastAsia="宋体" w:hint="default"/>
          <w:sz w:val="18"/>
          <w:szCs w:val="18"/>
        </w:rPr>
        <w:t>万元，差异率</w:t>
      </w:r>
      <w:r>
        <w:rPr>
          <w:rFonts w:ascii="Times New Roman" w:hAnsi="Times New Roman" w:cs="Times New Roman" w:eastAsia="Times New Roman" w:hint="default"/>
          <w:sz w:val="18"/>
          <w:szCs w:val="18"/>
        </w:rPr>
        <w:t>3.93%</w:t>
      </w:r>
      <w:r>
        <w:rPr>
          <w:rFonts w:ascii="宋体" w:hAnsi="宋体" w:cs="宋体" w:eastAsia="宋体" w:hint="default"/>
          <w:sz w:val="18"/>
          <w:szCs w:val="18"/>
        </w:rPr>
        <w:t>。</w:t>
      </w:r>
    </w:p>
    <w:p>
      <w:pPr>
        <w:spacing w:line="309" w:lineRule="auto" w:before="53"/>
        <w:ind w:left="153" w:right="1037" w:firstLine="360"/>
        <w:jc w:val="both"/>
        <w:rPr>
          <w:rFonts w:ascii="宋体" w:hAnsi="宋体" w:cs="宋体" w:eastAsia="宋体" w:hint="default"/>
          <w:sz w:val="18"/>
          <w:szCs w:val="18"/>
        </w:rPr>
      </w:pPr>
      <w:r>
        <w:rPr>
          <w:rFonts w:ascii="宋体" w:hAnsi="宋体" w:cs="宋体" w:eastAsia="宋体" w:hint="default"/>
          <w:spacing w:val="-2"/>
          <w:sz w:val="18"/>
          <w:szCs w:val="18"/>
        </w:rPr>
        <w:t>根据中水致远资产评估有限公司出具的《科大国创软件股份有限公司并购安徽贵博新能科技有限公司所涉及的以财务报</w:t>
      </w:r>
      <w:r>
        <w:rPr>
          <w:rFonts w:ascii="宋体" w:hAnsi="宋体" w:cs="宋体" w:eastAsia="宋体" w:hint="default"/>
          <w:sz w:val="18"/>
          <w:szCs w:val="18"/>
        </w:rPr>
        <w:t> 告为目的的商誉减值测试项目资产评估报告》（中水致远评报字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020075</w:t>
      </w:r>
      <w:r>
        <w:rPr>
          <w:rFonts w:ascii="宋体" w:hAnsi="宋体" w:cs="宋体" w:eastAsia="宋体" w:hint="default"/>
          <w:sz w:val="18"/>
          <w:szCs w:val="18"/>
        </w:rPr>
        <w:t>号），于评估基准日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日，贵博 </w:t>
      </w:r>
      <w:r>
        <w:rPr>
          <w:rFonts w:ascii="宋体" w:hAnsi="宋体" w:cs="宋体" w:eastAsia="宋体" w:hint="default"/>
          <w:spacing w:val="-2"/>
          <w:sz w:val="18"/>
          <w:szCs w:val="18"/>
        </w:rPr>
        <w:t>新能包含商誉的资产组或资产组组合可收回金额为</w:t>
      </w:r>
      <w:r>
        <w:rPr>
          <w:rFonts w:ascii="Times New Roman" w:hAnsi="Times New Roman" w:cs="Times New Roman" w:eastAsia="Times New Roman" w:hint="default"/>
          <w:spacing w:val="-2"/>
          <w:sz w:val="18"/>
          <w:szCs w:val="18"/>
        </w:rPr>
        <w:t>771,400,000.00</w:t>
      </w:r>
      <w:r>
        <w:rPr>
          <w:rFonts w:ascii="宋体" w:hAnsi="宋体" w:cs="宋体" w:eastAsia="宋体" w:hint="default"/>
          <w:spacing w:val="-2"/>
          <w:sz w:val="18"/>
          <w:szCs w:val="18"/>
        </w:rPr>
        <w:t>元，高于账面价值</w:t>
      </w:r>
      <w:r>
        <w:rPr>
          <w:rFonts w:ascii="Times New Roman" w:hAnsi="Times New Roman" w:cs="Times New Roman" w:eastAsia="Times New Roman" w:hint="default"/>
          <w:spacing w:val="-2"/>
          <w:sz w:val="18"/>
          <w:szCs w:val="18"/>
        </w:rPr>
        <w:t>767,547,886.03</w:t>
      </w:r>
      <w:r>
        <w:rPr>
          <w:rFonts w:ascii="宋体" w:hAnsi="宋体" w:cs="宋体" w:eastAsia="宋体" w:hint="default"/>
          <w:spacing w:val="-2"/>
          <w:sz w:val="18"/>
          <w:szCs w:val="18"/>
        </w:rPr>
        <w:t>元，商誉未发生减值情况。</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1133"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日，公司召开第三届董事会第二次会议，审议通过了《关于会计政策变更的议案》。</w:t>
      </w:r>
      <w:r>
        <w:rPr>
          <w:w w:val="100"/>
        </w:rPr>
        <w:t> </w:t>
      </w:r>
      <w:r>
        <w:rPr>
          <w:spacing w:val="-2"/>
        </w:rPr>
        <w:t>财政部于</w:t>
      </w:r>
      <w:r>
        <w:rPr>
          <w:rFonts w:ascii="Times New Roman" w:hAnsi="Times New Roman" w:cs="Times New Roman" w:eastAsia="Times New Roman" w:hint="default"/>
          <w:spacing w:val="-2"/>
        </w:rPr>
        <w:t>2017</w:t>
      </w:r>
      <w:r>
        <w:rPr>
          <w:spacing w:val="-2"/>
        </w:rPr>
        <w:t>年度陆续修订并发布了《企业会计准则第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金融工具确认和计量》（财会</w:t>
      </w:r>
      <w:r>
        <w:rPr>
          <w:rFonts w:ascii="Times New Roman" w:hAnsi="Times New Roman" w:cs="Times New Roman" w:eastAsia="Times New Roman" w:hint="default"/>
          <w:spacing w:val="-2"/>
        </w:rPr>
        <w:t>[2017]7</w:t>
      </w:r>
      <w:r>
        <w:rPr>
          <w:spacing w:val="-2"/>
        </w:rPr>
        <w:t>号）、</w:t>
      </w:r>
    </w:p>
    <w:p>
      <w:pPr>
        <w:pStyle w:val="BodyText"/>
        <w:spacing w:line="256" w:lineRule="auto" w:before="5"/>
        <w:ind w:right="1129"/>
        <w:jc w:val="both"/>
      </w:pPr>
      <w:r>
        <w:rPr>
          <w:spacing w:val="-11"/>
          <w:w w:val="100"/>
        </w:rPr>
        <w:t>《企业会计准则第</w:t>
      </w:r>
      <w:r>
        <w:rPr>
          <w:rFonts w:ascii="Times New Roman" w:hAnsi="Times New Roman" w:cs="Times New Roman" w:eastAsia="Times New Roman" w:hint="default"/>
          <w:spacing w:val="-11"/>
          <w:w w:val="100"/>
        </w:rPr>
        <w:t>23</w:t>
      </w:r>
      <w:r>
        <w:rPr>
          <w:spacing w:val="-11"/>
          <w:w w:val="100"/>
        </w:rPr>
        <w:t>号</w:t>
      </w:r>
      <w:r>
        <w:rPr>
          <w:rFonts w:ascii="Times New Roman" w:hAnsi="Times New Roman" w:cs="Times New Roman" w:eastAsia="Times New Roman" w:hint="default"/>
          <w:spacing w:val="-11"/>
          <w:w w:val="100"/>
        </w:rPr>
        <w:t>—</w:t>
      </w:r>
      <w:r>
        <w:rPr>
          <w:spacing w:val="-11"/>
          <w:w w:val="100"/>
        </w:rPr>
        <w:t>金融资产转移》（财会</w:t>
      </w:r>
      <w:r>
        <w:rPr>
          <w:rFonts w:ascii="Times New Roman" w:hAnsi="Times New Roman" w:cs="Times New Roman" w:eastAsia="Times New Roman" w:hint="default"/>
          <w:spacing w:val="-11"/>
          <w:w w:val="100"/>
        </w:rPr>
        <w:t>[2017]8</w:t>
      </w:r>
      <w:r>
        <w:rPr>
          <w:spacing w:val="-11"/>
          <w:w w:val="100"/>
        </w:rPr>
        <w:t>号）、企业会计准则第</w:t>
      </w:r>
      <w:r>
        <w:rPr>
          <w:rFonts w:ascii="Times New Roman" w:hAnsi="Times New Roman" w:cs="Times New Roman" w:eastAsia="Times New Roman" w:hint="default"/>
          <w:spacing w:val="-11"/>
          <w:w w:val="100"/>
        </w:rPr>
        <w:t>24</w:t>
      </w:r>
      <w:r>
        <w:rPr>
          <w:spacing w:val="-11"/>
          <w:w w:val="100"/>
        </w:rPr>
        <w:t>号</w:t>
      </w:r>
      <w:r>
        <w:rPr>
          <w:rFonts w:ascii="Times New Roman" w:hAnsi="Times New Roman" w:cs="Times New Roman" w:eastAsia="Times New Roman" w:hint="default"/>
          <w:spacing w:val="-11"/>
          <w:w w:val="100"/>
        </w:rPr>
        <w:t>—</w:t>
      </w:r>
      <w:r>
        <w:rPr>
          <w:spacing w:val="-11"/>
          <w:w w:val="100"/>
        </w:rPr>
        <w:t>套期会计》（财会</w:t>
      </w:r>
      <w:r>
        <w:rPr>
          <w:rFonts w:ascii="Times New Roman" w:hAnsi="Times New Roman" w:cs="Times New Roman" w:eastAsia="Times New Roman" w:hint="default"/>
          <w:spacing w:val="-11"/>
          <w:w w:val="100"/>
        </w:rPr>
        <w:t>[2017]9</w:t>
      </w:r>
      <w:r>
        <w:rPr>
          <w:rFonts w:ascii="Times New Roman" w:hAnsi="Times New Roman" w:cs="Times New Roman" w:eastAsia="Times New Roman" w:hint="default"/>
          <w:w w:val="100"/>
        </w:rPr>
        <w:t> </w:t>
      </w:r>
      <w:r>
        <w:rPr>
          <w:rFonts w:ascii="Times New Roman" w:hAnsi="Times New Roman" w:cs="Times New Roman" w:eastAsia="Times New Roman" w:hint="default"/>
          <w:w w:val="100"/>
        </w:rPr>
      </w:r>
      <w:r>
        <w:rPr/>
        <w:t>号）、《企业会计准则第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[2017]14</w:t>
      </w:r>
      <w:r>
        <w:rPr/>
        <w:t>号）等四项金融工具相关会计准则，要求</w:t>
      </w:r>
      <w:r>
        <w:rPr>
          <w:spacing w:val="-57"/>
        </w:rPr>
        <w:t> </w:t>
      </w:r>
      <w:r>
        <w:rPr>
          <w:spacing w:val="-57"/>
        </w:rPr>
      </w:r>
      <w:r>
        <w:rPr>
          <w:spacing w:val="2"/>
        </w:rPr>
        <w:t>境内上市企业自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日起执行新金融工具准则。公司按照上述通知对原会计政策进行相应调整变</w:t>
      </w:r>
      <w:r>
        <w:rPr>
          <w:spacing w:val="-32"/>
        </w:rPr>
        <w:t> </w:t>
      </w:r>
      <w:r>
        <w:rPr>
          <w:spacing w:val="-32"/>
        </w:rPr>
      </w:r>
      <w:r>
        <w:rPr/>
        <w:t>更，并按以上文件规定的起始日开始执行上述会计准则。</w:t>
      </w:r>
    </w:p>
    <w:p>
      <w:pPr>
        <w:pStyle w:val="BodyText"/>
        <w:spacing w:line="261" w:lineRule="auto" w:before="22"/>
        <w:ind w:right="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日，公司召开第三届董事会第六次会议，审议通过了《关于会计政策变更的议案》。</w:t>
      </w:r>
      <w:r>
        <w:rPr>
          <w:w w:val="100"/>
        </w:rPr>
        <w:t> </w:t>
      </w:r>
      <w:r>
        <w:rPr>
          <w:spacing w:val="-6"/>
          <w:w w:val="100"/>
        </w:rPr>
        <w:t>财政部于</w:t>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4</w:t>
      </w:r>
      <w:r>
        <w:rPr>
          <w:spacing w:val="-6"/>
          <w:w w:val="100"/>
        </w:rPr>
        <w:t>月</w:t>
      </w:r>
      <w:r>
        <w:rPr>
          <w:rFonts w:ascii="Times New Roman" w:hAnsi="Times New Roman" w:cs="Times New Roman" w:eastAsia="Times New Roman" w:hint="default"/>
          <w:spacing w:val="-6"/>
          <w:w w:val="100"/>
        </w:rPr>
        <w:t>30</w:t>
      </w:r>
      <w:r>
        <w:rPr>
          <w:spacing w:val="-6"/>
          <w:w w:val="100"/>
        </w:rPr>
        <w:t>日发布了《关于修订印发</w:t>
      </w:r>
      <w:r>
        <w:rPr>
          <w:rFonts w:ascii="Times New Roman" w:hAnsi="Times New Roman" w:cs="Times New Roman" w:eastAsia="Times New Roman" w:hint="default"/>
          <w:spacing w:val="-6"/>
          <w:w w:val="100"/>
        </w:rPr>
        <w:t>2019</w:t>
      </w:r>
      <w:r>
        <w:rPr>
          <w:spacing w:val="-6"/>
          <w:w w:val="100"/>
        </w:rPr>
        <w:t>年度一般企业财务报表格式的通知》（财会</w:t>
      </w:r>
      <w:r>
        <w:rPr>
          <w:rFonts w:ascii="Times New Roman" w:hAnsi="Times New Roman" w:cs="Times New Roman" w:eastAsia="Times New Roman" w:hint="default"/>
          <w:spacing w:val="-6"/>
          <w:w w:val="100"/>
        </w:rPr>
        <w:t>[2019]6</w:t>
      </w:r>
      <w:r>
        <w:rPr>
          <w:spacing w:val="-6"/>
          <w:w w:val="100"/>
        </w:rPr>
        <w:t>号），</w:t>
      </w:r>
      <w:r>
        <w:rPr>
          <w:w w:val="100"/>
        </w:rPr>
        <w:t> </w:t>
      </w:r>
      <w:r>
        <w:rPr>
          <w:spacing w:val="-2"/>
        </w:rPr>
        <w:t>对一般企业财务报表格式进行了修订，要求执行企业会计准则的非金融企业按照通知要求编制</w:t>
      </w:r>
      <w:r>
        <w:rPr>
          <w:rFonts w:ascii="Times New Roman" w:hAnsi="Times New Roman" w:cs="Times New Roman" w:eastAsia="Times New Roman" w:hint="default"/>
          <w:spacing w:val="-2"/>
        </w:rPr>
        <w:t>2019</w:t>
      </w:r>
      <w:r>
        <w:rPr>
          <w:spacing w:val="-2"/>
        </w:rPr>
        <w:t>年度中</w:t>
      </w:r>
      <w:r>
        <w:rPr>
          <w:spacing w:val="-39"/>
        </w:rPr>
        <w:t> </w:t>
      </w:r>
      <w:r>
        <w:rPr>
          <w:spacing w:val="-39"/>
        </w:rPr>
      </w:r>
      <w:r>
        <w:rPr>
          <w:spacing w:val="-2"/>
        </w:rPr>
        <w:t>期财务报表和年度财务报表以及以后期间的财务报表。公司按照上述通知的要求，调整相关财务报表格式</w:t>
      </w:r>
      <w:r>
        <w:rPr>
          <w:spacing w:val="-43"/>
        </w:rPr>
        <w:t> </w:t>
      </w:r>
      <w:r>
        <w:rPr>
          <w:spacing w:val="-43"/>
        </w:rPr>
      </w:r>
      <w:r>
        <w:rPr/>
        <w:t>和部分项目的列报，并对可比会计期间的比较数据进行调整。</w:t>
      </w:r>
    </w:p>
    <w:p>
      <w:pPr>
        <w:pStyle w:val="BodyText"/>
        <w:spacing w:line="256" w:lineRule="auto" w:before="18"/>
        <w:ind w:right="0"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日，公司召开第三届董事会第八次会议，审议通过了《关于会计政策变更的议案》。</w:t>
      </w:r>
      <w:r>
        <w:rPr>
          <w:w w:val="100"/>
        </w:rPr>
        <w:t> </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&gt;</w:t>
      </w:r>
      <w:r>
        <w:rPr/>
        <w:t>的通知》（财</w:t>
      </w:r>
      <w:r>
        <w:rPr>
          <w:spacing w:val="-52"/>
        </w:rPr>
        <w:t> </w:t>
      </w:r>
      <w:r>
        <w:rPr>
          <w:spacing w:val="-52"/>
        </w:rPr>
      </w:r>
      <w:r>
        <w:rPr/>
        <w:t>会</w:t>
      </w:r>
      <w:r>
        <w:rPr>
          <w:rFonts w:ascii="Times New Roman" w:hAnsi="Times New Roman" w:cs="Times New Roman" w:eastAsia="Times New Roman" w:hint="default"/>
        </w:rPr>
        <w:t>[2019]8</w:t>
      </w:r>
      <w:r>
        <w:rPr/>
        <w:t>号），要求所有执行企业会计准则的企业施行修订后的《企业会计准则第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w:t>
      </w:r>
      <w:r>
        <w:rPr>
          <w:spacing w:val="-56"/>
        </w:rPr>
        <w:t> </w:t>
      </w:r>
      <w:r>
        <w:rPr>
          <w:spacing w:val="-7"/>
          <w:w w:val="100"/>
        </w:rPr>
        <w:t>交换》；于</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5</w:t>
      </w:r>
      <w:r>
        <w:rPr>
          <w:spacing w:val="-7"/>
          <w:w w:val="100"/>
        </w:rPr>
        <w:t>月</w:t>
      </w:r>
      <w:r>
        <w:rPr>
          <w:rFonts w:ascii="Times New Roman" w:hAnsi="Times New Roman" w:cs="Times New Roman" w:eastAsia="Times New Roman" w:hint="default"/>
          <w:spacing w:val="-7"/>
          <w:w w:val="100"/>
        </w:rPr>
        <w:t>16</w:t>
      </w:r>
      <w:r>
        <w:rPr>
          <w:spacing w:val="-7"/>
          <w:w w:val="100"/>
        </w:rPr>
        <w:t>日发布了《关于印发修订</w:t>
      </w:r>
      <w:r>
        <w:rPr>
          <w:rFonts w:ascii="Times New Roman" w:hAnsi="Times New Roman" w:cs="Times New Roman" w:eastAsia="Times New Roman" w:hint="default"/>
          <w:spacing w:val="-7"/>
          <w:w w:val="100"/>
        </w:rPr>
        <w:t>&lt;</w:t>
      </w:r>
      <w:r>
        <w:rPr>
          <w:spacing w:val="-7"/>
          <w:w w:val="100"/>
        </w:rPr>
        <w:t>企业会计准则第</w:t>
      </w:r>
      <w:r>
        <w:rPr>
          <w:rFonts w:ascii="Times New Roman" w:hAnsi="Times New Roman" w:cs="Times New Roman" w:eastAsia="Times New Roman" w:hint="default"/>
          <w:spacing w:val="-7"/>
          <w:w w:val="100"/>
        </w:rPr>
        <w:t>9</w:t>
      </w:r>
      <w:r>
        <w:rPr>
          <w:spacing w:val="-7"/>
          <w:w w:val="100"/>
        </w:rPr>
        <w:t>号</w:t>
      </w:r>
      <w:r>
        <w:rPr>
          <w:rFonts w:ascii="Times New Roman" w:hAnsi="Times New Roman" w:cs="Times New Roman" w:eastAsia="Times New Roman" w:hint="default"/>
          <w:spacing w:val="-7"/>
          <w:w w:val="100"/>
        </w:rPr>
        <w:t>——</w:t>
      </w:r>
      <w:r>
        <w:rPr>
          <w:spacing w:val="-7"/>
          <w:w w:val="100"/>
        </w:rPr>
        <w:t>债务重组</w:t>
      </w:r>
      <w:r>
        <w:rPr>
          <w:rFonts w:ascii="Times New Roman" w:hAnsi="Times New Roman" w:cs="Times New Roman" w:eastAsia="Times New Roman" w:hint="default"/>
          <w:spacing w:val="-7"/>
          <w:w w:val="100"/>
        </w:rPr>
        <w:t>&gt;</w:t>
      </w:r>
      <w:r>
        <w:rPr>
          <w:spacing w:val="-7"/>
          <w:w w:val="100"/>
        </w:rPr>
        <w:t>的通知》（财会</w:t>
      </w:r>
      <w:r>
        <w:rPr>
          <w:rFonts w:ascii="Times New Roman" w:hAnsi="Times New Roman" w:cs="Times New Roman" w:eastAsia="Times New Roman" w:hint="default"/>
          <w:spacing w:val="-7"/>
          <w:w w:val="100"/>
        </w:rPr>
        <w:t>[2019]9</w:t>
      </w:r>
      <w:r>
        <w:rPr>
          <w:rFonts w:ascii="Times New Roman" w:hAnsi="Times New Roman" w:cs="Times New Roman" w:eastAsia="Times New Roman" w:hint="default"/>
          <w:spacing w:val="-31"/>
          <w:w w:val="100"/>
        </w:rPr>
        <w:t> </w:t>
      </w:r>
      <w:r>
        <w:rPr>
          <w:rFonts w:ascii="Times New Roman" w:hAnsi="Times New Roman" w:cs="Times New Roman" w:eastAsia="Times New Roman" w:hint="default"/>
          <w:spacing w:val="-31"/>
          <w:w w:val="100"/>
        </w:rPr>
      </w:r>
      <w:r>
        <w:rPr>
          <w:spacing w:val="-2"/>
        </w:rPr>
        <w:t>号），要求所有执行企业会计准则的企业施行修订后的《企业会计准则第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债务重组》；于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2"/>
        </w:rPr>
        <w:t> </w:t>
      </w:r>
      <w:r>
        <w:rPr/>
        <w:t>月</w:t>
      </w:r>
      <w:r>
        <w:rPr>
          <w:rFonts w:ascii="Times New Roman" w:hAnsi="Times New Roman" w:cs="Times New Roman" w:eastAsia="Times New Roman" w:hint="default"/>
        </w:rPr>
        <w:t>19</w:t>
      </w:r>
      <w:r>
        <w:rPr/>
        <w:t>日发布了《关于修订印发合并财务报表格式（</w:t>
      </w:r>
      <w:r>
        <w:rPr>
          <w:rFonts w:ascii="Times New Roman" w:hAnsi="Times New Roman" w:cs="Times New Roman" w:eastAsia="Times New Roman" w:hint="default"/>
        </w:rPr>
        <w:t>2019 </w:t>
      </w:r>
      <w:r>
        <w:rPr/>
        <w:t>版）的通知》（财会</w:t>
      </w:r>
      <w:r>
        <w:rPr>
          <w:rFonts w:ascii="Times New Roman" w:hAnsi="Times New Roman" w:cs="Times New Roman" w:eastAsia="Times New Roman" w:hint="default"/>
        </w:rPr>
        <w:t>[2019]16</w:t>
      </w:r>
      <w:r>
        <w:rPr/>
        <w:t>号）（以下简称</w:t>
      </w:r>
      <w:r>
        <w:rPr>
          <w:rFonts w:ascii="Times New Roman" w:hAnsi="Times New Roman" w:cs="Times New Roman" w:eastAsia="Times New Roman" w:hint="default"/>
        </w:rPr>
        <w:t>“</w:t>
      </w:r>
      <w:r>
        <w:rPr/>
        <w:t>财</w:t>
      </w:r>
      <w:r>
        <w:rPr>
          <w:spacing w:val="-52"/>
        </w:rPr>
        <w:t> </w:t>
      </w:r>
      <w:r>
        <w:rPr/>
        <w:t>会</w:t>
      </w:r>
      <w:r>
        <w:rPr>
          <w:rFonts w:ascii="Times New Roman" w:hAnsi="Times New Roman" w:cs="Times New Roman" w:eastAsia="Times New Roman" w:hint="default"/>
        </w:rPr>
        <w:t>[2019]16</w:t>
      </w:r>
      <w:r>
        <w:rPr/>
        <w:t>号文件</w:t>
      </w:r>
      <w:r>
        <w:rPr>
          <w:rFonts w:ascii="Times New Roman" w:hAnsi="Times New Roman" w:cs="Times New Roman" w:eastAsia="Times New Roman" w:hint="default"/>
        </w:rPr>
        <w:t>”</w:t>
      </w:r>
      <w:r>
        <w:rPr/>
        <w:t>），要求执行企业会计准则的企业按照企业会计准则和财会</w:t>
      </w:r>
      <w:r>
        <w:rPr>
          <w:rFonts w:ascii="Times New Roman" w:hAnsi="Times New Roman" w:cs="Times New Roman" w:eastAsia="Times New Roman" w:hint="default"/>
        </w:rPr>
        <w:t>[2019]16</w:t>
      </w:r>
      <w:r>
        <w:rPr/>
        <w:t>号文件的规定编制</w:t>
      </w:r>
    </w:p>
    <w:p>
      <w:pPr>
        <w:spacing w:after="0" w:line="256"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66" w:lineRule="auto" w:before="36"/>
        <w:ind w:right="1126"/>
        <w:jc w:val="both"/>
      </w:pPr>
      <w:r>
        <w:rPr/>
        <w:t>的规定编制财务报表，企业</w:t>
      </w:r>
      <w:r>
        <w:rPr>
          <w:rFonts w:ascii="Times New Roman" w:hAnsi="Times New Roman" w:cs="Times New Roman" w:eastAsia="Times New Roman" w:hint="default"/>
        </w:rPr>
        <w:t>2019</w:t>
      </w:r>
      <w:r>
        <w:rPr/>
        <w:t>年度合并财务报表及以后期间的合并财务报表均按财会</w:t>
      </w:r>
      <w:r>
        <w:rPr>
          <w:rFonts w:ascii="Times New Roman" w:hAnsi="Times New Roman" w:cs="Times New Roman" w:eastAsia="Times New Roman" w:hint="default"/>
        </w:rPr>
        <w:t>[2019]16</w:t>
      </w:r>
      <w:r>
        <w:rPr/>
        <w:t>号文件的</w:t>
      </w:r>
      <w:r>
        <w:rPr>
          <w:spacing w:val="-59"/>
        </w:rPr>
        <w:t> </w:t>
      </w:r>
      <w:r>
        <w:rPr>
          <w:spacing w:val="-59"/>
        </w:rPr>
      </w:r>
      <w:r>
        <w:rPr>
          <w:spacing w:val="-2"/>
        </w:rPr>
        <w:t>规定编制执行。公司按照上述通知对原会计政策进行相应调整变更，并按以上文件规定的起始日开始执行</w:t>
      </w:r>
      <w:r>
        <w:rPr>
          <w:spacing w:val="-43"/>
        </w:rPr>
        <w:t> </w:t>
      </w:r>
      <w:r>
        <w:rPr>
          <w:spacing w:val="-43"/>
        </w:rPr>
      </w:r>
      <w:r>
        <w:rPr/>
        <w:t>上述会计准则。</w:t>
      </w:r>
    </w:p>
    <w:p>
      <w:pPr>
        <w:pStyle w:val="BodyText"/>
        <w:spacing w:line="256" w:lineRule="auto" w:before="14"/>
        <w:ind w:right="1133" w:firstLine="420"/>
        <w:jc w:val="left"/>
      </w:pPr>
      <w:r>
        <w:rPr>
          <w:spacing w:val="-3"/>
        </w:rPr>
        <w:t>上述会计政策变更具体内容详见公司在巨潮资讯网（</w:t>
      </w:r>
      <w:hyperlink r:id="rId12">
        <w:r>
          <w:rPr>
            <w:rFonts w:ascii="Times New Roman" w:hAnsi="Times New Roman" w:cs="Times New Roman" w:eastAsia="Times New Roman" w:hint="default"/>
            <w:spacing w:val="-3"/>
          </w:rPr>
          <w:t>www.cninfo.com.cn</w:t>
        </w:r>
      </w:hyperlink>
      <w:r>
        <w:rPr>
          <w:spacing w:val="-3"/>
        </w:rPr>
        <w:t>）上披露的相关公告，是公司</w:t>
      </w:r>
      <w:r>
        <w:rPr>
          <w:w w:val="100"/>
        </w:rPr>
        <w:t> </w:t>
      </w:r>
      <w:r>
        <w:rPr/>
        <w:t>根据财政部相关要求进行的合理变更，对公司财务状况、经营成果和现金流量无重大影响。</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73" w:lineRule="auto" w:before="80"/>
        <w:ind w:right="1133" w:firstLine="420"/>
        <w:jc w:val="left"/>
      </w:pPr>
      <w:r>
        <w:rPr>
          <w:spacing w:val="-2"/>
        </w:rPr>
        <w:t>报告期内，公司新设全资子公司国创数字，自成立之日起纳入公司合并范围；公司全资子公司国创恒</w:t>
      </w:r>
      <w:r>
        <w:rPr>
          <w:w w:val="100"/>
        </w:rPr>
        <w:t> </w:t>
      </w:r>
      <w:r>
        <w:rPr/>
        <w:t>星及智能科技已办理完毕注销登记手续，将不再纳入公司合并范围。</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汪玉寿、黄冰冰、何平平</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汪玉寿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年、黄冰冰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年、何平平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公司报告期不存在处罚及整改情况。</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64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0"/>
        <w:rPr>
          <w:rFonts w:ascii="宋体" w:hAnsi="宋体" w:cs="宋体" w:eastAsia="宋体" w:hint="default"/>
          <w:sz w:val="12"/>
          <w:szCs w:val="12"/>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5"/>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715"/>
        <w:gridCol w:w="913"/>
        <w:gridCol w:w="924"/>
        <w:gridCol w:w="1308"/>
        <w:gridCol w:w="1045"/>
        <w:gridCol w:w="1046"/>
        <w:gridCol w:w="1056"/>
        <w:gridCol w:w="784"/>
        <w:gridCol w:w="784"/>
      </w:tblGrid>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48,000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36,190</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48,000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21,190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7"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3"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48,000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36,190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48,000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21,190</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13.47%</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0"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6"/>
              <w:ind w:left="24"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公司报告期无违规对外担保情况。</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line="34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954" w:space="6786"/>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33"/>
        <w:jc w:val="left"/>
      </w:pPr>
      <w:r>
        <w:rPr/>
        <w:t>（</w:t>
      </w:r>
      <w:r>
        <w:rPr>
          <w:rFonts w:ascii="Times New Roman" w:hAnsi="Times New Roman" w:cs="Times New Roman" w:eastAsia="Times New Roman" w:hint="default"/>
        </w:rPr>
        <w:t>1</w:t>
      </w:r>
      <w:r>
        <w:rPr/>
        <w:t>）股东权益保护</w:t>
      </w:r>
      <w:r>
        <w:rPr>
          <w:w w:val="100"/>
        </w:rPr>
        <w:t> </w:t>
      </w:r>
      <w:r>
        <w:rPr>
          <w:spacing w:val="-2"/>
        </w:rPr>
        <w:t>公司严格按照《公司法》、《证券法》、《深圳证券交易所创业板股票上市规则》、《上市公司信息</w:t>
      </w:r>
    </w:p>
    <w:p>
      <w:pPr>
        <w:pStyle w:val="BodyText"/>
        <w:spacing w:line="266" w:lineRule="auto" w:before="23"/>
        <w:ind w:right="1126"/>
        <w:jc w:val="both"/>
      </w:pPr>
      <w:r>
        <w:rPr>
          <w:spacing w:val="-2"/>
        </w:rPr>
        <w:t>披露管理办法》等法律法规的要求，真实、准确、完整、及时地进行信息披露。通过网上业绩说明会、投</w:t>
      </w:r>
      <w:r>
        <w:rPr>
          <w:spacing w:val="-49"/>
        </w:rPr>
        <w:t> </w:t>
      </w:r>
      <w:r>
        <w:rPr>
          <w:spacing w:val="-49"/>
        </w:rPr>
      </w:r>
      <w:r>
        <w:rPr>
          <w:spacing w:val="-2"/>
        </w:rPr>
        <w:t>资者电话、电子邮箱、公司网站和深交所</w:t>
      </w:r>
      <w:r>
        <w:rPr>
          <w:rFonts w:ascii="Times New Roman" w:hAnsi="Times New Roman" w:cs="Times New Roman" w:eastAsia="Times New Roman" w:hint="default"/>
          <w:spacing w:val="-2"/>
        </w:rPr>
        <w:t>“</w:t>
      </w:r>
      <w:r>
        <w:rPr>
          <w:spacing w:val="-2"/>
        </w:rPr>
        <w:t>互动易</w:t>
      </w:r>
      <w:r>
        <w:rPr>
          <w:rFonts w:ascii="Times New Roman" w:hAnsi="Times New Roman" w:cs="Times New Roman" w:eastAsia="Times New Roman" w:hint="default"/>
          <w:spacing w:val="-2"/>
        </w:rPr>
        <w:t>”</w:t>
      </w:r>
      <w:r>
        <w:rPr>
          <w:spacing w:val="-2"/>
        </w:rPr>
        <w:t>平台等多种方式，保持与投资者的沟通交流，以便于公</w:t>
      </w:r>
      <w:r>
        <w:rPr>
          <w:spacing w:val="-16"/>
        </w:rPr>
        <w:t> </w:t>
      </w:r>
      <w:r>
        <w:rPr>
          <w:spacing w:val="-16"/>
        </w:rPr>
      </w:r>
      <w:r>
        <w:rPr>
          <w:spacing w:val="-2"/>
        </w:rPr>
        <w:t>司广大股东与债权人能及时地了解公司的经营、财务及重大事项进展情况。规范股东大会的召集、召开及</w:t>
      </w:r>
      <w:r>
        <w:rPr>
          <w:spacing w:val="-44"/>
        </w:rPr>
        <w:t> </w:t>
      </w:r>
      <w:r>
        <w:rPr>
          <w:spacing w:val="-44"/>
        </w:rPr>
      </w:r>
      <w:r>
        <w:rPr>
          <w:spacing w:val="-2"/>
        </w:rPr>
        <w:t>表决程序，通过现场、网络等合法有效的方式，使更多的股东特别是中小股东能够参加股东大会，确保股</w:t>
      </w:r>
      <w:r>
        <w:rPr>
          <w:spacing w:val="-47"/>
        </w:rPr>
        <w:t> </w:t>
      </w:r>
      <w:r>
        <w:rPr>
          <w:spacing w:val="-47"/>
        </w:rPr>
      </w:r>
      <w:r>
        <w:rPr/>
        <w:t>东对公司重大事项的知情权、参与权和表决权，</w:t>
      </w:r>
      <w:r>
        <w:rPr>
          <w:rFonts w:ascii="Times New Roman" w:hAnsi="Times New Roman" w:cs="Times New Roman" w:eastAsia="Times New Roman" w:hint="default"/>
        </w:rPr>
        <w:t>2019</w:t>
      </w:r>
      <w:r>
        <w:rPr/>
        <w:t>年度，公司共召开了</w:t>
      </w:r>
      <w:r>
        <w:rPr>
          <w:rFonts w:ascii="Times New Roman" w:hAnsi="Times New Roman" w:cs="Times New Roman" w:eastAsia="Times New Roman" w:hint="default"/>
        </w:rPr>
        <w:t>6</w:t>
      </w:r>
      <w:r>
        <w:rPr/>
        <w:t>次股东大会。同时，公司建立</w:t>
      </w:r>
      <w:r>
        <w:rPr>
          <w:spacing w:val="-25"/>
        </w:rPr>
        <w:t> </w:t>
      </w:r>
      <w:r>
        <w:rPr>
          <w:spacing w:val="-25"/>
        </w:rPr>
      </w:r>
      <w:r>
        <w:rPr/>
        <w:t>了相对稳定的利润分配政策和分红方案，积极回报股东，与投资者共享企业发展成果。</w:t>
      </w:r>
    </w:p>
    <w:p>
      <w:pPr>
        <w:pStyle w:val="BodyText"/>
        <w:spacing w:line="256" w:lineRule="auto" w:before="14"/>
        <w:ind w:left="573" w:right="0"/>
        <w:jc w:val="left"/>
      </w:pPr>
      <w:r>
        <w:rPr/>
        <w:t>（</w:t>
      </w:r>
      <w:r>
        <w:rPr>
          <w:rFonts w:ascii="Times New Roman" w:hAnsi="Times New Roman" w:cs="Times New Roman" w:eastAsia="Times New Roman" w:hint="default"/>
        </w:rPr>
        <w:t>2</w:t>
      </w:r>
      <w:r>
        <w:rPr/>
        <w:t>）职工权益保护</w:t>
      </w:r>
      <w:r>
        <w:rPr>
          <w:w w:val="100"/>
        </w:rPr>
        <w:t> </w:t>
      </w:r>
      <w:r>
        <w:rPr>
          <w:spacing w:val="-5"/>
        </w:rPr>
        <w:t>公司严格遵守《劳动法》、《劳动合同法》等相关法律法规，制定了人力资源管理制度，对人员录用、</w:t>
      </w:r>
    </w:p>
    <w:p>
      <w:pPr>
        <w:pStyle w:val="BodyText"/>
        <w:spacing w:line="273" w:lineRule="auto" w:before="22"/>
        <w:ind w:right="1133"/>
        <w:jc w:val="left"/>
      </w:pPr>
      <w:r>
        <w:rPr>
          <w:spacing w:val="-2"/>
        </w:rPr>
        <w:t>员工培训、工资薪酬、福利保障等进行了详细规定，同时建立起较为完善的绩效考核体系。同时，公司坚</w:t>
      </w:r>
      <w:r>
        <w:rPr>
          <w:spacing w:val="-43"/>
        </w:rPr>
        <w:t> </w:t>
      </w:r>
      <w:r>
        <w:rPr>
          <w:spacing w:val="-43"/>
        </w:rPr>
      </w:r>
      <w:r>
        <w:rPr/>
        <w:t>持以人为本，加强人文关怀，提高员工的幸福指数，为此公司采取了一系列措施：</w:t>
      </w:r>
      <w:r>
        <w:rPr>
          <w:rFonts w:ascii="Times New Roman" w:hAnsi="Times New Roman" w:cs="Times New Roman" w:eastAsia="Times New Roman" w:hint="default"/>
        </w:rPr>
        <w:t>1</w:t>
      </w:r>
      <w:r>
        <w:rPr/>
        <w:t>）打造高规格的工会</w:t>
      </w:r>
    </w:p>
    <w:p>
      <w:pPr>
        <w:spacing w:after="0" w:line="273" w:lineRule="auto"/>
        <w:jc w:val="left"/>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BodyText"/>
        <w:spacing w:line="264" w:lineRule="auto" w:before="36"/>
        <w:ind w:right="1104"/>
        <w:jc w:val="both"/>
      </w:pPr>
      <w:r>
        <w:rPr>
          <w:spacing w:val="-2"/>
        </w:rPr>
        <w:t>服务基地，设置职工书屋，定期举办读书分享会，组织开展篮球赛，参加百里毅行等活动，极大丰富了员</w:t>
      </w:r>
      <w:r>
        <w:rPr>
          <w:spacing w:val="-43"/>
        </w:rPr>
        <w:t> </w:t>
      </w:r>
      <w:r>
        <w:rPr>
          <w:spacing w:val="-43"/>
        </w:rPr>
      </w:r>
      <w:r>
        <w:rPr/>
        <w:t>工的业余生活；</w:t>
      </w:r>
      <w:r>
        <w:rPr>
          <w:rFonts w:ascii="Times New Roman" w:hAnsi="Times New Roman" w:cs="Times New Roman" w:eastAsia="Times New Roman" w:hint="default"/>
        </w:rPr>
        <w:t>2</w:t>
      </w:r>
      <w:r>
        <w:rPr/>
        <w:t>）量身定制培训管理体系，为员工提供丰富的培训资源，设计符合岗位发展需要的课程</w:t>
      </w:r>
      <w:r>
        <w:rPr>
          <w:spacing w:val="-25"/>
        </w:rPr>
        <w:t> </w:t>
      </w:r>
      <w:r>
        <w:rPr>
          <w:spacing w:val="-25"/>
        </w:rPr>
      </w:r>
      <w:r>
        <w:rPr>
          <w:spacing w:val="-2"/>
        </w:rPr>
        <w:t>体系；</w:t>
      </w:r>
      <w:r>
        <w:rPr>
          <w:rFonts w:ascii="Times New Roman" w:hAnsi="Times New Roman" w:cs="Times New Roman" w:eastAsia="Times New Roman" w:hint="default"/>
          <w:spacing w:val="-2"/>
        </w:rPr>
        <w:t>3</w:t>
      </w:r>
      <w:r>
        <w:rPr>
          <w:spacing w:val="-2"/>
        </w:rPr>
        <w:t>）探索多种绩效管理方法，激励员工创造价值，推动企业绩效增长，实现双赢；</w:t>
      </w:r>
      <w:r>
        <w:rPr>
          <w:rFonts w:ascii="Times New Roman" w:hAnsi="Times New Roman" w:cs="Times New Roman" w:eastAsia="Times New Roman" w:hint="default"/>
          <w:spacing w:val="-2"/>
        </w:rPr>
        <w:t>4</w:t>
      </w:r>
      <w:r>
        <w:rPr>
          <w:spacing w:val="-2"/>
        </w:rPr>
        <w:t>）自新型冠状病</w:t>
      </w:r>
      <w:r>
        <w:rPr>
          <w:spacing w:val="-45"/>
        </w:rPr>
        <w:t> </w:t>
      </w:r>
      <w:r>
        <w:rPr>
          <w:spacing w:val="-45"/>
        </w:rPr>
      </w:r>
      <w:r>
        <w:rPr>
          <w:spacing w:val="-2"/>
        </w:rPr>
        <w:t>毒肺炎疫情爆发以来，第一时间制定疫情预防方案，组织人员对全公司进行了全面消杀、防疫设施配备，</w:t>
      </w:r>
      <w:r>
        <w:rPr>
          <w:spacing w:val="-21"/>
        </w:rPr>
        <w:t> </w:t>
      </w:r>
      <w:r>
        <w:rPr>
          <w:spacing w:val="-21"/>
        </w:rPr>
      </w:r>
      <w:r>
        <w:rPr/>
        <w:t>为安全复工做好了充足准备，以确保员工健康。</w:t>
      </w:r>
    </w:p>
    <w:p>
      <w:pPr>
        <w:pStyle w:val="BodyText"/>
        <w:spacing w:line="256" w:lineRule="auto" w:before="16"/>
        <w:ind w:left="573" w:right="1133"/>
        <w:jc w:val="left"/>
      </w:pPr>
      <w:r>
        <w:rPr/>
        <w:t>（</w:t>
      </w:r>
      <w:r>
        <w:rPr>
          <w:rFonts w:ascii="Times New Roman" w:hAnsi="Times New Roman" w:cs="Times New Roman" w:eastAsia="Times New Roman" w:hint="default"/>
        </w:rPr>
        <w:t>3</w:t>
      </w:r>
      <w:r>
        <w:rPr/>
        <w:t>）供应商、客户权益保护</w:t>
      </w:r>
      <w:r>
        <w:rPr>
          <w:w w:val="100"/>
        </w:rPr>
        <w:t> </w:t>
      </w:r>
      <w:r>
        <w:rPr>
          <w:spacing w:val="-2"/>
        </w:rPr>
        <w:t>公司坚持诚实守信、规范运营，与供应商和客户建立合作共赢的战略合作伙伴关系，保持长期良好的</w:t>
      </w:r>
    </w:p>
    <w:p>
      <w:pPr>
        <w:pStyle w:val="BodyText"/>
        <w:spacing w:line="240" w:lineRule="auto" w:before="22"/>
        <w:ind w:right="1133"/>
        <w:jc w:val="left"/>
      </w:pPr>
      <w:r>
        <w:rPr/>
        <w:t>合作，充分尊重并保护供应商、客户的合法权益。</w:t>
      </w:r>
    </w:p>
    <w:p>
      <w:pPr>
        <w:pStyle w:val="BodyText"/>
        <w:spacing w:line="256" w:lineRule="auto" w:before="37"/>
        <w:ind w:left="573" w:right="1133"/>
        <w:jc w:val="left"/>
      </w:pPr>
      <w:r>
        <w:rPr/>
        <w:t>（</w:t>
      </w:r>
      <w:r>
        <w:rPr>
          <w:rFonts w:ascii="Times New Roman" w:hAnsi="Times New Roman" w:cs="Times New Roman" w:eastAsia="Times New Roman" w:hint="default"/>
        </w:rPr>
        <w:t>4</w:t>
      </w:r>
      <w:r>
        <w:rPr/>
        <w:t>）社会公益</w:t>
      </w:r>
      <w:r>
        <w:rPr>
          <w:w w:val="100"/>
        </w:rPr>
        <w:t> </w:t>
      </w:r>
      <w:r>
        <w:rPr>
          <w:spacing w:val="-2"/>
        </w:rPr>
        <w:t>公司在企业发展的同时，也积极投身社会公益。疫情期间，公司坚持</w:t>
      </w:r>
      <w:r>
        <w:rPr>
          <w:rFonts w:ascii="Times New Roman" w:hAnsi="Times New Roman" w:cs="Times New Roman" w:eastAsia="Times New Roman" w:hint="default"/>
          <w:spacing w:val="-2"/>
        </w:rPr>
        <w:t>“</w:t>
      </w:r>
      <w:r>
        <w:rPr>
          <w:spacing w:val="-2"/>
        </w:rPr>
        <w:t>科学防治，精准施策</w:t>
      </w:r>
      <w:r>
        <w:rPr>
          <w:rFonts w:ascii="Times New Roman" w:hAnsi="Times New Roman" w:cs="Times New Roman" w:eastAsia="Times New Roman" w:hint="default"/>
          <w:spacing w:val="-2"/>
        </w:rPr>
        <w:t>”</w:t>
      </w:r>
      <w:r>
        <w:rPr>
          <w:spacing w:val="-2"/>
        </w:rPr>
        <w:t>，利用在</w:t>
      </w:r>
    </w:p>
    <w:p>
      <w:pPr>
        <w:pStyle w:val="BodyText"/>
        <w:spacing w:line="264" w:lineRule="auto" w:before="5"/>
        <w:ind w:right="0"/>
        <w:jc w:val="left"/>
      </w:pPr>
      <w:r>
        <w:rPr>
          <w:spacing w:val="-2"/>
        </w:rPr>
        <w:t>大数据领域积累的经验，第一时间为安徽省卫健委、合肥市数据资源局、合肥市大数据资产公司、蜀山区</w:t>
      </w:r>
      <w:r>
        <w:rPr>
          <w:spacing w:val="-47"/>
        </w:rPr>
        <w:t> </w:t>
      </w:r>
      <w:r>
        <w:rPr>
          <w:spacing w:val="-47"/>
        </w:rPr>
      </w:r>
      <w:r>
        <w:rPr/>
        <w:t>人民政府疫情防控指挥中心提供技术保障工作，针对性开发了大数据疫情监测、公共卫生应急指挥和</w:t>
      </w:r>
      <w:r>
        <w:rPr>
          <w:rFonts w:ascii="Times New Roman" w:hAnsi="Times New Roman" w:cs="Times New Roman" w:eastAsia="Times New Roman" w:hint="default"/>
        </w:rPr>
        <w:t>“</w:t>
      </w:r>
      <w:r>
        <w:rPr/>
        <w:t>合</w:t>
      </w:r>
      <w:r>
        <w:rPr>
          <w:spacing w:val="-12"/>
        </w:rPr>
        <w:t> </w:t>
      </w:r>
      <w:r>
        <w:rPr/>
        <w:t>肥通</w:t>
      </w:r>
      <w:r>
        <w:rPr>
          <w:rFonts w:ascii="Times New Roman" w:hAnsi="Times New Roman" w:cs="Times New Roman" w:eastAsia="Times New Roman" w:hint="default"/>
        </w:rPr>
        <w:t>”</w:t>
      </w:r>
      <w:r>
        <w:rPr/>
        <w:t>疫情专题应用等产品，为相关各级政府的疫情研判和协同指挥提供有效支撑；研发了</w:t>
      </w:r>
      <w:r>
        <w:rPr>
          <w:rFonts w:ascii="Times New Roman" w:hAnsi="Times New Roman" w:cs="Times New Roman" w:eastAsia="Times New Roman" w:hint="default"/>
        </w:rPr>
        <w:t>“</w:t>
      </w:r>
      <w:r>
        <w:rPr/>
        <w:t>天佑正道应急</w:t>
      </w:r>
      <w:r>
        <w:rPr>
          <w:w w:val="100"/>
        </w:rPr>
        <w:t> </w:t>
      </w:r>
      <w:r>
        <w:rPr>
          <w:spacing w:val="-2"/>
        </w:rPr>
        <w:t>运力共享</w:t>
      </w:r>
      <w:r>
        <w:rPr>
          <w:rFonts w:ascii="Times New Roman" w:hAnsi="Times New Roman" w:cs="Times New Roman" w:eastAsia="Times New Roman" w:hint="default"/>
          <w:spacing w:val="-2"/>
        </w:rPr>
        <w:t>”</w:t>
      </w:r>
      <w:r>
        <w:rPr>
          <w:spacing w:val="-2"/>
        </w:rPr>
        <w:t>公益平台，着力解决疫情下的运力难题；向中国科学技术大学附属第一医院、武汉雷神山医院、</w:t>
      </w:r>
      <w:r>
        <w:rPr>
          <w:spacing w:val="-32"/>
        </w:rPr>
        <w:t> </w:t>
      </w:r>
      <w:r>
        <w:rPr>
          <w:spacing w:val="-32"/>
        </w:rPr>
      </w:r>
      <w:r>
        <w:rPr>
          <w:spacing w:val="-2"/>
        </w:rPr>
        <w:t>武汉市金银潭医院等单位捐助资金和防疫物资。未来公司仍将坚持企业发展与社会责任并重，持续为经济</w:t>
      </w:r>
      <w:r>
        <w:rPr>
          <w:spacing w:val="-44"/>
        </w:rPr>
        <w:t> </w:t>
      </w:r>
      <w:r>
        <w:rPr>
          <w:spacing w:val="-44"/>
        </w:rPr>
      </w:r>
      <w:r>
        <w:rPr/>
        <w:t>繁荣和社会和谐稳定发展做出自身的贡献。</w:t>
      </w:r>
    </w:p>
    <w:p>
      <w:pPr>
        <w:spacing w:line="240" w:lineRule="auto" w:before="2"/>
        <w:rPr>
          <w:rFonts w:ascii="宋体" w:hAnsi="宋体" w:cs="宋体" w:eastAsia="宋体" w:hint="default"/>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5"/>
        <w:ind w:left="153"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日，公司收到中国证监会下发的《关于核准科大国创软件股份有限公司向孙路等发行股</w:t>
      </w:r>
      <w:r>
        <w:rPr>
          <w:w w:val="100"/>
        </w:rPr>
        <w:t> </w:t>
      </w:r>
      <w:r>
        <w:rPr>
          <w:spacing w:val="-6"/>
          <w:w w:val="100"/>
        </w:rPr>
        <w:t>份购买资产并募集配套资金的批复》（证监许可</w:t>
      </w:r>
      <w:r>
        <w:rPr>
          <w:rFonts w:ascii="Times New Roman" w:hAnsi="Times New Roman" w:cs="Times New Roman" w:eastAsia="Times New Roman" w:hint="default"/>
          <w:spacing w:val="-6"/>
          <w:w w:val="100"/>
        </w:rPr>
        <w:t>[2018]2063</w:t>
      </w:r>
      <w:r>
        <w:rPr>
          <w:spacing w:val="-6"/>
          <w:w w:val="100"/>
        </w:rPr>
        <w:t>号），核准公司向孙路等交易对方发行</w:t>
      </w:r>
      <w:r>
        <w:rPr>
          <w:rFonts w:ascii="Times New Roman" w:hAnsi="Times New Roman" w:cs="Times New Roman" w:eastAsia="Times New Roman" w:hint="default"/>
          <w:spacing w:val="-6"/>
          <w:w w:val="100"/>
        </w:rPr>
        <w:t>36,833,684</w:t>
      </w:r>
      <w:r>
        <w:rPr>
          <w:rFonts w:ascii="Times New Roman" w:hAnsi="Times New Roman" w:cs="Times New Roman" w:eastAsia="Times New Roman" w:hint="default"/>
          <w:spacing w:val="-40"/>
          <w:w w:val="100"/>
        </w:rPr>
        <w:t> </w:t>
      </w:r>
      <w:r>
        <w:rPr>
          <w:rFonts w:ascii="Times New Roman" w:hAnsi="Times New Roman" w:cs="Times New Roman" w:eastAsia="Times New Roman" w:hint="default"/>
          <w:spacing w:val="-40"/>
          <w:w w:val="100"/>
        </w:rPr>
      </w:r>
      <w:r>
        <w:rPr/>
        <w:t>股股份购买相关资产，核准公司非公开发行股份募集配套资金不超过</w:t>
      </w:r>
      <w:r>
        <w:rPr>
          <w:rFonts w:ascii="Times New Roman" w:hAnsi="Times New Roman" w:cs="Times New Roman" w:eastAsia="Times New Roman" w:hint="default"/>
        </w:rPr>
        <w:t>18,600</w:t>
      </w:r>
      <w:r>
        <w:rPr/>
        <w:t>万元。</w:t>
      </w:r>
    </w:p>
    <w:p>
      <w:pPr>
        <w:pStyle w:val="BodyText"/>
        <w:spacing w:line="240" w:lineRule="auto" w:before="5"/>
        <w:ind w:left="573" w:right="0"/>
        <w:jc w:val="left"/>
      </w:pPr>
      <w:r>
        <w:rPr/>
        <w:t>经中国证券登记有限责任公司深圳分公司、深圳证券交易所审核批准，本次发行股份购买资产的新增</w:t>
      </w:r>
    </w:p>
    <w:p>
      <w:pPr>
        <w:pStyle w:val="BodyText"/>
        <w:spacing w:line="240" w:lineRule="auto" w:before="37"/>
        <w:ind w:right="1133"/>
        <w:jc w:val="left"/>
      </w:pPr>
      <w:r>
        <w:rPr>
          <w:rFonts w:ascii="Times New Roman" w:hAnsi="Times New Roman" w:cs="Times New Roman" w:eastAsia="Times New Roman" w:hint="default"/>
          <w:spacing w:val="3"/>
        </w:rPr>
        <w:t>36,833,684</w:t>
      </w:r>
      <w:r>
        <w:rPr>
          <w:spacing w:val="3"/>
        </w:rPr>
        <w:t>股股份已于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10</w:t>
      </w:r>
      <w:r>
        <w:rPr>
          <w:spacing w:val="3"/>
        </w:rPr>
        <w:t>日上市；公司募集配套资金非公开发行的新增</w:t>
      </w:r>
      <w:r>
        <w:rPr>
          <w:rFonts w:ascii="Times New Roman" w:hAnsi="Times New Roman" w:cs="Times New Roman" w:eastAsia="Times New Roman" w:hint="default"/>
          <w:spacing w:val="3"/>
        </w:rPr>
        <w:t>11,151,078</w:t>
      </w:r>
      <w:r>
        <w:rPr>
          <w:spacing w:val="3"/>
        </w:rPr>
        <w:t>股股份已于</w:t>
      </w:r>
    </w:p>
    <w:p>
      <w:pPr>
        <w:pStyle w:val="BodyText"/>
        <w:spacing w:line="240" w:lineRule="auto" w:before="21"/>
        <w:ind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日上市。</w:t>
      </w:r>
    </w:p>
    <w:p>
      <w:pPr>
        <w:spacing w:line="240" w:lineRule="auto" w:before="8"/>
        <w:rPr>
          <w:rFonts w:ascii="宋体" w:hAnsi="宋体" w:cs="宋体" w:eastAsia="宋体" w:hint="default"/>
          <w:sz w:val="22"/>
          <w:szCs w:val="22"/>
        </w:rPr>
      </w:pPr>
    </w:p>
    <w:p>
      <w:pPr>
        <w:pStyle w:val="Heading2"/>
        <w:spacing w:line="240" w:lineRule="auto"/>
        <w:ind w:right="1133"/>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61" w:lineRule="auto" w:before="83"/>
        <w:ind w:right="1126" w:firstLine="420"/>
        <w:jc w:val="both"/>
      </w:pPr>
      <w:r>
        <w:rPr>
          <w:spacing w:val="-2"/>
        </w:rPr>
        <w:t>公司第二届董事会第十九次会议和</w:t>
      </w:r>
      <w:r>
        <w:rPr>
          <w:rFonts w:ascii="Times New Roman" w:hAnsi="Times New Roman" w:cs="Times New Roman" w:eastAsia="Times New Roman" w:hint="default"/>
          <w:spacing w:val="-2"/>
        </w:rPr>
        <w:t>2017</w:t>
      </w:r>
      <w:r>
        <w:rPr>
          <w:spacing w:val="-2"/>
        </w:rPr>
        <w:t>年第三次临时股东大会审议通过了《关于吸收合并全资子公司</w:t>
      </w:r>
      <w:r>
        <w:rPr>
          <w:w w:val="100"/>
        </w:rPr>
        <w:t> </w:t>
      </w:r>
      <w:r>
        <w:rPr>
          <w:spacing w:val="-2"/>
        </w:rPr>
        <w:t>的议案》，公司拟整合全资子公司国创恒星业务资源，由公司为主体吸收合并，吸收合并完成后，国创恒</w:t>
      </w:r>
      <w:r>
        <w:rPr>
          <w:spacing w:val="-43"/>
        </w:rPr>
        <w:t> </w:t>
      </w:r>
      <w:r>
        <w:rPr>
          <w:spacing w:val="-43"/>
        </w:rPr>
      </w:r>
      <w:r>
        <w:rPr>
          <w:spacing w:val="-2"/>
        </w:rPr>
        <w:t>星依法注销，其全部业务、资产、债权、债务由公司依法承继。</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日，公司披露了《关于全资子</w:t>
      </w:r>
      <w:r>
        <w:rPr>
          <w:spacing w:val="-40"/>
        </w:rPr>
        <w:t> </w:t>
      </w:r>
      <w:r>
        <w:rPr>
          <w:spacing w:val="-40"/>
        </w:rPr>
      </w:r>
      <w:r>
        <w:rPr>
          <w:spacing w:val="11"/>
        </w:rPr>
        <w:t>公司</w:t>
      </w:r>
      <w:r>
        <w:rPr>
          <w:spacing w:val="-69"/>
        </w:rPr>
        <w:t> </w:t>
      </w:r>
      <w:r>
        <w:rPr>
          <w:spacing w:val="16"/>
        </w:rPr>
        <w:t>注销完成</w:t>
      </w:r>
      <w:r>
        <w:rPr>
          <w:spacing w:val="-69"/>
        </w:rPr>
        <w:t> </w:t>
      </w:r>
      <w:r>
        <w:rPr>
          <w:spacing w:val="17"/>
        </w:rPr>
        <w:t>的公告》，</w:t>
      </w:r>
      <w:r>
        <w:rPr>
          <w:spacing w:val="-74"/>
        </w:rPr>
        <w:t> </w:t>
      </w:r>
      <w:r>
        <w:rPr/>
        <w:t>国</w:t>
      </w:r>
      <w:r>
        <w:rPr>
          <w:spacing w:val="-69"/>
        </w:rPr>
        <w:t> </w:t>
      </w:r>
      <w:r>
        <w:rPr>
          <w:spacing w:val="16"/>
        </w:rPr>
        <w:t>创恒星注</w:t>
      </w:r>
      <w:r>
        <w:rPr>
          <w:spacing w:val="-69"/>
        </w:rPr>
        <w:t> </w:t>
      </w:r>
      <w:r>
        <w:rPr>
          <w:spacing w:val="18"/>
        </w:rPr>
        <w:t>销登记手续已</w:t>
      </w:r>
      <w:r>
        <w:rPr>
          <w:spacing w:val="-69"/>
        </w:rPr>
        <w:t> </w:t>
      </w:r>
      <w:r>
        <w:rPr>
          <w:spacing w:val="16"/>
        </w:rPr>
        <w:t>办理完毕</w:t>
      </w:r>
      <w:r>
        <w:rPr>
          <w:spacing w:val="-69"/>
        </w:rPr>
        <w:t> </w:t>
      </w:r>
      <w:r>
        <w:rPr/>
        <w:t>。</w:t>
      </w:r>
      <w:r>
        <w:rPr>
          <w:spacing w:val="-74"/>
        </w:rPr>
        <w:t> </w:t>
      </w:r>
      <w:r>
        <w:rPr>
          <w:spacing w:val="17"/>
        </w:rPr>
        <w:t>具体内容详</w:t>
      </w:r>
      <w:r>
        <w:rPr>
          <w:spacing w:val="-69"/>
        </w:rPr>
        <w:t> </w:t>
      </w:r>
      <w:r>
        <w:rPr>
          <w:spacing w:val="16"/>
        </w:rPr>
        <w:t>见公司在</w:t>
      </w:r>
      <w:r>
        <w:rPr>
          <w:spacing w:val="-69"/>
        </w:rPr>
        <w:t> </w:t>
      </w:r>
      <w:r>
        <w:rPr>
          <w:spacing w:val="17"/>
        </w:rPr>
        <w:t>巨潮资讯网</w:t>
      </w:r>
    </w:p>
    <w:p>
      <w:pPr>
        <w:spacing w:after="0" w:line="261"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left="573" w:right="0" w:hanging="420"/>
        <w:jc w:val="left"/>
      </w:pPr>
      <w:r>
        <w:rPr/>
        <w:t>（</w:t>
      </w:r>
      <w:hyperlink r:id="rId12">
        <w:r>
          <w:rPr>
            <w:rFonts w:ascii="Times New Roman" w:hAnsi="Times New Roman" w:cs="Times New Roman" w:eastAsia="Times New Roman" w:hint="default"/>
          </w:rPr>
          <w:t>www.cninfo.com.cn</w:t>
        </w:r>
      </w:hyperlink>
      <w:r>
        <w:rPr/>
        <w:t>）上披露的相关公告。</w:t>
      </w:r>
      <w:r>
        <w:rPr>
          <w:w w:val="100"/>
        </w:rPr>
        <w:t> </w:t>
      </w:r>
      <w:r>
        <w:rPr>
          <w:spacing w:val="-5"/>
        </w:rPr>
        <w:t>公司第三届董事会第十次会议审议通过了《关于使用募集资金向全资子公司增资实施募投项目议案》，</w:t>
      </w:r>
    </w:p>
    <w:p>
      <w:pPr>
        <w:pStyle w:val="BodyText"/>
        <w:spacing w:line="256" w:lineRule="auto" w:before="22"/>
        <w:ind w:right="1126"/>
        <w:jc w:val="both"/>
      </w:pPr>
      <w:r>
        <w:rPr>
          <w:spacing w:val="-1"/>
        </w:rPr>
        <w:t>公司以重组配套募集资金</w:t>
      </w:r>
      <w:r>
        <w:rPr>
          <w:rFonts w:ascii="Times New Roman" w:hAnsi="Times New Roman" w:cs="Times New Roman" w:eastAsia="Times New Roman" w:hint="default"/>
          <w:spacing w:val="-1"/>
        </w:rPr>
        <w:t>16,000</w:t>
      </w:r>
      <w:r>
        <w:rPr>
          <w:spacing w:val="-1"/>
        </w:rPr>
        <w:t>万元向全资子公司贵博新能增资，用于实施相关募投项目的建设，增资完</w:t>
      </w:r>
      <w:r>
        <w:rPr>
          <w:spacing w:val="-29"/>
        </w:rPr>
        <w:t> </w:t>
      </w:r>
      <w:r>
        <w:rPr>
          <w:spacing w:val="-29"/>
        </w:rPr>
      </w:r>
      <w:r>
        <w:rPr>
          <w:spacing w:val="-3"/>
        </w:rPr>
        <w:t>成后，贵博新能的注册资本将由</w:t>
      </w:r>
      <w:r>
        <w:rPr>
          <w:rFonts w:ascii="Times New Roman" w:hAnsi="Times New Roman" w:cs="Times New Roman" w:eastAsia="Times New Roman" w:hint="default"/>
          <w:spacing w:val="-3"/>
        </w:rPr>
        <w:t>3,500</w:t>
      </w:r>
      <w:r>
        <w:rPr>
          <w:spacing w:val="-3"/>
        </w:rPr>
        <w:t>万元增加至</w:t>
      </w:r>
      <w:r>
        <w:rPr>
          <w:rFonts w:ascii="Times New Roman" w:hAnsi="Times New Roman" w:cs="Times New Roman" w:eastAsia="Times New Roman" w:hint="default"/>
          <w:spacing w:val="-3"/>
        </w:rPr>
        <w:t>10,000</w:t>
      </w:r>
      <w:r>
        <w:rPr>
          <w:spacing w:val="-3"/>
        </w:rPr>
        <w:t>万元，公司仍持有贵博新能</w:t>
      </w:r>
      <w:r>
        <w:rPr>
          <w:rFonts w:ascii="Times New Roman" w:hAnsi="Times New Roman" w:cs="Times New Roman" w:eastAsia="Times New Roman" w:hint="default"/>
          <w:spacing w:val="-3"/>
        </w:rPr>
        <w:t>100%</w:t>
      </w:r>
      <w:r>
        <w:rPr>
          <w:spacing w:val="-3"/>
        </w:rPr>
        <w:t>的股权。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0"/>
        </w:rPr>
        <w:t> </w:t>
      </w:r>
      <w:r>
        <w:rPr>
          <w:spacing w:val="-2"/>
        </w:rPr>
        <w:t>月</w:t>
      </w:r>
      <w:r>
        <w:rPr>
          <w:rFonts w:ascii="Times New Roman" w:hAnsi="Times New Roman" w:cs="Times New Roman" w:eastAsia="Times New Roman" w:hint="default"/>
          <w:spacing w:val="-2"/>
        </w:rPr>
        <w:t>31</w:t>
      </w:r>
      <w:r>
        <w:rPr>
          <w:spacing w:val="-2"/>
        </w:rPr>
        <w:t>日，公司披露了《关于全资子公司完成工商变更登记的公告》，贵博新能完成了注册资本等工商信息</w:t>
      </w:r>
      <w:r>
        <w:rPr>
          <w:spacing w:val="-42"/>
        </w:rPr>
        <w:t> </w:t>
      </w:r>
      <w:r>
        <w:rPr>
          <w:spacing w:val="-42"/>
        </w:rPr>
      </w:r>
      <w:r>
        <w:rPr/>
        <w:t>变更登记手续。具体内容详见公司在巨潮资讯网（</w:t>
      </w:r>
      <w:hyperlink r:id="rId12">
        <w:r>
          <w:rPr>
            <w:rFonts w:ascii="Times New Roman" w:hAnsi="Times New Roman" w:cs="Times New Roman" w:eastAsia="Times New Roman" w:hint="default"/>
          </w:rPr>
          <w:t>www.cninfo.com.cn</w:t>
        </w:r>
      </w:hyperlink>
      <w:r>
        <w:rPr/>
        <w:t>）上披露的相关公告。</w:t>
      </w:r>
    </w:p>
    <w:p>
      <w:pPr>
        <w:spacing w:after="0" w:line="256" w:lineRule="auto"/>
        <w:jc w:val="both"/>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003"/>
        <w:gridCol w:w="710"/>
        <w:gridCol w:w="992"/>
        <w:gridCol w:w="566"/>
        <w:gridCol w:w="710"/>
        <w:gridCol w:w="992"/>
        <w:gridCol w:w="994"/>
        <w:gridCol w:w="982"/>
        <w:gridCol w:w="792"/>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89,748,008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44.34%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47,984,762</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-75,881,168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-27,896,406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61,851,602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24.70%</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2,997,601</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6" w:right="0"/>
              <w:jc w:val="center"/>
              <w:rPr>
                <w:rFonts w:ascii="Times New Roman" w:hAnsi="Times New Roman" w:cs="Times New Roman" w:eastAsia="Times New Roman" w:hint="default"/>
                <w:sz w:val="18"/>
                <w:szCs w:val="18"/>
              </w:rPr>
            </w:pPr>
            <w:r>
              <w:rPr>
                <w:rFonts w:ascii="Times New Roman"/>
                <w:sz w:val="18"/>
              </w:rPr>
              <w:t>2,997,601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2,997,601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89,748,008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44.34%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-75,881,168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-30,894,007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58,854,001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131" w:right="0"/>
              <w:jc w:val="center"/>
              <w:rPr>
                <w:rFonts w:ascii="Times New Roman" w:hAnsi="Times New Roman" w:cs="Times New Roman" w:eastAsia="Times New Roman" w:hint="default"/>
                <w:sz w:val="18"/>
                <w:szCs w:val="18"/>
              </w:rPr>
            </w:pPr>
            <w:r>
              <w:rPr>
                <w:rFonts w:ascii="Times New Roman"/>
                <w:sz w:val="18"/>
              </w:rPr>
              <w:t>68,829,768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34.01%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8,103,410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-68,829,768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-60,726,358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8,103,410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3.24%</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20,918,240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28,730,274</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21,678,874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42,597,114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17.01%</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112,651,992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55.66%</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75,881,168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 w:right="0"/>
              <w:jc w:val="center"/>
              <w:rPr>
                <w:rFonts w:ascii="Times New Roman" w:hAnsi="Times New Roman" w:cs="Times New Roman" w:eastAsia="Times New Roman" w:hint="default"/>
                <w:sz w:val="18"/>
                <w:szCs w:val="18"/>
              </w:rPr>
            </w:pPr>
            <w:r>
              <w:rPr>
                <w:rFonts w:ascii="Times New Roman"/>
                <w:sz w:val="18"/>
              </w:rPr>
              <w:t>75,881,168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188,533,160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75.30%</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112,651,992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55.66%</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75,881,168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75,881,168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188,533,160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75.30%</w:t>
            </w: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202,400,000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47,984,762</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 w:right="0"/>
              <w:jc w:val="center"/>
              <w:rPr>
                <w:rFonts w:ascii="Times New Roman" w:hAnsi="Times New Roman" w:cs="Times New Roman" w:eastAsia="Times New Roman" w:hint="default"/>
                <w:sz w:val="18"/>
                <w:szCs w:val="18"/>
              </w:rPr>
            </w:pPr>
            <w:r>
              <w:rPr>
                <w:rFonts w:ascii="Times New Roman"/>
                <w:sz w:val="18"/>
              </w:rPr>
              <w:t>47,984,762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250,384,762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日，公司发行股份购买资产的新增</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股股份上市，公司总股本由</w:t>
      </w:r>
      <w:r>
        <w:rPr>
          <w:rFonts w:ascii="Times New Roman" w:hAnsi="Times New Roman" w:cs="Times New Roman" w:eastAsia="Times New Roman" w:hint="default"/>
          <w:sz w:val="18"/>
          <w:szCs w:val="18"/>
        </w:rPr>
        <w:t>202,400,000</w:t>
      </w:r>
      <w:r>
        <w:rPr>
          <w:rFonts w:ascii="宋体" w:hAnsi="宋体" w:cs="宋体" w:eastAsia="宋体" w:hint="default"/>
          <w:sz w:val="18"/>
          <w:szCs w:val="18"/>
        </w:rPr>
        <w:t>股增至</w:t>
      </w:r>
      <w:r>
        <w:rPr>
          <w:rFonts w:ascii="Times New Roman" w:hAnsi="Times New Roman" w:cs="Times New Roman" w:eastAsia="Times New Roman" w:hint="default"/>
          <w:sz w:val="18"/>
          <w:szCs w:val="18"/>
        </w:rPr>
        <w:t>239,233,684</w:t>
      </w:r>
    </w:p>
    <w:p>
      <w:pPr>
        <w:spacing w:before="63"/>
        <w:ind w:left="153" w:right="1133"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line="300" w:lineRule="auto" w:before="76"/>
        <w:ind w:left="153"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日，公司部分首次公开发行前已发行股份解除限售上市流通，解除限售的股份数量为</w:t>
      </w:r>
      <w:r>
        <w:rPr>
          <w:rFonts w:ascii="Times New Roman" w:hAnsi="Times New Roman" w:cs="Times New Roman" w:eastAsia="Times New Roman" w:hint="default"/>
          <w:sz w:val="18"/>
          <w:szCs w:val="18"/>
        </w:rPr>
        <w:t>87,723,643</w:t>
      </w:r>
      <w:r>
        <w:rPr>
          <w:rFonts w:ascii="宋体" w:hAnsi="宋体" w:cs="宋体" w:eastAsia="宋体" w:hint="default"/>
          <w:sz w:val="18"/>
          <w:szCs w:val="18"/>
        </w:rPr>
        <w:t>股，其 中董永东、史兴领作为公司董事、高管，每年转让的公司股份不超过所持有的公司股份总数的</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before="13"/>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日，公司募集配套资金非公开发行</w:t>
      </w:r>
      <w:r>
        <w:rPr>
          <w:rFonts w:ascii="Times New Roman" w:hAnsi="Times New Roman" w:cs="Times New Roman" w:eastAsia="Times New Roman" w:hint="default"/>
          <w:sz w:val="18"/>
          <w:szCs w:val="18"/>
        </w:rPr>
        <w:t>11,151,078</w:t>
      </w:r>
      <w:r>
        <w:rPr>
          <w:rFonts w:ascii="宋体" w:hAnsi="宋体" w:cs="宋体" w:eastAsia="宋体" w:hint="default"/>
          <w:sz w:val="18"/>
          <w:szCs w:val="18"/>
        </w:rPr>
        <w:t>股股份上市，公司总股本由</w:t>
      </w:r>
      <w:r>
        <w:rPr>
          <w:rFonts w:ascii="Times New Roman" w:hAnsi="Times New Roman" w:cs="Times New Roman" w:eastAsia="Times New Roman" w:hint="default"/>
          <w:sz w:val="18"/>
          <w:szCs w:val="18"/>
        </w:rPr>
        <w:t>239,233,684</w:t>
      </w:r>
      <w:r>
        <w:rPr>
          <w:rFonts w:ascii="宋体" w:hAnsi="宋体" w:cs="宋体" w:eastAsia="宋体" w:hint="default"/>
          <w:sz w:val="18"/>
          <w:szCs w:val="18"/>
        </w:rPr>
        <w:t>股增至</w:t>
      </w:r>
      <w:r>
        <w:rPr>
          <w:rFonts w:ascii="Times New Roman" w:hAnsi="Times New Roman" w:cs="Times New Roman" w:eastAsia="Times New Roman" w:hint="default"/>
          <w:sz w:val="18"/>
          <w:szCs w:val="18"/>
        </w:rPr>
        <w:t>250,384,762</w:t>
      </w:r>
    </w:p>
    <w:p>
      <w:pPr>
        <w:spacing w:line="360" w:lineRule="auto" w:before="63"/>
        <w:ind w:left="153" w:right="9133" w:firstLine="0"/>
        <w:jc w:val="left"/>
        <w:rPr>
          <w:rFonts w:ascii="宋体" w:hAnsi="宋体" w:cs="宋体" w:eastAsia="宋体" w:hint="default"/>
          <w:sz w:val="18"/>
          <w:szCs w:val="18"/>
        </w:rPr>
      </w:pPr>
      <w:r>
        <w:rPr>
          <w:rFonts w:ascii="宋体" w:hAnsi="宋体" w:cs="宋体" w:eastAsia="宋体" w:hint="default"/>
          <w:sz w:val="18"/>
          <w:szCs w:val="18"/>
        </w:rPr>
        <w:t>股。 股份变动的批准情况</w:t>
      </w:r>
    </w:p>
    <w:p>
      <w:pPr>
        <w:spacing w:before="2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4"/>
        <w:ind w:left="153"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日，公司部分首发股东的股份锁定承诺已履行完毕，根据相关规定上述股东申请解除其持有的首发前限售 股合计</w:t>
      </w:r>
      <w:r>
        <w:rPr>
          <w:rFonts w:ascii="Times New Roman" w:hAnsi="Times New Roman" w:cs="Times New Roman" w:eastAsia="Times New Roman" w:hint="default"/>
          <w:sz w:val="18"/>
          <w:szCs w:val="18"/>
        </w:rPr>
        <w:t>87,723,643</w:t>
      </w:r>
      <w:r>
        <w:rPr>
          <w:rFonts w:ascii="宋体" w:hAnsi="宋体" w:cs="宋体" w:eastAsia="宋体" w:hint="default"/>
          <w:sz w:val="18"/>
          <w:szCs w:val="18"/>
        </w:rPr>
        <w:t>股。</w:t>
      </w:r>
    </w:p>
    <w:p>
      <w:pPr>
        <w:spacing w:line="300" w:lineRule="auto" w:before="13"/>
        <w:ind w:left="153" w:right="1133"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日，公司分别召开第二届董事会第二十五次会议、第二届董事会第二十七</w:t>
      </w:r>
      <w:r>
        <w:rPr>
          <w:rFonts w:ascii="宋体" w:hAnsi="宋体" w:cs="宋体" w:eastAsia="宋体" w:hint="default"/>
          <w:sz w:val="18"/>
          <w:szCs w:val="18"/>
        </w:rPr>
        <w:t> 次会议、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年第一次临时股东大会，审议通过了关于公司发行股份购买资产并募集配套资金暨关联交易的相关议案。</w:t>
      </w:r>
    </w:p>
    <w:p>
      <w:pPr>
        <w:spacing w:line="300" w:lineRule="auto" w:before="13"/>
        <w:ind w:left="153"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日，公司收到中国证监会下发《关于核准科大国创软件股份有限公司向孙路等发行股份购买资产并募集配</w:t>
      </w:r>
      <w:r>
        <w:rPr>
          <w:rFonts w:ascii="宋体" w:hAnsi="宋体" w:cs="宋体" w:eastAsia="宋体" w:hint="default"/>
          <w:sz w:val="18"/>
          <w:szCs w:val="18"/>
        </w:rPr>
        <w:t> 套资金的批复》（证监许可</w:t>
      </w:r>
      <w:r>
        <w:rPr>
          <w:rFonts w:ascii="Times New Roman" w:hAnsi="Times New Roman" w:cs="Times New Roman" w:eastAsia="Times New Roman" w:hint="default"/>
          <w:sz w:val="18"/>
          <w:szCs w:val="18"/>
        </w:rPr>
        <w:t>[2018]2063</w:t>
      </w:r>
      <w:r>
        <w:rPr>
          <w:rFonts w:ascii="宋体" w:hAnsi="宋体" w:cs="宋体" w:eastAsia="宋体" w:hint="default"/>
          <w:sz w:val="18"/>
          <w:szCs w:val="18"/>
        </w:rPr>
        <w:t>号），核准公司向孙路等交易对方发行</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股股份购买相关资产，核准公司非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公开发行股份募集配套资金不超过</w:t>
      </w:r>
      <w:r>
        <w:rPr>
          <w:rFonts w:ascii="Times New Roman" w:hAnsi="Times New Roman" w:cs="Times New Roman" w:eastAsia="Times New Roman" w:hint="default"/>
          <w:sz w:val="18"/>
          <w:szCs w:val="18"/>
        </w:rPr>
        <w:t>18,600</w:t>
      </w:r>
      <w:r>
        <w:rPr>
          <w:rFonts w:ascii="宋体" w:hAnsi="宋体" w:cs="宋体" w:eastAsia="宋体" w:hint="default"/>
          <w:sz w:val="18"/>
          <w:szCs w:val="18"/>
        </w:rPr>
        <w:t>万元。</w:t>
      </w:r>
    </w:p>
    <w:p>
      <w:pPr>
        <w:spacing w:line="319" w:lineRule="auto" w:before="13"/>
        <w:ind w:left="153" w:right="1123" w:firstLine="360"/>
        <w:jc w:val="left"/>
        <w:rPr>
          <w:rFonts w:ascii="宋体" w:hAnsi="宋体" w:cs="宋体" w:eastAsia="宋体" w:hint="default"/>
          <w:sz w:val="18"/>
          <w:szCs w:val="18"/>
        </w:rPr>
      </w:pPr>
      <w:r>
        <w:rPr>
          <w:rFonts w:ascii="宋体" w:hAnsi="宋体" w:cs="宋体" w:eastAsia="宋体" w:hint="default"/>
          <w:sz w:val="18"/>
          <w:szCs w:val="18"/>
        </w:rPr>
        <w:t>经中国证券登记有限责任公司深圳分公司、深圳证券交易所审核批准，公司发行股份购买资产的新增</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股份已 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日上市，公司募集配套资金非公开发行的新增</w:t>
      </w:r>
      <w:r>
        <w:rPr>
          <w:rFonts w:ascii="Times New Roman" w:hAnsi="Times New Roman" w:cs="Times New Roman" w:eastAsia="Times New Roman" w:hint="default"/>
          <w:sz w:val="18"/>
          <w:szCs w:val="18"/>
        </w:rPr>
        <w:t>11,151,078</w:t>
      </w:r>
      <w:r>
        <w:rPr>
          <w:rFonts w:ascii="宋体" w:hAnsi="宋体" w:cs="宋体" w:eastAsia="宋体" w:hint="default"/>
          <w:sz w:val="18"/>
          <w:szCs w:val="18"/>
        </w:rPr>
        <w:t>股股份已于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日上市。 股份变动的过户情况</w:t>
      </w:r>
    </w:p>
    <w:p>
      <w:pPr>
        <w:spacing w:after="0" w:line="319"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line="340" w:lineRule="auto" w:before="44"/>
        <w:ind w:left="513" w:right="11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公司发行股份购买资产的</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股股份已于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日在中国证券登记结算有限责任公司深圳分公司完成了发</w:t>
      </w:r>
    </w:p>
    <w:p>
      <w:pPr>
        <w:spacing w:line="228" w:lineRule="exact"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行登记，并于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日在深圳证券交易所上市，发行完成后公司总股本为</w:t>
      </w:r>
      <w:r>
        <w:rPr>
          <w:rFonts w:ascii="Times New Roman" w:hAnsi="Times New Roman" w:cs="Times New Roman" w:eastAsia="Times New Roman" w:hint="default"/>
          <w:sz w:val="18"/>
          <w:szCs w:val="18"/>
        </w:rPr>
        <w:t>239,233,684</w:t>
      </w:r>
      <w:r>
        <w:rPr>
          <w:rFonts w:ascii="宋体" w:hAnsi="宋体" w:cs="宋体" w:eastAsia="宋体" w:hint="default"/>
          <w:sz w:val="18"/>
          <w:szCs w:val="18"/>
        </w:rPr>
        <w:t>股。</w:t>
      </w:r>
    </w:p>
    <w:p>
      <w:pPr>
        <w:spacing w:line="319" w:lineRule="auto" w:before="63"/>
        <w:ind w:left="153" w:right="1123" w:firstLine="360"/>
        <w:jc w:val="left"/>
        <w:rPr>
          <w:rFonts w:ascii="宋体" w:hAnsi="宋体" w:cs="宋体" w:eastAsia="宋体" w:hint="default"/>
          <w:sz w:val="18"/>
          <w:szCs w:val="18"/>
        </w:rPr>
      </w:pPr>
      <w:r>
        <w:rPr>
          <w:rFonts w:ascii="宋体" w:hAnsi="宋体" w:cs="宋体" w:eastAsia="宋体" w:hint="default"/>
          <w:sz w:val="18"/>
          <w:szCs w:val="18"/>
        </w:rPr>
        <w:t>公司募集配套资金非公开发行的</w:t>
      </w:r>
      <w:r>
        <w:rPr>
          <w:rFonts w:ascii="Times New Roman" w:hAnsi="Times New Roman" w:cs="Times New Roman" w:eastAsia="Times New Roman" w:hint="default"/>
          <w:sz w:val="18"/>
          <w:szCs w:val="18"/>
        </w:rPr>
        <w:t>11,151,078</w:t>
      </w:r>
      <w:r>
        <w:rPr>
          <w:rFonts w:ascii="宋体" w:hAnsi="宋体" w:cs="宋体" w:eastAsia="宋体" w:hint="default"/>
          <w:sz w:val="18"/>
          <w:szCs w:val="18"/>
        </w:rPr>
        <w:t>股股份已于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日在中国证券登记结算有限责任公司深圳分公司完 成了发行登记，并于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日在深圳证券交易所上市，发行完成后公司总股本为</w:t>
      </w:r>
      <w:r>
        <w:rPr>
          <w:rFonts w:ascii="Times New Roman" w:hAnsi="Times New Roman" w:cs="Times New Roman" w:eastAsia="Times New Roman" w:hint="default"/>
          <w:sz w:val="18"/>
          <w:szCs w:val="18"/>
        </w:rPr>
        <w:t>250,384,762</w:t>
      </w:r>
      <w:r>
        <w:rPr>
          <w:rFonts w:ascii="宋体" w:hAnsi="宋体" w:cs="宋体" w:eastAsia="宋体" w:hint="default"/>
          <w:sz w:val="18"/>
          <w:szCs w:val="18"/>
        </w:rPr>
        <w:t>股。 股份回购的实施进展情况</w:t>
      </w:r>
    </w:p>
    <w:p>
      <w:pPr>
        <w:spacing w:line="340" w:lineRule="auto" w:before="55"/>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39"/>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333" w:right="1123"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报告期内，公司实施了配套融资非公开发行股份</w:t>
      </w:r>
      <w:r>
        <w:rPr>
          <w:rFonts w:ascii="Times New Roman" w:hAnsi="Times New Roman" w:cs="Times New Roman" w:eastAsia="Times New Roman" w:hint="default"/>
          <w:sz w:val="18"/>
          <w:szCs w:val="18"/>
        </w:rPr>
        <w:t>11,151,078</w:t>
      </w:r>
      <w:r>
        <w:rPr>
          <w:rFonts w:ascii="宋体" w:hAnsi="宋体" w:cs="宋体" w:eastAsia="宋体" w:hint="default"/>
          <w:sz w:val="18"/>
          <w:szCs w:val="18"/>
        </w:rPr>
        <w:t>股，公司总股本由</w:t>
      </w:r>
      <w:r>
        <w:rPr>
          <w:rFonts w:ascii="Times New Roman" w:hAnsi="Times New Roman" w:cs="Times New Roman" w:eastAsia="Times New Roman" w:hint="default"/>
          <w:sz w:val="18"/>
          <w:szCs w:val="18"/>
        </w:rPr>
        <w:t>239,233,684</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250,384,762</w:t>
      </w:r>
      <w:r>
        <w:rPr>
          <w:rFonts w:ascii="宋体" w:hAnsi="宋体" w:cs="宋体" w:eastAsia="宋体" w:hint="default"/>
          <w:sz w:val="18"/>
          <w:szCs w:val="18"/>
        </w:rPr>
        <w:t>股。公司基</w:t>
      </w:r>
    </w:p>
    <w:p>
      <w:pPr>
        <w:spacing w:line="217" w:lineRule="exact"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本每股收益和稀释每股收益、归属于公司普通股股东的每股净资产等财务指标相应产生变动。</w:t>
      </w:r>
    </w:p>
    <w:p>
      <w:pPr>
        <w:spacing w:before="117"/>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44"/>
        <w:ind w:left="0" w:right="1239" w:firstLine="0"/>
        <w:jc w:val="right"/>
        <w:rPr>
          <w:rFonts w:ascii="宋体" w:hAnsi="宋体" w:cs="宋体" w:eastAsia="宋体" w:hint="default"/>
          <w:sz w:val="18"/>
          <w:szCs w:val="18"/>
        </w:rPr>
      </w:pPr>
      <w:r>
        <w:rPr/>
        <w:pict>
          <v:shape style="position:absolute;margin-left:56.424pt;margin-top:-138.988266pt;width:474.1pt;height:34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992"/>
                    <w:gridCol w:w="994"/>
                    <w:gridCol w:w="1133"/>
                    <w:gridCol w:w="1135"/>
                    <w:gridCol w:w="1561"/>
                    <w:gridCol w:w="2235"/>
                  </w:tblGrid>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0" w:right="39"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合肥国创智能科 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68,829,768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68,829,768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 限售</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12,955,978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3,238,995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9,716,983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首发限售股解禁， 高管自动锁定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 限售，董事、高管每年可减 持所持股份的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165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2,833,990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1,841,684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708,498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3,967,176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65"/>
                          <w:jc w:val="both"/>
                          <w:rPr>
                            <w:rFonts w:ascii="宋体" w:hAnsi="宋体" w:cs="宋体" w:eastAsia="宋体" w:hint="default"/>
                            <w:sz w:val="18"/>
                            <w:szCs w:val="18"/>
                          </w:rPr>
                        </w:pPr>
                        <w:r>
                          <w:rPr>
                            <w:rFonts w:ascii="宋体" w:hAnsi="宋体" w:cs="宋体" w:eastAsia="宋体" w:hint="default"/>
                            <w:sz w:val="18"/>
                            <w:szCs w:val="18"/>
                          </w:rPr>
                          <w:t>首发限售股解禁， 高管自动锁定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股份；重组发行新 股限售承诺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2,833,990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股已于</w:t>
                        </w:r>
                      </w:p>
                      <w:p>
                        <w:pPr>
                          <w:pStyle w:val="TableParagraph"/>
                          <w:spacing w:line="307"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 董事、高管每年可减持所持 股份的</w:t>
                        </w:r>
                        <w:r>
                          <w:rPr>
                            <w:rFonts w:ascii="宋体" w:hAnsi="宋体" w:cs="宋体" w:eastAsia="宋体" w:hint="default"/>
                            <w:spacing w:val="8"/>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；重组发行限售</w:t>
                        </w:r>
                        <w:r>
                          <w:rPr>
                            <w:rFonts w:ascii="宋体" w:hAnsi="宋体" w:cs="宋体" w:eastAsia="宋体" w:hint="default"/>
                            <w:sz w:val="18"/>
                            <w:szCs w:val="18"/>
                          </w:rPr>
                          <w:t> 股按承诺解除限售</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20,184,861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20,184,861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按承诺解除限售，其中，</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4,770,132 </w:t>
                        </w:r>
                        <w:r>
                          <w:rPr>
                            <w:rFonts w:ascii="宋体" w:hAnsi="宋体" w:cs="宋体" w:eastAsia="宋体" w:hint="default"/>
                            <w:sz w:val="18"/>
                            <w:szCs w:val="18"/>
                          </w:rPr>
                          <w:t>股已于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合肥贵博股权投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6,110,708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6,110,708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按承诺解除限售，其中，</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1,527,677 </w:t>
                        </w:r>
                        <w:r>
                          <w:rPr>
                            <w:rFonts w:ascii="宋体" w:hAnsi="宋体" w:cs="宋体" w:eastAsia="宋体" w:hint="default"/>
                            <w:sz w:val="18"/>
                            <w:szCs w:val="18"/>
                          </w:rPr>
                          <w:t>股已于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董先权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3,130,863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3,130,863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按承诺解除限售</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418"/>
        <w:gridCol w:w="992"/>
        <w:gridCol w:w="994"/>
        <w:gridCol w:w="1133"/>
        <w:gridCol w:w="1135"/>
        <w:gridCol w:w="1561"/>
        <w:gridCol w:w="2235"/>
      </w:tblGrid>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徐根义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2,652,025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2,652,025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按承诺解除限售，其中，</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570,877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both"/>
              <w:rPr>
                <w:rFonts w:ascii="宋体" w:hAnsi="宋体" w:cs="宋体" w:eastAsia="宋体" w:hint="default"/>
                <w:sz w:val="18"/>
                <w:szCs w:val="18"/>
              </w:rPr>
            </w:pPr>
            <w:r>
              <w:rPr>
                <w:rFonts w:ascii="宋体" w:hAnsi="宋体" w:cs="宋体" w:eastAsia="宋体" w:hint="default"/>
                <w:sz w:val="18"/>
                <w:szCs w:val="18"/>
              </w:rPr>
              <w:t>合肥紫煦投资合 伙企业（有限合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1,992,702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1,992,702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36"/>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陈学祥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736,673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736,673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按承诺解除限售</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张起云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6"/>
              <w:jc w:val="left"/>
              <w:rPr>
                <w:rFonts w:ascii="宋体" w:hAnsi="宋体" w:cs="宋体" w:eastAsia="宋体" w:hint="default"/>
                <w:sz w:val="18"/>
                <w:szCs w:val="18"/>
              </w:rPr>
            </w:pPr>
            <w:r>
              <w:rPr>
                <w:rFonts w:ascii="宋体" w:hAnsi="宋体" w:cs="宋体" w:eastAsia="宋体" w:hint="default"/>
                <w:sz w:val="18"/>
                <w:szCs w:val="18"/>
              </w:rPr>
              <w:t>重组发行新股限售 承诺</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按承诺解除限售</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3,103,907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3,103,907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首发限售股解禁</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 限售</w:t>
            </w:r>
          </w:p>
        </w:tc>
      </w:tr>
      <w:tr>
        <w:trPr>
          <w:trHeight w:val="165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both"/>
              <w:rPr>
                <w:rFonts w:ascii="宋体" w:hAnsi="宋体" w:cs="宋体" w:eastAsia="宋体" w:hint="default"/>
                <w:sz w:val="18"/>
                <w:szCs w:val="18"/>
              </w:rPr>
            </w:pPr>
            <w:r>
              <w:rPr>
                <w:rFonts w:ascii="宋体" w:hAnsi="宋体" w:cs="宋体" w:eastAsia="宋体" w:hint="default"/>
                <w:sz w:val="18"/>
                <w:szCs w:val="18"/>
              </w:rPr>
              <w:t>华富嘉业投资管 理有限公司－安 徽安华创新三期 风险投资基金有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8,153,477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8,153,477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6"/>
              <w:jc w:val="left"/>
              <w:rPr>
                <w:rFonts w:ascii="宋体" w:hAnsi="宋体" w:cs="宋体" w:eastAsia="宋体" w:hint="default"/>
                <w:sz w:val="18"/>
                <w:szCs w:val="18"/>
              </w:rPr>
            </w:pPr>
            <w:r>
              <w:rPr>
                <w:rFonts w:ascii="宋体" w:hAnsi="宋体" w:cs="宋体" w:eastAsia="宋体" w:hint="default"/>
                <w:sz w:val="18"/>
                <w:szCs w:val="18"/>
              </w:rPr>
              <w:t>募集配套资金非公 开发行锁定</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3" w:right="1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日解除限 售</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合肥兴泰金融控 </w:t>
            </w:r>
            <w:r>
              <w:rPr>
                <w:rFonts w:ascii="宋体" w:hAnsi="宋体" w:cs="宋体" w:eastAsia="宋体" w:hint="default"/>
                <w:spacing w:val="-10"/>
                <w:sz w:val="18"/>
                <w:szCs w:val="18"/>
              </w:rPr>
              <w:t>股（集团）有限公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1,798,561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1,798,561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募集配套资金非公 开发行锁定</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日解除限 售</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合肥兴泰资本管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6"/>
              <w:jc w:val="left"/>
              <w:rPr>
                <w:rFonts w:ascii="宋体" w:hAnsi="宋体" w:cs="宋体" w:eastAsia="宋体" w:hint="default"/>
                <w:sz w:val="18"/>
                <w:szCs w:val="18"/>
              </w:rPr>
            </w:pPr>
            <w:r>
              <w:rPr>
                <w:rFonts w:ascii="宋体" w:hAnsi="宋体" w:cs="宋体" w:eastAsia="宋体" w:hint="default"/>
                <w:sz w:val="18"/>
                <w:szCs w:val="18"/>
              </w:rPr>
              <w:t>募集配套资金非公 开发行锁定</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日解除限 售</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87,723,643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47,984,762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75,881,168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59,827,237</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3"/>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36,833,684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36,833,684</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科大国创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11,151,078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11,151,078</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0"/>
        <w:ind w:left="153" w:right="1133"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before="11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日，公司收到中国证监会下发《关于核准科大国创软件股份有限公司向孙路等发行股份购买资产并募集配</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line="300" w:lineRule="auto" w:before="44"/>
        <w:ind w:left="153" w:right="1128" w:firstLine="0"/>
        <w:jc w:val="both"/>
        <w:rPr>
          <w:rFonts w:ascii="宋体" w:hAnsi="宋体" w:cs="宋体" w:eastAsia="宋体" w:hint="default"/>
          <w:sz w:val="18"/>
          <w:szCs w:val="18"/>
        </w:rPr>
      </w:pPr>
      <w:r>
        <w:rPr>
          <w:rFonts w:ascii="宋体" w:hAnsi="宋体" w:cs="宋体" w:eastAsia="宋体" w:hint="default"/>
          <w:sz w:val="18"/>
          <w:szCs w:val="18"/>
        </w:rPr>
        <w:t>套资金的批复》（证监许可</w:t>
      </w:r>
      <w:r>
        <w:rPr>
          <w:rFonts w:ascii="Times New Roman" w:hAnsi="Times New Roman" w:cs="Times New Roman" w:eastAsia="Times New Roman" w:hint="default"/>
          <w:sz w:val="18"/>
          <w:szCs w:val="18"/>
        </w:rPr>
        <w:t>[2018]2063</w:t>
      </w:r>
      <w:r>
        <w:rPr>
          <w:rFonts w:ascii="宋体" w:hAnsi="宋体" w:cs="宋体" w:eastAsia="宋体" w:hint="default"/>
          <w:sz w:val="18"/>
          <w:szCs w:val="18"/>
        </w:rPr>
        <w:t>号），核准公司向孙路等交易对方发行</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股股份购买相关资产，核准公司非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
          <w:sz w:val="18"/>
          <w:szCs w:val="18"/>
        </w:rPr>
        <w:t>公开发行股份募集配套资金不超过</w:t>
      </w:r>
      <w:r>
        <w:rPr>
          <w:rFonts w:ascii="Times New Roman" w:hAnsi="Times New Roman" w:cs="Times New Roman" w:eastAsia="Times New Roman" w:hint="default"/>
          <w:spacing w:val="-1"/>
          <w:sz w:val="18"/>
          <w:szCs w:val="18"/>
        </w:rPr>
        <w:t>18,600</w:t>
      </w:r>
      <w:r>
        <w:rPr>
          <w:rFonts w:ascii="宋体" w:hAnsi="宋体" w:cs="宋体" w:eastAsia="宋体" w:hint="default"/>
          <w:spacing w:val="-1"/>
          <w:sz w:val="18"/>
          <w:szCs w:val="18"/>
        </w:rPr>
        <w:t>万元。经中国证券登记有限责任公司深圳分公司、深圳证券交易所审核批准，公司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发行股份购买资产的新增</w:t>
      </w:r>
      <w:r>
        <w:rPr>
          <w:rFonts w:ascii="Times New Roman" w:hAnsi="Times New Roman" w:cs="Times New Roman" w:eastAsia="Times New Roman" w:hint="default"/>
          <w:sz w:val="18"/>
          <w:szCs w:val="18"/>
        </w:rPr>
        <w:t>36,833,684</w:t>
      </w:r>
      <w:r>
        <w:rPr>
          <w:rFonts w:ascii="宋体" w:hAnsi="宋体" w:cs="宋体" w:eastAsia="宋体" w:hint="default"/>
          <w:sz w:val="18"/>
          <w:szCs w:val="18"/>
        </w:rPr>
        <w:t>股份已于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日上市，公司募集配套资金非公开发行的新增</w:t>
      </w:r>
      <w:r>
        <w:rPr>
          <w:rFonts w:ascii="Times New Roman" w:hAnsi="Times New Roman" w:cs="Times New Roman" w:eastAsia="Times New Roman" w:hint="default"/>
          <w:sz w:val="18"/>
          <w:szCs w:val="18"/>
        </w:rPr>
        <w:t>11,151,078</w:t>
      </w:r>
      <w:r>
        <w:rPr>
          <w:rFonts w:ascii="宋体" w:hAnsi="宋体" w:cs="宋体" w:eastAsia="宋体" w:hint="default"/>
          <w:sz w:val="18"/>
          <w:szCs w:val="18"/>
        </w:rPr>
        <w:t>股股份已 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日上市。</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0"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日，公司发行</w:t>
      </w:r>
      <w:r>
        <w:rPr>
          <w:rFonts w:ascii="Times New Roman" w:hAnsi="Times New Roman" w:cs="Times New Roman" w:eastAsia="Times New Roman" w:hint="default"/>
          <w:spacing w:val="-1"/>
          <w:sz w:val="18"/>
          <w:szCs w:val="18"/>
        </w:rPr>
        <w:t>36,833,684</w:t>
      </w:r>
      <w:r>
        <w:rPr>
          <w:rFonts w:ascii="宋体" w:hAnsi="宋体" w:cs="宋体" w:eastAsia="宋体" w:hint="default"/>
          <w:spacing w:val="-1"/>
          <w:sz w:val="18"/>
          <w:szCs w:val="18"/>
        </w:rPr>
        <w:t>股新增股份购买贵博新能</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股权事项完成资产过户并办理完毕工商变更手续，</w:t>
      </w:r>
      <w:r>
        <w:rPr>
          <w:rFonts w:ascii="宋体" w:hAnsi="宋体" w:cs="宋体" w:eastAsia="宋体" w:hint="default"/>
          <w:sz w:val="18"/>
          <w:szCs w:val="18"/>
        </w:rPr>
        <w:t> </w:t>
      </w:r>
      <w:r>
        <w:rPr>
          <w:rFonts w:ascii="宋体" w:hAnsi="宋体" w:cs="宋体" w:eastAsia="宋体" w:hint="default"/>
          <w:spacing w:val="-2"/>
          <w:sz w:val="18"/>
          <w:szCs w:val="18"/>
        </w:rPr>
        <w:t>按照相关规定，贵博新能资产负债情况自</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年纳入公司合并范围。报告期内，公司实施了配套融资非公开发行事项，非公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开发行股份</w:t>
      </w:r>
      <w:r>
        <w:rPr>
          <w:rFonts w:ascii="Times New Roman" w:hAnsi="Times New Roman" w:cs="Times New Roman" w:eastAsia="Times New Roman" w:hint="default"/>
          <w:sz w:val="18"/>
          <w:szCs w:val="18"/>
        </w:rPr>
        <w:t>11,151,078</w:t>
      </w:r>
      <w:r>
        <w:rPr>
          <w:rFonts w:ascii="宋体" w:hAnsi="宋体" w:cs="宋体" w:eastAsia="宋体" w:hint="default"/>
          <w:sz w:val="18"/>
          <w:szCs w:val="18"/>
        </w:rPr>
        <w:t>股，公司总股本由</w:t>
      </w:r>
      <w:r>
        <w:rPr>
          <w:rFonts w:ascii="Times New Roman" w:hAnsi="Times New Roman" w:cs="Times New Roman" w:eastAsia="Times New Roman" w:hint="default"/>
          <w:sz w:val="18"/>
          <w:szCs w:val="18"/>
        </w:rPr>
        <w:t>239,233,684</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250,384,762</w:t>
      </w:r>
      <w:r>
        <w:rPr>
          <w:rFonts w:ascii="宋体" w:hAnsi="宋体" w:cs="宋体" w:eastAsia="宋体" w:hint="default"/>
          <w:sz w:val="18"/>
          <w:szCs w:val="18"/>
        </w:rPr>
        <w:t>股，公司资产总额增加</w:t>
      </w:r>
      <w:r>
        <w:rPr>
          <w:rFonts w:ascii="Times New Roman" w:hAnsi="Times New Roman" w:cs="Times New Roman" w:eastAsia="Times New Roman" w:hint="default"/>
          <w:sz w:val="18"/>
          <w:szCs w:val="18"/>
        </w:rPr>
        <w:t>16,605.55</w:t>
      </w:r>
      <w:r>
        <w:rPr>
          <w:rFonts w:ascii="宋体" w:hAnsi="宋体" w:cs="宋体" w:eastAsia="宋体" w:hint="default"/>
          <w:sz w:val="18"/>
          <w:szCs w:val="18"/>
        </w:rPr>
        <w:t>万元。</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group style="position:absolute;margin-left:329.709991pt;margin-top:68.491714pt;width:52.6pt;height:31.2pt;mso-position-horizontal-relative:page;mso-position-vertical-relative:paragraph;z-index:-1158040" coordorigin="6594,1370" coordsize="1052,624">
            <v:shape style="position:absolute;left:6594;top:1370;width:1052;height:624" coordorigin="6594,1370" coordsize="1052,624" path="m6594,1994l7645,1994,7645,1370,6594,1370,6594,199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502"/>
        <w:gridCol w:w="709"/>
        <w:gridCol w:w="425"/>
        <w:gridCol w:w="481"/>
        <w:gridCol w:w="371"/>
        <w:gridCol w:w="716"/>
        <w:gridCol w:w="276"/>
        <w:gridCol w:w="764"/>
        <w:gridCol w:w="371"/>
        <w:gridCol w:w="715"/>
        <w:gridCol w:w="277"/>
        <w:gridCol w:w="994"/>
        <w:gridCol w:w="702"/>
        <w:gridCol w:w="148"/>
        <w:gridCol w:w="922"/>
      </w:tblGrid>
      <w:tr>
        <w:trPr>
          <w:trHeight w:val="16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1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24,295</w:t>
            </w:r>
          </w:p>
        </w:tc>
        <w:tc>
          <w:tcPr>
            <w:tcW w:w="9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62"/>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25,147</w:t>
            </w:r>
          </w:p>
        </w:tc>
        <w:tc>
          <w:tcPr>
            <w:tcW w:w="10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16"/>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10" w:type="dxa"/>
            <w:gridSpan w:val="2"/>
            <w:vMerge/>
            <w:tcBorders>
              <w:left w:val="single" w:sz="10" w:space="0" w:color="D2D2D2"/>
              <w:right w:val="single" w:sz="13" w:space="0" w:color="D2D2D2"/>
            </w:tcBorders>
          </w:tcPr>
          <w:p>
            <w:pPr/>
          </w:p>
        </w:tc>
        <w:tc>
          <w:tcPr>
            <w:tcW w:w="9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040"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2" w:space="0" w:color="D2D2D2"/>
              <w:right w:val="single" w:sz="9" w:space="0" w:color="D2D2D2"/>
            </w:tcBorders>
          </w:tcPr>
          <w:p>
            <w:pPr/>
          </w:p>
        </w:tc>
        <w:tc>
          <w:tcPr>
            <w:tcW w:w="197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59"/>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gridSpan w:val="2"/>
            <w:vMerge/>
            <w:tcBorders>
              <w:left w:val="single" w:sz="9" w:space="0" w:color="D2D2D2"/>
              <w:right w:val="single" w:sz="4" w:space="0" w:color="000000"/>
            </w:tcBorders>
          </w:tcPr>
          <w:p>
            <w:pP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gridSpan w:val="2"/>
            <w:vMerge/>
            <w:tcBorders>
              <w:left w:val="single" w:sz="10" w:space="0" w:color="D2D2D2"/>
              <w:right w:val="single" w:sz="13" w:space="0" w:color="D2D2D2"/>
            </w:tcBorders>
          </w:tcPr>
          <w:p>
            <w:pPr/>
          </w:p>
        </w:tc>
        <w:tc>
          <w:tcPr>
            <w:tcW w:w="9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040"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2" w:space="0" w:color="D2D2D2"/>
              <w:right w:val="single" w:sz="9" w:space="0" w:color="D2D2D2"/>
            </w:tcBorders>
          </w:tcPr>
          <w:p>
            <w:pPr/>
          </w:p>
        </w:tc>
        <w:tc>
          <w:tcPr>
            <w:tcW w:w="1972" w:type="dxa"/>
            <w:gridSpan w:val="3"/>
            <w:vMerge/>
            <w:tcBorders>
              <w:left w:val="single" w:sz="4" w:space="0" w:color="000000"/>
              <w:right w:val="single" w:sz="4" w:space="0" w:color="000000"/>
            </w:tcBorders>
            <w:shd w:val="clear" w:color="auto" w:fill="D2D2D2"/>
          </w:tcPr>
          <w:p>
            <w:pPr/>
          </w:p>
        </w:tc>
        <w:tc>
          <w:tcPr>
            <w:tcW w:w="1070" w:type="dxa"/>
            <w:gridSpan w:val="2"/>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10" w:type="dxa"/>
            <w:gridSpan w:val="2"/>
            <w:vMerge/>
            <w:tcBorders>
              <w:left w:val="single" w:sz="10" w:space="0" w:color="D2D2D2"/>
              <w:right w:val="single" w:sz="13" w:space="0" w:color="D2D2D2"/>
            </w:tcBorders>
          </w:tcPr>
          <w:p>
            <w:pPr/>
          </w:p>
        </w:tc>
        <w:tc>
          <w:tcPr>
            <w:tcW w:w="9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040"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2" w:space="0" w:color="D2D2D2"/>
              <w:right w:val="single" w:sz="9" w:space="0" w:color="D2D2D2"/>
            </w:tcBorders>
          </w:tcPr>
          <w:p>
            <w:pPr/>
          </w:p>
        </w:tc>
        <w:tc>
          <w:tcPr>
            <w:tcW w:w="1972" w:type="dxa"/>
            <w:gridSpan w:val="3"/>
            <w:vMerge/>
            <w:tcBorders>
              <w:left w:val="single" w:sz="4" w:space="0" w:color="000000"/>
              <w:bottom w:val="nil" w:sz="6" w:space="0" w:color="auto"/>
              <w:right w:val="single" w:sz="4" w:space="0" w:color="000000"/>
            </w:tcBorders>
            <w:shd w:val="clear" w:color="auto" w:fill="D2D2D2"/>
          </w:tcPr>
          <w:p>
            <w:pPr/>
          </w:p>
        </w:tc>
        <w:tc>
          <w:tcPr>
            <w:tcW w:w="1070" w:type="dxa"/>
            <w:gridSpan w:val="2"/>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10" w:type="dxa"/>
            <w:gridSpan w:val="2"/>
            <w:vMerge/>
            <w:tcBorders>
              <w:left w:val="single" w:sz="10" w:space="0" w:color="D2D2D2"/>
              <w:bottom w:val="single" w:sz="4" w:space="0" w:color="000000"/>
              <w:right w:val="single" w:sz="13" w:space="0" w:color="D2D2D2"/>
            </w:tcBorders>
          </w:tcPr>
          <w:p>
            <w:pPr/>
          </w:p>
        </w:tc>
        <w:tc>
          <w:tcPr>
            <w:tcW w:w="906" w:type="dxa"/>
            <w:gridSpan w:val="2"/>
            <w:vMerge/>
            <w:tcBorders>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040" w:type="dxa"/>
            <w:gridSpan w:val="2"/>
            <w:vMerge/>
            <w:tcBorders>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2" w:space="0" w:color="D2D2D2"/>
              <w:bottom w:val="single" w:sz="4" w:space="0" w:color="000000"/>
              <w:right w:val="single" w:sz="9" w:space="0" w:color="D2D2D2"/>
            </w:tcBorders>
          </w:tcPr>
          <w:p>
            <w:pPr/>
          </w:p>
        </w:tc>
        <w:tc>
          <w:tcPr>
            <w:tcW w:w="19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gridSpan w:val="2"/>
            <w:vMerge/>
            <w:tcBorders>
              <w:left w:val="single" w:sz="9" w:space="0" w:color="D2D2D2"/>
              <w:bottom w:val="single" w:sz="4" w:space="0" w:color="000000"/>
              <w:right w:val="single" w:sz="4" w:space="0" w:color="000000"/>
            </w:tcBorders>
          </w:tcPr>
          <w:p>
            <w:pPr/>
          </w:p>
        </w:tc>
      </w:tr>
      <w:tr>
        <w:trPr>
          <w:trHeight w:val="391"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702" w:type="dxa"/>
            <w:gridSpan w:val="2"/>
            <w:vMerge w:val="restart"/>
            <w:tcBorders>
              <w:top w:val="single" w:sz="4" w:space="0" w:color="000000"/>
              <w:left w:val="single" w:sz="4" w:space="0" w:color="000000"/>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772" w:type="dxa"/>
            <w:gridSpan w:val="3"/>
            <w:vMerge/>
            <w:tcBorders>
              <w:left w:val="single" w:sz="4" w:space="0" w:color="000000"/>
              <w:right w:val="single" w:sz="4" w:space="0" w:color="000000"/>
            </w:tcBorders>
            <w:shd w:val="clear" w:color="auto" w:fill="D2D2D2"/>
          </w:tcPr>
          <w:p>
            <w:pPr/>
          </w:p>
        </w:tc>
      </w:tr>
      <w:tr>
        <w:trPr>
          <w:trHeight w:val="139"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
        </w:tc>
        <w:tc>
          <w:tcPr>
            <w:tcW w:w="1133" w:type="dxa"/>
            <w:gridSpan w:val="2"/>
            <w:vMerge w:val="restart"/>
            <w:tcBorders>
              <w:top w:val="nil" w:sz="6" w:space="0" w:color="auto"/>
              <w:left w:val="single" w:sz="4" w:space="0" w:color="000000"/>
              <w:right w:val="single" w:sz="4" w:space="0" w:color="000000"/>
            </w:tcBorders>
            <w:shd w:val="clear" w:color="auto" w:fill="D2D2D2"/>
          </w:tcPr>
          <w:p>
            <w:pPr/>
          </w:p>
        </w:tc>
        <w:tc>
          <w:tcPr>
            <w:tcW w:w="852"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113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合肥国创智能科技有 限公司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27.49%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68,829,768</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68,829,768</w:t>
            </w:r>
          </w:p>
        </w:tc>
        <w:tc>
          <w:tcPr>
            <w:tcW w:w="850"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24,994,000</w:t>
            </w: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8.06%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20,184,861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20,184,861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20,184,861</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6,700,000</w:t>
            </w: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5.17%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12,955,978</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9,716,983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3,238,995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8,170,000</w:t>
            </w: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上海雅弘股权投资基 金中心（有限合伙）</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4.64%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11,629,307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-7,176,900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11,629,307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both"/>
              <w:rPr>
                <w:rFonts w:ascii="宋体" w:hAnsi="宋体" w:cs="宋体" w:eastAsia="宋体" w:hint="default"/>
                <w:sz w:val="18"/>
                <w:szCs w:val="18"/>
              </w:rPr>
            </w:pPr>
            <w:r>
              <w:rPr>
                <w:rFonts w:ascii="宋体" w:hAnsi="宋体" w:cs="宋体" w:eastAsia="宋体" w:hint="default"/>
                <w:sz w:val="18"/>
                <w:szCs w:val="18"/>
              </w:rPr>
              <w:t>华富嘉业投资管理有 限公司－安徽安华创 新三期风险投资基金 有限公司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3.26%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8,153,477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8,153,477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8,153,477</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中科大资产经营有限 责任公司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2.84%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7,103,120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7,103,120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852"/>
        <w:gridCol w:w="992"/>
        <w:gridCol w:w="1135"/>
        <w:gridCol w:w="992"/>
        <w:gridCol w:w="427"/>
        <w:gridCol w:w="566"/>
        <w:gridCol w:w="713"/>
        <w:gridCol w:w="137"/>
        <w:gridCol w:w="922"/>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合肥贵博股权投资合 伙企业（有限合伙）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6,110,708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6,110,708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6,110,708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4,675,674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1,841,684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3,967,176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708,498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安徽酷智投资管理有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4,048,730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4,048,730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董先权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3,130,863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3,130,863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3,130,863</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5" w:right="0"/>
              <w:jc w:val="left"/>
              <w:rPr>
                <w:rFonts w:ascii="Times New Roman" w:hAnsi="Times New Roman" w:cs="Times New Roman" w:eastAsia="Times New Roman" w:hint="default"/>
                <w:sz w:val="18"/>
                <w:szCs w:val="18"/>
              </w:rPr>
            </w:pPr>
            <w:r>
              <w:rPr>
                <w:rFonts w:ascii="Times New Roman"/>
                <w:sz w:val="18"/>
              </w:rPr>
              <w:t>900,000</w:t>
            </w:r>
          </w:p>
        </w:tc>
      </w:tr>
      <w:tr>
        <w:trPr>
          <w:trHeight w:val="1025"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36"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9"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36" w:type="dxa"/>
            <w:gridSpan w:val="9"/>
            <w:vMerge w:val="restart"/>
            <w:tcBorders>
              <w:top w:val="single" w:sz="4" w:space="0" w:color="000000"/>
              <w:left w:val="single" w:sz="10" w:space="0" w:color="D2D2D2"/>
              <w:right w:val="single" w:sz="4" w:space="0" w:color="000000"/>
            </w:tcBorders>
          </w:tcPr>
          <w:p>
            <w:pPr>
              <w:pStyle w:val="TableParagraph"/>
              <w:spacing w:line="316" w:lineRule="auto" w:before="51"/>
              <w:ind w:left="16" w:right="40"/>
              <w:jc w:val="both"/>
              <w:rPr>
                <w:rFonts w:ascii="宋体" w:hAnsi="宋体" w:cs="宋体" w:eastAsia="宋体" w:hint="default"/>
                <w:sz w:val="18"/>
                <w:szCs w:val="18"/>
              </w:rPr>
            </w:pPr>
            <w:r>
              <w:rPr>
                <w:rFonts w:ascii="宋体" w:hAnsi="宋体" w:cs="宋体" w:eastAsia="宋体" w:hint="default"/>
                <w:sz w:val="18"/>
                <w:szCs w:val="18"/>
              </w:rPr>
              <w:t>董永东先生、史兴领先生均系公司实际控制人，是一致行动人；合肥国创智能科技有 限公司系公司控股股东；孙路先生系公司董事，与合肥贵博股权投资合伙企业（有限 合伙）具有一致行动关系；安徽酷智投资管理有限公司系公司员工设立的投资公司。 未知其他股东之间是否存在关联关系，是否属于一致行动人。</w:t>
            </w:r>
          </w:p>
        </w:tc>
      </w:tr>
      <w:tr>
        <w:trPr>
          <w:trHeight w:val="704" w:hRule="exact"/>
        </w:trPr>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36" w:type="dxa"/>
            <w:gridSpan w:val="9"/>
            <w:vMerge/>
            <w:tcBorders>
              <w:left w:val="single" w:sz="10" w:space="0" w:color="D2D2D2"/>
              <w:right w:val="single" w:sz="4" w:space="0" w:color="000000"/>
            </w:tcBorders>
          </w:tcPr>
          <w:p>
            <w:pPr/>
          </w:p>
        </w:tc>
      </w:tr>
      <w:tr>
        <w:trPr>
          <w:trHeight w:val="317"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36"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39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9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4398" w:type="dxa"/>
            <w:gridSpan w:val="5"/>
            <w:vMerge/>
            <w:tcBorders>
              <w:left w:val="single" w:sz="4" w:space="0" w:color="000000"/>
              <w:bottom w:val="nil" w:sz="6" w:space="0" w:color="auto"/>
              <w:right w:val="single" w:sz="4" w:space="0" w:color="000000"/>
            </w:tcBorders>
            <w:shd w:val="clear" w:color="auto" w:fill="D2D2D2"/>
          </w:tcPr>
          <w:p>
            <w:pPr/>
          </w:p>
        </w:tc>
        <w:tc>
          <w:tcPr>
            <w:tcW w:w="12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39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9" w:type="dxa"/>
            <w:gridSpan w:val="2"/>
            <w:vMerge/>
            <w:tcBorders>
              <w:left w:val="single" w:sz="4" w:space="0" w:color="000000"/>
              <w:bottom w:val="single" w:sz="4" w:space="0" w:color="000000"/>
              <w:right w:val="single" w:sz="4" w:space="0" w:color="000000"/>
            </w:tcBorders>
            <w:shd w:val="clear" w:color="auto" w:fill="D2D2D2"/>
          </w:tcPr>
          <w:p>
            <w:pPr/>
          </w:p>
        </w:tc>
        <w:tc>
          <w:tcPr>
            <w:tcW w:w="105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68,829,768</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68,829,768</w:t>
            </w:r>
          </w:p>
        </w:tc>
      </w:tr>
      <w:tr>
        <w:trPr>
          <w:trHeight w:val="71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上海雅弘股权投资基金中心（有限 合伙）</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11,629,307</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11,629,307</w:t>
            </w:r>
          </w:p>
        </w:tc>
      </w:tr>
      <w:tr>
        <w:trPr>
          <w:trHeight w:val="404"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7,103,120</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7,103,120</w:t>
            </w: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4,048,730</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4,048,730</w:t>
            </w: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3,238,995</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3,238,995</w:t>
            </w: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2,500,000</w:t>
            </w: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708,498</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1" w:right="0"/>
              <w:jc w:val="left"/>
              <w:rPr>
                <w:rFonts w:ascii="Times New Roman" w:hAnsi="Times New Roman" w:cs="Times New Roman" w:eastAsia="Times New Roman" w:hint="default"/>
                <w:sz w:val="18"/>
                <w:szCs w:val="18"/>
              </w:rPr>
            </w:pPr>
            <w:r>
              <w:rPr>
                <w:rFonts w:ascii="Times New Roman"/>
                <w:sz w:val="18"/>
              </w:rPr>
              <w:t>708,498</w:t>
            </w: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674,789</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674,789</w:t>
            </w: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林加团</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466,300</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1" w:right="0"/>
              <w:jc w:val="left"/>
              <w:rPr>
                <w:rFonts w:ascii="Times New Roman" w:hAnsi="Times New Roman" w:cs="Times New Roman" w:eastAsia="Times New Roman" w:hint="default"/>
                <w:sz w:val="18"/>
                <w:szCs w:val="18"/>
              </w:rPr>
            </w:pPr>
            <w:r>
              <w:rPr>
                <w:rFonts w:ascii="Times New Roman"/>
                <w:sz w:val="18"/>
              </w:rPr>
              <w:t>466,300</w:t>
            </w: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徐英杰</w:t>
            </w:r>
          </w:p>
        </w:tc>
        <w:tc>
          <w:tcPr>
            <w:tcW w:w="43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341,100</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341,100</w:t>
            </w:r>
          </w:p>
        </w:tc>
      </w:tr>
      <w:tr>
        <w:trPr>
          <w:trHeight w:val="1340"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736"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0"/>
              <w:jc w:val="both"/>
              <w:rPr>
                <w:rFonts w:ascii="宋体" w:hAnsi="宋体" w:cs="宋体" w:eastAsia="宋体" w:hint="default"/>
                <w:sz w:val="18"/>
                <w:szCs w:val="18"/>
              </w:rPr>
            </w:pPr>
            <w:r>
              <w:rPr>
                <w:rFonts w:ascii="宋体" w:hAnsi="宋体" w:cs="宋体" w:eastAsia="宋体" w:hint="default"/>
                <w:sz w:val="18"/>
                <w:szCs w:val="18"/>
              </w:rPr>
              <w:t>董永东先生、史兴领先生均系公司实际控制人，是一致行动人；合肥国创智能科技有 限公司系公司控股股东；储士升先生为公司副总经理、董事会秘书；安徽酷智投资管 理有限公司系公司员工设立的投资公司。未知其他股东之间是否存在关联关系，是否 属于一致行动人。</w:t>
            </w:r>
          </w:p>
        </w:tc>
      </w:tr>
      <w:tr>
        <w:trPr>
          <w:trHeight w:val="1027"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73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前十名无限售条件股东中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徐英杰</w:t>
            </w:r>
            <w:r>
              <w:rPr>
                <w:rFonts w:ascii="Times New Roman" w:hAnsi="Times New Roman" w:cs="Times New Roman" w:eastAsia="Times New Roman" w:hint="default"/>
                <w:sz w:val="18"/>
                <w:szCs w:val="18"/>
              </w:rPr>
              <w:t>”</w:t>
            </w:r>
            <w:r>
              <w:rPr>
                <w:rFonts w:ascii="宋体" w:hAnsi="宋体" w:cs="宋体" w:eastAsia="宋体" w:hint="default"/>
                <w:sz w:val="18"/>
                <w:szCs w:val="18"/>
              </w:rPr>
              <w:t>通过普通证券账户持有公司股票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股，通过</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招商证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持有公司股票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341,100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股，合计持有公司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1135" w:firstLine="0"/>
        <w:jc w:val="right"/>
        <w:rPr>
          <w:rFonts w:ascii="宋体" w:hAnsi="宋体" w:cs="宋体" w:eastAsia="宋体" w:hint="default"/>
          <w:sz w:val="18"/>
          <w:szCs w:val="18"/>
        </w:rPr>
      </w:pPr>
      <w:r>
        <w:rPr/>
        <w:pict>
          <v:shape style="position:absolute;margin-left:56.424pt;margin-top:-51.968254pt;width:479.3pt;height:138.9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3"/>
                    <w:gridCol w:w="223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合肥国创智能科技有限公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913401007964030823</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智能环保及智能工业设备研 </w:t>
                        </w:r>
                        <w:r>
                          <w:rPr>
                            <w:rFonts w:ascii="宋体" w:hAnsi="宋体" w:cs="宋体" w:eastAsia="宋体" w:hint="default"/>
                            <w:spacing w:val="-6"/>
                            <w:sz w:val="18"/>
                            <w:szCs w:val="18"/>
                          </w:rPr>
                          <w:t>发、销售；投资管理、咨询</w:t>
                        </w:r>
                        <w:r>
                          <w:rPr>
                            <w:rFonts w:ascii="宋体" w:hAnsi="宋体" w:cs="宋体" w:eastAsia="宋体" w:hint="default"/>
                            <w:sz w:val="18"/>
                            <w:szCs w:val="18"/>
                          </w:rPr>
                          <w:t> 项目投资。</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138" w:firstLine="0"/>
        <w:jc w:val="right"/>
        <w:rPr>
          <w:rFonts w:ascii="宋体" w:hAnsi="宋体" w:cs="宋体" w:eastAsia="宋体" w:hint="default"/>
          <w:sz w:val="18"/>
          <w:szCs w:val="18"/>
        </w:rPr>
      </w:pPr>
      <w:r>
        <w:rPr/>
        <w:pict>
          <v:shape style="position:absolute;margin-left:56.424pt;margin-top:-116.850288pt;width:479.3pt;height:250.4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30"/>
                          <w:jc w:val="left"/>
                          <w:rPr>
                            <w:rFonts w:ascii="宋体" w:hAnsi="宋体" w:cs="宋体" w:eastAsia="宋体" w:hint="default"/>
                            <w:sz w:val="18"/>
                            <w:szCs w:val="18"/>
                          </w:rPr>
                        </w:pPr>
                        <w:r>
                          <w:rPr>
                            <w:rFonts w:ascii="宋体" w:hAnsi="宋体" w:cs="宋体" w:eastAsia="宋体" w:hint="default"/>
                            <w:spacing w:val="-3"/>
                            <w:sz w:val="18"/>
                            <w:szCs w:val="18"/>
                          </w:rPr>
                          <w:t>董永东先生，中国国籍，无境外永久居留权，</w:t>
                        </w:r>
                        <w:r>
                          <w:rPr>
                            <w:rFonts w:ascii="Times New Roman" w:hAnsi="Times New Roman" w:cs="Times New Roman" w:eastAsia="Times New Roman" w:hint="default"/>
                            <w:spacing w:val="-3"/>
                            <w:sz w:val="18"/>
                            <w:szCs w:val="18"/>
                          </w:rPr>
                          <w:t>1958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月出生，研究生学历，高级工程师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现任公司董事长、总经理。史兴领先生，中国国籍，无境外永久居留权，</w:t>
                        </w:r>
                        <w:r>
                          <w:rPr>
                            <w:rFonts w:ascii="Times New Roman" w:hAnsi="Times New Roman" w:cs="Times New Roman" w:eastAsia="Times New Roman" w:hint="default"/>
                            <w:spacing w:val="-4"/>
                            <w:sz w:val="18"/>
                            <w:szCs w:val="18"/>
                          </w:rPr>
                          <w:t>1971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w:t>
                        </w:r>
                        <w:r>
                          <w:rPr>
                            <w:rFonts w:ascii="宋体" w:hAnsi="宋体" w:cs="宋体" w:eastAsia="宋体" w:hint="default"/>
                            <w:spacing w:val="-81"/>
                            <w:sz w:val="18"/>
                            <w:szCs w:val="18"/>
                          </w:rPr>
                          <w:t> </w:t>
                        </w:r>
                        <w:r>
                          <w:rPr>
                            <w:rFonts w:ascii="宋体" w:hAnsi="宋体" w:cs="宋体" w:eastAsia="宋体" w:hint="default"/>
                            <w:spacing w:val="-3"/>
                            <w:sz w:val="18"/>
                            <w:szCs w:val="18"/>
                          </w:rPr>
                          <w:t>硕士，信息系统项目管理师（高级）。现任公司董事、副总经理。许广德先生，中国国籍，</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无境外永久居留权，</w:t>
                        </w:r>
                        <w:r>
                          <w:rPr>
                            <w:rFonts w:ascii="Times New Roman" w:hAnsi="Times New Roman" w:cs="Times New Roman" w:eastAsia="Times New Roman" w:hint="default"/>
                            <w:sz w:val="18"/>
                            <w:szCs w:val="18"/>
                          </w:rPr>
                          <w:t>1968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月出生，硕士。现任公司董事、副总经理。杨杨先生，中国 国籍，无境外永久居留权，</w:t>
                        </w:r>
                        <w:r>
                          <w:rPr>
                            <w:rFonts w:ascii="Times New Roman" w:hAnsi="Times New Roman" w:cs="Times New Roman" w:eastAsia="Times New Roman" w:hint="default"/>
                            <w:sz w:val="18"/>
                            <w:szCs w:val="18"/>
                          </w:rPr>
                          <w:t>1974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月出生，大学本科，中国科学技术大学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EMBA</w:t>
                        </w:r>
                        <w:r>
                          <w:rPr>
                            <w:rFonts w:ascii="宋体" w:hAnsi="宋体" w:cs="宋体" w:eastAsia="宋体" w:hint="default"/>
                            <w:sz w:val="18"/>
                            <w:szCs w:val="18"/>
                          </w:rPr>
                          <w:t>。历任 公司董事、总经理。</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6"/>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0"/>
        <w:rPr>
          <w:rFonts w:ascii="宋体" w:hAnsi="宋体" w:cs="宋体" w:eastAsia="宋体" w:hint="default"/>
          <w:sz w:val="18"/>
          <w:szCs w:val="18"/>
        </w:rPr>
      </w:pPr>
    </w:p>
    <w:p>
      <w:pPr>
        <w:spacing w:line="4650" w:lineRule="exact"/>
        <w:ind w:left="1355"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89710" cy="2952750"/>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4" cstate="print"/>
                    <a:stretch>
                      <a:fillRect/>
                    </a:stretch>
                  </pic:blipFill>
                  <pic:spPr>
                    <a:xfrm>
                      <a:off x="0" y="0"/>
                      <a:ext cx="4589710" cy="2952750"/>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10"/>
        <w:rPr>
          <w:rFonts w:ascii="宋体" w:hAnsi="宋体" w:cs="宋体" w:eastAsia="宋体" w:hint="default"/>
          <w:sz w:val="13"/>
          <w:szCs w:val="13"/>
        </w:rPr>
      </w:pPr>
    </w:p>
    <w:p>
      <w:pPr>
        <w:spacing w:line="319" w:lineRule="auto" w:before="44"/>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截至本报告披露日，实际控制人杨杨已不再直接持有科大国创股份，并与实际控制人董永东签署了股权转让协议，杨杨</w:t>
      </w:r>
      <w:r>
        <w:rPr>
          <w:rFonts w:ascii="宋体" w:hAnsi="宋体" w:cs="宋体" w:eastAsia="宋体" w:hint="default"/>
          <w:sz w:val="18"/>
          <w:szCs w:val="18"/>
        </w:rPr>
        <w:t> 拟将其持有的合肥国创全部股权转让给董永东，相关变更手续正在办理中。</w:t>
      </w:r>
    </w:p>
    <w:p>
      <w:pPr>
        <w:spacing w:line="240" w:lineRule="auto" w:before="9"/>
        <w:rPr>
          <w:rFonts w:ascii="宋体" w:hAnsi="宋体" w:cs="宋体" w:eastAsia="宋体" w:hint="default"/>
          <w:sz w:val="16"/>
          <w:szCs w:val="1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2"/>
        <w:rPr>
          <w:rFonts w:ascii="宋体" w:hAnsi="宋体" w:cs="宋体" w:eastAsia="宋体" w:hint="default"/>
          <w:sz w:val="20"/>
          <w:szCs w:val="20"/>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2724"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spacing w:before="44"/>
        <w:ind w:left="0" w:right="1976" w:firstLine="0"/>
        <w:jc w:val="right"/>
        <w:rPr>
          <w:rFonts w:ascii="宋体" w:hAnsi="宋体" w:cs="宋体" w:eastAsia="宋体" w:hint="default"/>
          <w:sz w:val="18"/>
          <w:szCs w:val="18"/>
        </w:rPr>
      </w:pPr>
      <w:r>
        <w:rPr/>
        <w:pict>
          <v:shape style="position:absolute;margin-left:54.959999pt;margin-top:-24.128254pt;width:485.65pt;height:587.4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8"/>
                    <w:gridCol w:w="895"/>
                    <w:gridCol w:w="540"/>
                    <w:gridCol w:w="716"/>
                    <w:gridCol w:w="574"/>
                    <w:gridCol w:w="862"/>
                    <w:gridCol w:w="862"/>
                    <w:gridCol w:w="1006"/>
                    <w:gridCol w:w="862"/>
                    <w:gridCol w:w="862"/>
                    <w:gridCol w:w="866"/>
                    <w:gridCol w:w="85"/>
                    <w:gridCol w:w="851"/>
                  </w:tblGrid>
                  <w:tr>
                    <w:trPr>
                      <w:trHeight w:val="1027" w:hRule="exact"/>
                    </w:trPr>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5"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firstLine="45"/>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85" w:type="dxa"/>
                        <w:tcBorders>
                          <w:top w:val="single" w:sz="4" w:space="0" w:color="000000"/>
                          <w:left w:val="single" w:sz="4" w:space="0" w:color="000000"/>
                          <w:bottom w:val="single" w:sz="4" w:space="0" w:color="000000"/>
                          <w:right w:val="nil" w:sz="6" w:space="0" w:color="auto"/>
                        </w:tcBorders>
                        <w:shd w:val="clear" w:color="auto" w:fill="D2D2D2"/>
                      </w:tcPr>
                      <w:p>
                        <w:pPr/>
                      </w:p>
                    </w:tc>
                    <w:tc>
                      <w:tcPr>
                        <w:tcW w:w="8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w:t>
                        </w:r>
                        <w:r>
                          <w:rPr>
                            <w:rFonts w:ascii="宋体" w:hAnsi="宋体" w:cs="宋体" w:eastAsia="宋体" w:hint="default"/>
                            <w:sz w:val="18"/>
                            <w:szCs w:val="18"/>
                          </w:rPr>
                          <w:t> 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40,157,502</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40,157,502</w:t>
                        </w:r>
                      </w:p>
                    </w:tc>
                  </w:tr>
                  <w:tr>
                    <w:trPr>
                      <w:trHeight w:val="71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z w:val="18"/>
                            <w:szCs w:val="18"/>
                          </w:rPr>
                          <w:t> 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9,854,626</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2,463,143</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12,317,769</w:t>
                        </w: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z w:val="18"/>
                            <w:szCs w:val="18"/>
                          </w:rPr>
                          <w:t> 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4,060,956</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4,060,956</w:t>
                        </w: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21,712,538</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21,712,538</w:t>
                        </w: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z w:val="18"/>
                            <w:szCs w:val="18"/>
                          </w:rPr>
                          <w:t> 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2,649,946</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2,649,946</w:t>
                        </w: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1,892,818</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1,892,818</w:t>
                        </w: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李绍平</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344,149</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344,149</w:t>
                        </w: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王子华</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1,892,818</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1,892,818</w:t>
                        </w:r>
                      </w:p>
                    </w:tc>
                  </w:tr>
                  <w:tr>
                    <w:trPr>
                      <w:trHeight w:val="102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副总经理、 董事会秘</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2,699,154</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2,699,154</w:t>
                        </w: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412,979</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412,979</w:t>
                        </w:r>
                      </w:p>
                    </w:tc>
                  </w:tr>
                  <w:tr>
                    <w:trPr>
                      <w:trHeight w:val="40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860,372</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860,372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12" w:lineRule="exact"/>
        <w:ind w:left="174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6.4pt;height:15.6pt;mso-position-horizontal-relative:char;mso-position-vertical-relative:line" coordorigin="0,0" coordsize="528,312">
            <v:group style="position:absolute;left:0;top:0;width:528;height:312" coordorigin="0,0" coordsize="528,312">
              <v:shape style="position:absolute;left:0;top:0;width:528;height:312" coordorigin="0,0" coordsize="528,312" path="m0,312l528,312,528,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718"/>
        <w:gridCol w:w="895"/>
        <w:gridCol w:w="540"/>
        <w:gridCol w:w="716"/>
        <w:gridCol w:w="574"/>
        <w:gridCol w:w="862"/>
        <w:gridCol w:w="862"/>
        <w:gridCol w:w="1006"/>
        <w:gridCol w:w="862"/>
        <w:gridCol w:w="862"/>
        <w:gridCol w:w="866"/>
        <w:gridCol w:w="936"/>
      </w:tblGrid>
      <w:tr>
        <w:trPr>
          <w:trHeight w:val="363" w:hRule="exact"/>
        </w:trPr>
        <w:tc>
          <w:tcPr>
            <w:tcW w:w="7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董事、总经</w:t>
            </w:r>
            <w:r>
              <w:rPr>
                <w:rFonts w:ascii="宋体" w:hAnsi="宋体" w:cs="宋体" w:eastAsia="宋体" w:hint="default"/>
                <w:sz w:val="18"/>
                <w:szCs w:val="18"/>
              </w:rPr>
              <w:t> 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10,778,426</w:t>
            </w: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-3,102,907</w:t>
            </w: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7,674,519</w:t>
            </w: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75,603,746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-3,102,907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24,175,681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96,675,520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0" w:right="1141" w:firstLine="0"/>
        <w:jc w:val="right"/>
        <w:rPr>
          <w:rFonts w:ascii="宋体" w:hAnsi="宋体" w:cs="宋体" w:eastAsia="宋体" w:hint="default"/>
          <w:sz w:val="18"/>
          <w:szCs w:val="18"/>
        </w:rPr>
      </w:pPr>
      <w:r>
        <w:rPr/>
        <w:pict>
          <v:shape style="position:absolute;margin-left:56.424pt;margin-top:-20.888304pt;width:479.15pt;height:357.5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2"/>
                            <w:sz w:val="18"/>
                            <w:szCs w:val="18"/>
                          </w:rPr>
                          <w:t>原担任公司董事长，因董事会换届选举及董事会聘任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现担任公司董事长、总经理</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3"/>
                          <w:jc w:val="left"/>
                          <w:rPr>
                            <w:rFonts w:ascii="宋体" w:hAnsi="宋体" w:cs="宋体" w:eastAsia="宋体" w:hint="default"/>
                            <w:sz w:val="18"/>
                            <w:szCs w:val="18"/>
                          </w:rPr>
                        </w:pPr>
                        <w:r>
                          <w:rPr>
                            <w:rFonts w:ascii="宋体" w:hAnsi="宋体" w:cs="宋体" w:eastAsia="宋体" w:hint="default"/>
                            <w:sz w:val="18"/>
                            <w:szCs w:val="18"/>
                          </w:rPr>
                          <w:t>原担任公司董事，因董事会换届选举及董事会聘任， 现担任公司董事、副总经理</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3"/>
                          <w:jc w:val="both"/>
                          <w:rPr>
                            <w:rFonts w:ascii="宋体" w:hAnsi="宋体" w:cs="宋体" w:eastAsia="宋体" w:hint="default"/>
                            <w:sz w:val="18"/>
                            <w:szCs w:val="18"/>
                          </w:rPr>
                        </w:pPr>
                        <w:r>
                          <w:rPr>
                            <w:rFonts w:ascii="宋体" w:hAnsi="宋体" w:cs="宋体" w:eastAsia="宋体" w:hint="default"/>
                            <w:sz w:val="18"/>
                            <w:szCs w:val="18"/>
                          </w:rPr>
                          <w:t>原担任公司副总经理、董事会秘书、财务总监，因任 期届满并经董事会聘任，现担任公司副总经理、董事 会秘书</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2"/>
                            <w:sz w:val="18"/>
                            <w:szCs w:val="18"/>
                          </w:rPr>
                          <w:t>原担任公司监事，因工作调整原因申请辞去监事职务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经董事会聘任，现担任公司财务总监</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任期届满离任，目前不再担任公司任何职务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任期届满离任，目前不再担任公司任何职务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任期届满离任，目前不再担任公司任何职务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任期届满离任，目前不再担任公司任何职务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个人原因辞职，目前不再担任公司任何职务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、公司现任董事主要工作经历和任职情况：</w:t>
      </w:r>
      <w:r>
        <w:rPr>
          <w:w w:val="100"/>
        </w:rPr>
        <w:t> </w:t>
      </w:r>
      <w:r>
        <w:rPr>
          <w:spacing w:val="-6"/>
        </w:rPr>
        <w:t>董永东先生，中国国籍，无境外永久居留权，</w:t>
      </w:r>
      <w:r>
        <w:rPr>
          <w:rFonts w:ascii="Times New Roman" w:hAnsi="Times New Roman" w:cs="Times New Roman" w:eastAsia="Times New Roman" w:hint="default"/>
          <w:spacing w:val="-6"/>
        </w:rPr>
        <w:t>1958</w:t>
      </w:r>
      <w:r>
        <w:rPr>
          <w:spacing w:val="-6"/>
        </w:rPr>
        <w:t>年</w:t>
      </w:r>
      <w:r>
        <w:rPr>
          <w:rFonts w:ascii="Times New Roman" w:hAnsi="Times New Roman" w:cs="Times New Roman" w:eastAsia="Times New Roman" w:hint="default"/>
          <w:spacing w:val="-6"/>
        </w:rPr>
        <w:t>11</w:t>
      </w:r>
      <w:r>
        <w:rPr>
          <w:spacing w:val="-6"/>
        </w:rPr>
        <w:t>月出生，研究生学历，高级工程师，安徽省</w:t>
      </w:r>
      <w:r>
        <w:rPr>
          <w:rFonts w:ascii="Times New Roman" w:hAnsi="Times New Roman" w:cs="Times New Roman" w:eastAsia="Times New Roman" w:hint="default"/>
          <w:spacing w:val="-6"/>
        </w:rPr>
        <w:t>2011</w:t>
      </w:r>
    </w:p>
    <w:p>
      <w:pPr>
        <w:pStyle w:val="BodyText"/>
        <w:spacing w:line="256" w:lineRule="auto" w:before="5"/>
        <w:ind w:right="1128"/>
        <w:jc w:val="both"/>
      </w:pPr>
      <w:r>
        <w:rPr>
          <w:spacing w:val="-2"/>
        </w:rPr>
        <w:t>年度十大经济人物、合肥市五一劳动奖章获得者、</w:t>
      </w:r>
      <w:r>
        <w:rPr>
          <w:rFonts w:ascii="Times New Roman" w:hAnsi="Times New Roman" w:cs="Times New Roman" w:eastAsia="Times New Roman" w:hint="default"/>
          <w:spacing w:val="-2"/>
        </w:rPr>
        <w:t>2013</w:t>
      </w:r>
      <w:r>
        <w:rPr>
          <w:spacing w:val="-2"/>
        </w:rPr>
        <w:t>年度和</w:t>
      </w:r>
      <w:r>
        <w:rPr>
          <w:rFonts w:ascii="Times New Roman" w:hAnsi="Times New Roman" w:cs="Times New Roman" w:eastAsia="Times New Roman" w:hint="default"/>
          <w:spacing w:val="-2"/>
        </w:rPr>
        <w:t>2015</w:t>
      </w:r>
      <w:r>
        <w:rPr>
          <w:spacing w:val="-2"/>
        </w:rPr>
        <w:t>年度中国行业信息化领军人物。历任公</w:t>
      </w:r>
      <w:r>
        <w:rPr>
          <w:spacing w:val="-39"/>
        </w:rPr>
        <w:t> </w:t>
      </w:r>
      <w:r>
        <w:rPr>
          <w:spacing w:val="-39"/>
        </w:rPr>
      </w:r>
      <w:r>
        <w:rPr/>
        <w:t>司副总经理、总经理、董事长。现任公司董事长、总经理。</w:t>
      </w:r>
    </w:p>
    <w:p>
      <w:pPr>
        <w:pStyle w:val="BodyText"/>
        <w:spacing w:line="268" w:lineRule="auto" w:before="22"/>
        <w:ind w:right="1104" w:firstLine="420"/>
        <w:jc w:val="both"/>
      </w:pPr>
      <w:r>
        <w:rPr/>
        <w:t>应勇先生，中国国籍，无永久境外居留权，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5</w:t>
      </w:r>
      <w:r>
        <w:rPr/>
        <w:t>月出生，硕士。曾担任中科大资产经营有限责任</w:t>
      </w:r>
      <w:r>
        <w:rPr>
          <w:w w:val="100"/>
        </w:rPr>
        <w:t> </w:t>
      </w:r>
      <w:r>
        <w:rPr>
          <w:spacing w:val="-2"/>
        </w:rPr>
        <w:t>公司总裁助理、董事会秘书、董事、总经理。现任公司董事，中科大资产经营有限责任公司常务副总裁，</w:t>
      </w:r>
      <w:r>
        <w:rPr>
          <w:spacing w:val="-21"/>
        </w:rPr>
        <w:t> </w:t>
      </w:r>
      <w:r>
        <w:rPr>
          <w:spacing w:val="-21"/>
        </w:rPr>
      </w:r>
      <w:r>
        <w:rPr>
          <w:spacing w:val="-2"/>
        </w:rPr>
        <w:t>科大智能科技股份有限公司董事，科大国盾量子技术股份有限公司董事，安徽问天量子科技股份有限公司</w:t>
      </w:r>
      <w:r>
        <w:rPr>
          <w:spacing w:val="-44"/>
        </w:rPr>
        <w:t> </w:t>
      </w:r>
      <w:r>
        <w:rPr>
          <w:spacing w:val="-44"/>
        </w:rPr>
      </w:r>
      <w:r>
        <w:rPr>
          <w:spacing w:val="-2"/>
        </w:rPr>
        <w:t>董事，合肥本源量子计算科技有限责任公司董事，合肥华西科技开发有限公司董事，合肥科佳高分子材料</w:t>
      </w:r>
      <w:r>
        <w:rPr>
          <w:spacing w:val="-43"/>
        </w:rPr>
        <w:t> </w:t>
      </w:r>
      <w:r>
        <w:rPr>
          <w:spacing w:val="-43"/>
        </w:rPr>
      </w:r>
      <w:r>
        <w:rPr/>
        <w:t>科技有限公司董事，合肥科创教育服务有限公司董事，安徽广行通信科技股份有限公司董事。</w:t>
      </w:r>
    </w:p>
    <w:p>
      <w:pPr>
        <w:pStyle w:val="BodyText"/>
        <w:spacing w:line="264" w:lineRule="auto" w:before="12"/>
        <w:ind w:right="1022" w:firstLine="420"/>
        <w:jc w:val="left"/>
      </w:pPr>
      <w:r>
        <w:rPr>
          <w:spacing w:val="-5"/>
        </w:rPr>
        <w:t>史兴领先生，中国国籍，无境外永久居留权，</w:t>
      </w:r>
      <w:r>
        <w:rPr>
          <w:rFonts w:ascii="Times New Roman" w:hAnsi="Times New Roman" w:cs="Times New Roman" w:eastAsia="Times New Roman" w:hint="default"/>
          <w:spacing w:val="-5"/>
        </w:rPr>
        <w:t>1971</w:t>
      </w:r>
      <w:r>
        <w:rPr>
          <w:spacing w:val="-5"/>
        </w:rPr>
        <w:t>年</w:t>
      </w:r>
      <w:r>
        <w:rPr>
          <w:rFonts w:ascii="Times New Roman" w:hAnsi="Times New Roman" w:cs="Times New Roman" w:eastAsia="Times New Roman" w:hint="default"/>
          <w:spacing w:val="-5"/>
        </w:rPr>
        <w:t>11</w:t>
      </w:r>
      <w:r>
        <w:rPr>
          <w:spacing w:val="-5"/>
        </w:rPr>
        <w:t>月出生，硕士，信息系统项目管理师（高级）。</w:t>
      </w:r>
      <w:r>
        <w:rPr>
          <w:w w:val="100"/>
        </w:rPr>
        <w:t> </w:t>
      </w:r>
      <w:r>
        <w:rPr>
          <w:spacing w:val="-2"/>
        </w:rPr>
        <w:t>历任公司部门经理、副总经理、董事。现任公司董事、副总经理，安徽贵博新能科技有限公司董事、总经</w:t>
      </w:r>
      <w:r>
        <w:rPr>
          <w:spacing w:val="-41"/>
        </w:rPr>
        <w:t> </w:t>
      </w:r>
      <w:r>
        <w:rPr>
          <w:spacing w:val="-41"/>
        </w:rPr>
      </w:r>
      <w:r>
        <w:rPr/>
        <w:t>理。</w:t>
      </w:r>
    </w:p>
    <w:p>
      <w:pPr>
        <w:pStyle w:val="BodyText"/>
        <w:spacing w:line="266" w:lineRule="auto" w:before="16"/>
        <w:ind w:right="1126" w:firstLine="420"/>
        <w:jc w:val="both"/>
      </w:pPr>
      <w:r>
        <w:rPr/>
        <w:t>许广德先生，中国国籍，无境外永久居留权，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5</w:t>
      </w:r>
      <w:r>
        <w:rPr/>
        <w:t>月出生，硕士。历任公司研发中心项目经理、</w:t>
      </w:r>
      <w:r>
        <w:rPr>
          <w:w w:val="100"/>
        </w:rPr>
        <w:t> </w:t>
      </w:r>
      <w:r>
        <w:rPr>
          <w:spacing w:val="-2"/>
        </w:rPr>
        <w:t>部门经理、副总经理、董事。现任公司董事、副总经理，中电科公共设施运营管理有限公司董事，安徽科</w:t>
      </w:r>
      <w:r>
        <w:rPr>
          <w:spacing w:val="-42"/>
        </w:rPr>
        <w:t> </w:t>
      </w:r>
      <w:r>
        <w:rPr>
          <w:spacing w:val="-42"/>
        </w:rPr>
      </w:r>
      <w:r>
        <w:rPr>
          <w:spacing w:val="-2"/>
        </w:rPr>
        <w:t>大国创软件科技有限公司董事，中国科学技术大学校外研究生导师，安徽大学计算机科学与技术学院名誉</w:t>
      </w:r>
      <w:r>
        <w:rPr>
          <w:spacing w:val="-43"/>
        </w:rPr>
        <w:t> </w:t>
      </w:r>
      <w:r>
        <w:rPr>
          <w:spacing w:val="-43"/>
        </w:rPr>
      </w:r>
      <w:r>
        <w:rPr/>
        <w:t>教授。</w:t>
      </w:r>
    </w:p>
    <w:p>
      <w:pPr>
        <w:pStyle w:val="BodyText"/>
        <w:spacing w:line="264" w:lineRule="auto" w:before="14"/>
        <w:ind w:right="1128" w:firstLine="420"/>
        <w:jc w:val="both"/>
      </w:pPr>
      <w:r>
        <w:rPr>
          <w:spacing w:val="-2"/>
        </w:rPr>
        <w:t>孙路先生，中国国籍，无境外永久居留权，</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11</w:t>
      </w:r>
      <w:r>
        <w:rPr>
          <w:spacing w:val="-2"/>
        </w:rPr>
        <w:t>月出生，硕士。曾任北京恒际达投资管理有限责</w:t>
      </w:r>
      <w:r>
        <w:rPr>
          <w:w w:val="100"/>
        </w:rPr>
        <w:t> </w:t>
      </w:r>
      <w:r>
        <w:rPr>
          <w:spacing w:val="-2"/>
        </w:rPr>
        <w:t>任公司投资经理、公司客户经理、安徽贵博新能科技有限公司执行董事。现任公司董事，安徽贵博新能科</w:t>
      </w:r>
      <w:r>
        <w:rPr>
          <w:spacing w:val="-50"/>
        </w:rPr>
        <w:t> </w:t>
      </w:r>
      <w:r>
        <w:rPr>
          <w:spacing w:val="-50"/>
        </w:rPr>
      </w:r>
      <w:r>
        <w:rPr/>
        <w:t>技有限公司董事长，合肥贵博股权投资合伙企业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执行事务合伙人。</w:t>
      </w:r>
    </w:p>
    <w:p>
      <w:pPr>
        <w:pStyle w:val="BodyText"/>
        <w:spacing w:line="261" w:lineRule="auto"/>
        <w:ind w:right="1107" w:firstLine="420"/>
        <w:jc w:val="right"/>
      </w:pPr>
      <w:r>
        <w:rPr/>
        <w:t>程先乐先生，中国国籍，无境外永久居留权，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3</w:t>
      </w:r>
      <w:r>
        <w:rPr/>
        <w:t>月出生，大学本科，信息系统项目管理师（高</w:t>
      </w:r>
      <w:r>
        <w:rPr>
          <w:w w:val="100"/>
        </w:rPr>
        <w:t> </w:t>
      </w:r>
      <w:r>
        <w:rPr>
          <w:spacing w:val="-4"/>
        </w:rPr>
        <w:t>级），</w:t>
      </w:r>
      <w:r>
        <w:rPr>
          <w:rFonts w:ascii="Times New Roman" w:hAnsi="Times New Roman" w:cs="Times New Roman" w:eastAsia="Times New Roman" w:hint="default"/>
          <w:spacing w:val="-4"/>
        </w:rPr>
        <w:t>2013-2014</w:t>
      </w:r>
      <w:r>
        <w:rPr>
          <w:spacing w:val="-4"/>
        </w:rPr>
        <w:t>年度安徽省优秀软件人才。历任公司研发中心项目经理、部门经理、董事、副总经理。现</w:t>
      </w:r>
      <w:r>
        <w:rPr>
          <w:spacing w:val="-48"/>
        </w:rPr>
        <w:t> </w:t>
      </w:r>
      <w:r>
        <w:rPr>
          <w:spacing w:val="-48"/>
        </w:rPr>
      </w:r>
      <w:r>
        <w:rPr>
          <w:spacing w:val="-2"/>
        </w:rPr>
        <w:t>任公司董事、副总经理，株式会社科大国创代表取缔役，安徽科大国创软件科技有限公司董事、总经理。</w:t>
      </w:r>
      <w:r>
        <w:rPr>
          <w:spacing w:val="-45"/>
        </w:rPr>
        <w:t> </w:t>
      </w:r>
      <w:r>
        <w:rPr>
          <w:spacing w:val="-45"/>
        </w:rPr>
      </w:r>
      <w:r>
        <w:rPr/>
        <w:t>齐美彬先生，中国国籍，无境外永久居留权，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月出生，信号与信息处理专业博士。现任公司</w:t>
      </w:r>
    </w:p>
    <w:p>
      <w:pPr>
        <w:pStyle w:val="BodyText"/>
        <w:spacing w:line="273" w:lineRule="auto"/>
        <w:ind w:left="573" w:right="1133" w:hanging="420"/>
        <w:jc w:val="left"/>
      </w:pPr>
      <w:r>
        <w:rPr/>
        <w:t>独立董事，合肥工业大学教授、博士生导师，安徽省电子学会理事。</w:t>
      </w:r>
      <w:r>
        <w:rPr>
          <w:w w:val="100"/>
        </w:rPr>
        <w:t> </w:t>
      </w:r>
      <w:r>
        <w:rPr>
          <w:spacing w:val="-2"/>
        </w:rPr>
        <w:t>冯华先生，中国国籍，无境外永久居留权，</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月出生，经济学博士、管理学博士后。现任公司</w:t>
      </w:r>
    </w:p>
    <w:p>
      <w:pPr>
        <w:pStyle w:val="BodyText"/>
        <w:spacing w:line="266" w:lineRule="auto"/>
        <w:ind w:right="1126"/>
        <w:jc w:val="both"/>
      </w:pPr>
      <w:r>
        <w:rPr>
          <w:spacing w:val="-2"/>
        </w:rPr>
        <w:t>独立董事，北京交通大学经济管理学院教授、博士生导师，国家社会科学基金重大项目首席专家，北京交</w:t>
      </w:r>
      <w:r>
        <w:rPr>
          <w:spacing w:val="-50"/>
        </w:rPr>
        <w:t> </w:t>
      </w:r>
      <w:r>
        <w:rPr>
          <w:spacing w:val="-50"/>
        </w:rPr>
      </w:r>
      <w:r>
        <w:rPr>
          <w:spacing w:val="-2"/>
        </w:rPr>
        <w:t>通大学服务经济与新兴产业研究所所长，国家重点学科产业经济学带头人之一，江西华伍制动器股份有限</w:t>
      </w:r>
      <w:r>
        <w:rPr>
          <w:spacing w:val="-43"/>
        </w:rPr>
        <w:t> </w:t>
      </w:r>
      <w:r>
        <w:rPr>
          <w:spacing w:val="-43"/>
        </w:rPr>
      </w:r>
      <w:r>
        <w:rPr>
          <w:spacing w:val="-2"/>
        </w:rPr>
        <w:t>公司独立董事，北京市基础设施投资有限公司外部董事，兼任中国经济思想史学会常务理事、中国软科学</w:t>
      </w:r>
      <w:r>
        <w:rPr>
          <w:spacing w:val="-45"/>
        </w:rPr>
        <w:t> </w:t>
      </w:r>
      <w:r>
        <w:rPr>
          <w:spacing w:val="-45"/>
        </w:rPr>
      </w:r>
      <w:r>
        <w:rPr>
          <w:spacing w:val="-2"/>
        </w:rPr>
        <w:t>研究会常务理事、中国工业经济学会常务理事、北京产业经济学会副会长等学术职务。主持国家社科基金</w:t>
      </w:r>
      <w:r>
        <w:rPr>
          <w:spacing w:val="-45"/>
        </w:rPr>
        <w:t> </w:t>
      </w:r>
      <w:r>
        <w:rPr>
          <w:spacing w:val="-45"/>
        </w:rPr>
      </w:r>
      <w:r>
        <w:rPr/>
        <w:t>重大项目、国家软科学计划重大项目等课题</w:t>
      </w:r>
      <w:r>
        <w:rPr>
          <w:rFonts w:ascii="Times New Roman" w:hAnsi="Times New Roman" w:cs="Times New Roman" w:eastAsia="Times New Roman" w:hint="default"/>
        </w:rPr>
        <w:t>20</w:t>
      </w:r>
      <w:r>
        <w:rPr/>
        <w:t>余项，发表论文</w:t>
      </w:r>
      <w:r>
        <w:rPr>
          <w:rFonts w:ascii="Times New Roman" w:hAnsi="Times New Roman" w:cs="Times New Roman" w:eastAsia="Times New Roman" w:hint="default"/>
        </w:rPr>
        <w:t>100</w:t>
      </w:r>
      <w:r>
        <w:rPr/>
        <w:t>多篇，出版专著</w:t>
      </w:r>
      <w:r>
        <w:rPr>
          <w:rFonts w:ascii="Times New Roman" w:hAnsi="Times New Roman" w:cs="Times New Roman" w:eastAsia="Times New Roman" w:hint="default"/>
        </w:rPr>
        <w:t>2</w:t>
      </w:r>
      <w:r>
        <w:rPr/>
        <w:t>部，荣获</w:t>
      </w:r>
      <w:r>
        <w:rPr>
          <w:rFonts w:ascii="Times New Roman" w:hAnsi="Times New Roman" w:cs="Times New Roman" w:eastAsia="Times New Roman" w:hint="default"/>
        </w:rPr>
        <w:t>“</w:t>
      </w:r>
      <w:r>
        <w:rPr/>
        <w:t>宝钢优秀教</w:t>
      </w:r>
      <w:r>
        <w:rPr>
          <w:spacing w:val="-18"/>
        </w:rPr>
        <w:t> </w:t>
      </w:r>
      <w:r>
        <w:rPr>
          <w:spacing w:val="-18"/>
        </w:rPr>
      </w:r>
      <w:r>
        <w:rPr>
          <w:spacing w:val="-2"/>
        </w:rPr>
        <w:t>师奖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w:t>
      </w:r>
      <w:r>
        <w:rPr>
          <w:rFonts w:ascii="Times New Roman" w:hAnsi="Times New Roman" w:cs="Times New Roman" w:eastAsia="Times New Roman" w:hint="default"/>
          <w:spacing w:val="-2"/>
        </w:rPr>
        <w:t>MBA</w:t>
      </w:r>
      <w:r>
        <w:rPr>
          <w:spacing w:val="-2"/>
        </w:rPr>
        <w:t>杰出教授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山东高校十大优秀教师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北京交通大学优秀共产党员</w:t>
      </w:r>
      <w:r>
        <w:rPr>
          <w:rFonts w:ascii="Times New Roman" w:hAnsi="Times New Roman" w:cs="Times New Roman" w:eastAsia="Times New Roman" w:hint="default"/>
          <w:spacing w:val="-2"/>
        </w:rPr>
        <w:t>”“</w:t>
      </w:r>
      <w:r>
        <w:rPr>
          <w:spacing w:val="-2"/>
        </w:rPr>
        <w:t>北京交通大学教</w:t>
      </w:r>
      <w:r>
        <w:rPr>
          <w:spacing w:val="-4"/>
        </w:rPr>
        <w:t> </w:t>
      </w:r>
      <w:r>
        <w:rPr>
          <w:spacing w:val="-4"/>
        </w:rPr>
      </w:r>
      <w:r>
        <w:rPr/>
        <w:t>书育人先进个人</w:t>
      </w:r>
      <w:r>
        <w:rPr>
          <w:rFonts w:ascii="Times New Roman" w:hAnsi="Times New Roman" w:cs="Times New Roman" w:eastAsia="Times New Roman" w:hint="default"/>
        </w:rPr>
        <w:t>”</w:t>
      </w:r>
      <w:r>
        <w:rPr/>
        <w:t>等荣誉称号，入选北京交通大学</w:t>
      </w:r>
      <w:r>
        <w:rPr>
          <w:rFonts w:ascii="Times New Roman" w:hAnsi="Times New Roman" w:cs="Times New Roman" w:eastAsia="Times New Roman" w:hint="default"/>
        </w:rPr>
        <w:t>“</w:t>
      </w:r>
      <w:r>
        <w:rPr/>
        <w:t>卓越百人</w:t>
      </w:r>
      <w:r>
        <w:rPr>
          <w:rFonts w:ascii="Times New Roman" w:hAnsi="Times New Roman" w:cs="Times New Roman" w:eastAsia="Times New Roman" w:hint="default"/>
        </w:rPr>
        <w:t>”</w:t>
      </w:r>
      <w:r>
        <w:rPr/>
        <w:t>第二层次。</w:t>
      </w:r>
    </w:p>
    <w:p>
      <w:pPr>
        <w:pStyle w:val="BodyText"/>
        <w:spacing w:line="264" w:lineRule="auto"/>
        <w:ind w:right="0" w:firstLine="420"/>
        <w:jc w:val="left"/>
      </w:pPr>
      <w:r>
        <w:rPr/>
        <w:t>李姚矿先生，中国国籍，无境外永久居留权，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月出生，管理学博士，中国注册会计师协会非</w:t>
      </w:r>
      <w:r>
        <w:rPr>
          <w:w w:val="100"/>
        </w:rPr>
        <w:t> </w:t>
      </w:r>
      <w:r>
        <w:rPr>
          <w:spacing w:val="-5"/>
        </w:rPr>
        <w:t>执业会员。现任公司独立董事，合肥工业大学管理学院会计学系教授、博士生导师、创业投资研究所所长，</w:t>
      </w:r>
      <w:r>
        <w:rPr>
          <w:spacing w:val="-13"/>
        </w:rPr>
        <w:t> </w:t>
      </w:r>
      <w:r>
        <w:rPr>
          <w:spacing w:val="-13"/>
        </w:rPr>
      </w:r>
      <w:r>
        <w:rPr>
          <w:spacing w:val="-2"/>
        </w:rPr>
        <w:t>安徽三联交通应用技术股份有限公司独立董事、安徽华塑股份有限公司独立董事。近年来主持国家自然科</w:t>
      </w:r>
      <w:r>
        <w:rPr>
          <w:spacing w:val="-43"/>
        </w:rPr>
        <w:t> </w:t>
      </w:r>
      <w:r>
        <w:rPr>
          <w:spacing w:val="-43"/>
        </w:rPr>
      </w:r>
      <w:r>
        <w:rPr/>
        <w:t>学基金和国家社会科学基金等科研项目</w:t>
      </w:r>
      <w:r>
        <w:rPr>
          <w:rFonts w:ascii="Times New Roman" w:hAnsi="Times New Roman" w:cs="Times New Roman" w:eastAsia="Times New Roman" w:hint="default"/>
        </w:rPr>
        <w:t>10</w:t>
      </w:r>
      <w:r>
        <w:rPr/>
        <w:t>多项，发表论文</w:t>
      </w:r>
      <w:r>
        <w:rPr>
          <w:rFonts w:ascii="Times New Roman" w:hAnsi="Times New Roman" w:cs="Times New Roman" w:eastAsia="Times New Roman" w:hint="default"/>
        </w:rPr>
        <w:t>30</w:t>
      </w:r>
      <w:r>
        <w:rPr/>
        <w:t>多篇，出版专著</w:t>
      </w:r>
      <w:r>
        <w:rPr>
          <w:rFonts w:ascii="Times New Roman" w:hAnsi="Times New Roman" w:cs="Times New Roman" w:eastAsia="Times New Roman" w:hint="default"/>
        </w:rPr>
        <w:t>2</w:t>
      </w:r>
      <w:r>
        <w:rPr/>
        <w:t>部。</w:t>
      </w:r>
      <w:r>
        <w:rPr>
          <w:rFonts w:ascii="Times New Roman" w:hAnsi="Times New Roman" w:cs="Times New Roman" w:eastAsia="Times New Roman" w:hint="default"/>
        </w:rPr>
        <w:t>2005</w:t>
      </w:r>
      <w:r>
        <w:rPr/>
        <w:t>年被评为安徽省优</w:t>
      </w:r>
      <w:r>
        <w:rPr>
          <w:spacing w:val="-27"/>
        </w:rPr>
        <w:t> </w:t>
      </w:r>
      <w:r>
        <w:rPr>
          <w:spacing w:val="-27"/>
        </w:rPr>
      </w:r>
      <w:r>
        <w:rPr/>
        <w:t>秀中青年骨干教师，获得安徽省教学成果奖、安徽省社会科学奖等多项奖励。</w:t>
      </w:r>
    </w:p>
    <w:p>
      <w:pPr>
        <w:pStyle w:val="BodyText"/>
        <w:spacing w:line="256" w:lineRule="auto" w:before="16"/>
        <w:ind w:left="573" w:right="1133"/>
        <w:jc w:val="left"/>
      </w:pPr>
      <w:r>
        <w:rPr>
          <w:rFonts w:ascii="Times New Roman" w:hAnsi="Times New Roman" w:cs="Times New Roman" w:eastAsia="Times New Roman" w:hint="default"/>
        </w:rPr>
        <w:t>2</w:t>
      </w:r>
      <w:r>
        <w:rPr/>
        <w:t>、公司现任监事主要工作经历和任职情况：</w:t>
      </w:r>
      <w:r>
        <w:rPr>
          <w:w w:val="100"/>
        </w:rPr>
        <w:t> </w:t>
      </w:r>
      <w:r>
        <w:rPr>
          <w:spacing w:val="-2"/>
        </w:rPr>
        <w:t>陈方友先生，中国国籍，无境外永久居留权，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10</w:t>
      </w:r>
      <w:r>
        <w:rPr>
          <w:spacing w:val="-2"/>
        </w:rPr>
        <w:t>月出生，大学本科双学士，工信部认证信息系</w:t>
      </w:r>
    </w:p>
    <w:p>
      <w:pPr>
        <w:pStyle w:val="BodyText"/>
        <w:spacing w:line="273" w:lineRule="auto" w:before="5"/>
        <w:ind w:right="0"/>
        <w:jc w:val="left"/>
      </w:pPr>
      <w:r>
        <w:rPr>
          <w:spacing w:val="-5"/>
        </w:rPr>
        <w:t>统集成高级项目经理。曾任苏州科大国创信息技术有限公司副总经理，安徽慧联运科技有限公司副总经理。 </w:t>
      </w:r>
      <w:r>
        <w:rPr/>
        <w:t>现任公司监事会主席、党委书记，安徽慧联运科技有限公司执行总经理。</w:t>
      </w:r>
    </w:p>
    <w:p>
      <w:pPr>
        <w:pStyle w:val="BodyText"/>
        <w:spacing w:line="256" w:lineRule="auto" w:before="7"/>
        <w:ind w:right="1126" w:firstLine="420"/>
        <w:jc w:val="both"/>
      </w:pPr>
      <w:r>
        <w:rPr>
          <w:spacing w:val="-2"/>
        </w:rPr>
        <w:t>李绍平先生，中国国籍，无境外永久居留权，</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11</w:t>
      </w:r>
      <w:r>
        <w:rPr>
          <w:spacing w:val="-2"/>
        </w:rPr>
        <w:t>月出生，硕士。历任公司软件工程师、项目经</w:t>
      </w:r>
      <w:r>
        <w:rPr>
          <w:w w:val="100"/>
        </w:rPr>
        <w:t> </w:t>
      </w:r>
      <w:r>
        <w:rPr/>
        <w:t>理、项目总监、咨询总监。现任公司监事、能源事业部总经理。</w:t>
      </w:r>
    </w:p>
    <w:p>
      <w:pPr>
        <w:pStyle w:val="BodyText"/>
        <w:spacing w:line="240" w:lineRule="auto" w:before="22"/>
        <w:ind w:left="573" w:right="0"/>
        <w:jc w:val="left"/>
      </w:pPr>
      <w:r>
        <w:rPr/>
        <w:t>王子华先生，中国国籍，无境外永久居留权，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月出生，大学本科，信息系统高级项目管理师。</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历任公司部门经理，科大国创云网科技有限公司副总经理，现任公司监事，贵州科大国创大数据科技有限</w:t>
      </w:r>
      <w:r>
        <w:rPr>
          <w:spacing w:val="-42"/>
        </w:rPr>
        <w:t> </w:t>
      </w:r>
      <w:r>
        <w:rPr>
          <w:spacing w:val="-42"/>
        </w:rPr>
      </w:r>
      <w:r>
        <w:rPr/>
        <w:t>公司总经理。</w:t>
      </w:r>
    </w:p>
    <w:p>
      <w:pPr>
        <w:pStyle w:val="BodyText"/>
        <w:spacing w:line="256" w:lineRule="auto" w:before="7"/>
        <w:ind w:left="573" w:right="1133"/>
        <w:jc w:val="left"/>
      </w:pPr>
      <w:r>
        <w:rPr>
          <w:rFonts w:ascii="Times New Roman" w:hAnsi="Times New Roman" w:cs="Times New Roman" w:eastAsia="Times New Roman" w:hint="default"/>
        </w:rPr>
        <w:t>3</w:t>
      </w:r>
      <w:r>
        <w:rPr/>
        <w:t>、公司现任高级管理人员主要工作经历和兼职情况：</w:t>
      </w:r>
      <w:r>
        <w:rPr>
          <w:w w:val="100"/>
        </w:rPr>
        <w:t> </w:t>
      </w:r>
      <w:r>
        <w:rPr/>
        <w:t>董永东先生，任本公司总经理，简历参见本小节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史兴领先生，任本公司副总经理，简历参见本小节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许广德先生，任本公司副总经理，简历参见本小节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t>程先乐先生，任本公司副总经理，简历参见本小节</w:t>
      </w:r>
      <w:r>
        <w:rPr>
          <w:rFonts w:ascii="Times New Roman" w:hAnsi="Times New Roman" w:cs="Times New Roman" w:eastAsia="Times New Roman" w:hint="default"/>
        </w:rPr>
        <w:t>“1</w:t>
      </w:r>
      <w:r>
        <w:rPr/>
        <w:t>、公司现任董事主要工作经历和任职情况</w:t>
      </w:r>
      <w:r>
        <w:rPr>
          <w:rFonts w:ascii="Times New Roman" w:hAnsi="Times New Roman" w:cs="Times New Roman" w:eastAsia="Times New Roman" w:hint="default"/>
        </w:rPr>
        <w:t>”</w:t>
      </w:r>
      <w:r>
        <w:rPr/>
        <w:t>。</w:t>
      </w:r>
      <w:r>
        <w:rPr>
          <w:w w:val="100"/>
        </w:rPr>
        <w:t> </w:t>
      </w:r>
      <w:r>
        <w:rPr>
          <w:spacing w:val="-2"/>
        </w:rPr>
        <w:t>储士升先生，中国国籍，无境外永久居留权，</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10</w:t>
      </w:r>
      <w:r>
        <w:rPr>
          <w:spacing w:val="-2"/>
        </w:rPr>
        <w:t>月出生，大学本科，中国注册会计师、注册税</w:t>
      </w:r>
    </w:p>
    <w:p>
      <w:pPr>
        <w:pStyle w:val="BodyText"/>
        <w:spacing w:line="273" w:lineRule="auto" w:before="5"/>
        <w:ind w:right="1104"/>
        <w:jc w:val="both"/>
      </w:pPr>
      <w:r>
        <w:rPr>
          <w:spacing w:val="-2"/>
        </w:rPr>
        <w:t>务师。曾担任华普会计师事务所项目经理、国元证券风险管理部职员。现任公司副总经理、董事会秘书，</w:t>
      </w:r>
      <w:r>
        <w:rPr>
          <w:spacing w:val="-21"/>
        </w:rPr>
        <w:t> </w:t>
      </w:r>
      <w:r>
        <w:rPr>
          <w:spacing w:val="-21"/>
        </w:rPr>
      </w:r>
      <w:r>
        <w:rPr>
          <w:spacing w:val="-2"/>
        </w:rPr>
        <w:t>安徽科大国创数字科技有限公司董事长、总经理，安徽贵博新能科技有限公司董事，安徽慧联运科技有限</w:t>
      </w:r>
      <w:r>
        <w:rPr>
          <w:spacing w:val="-43"/>
        </w:rPr>
        <w:t> </w:t>
      </w:r>
      <w:r>
        <w:rPr>
          <w:spacing w:val="-43"/>
        </w:rPr>
      </w:r>
      <w:r>
        <w:rPr>
          <w:spacing w:val="-2"/>
        </w:rPr>
        <w:t>公司董事，安徽科大国创软件科技有限公司董事，安徽慧通互联物流科技有限公司监事、贵州科大国创大</w:t>
      </w:r>
      <w:r>
        <w:rPr>
          <w:spacing w:val="-43"/>
        </w:rPr>
        <w:t> </w:t>
      </w:r>
      <w:r>
        <w:rPr>
          <w:spacing w:val="-43"/>
        </w:rPr>
      </w:r>
      <w:r>
        <w:rPr/>
        <w:t>数据科技公司董事。</w:t>
      </w:r>
    </w:p>
    <w:p>
      <w:pPr>
        <w:pStyle w:val="BodyText"/>
        <w:spacing w:line="268" w:lineRule="auto" w:before="8"/>
        <w:ind w:right="1126" w:firstLine="420"/>
        <w:jc w:val="both"/>
      </w:pPr>
      <w:r>
        <w:rPr/>
        <w:t>李飞先生，中国国籍，无境外永久居留权，</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8</w:t>
      </w:r>
      <w:r>
        <w:rPr/>
        <w:t>月出生，硕士，安徽省优秀党员，安徽省劳动竞</w:t>
      </w:r>
      <w:r>
        <w:rPr>
          <w:w w:val="100"/>
        </w:rPr>
        <w:t> </w:t>
      </w:r>
      <w:r>
        <w:rPr>
          <w:spacing w:val="-2"/>
        </w:rPr>
        <w:t>赛先进个人。历任苏州科大国创信息技术有限公司软件工程师、项目经理、部门经理、产品总监、副总经</w:t>
      </w:r>
      <w:r>
        <w:rPr>
          <w:spacing w:val="-43"/>
        </w:rPr>
        <w:t> </w:t>
      </w:r>
      <w:r>
        <w:rPr>
          <w:spacing w:val="-43"/>
        </w:rPr>
      </w:r>
      <w:r>
        <w:rPr>
          <w:spacing w:val="-2"/>
        </w:rPr>
        <w:t>理、总经理，科大国创云网科技有限公司副总经理、总经理。现任公司副总经理，科大国创云网科技有限</w:t>
      </w:r>
      <w:r>
        <w:rPr>
          <w:spacing w:val="-43"/>
        </w:rPr>
        <w:t> </w:t>
      </w:r>
      <w:r>
        <w:rPr>
          <w:spacing w:val="-43"/>
        </w:rPr>
      </w:r>
      <w:r>
        <w:rPr>
          <w:spacing w:val="-2"/>
        </w:rPr>
        <w:t>公司执行董事兼总经理，苏州科大国创信息技术有限公司执行董事兼总经理，贵州科大国创大数据科技有</w:t>
      </w:r>
      <w:r>
        <w:rPr>
          <w:spacing w:val="-43"/>
        </w:rPr>
        <w:t> </w:t>
      </w:r>
      <w:r>
        <w:rPr>
          <w:spacing w:val="-43"/>
        </w:rPr>
      </w:r>
      <w:r>
        <w:rPr/>
        <w:t>限公司执行董事。</w:t>
      </w:r>
    </w:p>
    <w:p>
      <w:pPr>
        <w:pStyle w:val="BodyText"/>
        <w:spacing w:line="266" w:lineRule="auto" w:before="12"/>
        <w:ind w:right="1085" w:firstLine="336"/>
        <w:jc w:val="both"/>
      </w:pPr>
      <w:r>
        <w:rPr>
          <w:spacing w:val="-2"/>
        </w:rPr>
        <w:t>孔皖生先生，中国国籍，无境外永久居留权，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8</w:t>
      </w:r>
      <w:r>
        <w:rPr>
          <w:spacing w:val="-2"/>
        </w:rPr>
        <w:t>月出生，大学本科，信息系统高级项目管理师。</w:t>
      </w:r>
      <w:r>
        <w:rPr>
          <w:w w:val="100"/>
        </w:rPr>
        <w:t> </w:t>
      </w:r>
      <w:r>
        <w:rPr>
          <w:spacing w:val="-2"/>
        </w:rPr>
        <w:t>历任公司项目经理、部门经理、监事、总裁助理。现任公司财务总监，安徽贵博新能科技有限公司董事，</w:t>
      </w:r>
      <w:r>
        <w:rPr>
          <w:spacing w:val="-21"/>
        </w:rPr>
        <w:t> </w:t>
      </w:r>
      <w:r>
        <w:rPr>
          <w:spacing w:val="-21"/>
        </w:rPr>
      </w:r>
      <w:r>
        <w:rPr>
          <w:spacing w:val="-2"/>
        </w:rPr>
        <w:t>安徽科大国创数字科技有限公司董事、科大国创云网科技有限公司监事、苏州科大国创信息技术有限公司</w:t>
      </w:r>
      <w:r>
        <w:rPr>
          <w:spacing w:val="-44"/>
        </w:rPr>
        <w:t> </w:t>
      </w:r>
      <w:r>
        <w:rPr>
          <w:spacing w:val="-44"/>
        </w:rPr>
      </w:r>
      <w:r>
        <w:rPr/>
        <w:t>监事。</w:t>
      </w:r>
    </w:p>
    <w:p>
      <w:pPr>
        <w:spacing w:before="75"/>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安徽酷智投资管理有限公司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安徽省信息化专家咨询委员会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安徽省电子商务协会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安徽省信息化协会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副监事长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合肥市大数据创新产业联盟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合肥高新区上市企业协会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安徽科大国创数字科技有限公司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安徽中科国创高可信软件有限公司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合肥领创股权投资合伙企业（有限合伙</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1"/>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3"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0.3pt;height:35.2pt;mso-position-horizontal-relative:char;mso-position-vertical-relative:line" coordorigin="0,0" coordsize="1006,704">
                  <v:group style="position:absolute;left:0;top:0;width:1006;height:351" coordorigin="0,0" coordsize="1006,351">
                    <v:shape style="position:absolute;left:0;top:0;width:1006;height:351" coordorigin="0,0" coordsize="1006,351" path="m0,350l1006,350,1006,0,0,0,0,350xe" filled="true" fillcolor="#ffffff" stroked="false">
                      <v:path arrowok="t"/>
                      <v:fill type="solid"/>
                    </v:shape>
                  </v:group>
                  <v:group style="position:absolute;left:0;top:351;width:1006;height:354" coordorigin="0,351" coordsize="1006,354">
                    <v:shape style="position:absolute;left:0;top:351;width:1006;height:354" coordorigin="0,351" coordsize="1006,354" path="m0,704l1006,704,1006,351,0,351,0,704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科大智能科技股份有限公司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科大国盾量子技术股份有限公司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安徽问天量子科技股份有限公司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合肥本源量子计算科技有限责任公司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合肥华西科技开发有限公司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合肥科佳高分子材料科技有限公司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合肥科创教育服务有限公司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安徽广行通信科技股份有限公司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中电科公共设施运营管理有限公司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合肥贵博股权投资合伙企业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株式会社科大国创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代表取缔役</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苏州虞创智能仪表科技有限公司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北京交通大学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江西华伍制动器股份有限公司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北京市基础设施投资有限公司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安徽三联交通应用技术股份有限公司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安徽华塑股份有限公司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王子华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贵州科大国创大数据科技有限公司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安徽科大国创数字科技有限公司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安徽慧通互联物流科技有限公司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贵州科大国创大数据科技有限公司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安徽科大国创数字科技有限公司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科大国创云网科技有限公司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苏州科大国创信息技术有限公司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56" w:lineRule="auto" w:before="94"/>
        <w:ind w:left="573" w:right="1133"/>
        <w:jc w:val="left"/>
      </w:pPr>
      <w:r>
        <w:rPr>
          <w:rFonts w:ascii="Times New Roman" w:hAnsi="Times New Roman" w:cs="Times New Roman" w:eastAsia="Times New Roman" w:hint="default"/>
        </w:rPr>
        <w:t>1</w:t>
      </w:r>
      <w:r>
        <w:rPr/>
        <w:t>、董事、监事、高级管理人员报酬的决策程序</w:t>
      </w:r>
      <w:r>
        <w:rPr>
          <w:w w:val="100"/>
        </w:rPr>
        <w:t> </w:t>
      </w:r>
      <w:r>
        <w:rPr>
          <w:spacing w:val="-2"/>
        </w:rPr>
        <w:t>由公司董事会薪酬与考核委员会研究制订公司董事、监事和高级管理人员的薪酬政策、方案，股东大</w:t>
      </w:r>
    </w:p>
    <w:p>
      <w:pPr>
        <w:pStyle w:val="BodyText"/>
        <w:spacing w:line="273" w:lineRule="auto" w:before="22"/>
        <w:ind w:right="1133"/>
        <w:jc w:val="left"/>
      </w:pPr>
      <w:r>
        <w:rPr>
          <w:spacing w:val="-2"/>
        </w:rPr>
        <w:t>会审议董事、监事薪酬，董事会审议高级管理人员薪酬，公司人力资源部、财务部配合董事会薪酬与考核</w:t>
      </w:r>
      <w:r>
        <w:rPr>
          <w:spacing w:val="-44"/>
        </w:rPr>
        <w:t> </w:t>
      </w:r>
      <w:r>
        <w:rPr>
          <w:spacing w:val="-44"/>
        </w:rPr>
      </w:r>
      <w:r>
        <w:rPr/>
        <w:t>委员会进行公司董事、监事、高级管理人员薪酬方案的具体实施。</w:t>
      </w:r>
    </w:p>
    <w:p>
      <w:pPr>
        <w:pStyle w:val="BodyText"/>
        <w:spacing w:line="256" w:lineRule="auto" w:before="7"/>
        <w:ind w:left="573" w:right="1133"/>
        <w:jc w:val="left"/>
      </w:pPr>
      <w:r>
        <w:rPr>
          <w:rFonts w:ascii="Times New Roman" w:hAnsi="Times New Roman" w:cs="Times New Roman" w:eastAsia="Times New Roman" w:hint="default"/>
        </w:rPr>
        <w:t>2</w:t>
      </w:r>
      <w:r>
        <w:rPr/>
        <w:t>、董事、监事、高级管理人员报酬的确立依据</w:t>
      </w:r>
      <w:r>
        <w:rPr>
          <w:w w:val="100"/>
        </w:rPr>
        <w:t> </w:t>
      </w:r>
      <w:r>
        <w:rPr>
          <w:spacing w:val="-2"/>
        </w:rPr>
        <w:t>根据公司内部董事、内部监事与高级管理人员所承担的责任、风险、压力等，确定不同的薪酬标准，</w:t>
      </w:r>
    </w:p>
    <w:p>
      <w:pPr>
        <w:pStyle w:val="BodyText"/>
        <w:spacing w:line="273" w:lineRule="auto" w:before="23"/>
        <w:ind w:right="1126"/>
        <w:jc w:val="both"/>
      </w:pPr>
      <w:r>
        <w:rPr>
          <w:spacing w:val="-2"/>
        </w:rPr>
        <w:t>基础薪酬按照其在公司内部担任的职务，根据岗位责任等级、能力等级确定，每月发放；绩效年薪以公司</w:t>
      </w:r>
      <w:r>
        <w:rPr>
          <w:spacing w:val="-48"/>
        </w:rPr>
        <w:t> </w:t>
      </w:r>
      <w:r>
        <w:rPr>
          <w:spacing w:val="-48"/>
        </w:rPr>
      </w:r>
      <w:r>
        <w:rPr>
          <w:spacing w:val="-2"/>
        </w:rPr>
        <w:t>年度经营目标和个人年度绩效考核目标指标完成情况为考核基础。外部董事、独立董事、外部监事津贴数</w:t>
      </w:r>
      <w:r>
        <w:rPr>
          <w:spacing w:val="-44"/>
        </w:rPr>
        <w:t> </w:t>
      </w:r>
      <w:r>
        <w:rPr>
          <w:spacing w:val="-44"/>
        </w:rPr>
      </w:r>
      <w:r>
        <w:rPr/>
        <w:t>额由公司股东大会审议决定。</w:t>
      </w:r>
    </w:p>
    <w:p>
      <w:pPr>
        <w:spacing w:before="69"/>
        <w:ind w:left="153"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董永东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史兴领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许广德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程先乐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陈方友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李绍平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王子华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储士升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孔皖生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杨武军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440.13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2,326</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3,072</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公司根据员工从事工作的岗位、责任、能力、贡献、职称确定薪资标准，按月向员工发放薪酬。薪资</w:t>
      </w:r>
      <w:r>
        <w:rPr>
          <w:w w:val="100"/>
        </w:rPr>
        <w:t> </w:t>
      </w:r>
      <w:r>
        <w:rPr>
          <w:spacing w:val="-2"/>
        </w:rPr>
        <w:t>构成包括：基本工资、绩效工资、职务工资、岗位工资、年终奖、住房公积金和其他。公司每年根据员工</w:t>
      </w:r>
      <w:r>
        <w:rPr>
          <w:spacing w:val="-48"/>
        </w:rPr>
        <w:t> </w:t>
      </w:r>
      <w:r>
        <w:rPr>
          <w:spacing w:val="-48"/>
        </w:rPr>
      </w:r>
      <w:r>
        <w:rPr/>
        <w:t>工作技能和绩效、公司上一年经营状况，核发年终奖励和专项奖励，保持公司的薪酬竞争力。</w:t>
      </w:r>
    </w:p>
    <w:p>
      <w:pPr>
        <w:pStyle w:val="BodyText"/>
        <w:spacing w:line="273" w:lineRule="auto" w:before="7"/>
        <w:ind w:right="1126" w:firstLine="420"/>
        <w:jc w:val="both"/>
      </w:pPr>
      <w:r>
        <w:rPr>
          <w:spacing w:val="-2"/>
        </w:rPr>
        <w:t>公司对经营活动中为公司创造成绩显著者、促进公司经营管理，提高经济效益方面成绩突出者或其他</w:t>
      </w:r>
      <w:r>
        <w:rPr>
          <w:w w:val="100"/>
        </w:rPr>
        <w:t> </w:t>
      </w:r>
      <w:r>
        <w:rPr/>
        <w:t>认为应奖励者，进行奖励性晋级。</w:t>
      </w:r>
    </w:p>
    <w:p>
      <w:pPr>
        <w:spacing w:before="6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56" w:lineRule="auto" w:before="80"/>
        <w:ind w:right="1126" w:firstLine="420"/>
        <w:jc w:val="both"/>
      </w:pPr>
      <w:r>
        <w:rPr>
          <w:spacing w:val="-2"/>
        </w:rPr>
        <w:t>报告期内，公司职工薪酬总额</w:t>
      </w:r>
      <w:r>
        <w:rPr>
          <w:rFonts w:ascii="Times New Roman" w:hAnsi="Times New Roman" w:cs="Times New Roman" w:eastAsia="Times New Roman" w:hint="default"/>
          <w:spacing w:val="-2"/>
        </w:rPr>
        <w:t>43,267.52</w:t>
      </w:r>
      <w:r>
        <w:rPr>
          <w:spacing w:val="-2"/>
        </w:rPr>
        <w:t>万元，其中计入营业总成本的金额为</w:t>
      </w:r>
      <w:r>
        <w:rPr>
          <w:rFonts w:ascii="Times New Roman" w:hAnsi="Times New Roman" w:cs="Times New Roman" w:eastAsia="Times New Roman" w:hint="default"/>
          <w:spacing w:val="-2"/>
        </w:rPr>
        <w:t>42,557.21</w:t>
      </w:r>
      <w:r>
        <w:rPr>
          <w:spacing w:val="-2"/>
        </w:rPr>
        <w:t>万元，占公司成</w:t>
      </w:r>
      <w:r>
        <w:rPr>
          <w:w w:val="100"/>
        </w:rPr>
        <w:t> </w:t>
      </w:r>
      <w:r>
        <w:rPr>
          <w:spacing w:val="-3"/>
        </w:rPr>
        <w:t>本总额的</w:t>
      </w:r>
      <w:r>
        <w:rPr>
          <w:rFonts w:ascii="Times New Roman" w:hAnsi="Times New Roman" w:cs="Times New Roman" w:eastAsia="Times New Roman" w:hint="default"/>
          <w:spacing w:val="-3"/>
        </w:rPr>
        <w:t>28.94%</w:t>
      </w:r>
      <w:r>
        <w:rPr>
          <w:spacing w:val="-3"/>
        </w:rPr>
        <w:t>。职工薪酬是营业总成本主要项目，公司利润对职工薪酬变化较为敏感。公司技术人员共</w:t>
      </w:r>
      <w:r>
        <w:rPr>
          <w:spacing w:val="-11"/>
        </w:rPr>
        <w:t> </w:t>
      </w:r>
      <w:r>
        <w:rPr>
          <w:spacing w:val="-11"/>
        </w:rPr>
      </w:r>
      <w:r>
        <w:rPr/>
        <w:t>计</w:t>
      </w:r>
      <w:r>
        <w:rPr>
          <w:rFonts w:ascii="Times New Roman" w:hAnsi="Times New Roman" w:cs="Times New Roman" w:eastAsia="Times New Roman" w:hint="default"/>
        </w:rPr>
        <w:t>2,494</w:t>
      </w:r>
      <w:r>
        <w:rPr/>
        <w:t>人，占公司员工人数的</w:t>
      </w:r>
      <w:r>
        <w:rPr>
          <w:rFonts w:ascii="Times New Roman" w:hAnsi="Times New Roman" w:cs="Times New Roman" w:eastAsia="Times New Roman" w:hint="default"/>
        </w:rPr>
        <w:t>81.18%</w:t>
      </w:r>
      <w:r>
        <w:rPr/>
        <w:t>。</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r>
        <w:rPr/>
        <w:t>根据公司人力资源发展战略，确保员工的素质和技能水平能够满足公司业务发展需要。通过全面的培</w:t>
      </w:r>
      <w:r>
        <w:rPr>
          <w:w w:val="100"/>
        </w:rPr>
        <w:t> </w:t>
      </w:r>
      <w:r>
        <w:rPr>
          <w:spacing w:val="-2"/>
        </w:rPr>
        <w:t>训需求调查，公司培训按照分层分类开展。从层级上分为：公司级培训、部门级培训、项目级培训；从类</w:t>
      </w:r>
      <w:r>
        <w:rPr>
          <w:spacing w:val="-42"/>
        </w:rPr>
        <w:t> </w:t>
      </w:r>
      <w:r>
        <w:rPr>
          <w:spacing w:val="-42"/>
        </w:rPr>
      </w:r>
      <w:r>
        <w:rPr>
          <w:spacing w:val="-5"/>
        </w:rPr>
        <w:t>别上分为：管理类培训、技术类培训、新员工培训、职业资格培训。各类培训中涵盖管理能力、领导能力、</w:t>
      </w:r>
      <w:r>
        <w:rPr>
          <w:spacing w:val="-6"/>
        </w:rPr>
        <w:t> </w:t>
      </w:r>
      <w:r>
        <w:rPr>
          <w:spacing w:val="-6"/>
        </w:rPr>
      </w:r>
      <w:r>
        <w:rPr/>
        <w:t>知识、技能、通用能力等。进一步加大骨干员工培养、储备干部培养及经理人领导力的培养等。一方面，</w:t>
      </w:r>
      <w:r>
        <w:rPr>
          <w:w w:val="100"/>
        </w:rPr>
        <w:t> </w:t>
      </w:r>
      <w:r>
        <w:rPr>
          <w:spacing w:val="-2"/>
        </w:rPr>
        <w:t>有效的提高了公司员工的整体素质；另一方面，为企业的经营管理水平，为公司人力资源发展储备了有效</w:t>
      </w:r>
      <w:r>
        <w:rPr>
          <w:spacing w:val="-44"/>
        </w:rPr>
        <w:t> </w:t>
      </w:r>
      <w:r>
        <w:rPr>
          <w:spacing w:val="-44"/>
        </w:rPr>
      </w:r>
      <w:r>
        <w:rPr/>
        <w:t>的人力资源。</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right="376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板股票上市规则》、《深圳证券交易所创业板上市公司规范运作指引》和其他有关法律、法规、规范性文</w:t>
      </w:r>
      <w:r>
        <w:rPr>
          <w:spacing w:val="-42"/>
        </w:rPr>
        <w:t> </w:t>
      </w:r>
      <w:r>
        <w:rPr>
          <w:spacing w:val="-42"/>
        </w:rPr>
      </w:r>
      <w:r>
        <w:rPr>
          <w:spacing w:val="-2"/>
        </w:rPr>
        <w:t>件的要求，不断地完善公司治理结构，建立健全公司内部控制制度，以进一步提高公司治理水平。公司治</w:t>
      </w:r>
      <w:r>
        <w:rPr>
          <w:spacing w:val="-50"/>
        </w:rPr>
        <w:t> </w:t>
      </w:r>
      <w:r>
        <w:rPr>
          <w:spacing w:val="-50"/>
        </w:rPr>
      </w:r>
      <w:r>
        <w:rPr/>
        <w:t>理的实际状况符合中国证监会、深圳证券交易所等发布的有关法规、规范性文件的要求。</w:t>
      </w:r>
    </w:p>
    <w:p>
      <w:pPr>
        <w:pStyle w:val="BodyText"/>
        <w:spacing w:line="273" w:lineRule="auto" w:before="7"/>
        <w:ind w:left="573" w:right="1133"/>
        <w:jc w:val="left"/>
      </w:pPr>
      <w:r>
        <w:rPr/>
        <w:t>（一）关于股东与股东大会</w:t>
      </w:r>
      <w:r>
        <w:rPr>
          <w:w w:val="100"/>
        </w:rPr>
        <w:t> </w:t>
      </w:r>
      <w:r>
        <w:rPr>
          <w:spacing w:val="-2"/>
        </w:rPr>
        <w:t>公司严格按照《公司法》、《上市公司股东大会规则》、《公司章程》、《股东大会议事规则》和深</w:t>
      </w:r>
    </w:p>
    <w:p>
      <w:pPr>
        <w:pStyle w:val="BodyText"/>
        <w:spacing w:line="273" w:lineRule="auto" w:before="8"/>
        <w:ind w:right="1104"/>
        <w:jc w:val="both"/>
      </w:pPr>
      <w:r>
        <w:rPr>
          <w:spacing w:val="-2"/>
        </w:rPr>
        <w:t>圳证券交易所创业板的相关规定和要求，规范股东大会的召集、召开和表决程序。报告期内，公司召开了</w:t>
      </w:r>
      <w:r>
        <w:rPr>
          <w:spacing w:val="-47"/>
        </w:rPr>
        <w:t> </w:t>
      </w:r>
      <w:r>
        <w:rPr>
          <w:spacing w:val="-47"/>
        </w:rPr>
      </w:r>
      <w:r>
        <w:rPr>
          <w:spacing w:val="-2"/>
        </w:rPr>
        <w:t>一次年度股东大会和五次临时股东大会，均由公司董事会召集召开，董事长主持，部分董监高列席会议，</w:t>
      </w:r>
      <w:r>
        <w:rPr>
          <w:spacing w:val="-21"/>
        </w:rPr>
        <w:t> </w:t>
      </w:r>
      <w:r>
        <w:rPr>
          <w:spacing w:val="-21"/>
        </w:rPr>
      </w:r>
      <w:r>
        <w:rPr>
          <w:spacing w:val="-2"/>
        </w:rPr>
        <w:t>邀请见证律师进行现场见证并出具了法律意见书。在股东大会上能够保证各位股东有充分的发言权，确保</w:t>
      </w:r>
      <w:r>
        <w:rPr>
          <w:spacing w:val="-42"/>
        </w:rPr>
        <w:t> </w:t>
      </w:r>
      <w:r>
        <w:rPr>
          <w:spacing w:val="-42"/>
        </w:rPr>
      </w:r>
      <w:r>
        <w:rPr/>
        <w:t>全体股东特别是中小股东享有平等地位，充分行使自己的权力。</w:t>
      </w:r>
    </w:p>
    <w:p>
      <w:pPr>
        <w:pStyle w:val="BodyText"/>
        <w:spacing w:line="266" w:lineRule="auto" w:before="7"/>
        <w:ind w:right="1128" w:firstLine="420"/>
        <w:jc w:val="both"/>
      </w:pPr>
      <w:r>
        <w:rPr>
          <w:spacing w:val="-3"/>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5"/>
        </w:rPr>
        <w:t> </w:t>
      </w:r>
      <w:r>
        <w:rPr>
          <w:spacing w:val="-5"/>
        </w:rPr>
      </w:r>
      <w:r>
        <w:rPr>
          <w:spacing w:val="-2"/>
        </w:rPr>
        <w:t>的股东大会。按照《公司法》、《公司章程》的规定应由股东大会审议的重大事项，本公司均通过股东大</w:t>
      </w:r>
      <w:r>
        <w:rPr>
          <w:spacing w:val="-46"/>
        </w:rPr>
        <w:t> </w:t>
      </w:r>
      <w:r>
        <w:rPr>
          <w:spacing w:val="-46"/>
        </w:rPr>
      </w:r>
      <w:r>
        <w:rPr/>
        <w:t>会审议，不存在绕过股东大会的情况，也不存在先实施后审议的情况。</w:t>
      </w:r>
    </w:p>
    <w:p>
      <w:pPr>
        <w:pStyle w:val="BodyText"/>
        <w:spacing w:line="273" w:lineRule="auto" w:before="14"/>
        <w:ind w:left="573" w:right="0"/>
        <w:jc w:val="left"/>
      </w:pPr>
      <w:r>
        <w:rPr/>
        <w:t>（二）关于公司与控股股东及实际控制人</w:t>
      </w:r>
      <w:r>
        <w:rPr>
          <w:w w:val="100"/>
        </w:rPr>
        <w:t> </w:t>
      </w:r>
      <w:r>
        <w:rPr>
          <w:spacing w:val="-9"/>
          <w:w w:val="100"/>
        </w:rPr>
        <w:t>公司控股股东、实际控制人严格按照《上市公司治理准则》、《深圳证券交易所创业板股票上市规则》、</w:t>
      </w:r>
    </w:p>
    <w:p>
      <w:pPr>
        <w:pStyle w:val="BodyText"/>
        <w:spacing w:line="273" w:lineRule="auto" w:before="7"/>
        <w:ind w:right="1126"/>
        <w:jc w:val="both"/>
      </w:pPr>
      <w:r>
        <w:rPr>
          <w:spacing w:val="-2"/>
        </w:rPr>
        <w:t>《深圳证券交易所创业板上市公司规范运作指引》、《公司章程》等规定和要求，规范自己的行为，不存</w:t>
      </w:r>
      <w:r>
        <w:rPr>
          <w:spacing w:val="-42"/>
        </w:rPr>
        <w:t> </w:t>
      </w:r>
      <w:r>
        <w:rPr>
          <w:spacing w:val="-42"/>
        </w:rPr>
      </w:r>
      <w:r>
        <w:rPr>
          <w:spacing w:val="2"/>
        </w:rPr>
        <w:t>在超越股东大会直接或间接干预公司的决策和经营活动的行为，不存在损害公司及其他股东的利益的情</w:t>
      </w:r>
      <w:r>
        <w:rPr>
          <w:spacing w:val="-30"/>
        </w:rPr>
        <w:t> </w:t>
      </w:r>
      <w:r>
        <w:rPr>
          <w:spacing w:val="-30"/>
        </w:rPr>
      </w:r>
      <w:r>
        <w:rPr>
          <w:spacing w:val="-2"/>
        </w:rPr>
        <w:t>形，不存在控股股东和实际控制人占用公司资金的现象，公司亦无为控股股东和实际控制人提供担保的情</w:t>
      </w:r>
      <w:r>
        <w:rPr>
          <w:spacing w:val="-43"/>
        </w:rPr>
        <w:t> </w:t>
      </w:r>
      <w:r>
        <w:rPr>
          <w:spacing w:val="-43"/>
        </w:rPr>
      </w:r>
      <w:r>
        <w:rPr>
          <w:spacing w:val="-2"/>
        </w:rPr>
        <w:t>形。公司拥有独立完整的业务和自主经营能力，在业务、人员、资产、机构、财务上独立于控股股东，公</w:t>
      </w:r>
      <w:r>
        <w:rPr>
          <w:spacing w:val="-48"/>
        </w:rPr>
        <w:t> </w:t>
      </w:r>
      <w:r>
        <w:rPr>
          <w:spacing w:val="-48"/>
        </w:rPr>
      </w:r>
      <w:r>
        <w:rPr/>
        <w:t>司董事会、监事会和内部机构独立运作。</w:t>
      </w:r>
    </w:p>
    <w:p>
      <w:pPr>
        <w:pStyle w:val="BodyText"/>
        <w:spacing w:line="273" w:lineRule="auto" w:before="7"/>
        <w:ind w:left="573" w:right="1133"/>
        <w:jc w:val="left"/>
      </w:pPr>
      <w:r>
        <w:rPr/>
        <w:t>（三）关于董事和董事会</w:t>
      </w:r>
      <w:r>
        <w:rPr>
          <w:w w:val="100"/>
        </w:rPr>
        <w:t>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名，董事会的人数及人员构成符合有关法律、法规和《公司章</w:t>
      </w:r>
    </w:p>
    <w:p>
      <w:pPr>
        <w:pStyle w:val="BodyText"/>
        <w:spacing w:line="264" w:lineRule="exact"/>
        <w:ind w:right="0"/>
        <w:jc w:val="both"/>
      </w:pPr>
      <w:r>
        <w:rPr>
          <w:spacing w:val="-5"/>
        </w:rPr>
        <w:t>程》的要求，各位董事具有履行职务所必需的知识、技能和素质，能够严格按照公司《董事会议事规则》、</w:t>
      </w:r>
    </w:p>
    <w:p>
      <w:pPr>
        <w:pStyle w:val="BodyText"/>
        <w:spacing w:line="273" w:lineRule="auto" w:before="37"/>
        <w:ind w:right="1128"/>
        <w:jc w:val="both"/>
      </w:pPr>
      <w:r>
        <w:rPr>
          <w:spacing w:val="-2"/>
        </w:rPr>
        <w:t>《独立董事任职及议事规则》等有关规定开展工作，出席董事会、董事会专门委员会和股东大会，勤勉尽</w:t>
      </w:r>
      <w:r>
        <w:rPr>
          <w:spacing w:val="-47"/>
        </w:rPr>
        <w:t> </w:t>
      </w:r>
      <w:r>
        <w:rPr>
          <w:spacing w:val="-47"/>
        </w:rPr>
      </w:r>
      <w:r>
        <w:rPr/>
        <w:t>责地履行职责和义务，同时积极参加相关培训，熟悉相关法律法规。</w:t>
      </w:r>
    </w:p>
    <w:p>
      <w:pPr>
        <w:pStyle w:val="BodyText"/>
        <w:spacing w:line="273" w:lineRule="auto" w:before="7"/>
        <w:ind w:right="0" w:firstLine="420"/>
        <w:jc w:val="left"/>
      </w:pPr>
      <w:r>
        <w:rPr>
          <w:spacing w:val="-5"/>
        </w:rPr>
        <w:t>公司董事会下设有战略与投资委员会、薪酬与考核委员会、审计委员会和提名委员会四个专门委员会。</w:t>
      </w:r>
      <w:r>
        <w:rPr>
          <w:w w:val="100"/>
        </w:rPr>
        <w:t> </w:t>
      </w:r>
      <w:r>
        <w:rPr>
          <w:spacing w:val="-2"/>
        </w:rPr>
        <w:t>专门委员会成员全部由董事组成，除战略与投资委员会由董事长担任主任委员以外，其他专门委员会均由</w:t>
      </w:r>
      <w:r>
        <w:rPr>
          <w:spacing w:val="-44"/>
        </w:rPr>
        <w:t> </w:t>
      </w:r>
      <w:r>
        <w:rPr>
          <w:spacing w:val="-44"/>
        </w:rPr>
      </w:r>
      <w:r>
        <w:rPr>
          <w:spacing w:val="-2"/>
        </w:rPr>
        <w:t>独立董事担任主任委员；各委员会为董事会的决策提供了科学和专业的意见和参考。各委员会依据《公司</w:t>
      </w:r>
      <w:r>
        <w:rPr>
          <w:spacing w:val="-43"/>
        </w:rPr>
        <w:t> </w:t>
      </w:r>
      <w:r>
        <w:rPr>
          <w:spacing w:val="-43"/>
        </w:rPr>
      </w:r>
      <w:r>
        <w:rPr/>
        <w:t>章程》和各委员会工作细则的规定履行职权，不受公司任何其他部门和个人的干预。</w:t>
      </w:r>
    </w:p>
    <w:p>
      <w:pPr>
        <w:pStyle w:val="BodyText"/>
        <w:spacing w:line="273" w:lineRule="auto" w:before="7"/>
        <w:ind w:left="573" w:right="1133"/>
        <w:jc w:val="left"/>
      </w:pPr>
      <w:r>
        <w:rPr/>
        <w:t>（四）关于监事和监事会</w:t>
      </w:r>
      <w:r>
        <w:rPr>
          <w:w w:val="100"/>
        </w:rPr>
        <w:t>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名，监事会的人数和构成符合法律、法规的要求。各位监</w:t>
      </w:r>
    </w:p>
    <w:p>
      <w:pPr>
        <w:pStyle w:val="BodyText"/>
        <w:spacing w:line="273" w:lineRule="auto"/>
        <w:ind w:right="1104"/>
        <w:jc w:val="both"/>
      </w:pPr>
      <w:r>
        <w:rPr>
          <w:spacing w:val="-2"/>
        </w:rPr>
        <w:t>事能够严格按照《公司章程》、《监事会议事规则》等要求，认真履行自己的职责，对公司重大事项、财</w:t>
      </w:r>
      <w:r>
        <w:rPr>
          <w:spacing w:val="-50"/>
        </w:rPr>
        <w:t> </w:t>
      </w:r>
      <w:r>
        <w:rPr>
          <w:spacing w:val="-50"/>
        </w:rPr>
      </w:r>
      <w:r>
        <w:rPr>
          <w:spacing w:val="-2"/>
        </w:rPr>
        <w:t>务状况以及公司董事、高级管理人员履行职责的合法合规性进行有效监督，维护公司及股东的合法权益。</w:t>
      </w:r>
      <w:r>
        <w:rPr>
          <w:spacing w:val="-21"/>
        </w:rPr>
        <w:t> </w:t>
      </w:r>
      <w:r>
        <w:rPr>
          <w:spacing w:val="-21"/>
        </w:rPr>
      </w:r>
      <w:r>
        <w:rPr>
          <w:spacing w:val="-2"/>
        </w:rPr>
        <w:t>公司也采取了有效措施保障监事的知情权，保证各位监事能够独立有效地行使对董事、高级管理人员监督</w:t>
      </w:r>
      <w:r>
        <w:rPr>
          <w:spacing w:val="-43"/>
        </w:rPr>
        <w:t> </w:t>
      </w:r>
      <w:r>
        <w:rPr>
          <w:spacing w:val="-43"/>
        </w:rPr>
      </w:r>
      <w:r>
        <w:rPr/>
        <w:t>权。</w:t>
      </w:r>
    </w:p>
    <w:p>
      <w:pPr>
        <w:pStyle w:val="BodyText"/>
        <w:spacing w:line="273" w:lineRule="auto" w:before="7"/>
        <w:ind w:left="573" w:right="1133"/>
        <w:jc w:val="left"/>
      </w:pPr>
      <w:r>
        <w:rPr/>
        <w:t>（五）关于绩效评价与激励约束机制</w:t>
      </w:r>
      <w:r>
        <w:rPr>
          <w:w w:val="100"/>
        </w:rPr>
        <w:t> </w:t>
      </w:r>
      <w:r>
        <w:rPr>
          <w:spacing w:val="-2"/>
        </w:rPr>
        <w:t>公司建立了完善的岗位职责体系、薪酬福利体系、绩效考核体系、研发和创新激励体系等一系列考核</w:t>
      </w:r>
    </w:p>
    <w:p>
      <w:pPr>
        <w:spacing w:after="0" w:line="273"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与激励机制。经过多年的发展，公司已拥有一支具有丰富行业经验、专业化水平高的员工队伍，并通过持</w:t>
      </w:r>
      <w:r>
        <w:rPr>
          <w:spacing w:val="-50"/>
        </w:rPr>
        <w:t> </w:t>
      </w:r>
      <w:r>
        <w:rPr>
          <w:spacing w:val="-50"/>
        </w:rPr>
      </w:r>
      <w:r>
        <w:rPr>
          <w:spacing w:val="-2"/>
        </w:rPr>
        <w:t>续优化人才结构、试点实施目标管理与绩效薪酬激励一体化建设和事业合伙人机制等措施，为公司发展目</w:t>
      </w:r>
      <w:r>
        <w:rPr>
          <w:spacing w:val="-43"/>
        </w:rPr>
        <w:t> </w:t>
      </w:r>
      <w:r>
        <w:rPr>
          <w:spacing w:val="-43"/>
        </w:rPr>
      </w:r>
      <w:r>
        <w:rPr/>
        <w:t>标的实现提供保障。</w:t>
      </w:r>
    </w:p>
    <w:p>
      <w:pPr>
        <w:pStyle w:val="BodyText"/>
        <w:spacing w:line="273" w:lineRule="auto" w:before="7"/>
        <w:ind w:left="573" w:right="1133"/>
        <w:jc w:val="left"/>
      </w:pPr>
      <w:r>
        <w:rPr/>
        <w:t>（六）关于信息披露与透明度</w:t>
      </w:r>
      <w:r>
        <w:rPr>
          <w:w w:val="100"/>
        </w:rPr>
        <w:t> </w:t>
      </w:r>
      <w:r>
        <w:rPr>
          <w:spacing w:val="-2"/>
        </w:rPr>
        <w:t>公司高度重视信息披露与投资者关系管理工作，严格按照《上市公司信息披露管理办法》、深圳证券</w:t>
      </w:r>
    </w:p>
    <w:p>
      <w:pPr>
        <w:pStyle w:val="BodyText"/>
        <w:spacing w:line="273" w:lineRule="auto" w:before="7"/>
        <w:ind w:right="1133"/>
        <w:jc w:val="left"/>
      </w:pPr>
      <w:r>
        <w:rPr>
          <w:spacing w:val="-2"/>
        </w:rPr>
        <w:t>交易所创业板上市公司的信息披露格式指引等规定的要求，真实、准确、及时、完整地披露有关信息。公</w:t>
      </w:r>
      <w:r>
        <w:rPr>
          <w:spacing w:val="-43"/>
        </w:rPr>
        <w:t> </w:t>
      </w:r>
      <w:r>
        <w:rPr>
          <w:spacing w:val="-43"/>
        </w:rPr>
      </w:r>
      <w:r>
        <w:rPr>
          <w:spacing w:val="2"/>
        </w:rPr>
        <w:t>司指定《证券时报》、《上海证券报》、《中国证券报》、《证券日报》为信息披露报纸，巨潮资讯网</w:t>
      </w:r>
    </w:p>
    <w:p>
      <w:pPr>
        <w:pStyle w:val="BodyText"/>
        <w:spacing w:line="264" w:lineRule="auto" w:before="7"/>
        <w:ind w:right="0"/>
        <w:jc w:val="left"/>
      </w:pPr>
      <w:r>
        <w:rPr>
          <w:spacing w:val="-4"/>
        </w:rPr>
        <w:t>（</w:t>
      </w:r>
      <w:hyperlink r:id="rId12">
        <w:r>
          <w:rPr>
            <w:rFonts w:ascii="Times New Roman" w:hAnsi="Times New Roman" w:cs="Times New Roman" w:eastAsia="Times New Roman" w:hint="default"/>
            <w:spacing w:val="-4"/>
          </w:rPr>
          <w:t>www.cninfo.com.cn</w:t>
        </w:r>
      </w:hyperlink>
      <w:r>
        <w:rPr>
          <w:spacing w:val="-4"/>
        </w:rPr>
        <w:t>）为信息披露网站。公司上市以来，不断尝试更加有效、充分地投资者关系管理工作，</w:t>
      </w:r>
      <w:r>
        <w:rPr>
          <w:spacing w:val="-50"/>
        </w:rPr>
        <w:t> </w:t>
      </w:r>
      <w:r>
        <w:rPr>
          <w:spacing w:val="-50"/>
        </w:rPr>
      </w:r>
      <w:r>
        <w:rPr>
          <w:spacing w:val="-2"/>
        </w:rPr>
        <w:t>通过现场参观、投资者电话、电子邮箱、公司网站和投资者关系互动平台等多种方式与投资者进行沟通交</w:t>
      </w:r>
      <w:r>
        <w:rPr>
          <w:spacing w:val="-44"/>
        </w:rPr>
        <w:t> </w:t>
      </w:r>
      <w:r>
        <w:rPr>
          <w:spacing w:val="-44"/>
        </w:rPr>
      </w:r>
      <w:r>
        <w:rPr/>
        <w:t>流，提高公司的透明度和诚信度，保障全体股东的合法权益。</w:t>
      </w:r>
    </w:p>
    <w:p>
      <w:pPr>
        <w:pStyle w:val="BodyText"/>
        <w:spacing w:line="273" w:lineRule="auto" w:before="16"/>
        <w:ind w:left="573" w:right="1133"/>
        <w:jc w:val="left"/>
      </w:pPr>
      <w:r>
        <w:rPr/>
        <w:t>（七）关于内幕信息知情人登记管理</w:t>
      </w:r>
      <w:r>
        <w:rPr>
          <w:w w:val="100"/>
        </w:rPr>
        <w:t> </w:t>
      </w:r>
      <w:r>
        <w:rPr>
          <w:spacing w:val="-3"/>
        </w:rPr>
        <w:t>公司严格按照《内幕信息知情人登记管理制度》规定，加强内幕信息的保密工作，完善内幕信息知情</w:t>
      </w:r>
    </w:p>
    <w:p>
      <w:pPr>
        <w:pStyle w:val="BodyText"/>
        <w:spacing w:line="273" w:lineRule="auto" w:before="8"/>
        <w:ind w:right="1133"/>
        <w:jc w:val="left"/>
      </w:pPr>
      <w:r>
        <w:rPr>
          <w:spacing w:val="-2"/>
        </w:rPr>
        <w:t>人登记管理。报告期内，公司的董事、监事和高级管理人员及其相关人员在定期报告、内部信息编制和披</w:t>
      </w:r>
      <w:r>
        <w:rPr>
          <w:spacing w:val="-47"/>
        </w:rPr>
        <w:t> </w:t>
      </w:r>
      <w:r>
        <w:rPr>
          <w:spacing w:val="-47"/>
        </w:rPr>
      </w:r>
      <w:r>
        <w:rPr/>
        <w:t>露过程中及重大事项筹划期间，都严格遵守保密义务。</w:t>
      </w:r>
    </w:p>
    <w:p>
      <w:pPr>
        <w:pStyle w:val="BodyText"/>
        <w:spacing w:line="273" w:lineRule="auto" w:before="7"/>
        <w:ind w:left="573" w:right="1133"/>
        <w:jc w:val="left"/>
      </w:pPr>
      <w:r>
        <w:rPr/>
        <w:t>（八）关于相关利益者</w:t>
      </w:r>
      <w:r>
        <w:rPr>
          <w:w w:val="100"/>
        </w:rPr>
        <w:t> </w:t>
      </w:r>
      <w:r>
        <w:rPr>
          <w:spacing w:val="-2"/>
        </w:rPr>
        <w:t>公司充分尊重和维护相关利益者的合法权益，重视公司的社会责任，积极与相关利益者合作，加强与</w:t>
      </w:r>
    </w:p>
    <w:p>
      <w:pPr>
        <w:pStyle w:val="BodyText"/>
        <w:spacing w:line="240" w:lineRule="auto" w:before="7"/>
        <w:ind w:right="0"/>
        <w:jc w:val="both"/>
      </w:pPr>
      <w:r>
        <w:rPr/>
        <w:t>各方的沟通和交流，实现股东、员工、社会等各方利益的协调平衡，共同推动公司持续、健康的发展。</w:t>
      </w:r>
    </w:p>
    <w:p>
      <w:pPr>
        <w:spacing w:before="98"/>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0" w:firstLine="420"/>
        <w:jc w:val="left"/>
      </w:pPr>
      <w:r>
        <w:rPr>
          <w:spacing w:val="-5"/>
        </w:rPr>
        <w:t>公司成立以来，严格按照《公司法》、《证券法》等有关法律、法规和《公司章程》的要求规范运作，</w:t>
      </w:r>
      <w:r>
        <w:rPr>
          <w:w w:val="100"/>
        </w:rPr>
        <w:t> </w:t>
      </w:r>
      <w:r>
        <w:rPr>
          <w:spacing w:val="-2"/>
        </w:rPr>
        <w:t>在业务、人员、资产、机构和财务等方面与公司股东完全分开，具有独立完整的资产、业务体系及面向市</w:t>
      </w:r>
      <w:r>
        <w:rPr>
          <w:spacing w:val="-43"/>
        </w:rPr>
        <w:t> </w:t>
      </w:r>
      <w:r>
        <w:rPr>
          <w:spacing w:val="-43"/>
        </w:rPr>
      </w:r>
      <w:r>
        <w:rPr/>
        <w:t>场自主经营的能力。</w:t>
      </w:r>
    </w:p>
    <w:p>
      <w:pPr>
        <w:pStyle w:val="BodyText"/>
        <w:spacing w:line="273" w:lineRule="auto" w:before="7"/>
        <w:ind w:left="573" w:right="1133"/>
        <w:jc w:val="left"/>
      </w:pPr>
      <w:r>
        <w:rPr/>
        <w:t>（一）业务独立</w:t>
      </w:r>
      <w:r>
        <w:rPr>
          <w:spacing w:val="-103"/>
        </w:rPr>
        <w:t> </w:t>
      </w:r>
      <w:r>
        <w:rPr>
          <w:spacing w:val="-103"/>
        </w:rPr>
      </w:r>
      <w:r>
        <w:rPr>
          <w:spacing w:val="-2"/>
        </w:rPr>
        <w:t>公司的业务独立于控股股东、实际控制人及其控制的其他企业，与控股股东、实际控制人及其控制的</w:t>
      </w:r>
    </w:p>
    <w:p>
      <w:pPr>
        <w:pStyle w:val="BodyText"/>
        <w:spacing w:line="240" w:lineRule="auto" w:before="7"/>
        <w:ind w:right="0"/>
        <w:jc w:val="both"/>
      </w:pPr>
      <w:r>
        <w:rPr/>
        <w:t>其他企业间不存在同业竞争或者显失公平的关联交易。</w:t>
      </w:r>
    </w:p>
    <w:p>
      <w:pPr>
        <w:pStyle w:val="BodyText"/>
        <w:spacing w:line="273" w:lineRule="auto" w:before="37"/>
        <w:ind w:left="573" w:right="1133"/>
        <w:jc w:val="left"/>
      </w:pPr>
      <w:r>
        <w:rPr/>
        <w:t>（二）人员独立</w:t>
      </w:r>
      <w:r>
        <w:rPr>
          <w:spacing w:val="-103"/>
        </w:rPr>
        <w:t> </w:t>
      </w:r>
      <w:r>
        <w:rPr>
          <w:spacing w:val="-103"/>
        </w:rPr>
      </w:r>
      <w:r>
        <w:rPr>
          <w:spacing w:val="-2"/>
        </w:rPr>
        <w:t>公司根据《公司法》、《公司章程》的有关规定选举产生公司董事、监事，由董事会聘任高级管理人</w:t>
      </w:r>
    </w:p>
    <w:p>
      <w:pPr>
        <w:pStyle w:val="BodyText"/>
        <w:spacing w:line="273" w:lineRule="auto" w:before="7"/>
        <w:ind w:right="1104"/>
        <w:jc w:val="both"/>
      </w:pPr>
      <w:r>
        <w:rPr>
          <w:spacing w:val="-2"/>
        </w:rPr>
        <w:t>员，公司劳动、人事及工资管理与股东单位完全独立；公司的总经理、副总经理、财务负责人和董事会秘</w:t>
      </w:r>
      <w:r>
        <w:rPr>
          <w:spacing w:val="-43"/>
        </w:rPr>
        <w:t> </w:t>
      </w:r>
      <w:r>
        <w:rPr>
          <w:spacing w:val="-43"/>
        </w:rPr>
      </w:r>
      <w:r>
        <w:rPr>
          <w:spacing w:val="-2"/>
        </w:rPr>
        <w:t>书等高级管理人员不在控股股东、实际控制人及其控制的其他企业中担任除董事、监事以外的其他职务，</w:t>
      </w:r>
      <w:r>
        <w:rPr>
          <w:spacing w:val="-21"/>
        </w:rPr>
        <w:t> </w:t>
      </w:r>
      <w:r>
        <w:rPr>
          <w:spacing w:val="-21"/>
        </w:rPr>
      </w:r>
      <w:r>
        <w:rPr>
          <w:spacing w:val="-2"/>
        </w:rPr>
        <w:t>不在控股股东、实际控制人及其控制的其他企业领薪；公司的财务人员不在控股股东、实际控制人及其控</w:t>
      </w:r>
      <w:r>
        <w:rPr>
          <w:spacing w:val="-44"/>
        </w:rPr>
        <w:t> </w:t>
      </w:r>
      <w:r>
        <w:rPr>
          <w:spacing w:val="-44"/>
        </w:rPr>
      </w:r>
      <w:r>
        <w:rPr/>
        <w:t>制的其他企业中兼职。</w:t>
      </w:r>
    </w:p>
    <w:p>
      <w:pPr>
        <w:pStyle w:val="BodyText"/>
        <w:spacing w:line="271" w:lineRule="auto" w:before="7"/>
        <w:ind w:left="573" w:right="0"/>
        <w:jc w:val="left"/>
      </w:pPr>
      <w:r>
        <w:rPr/>
        <w:t>（三）资产完整</w:t>
      </w:r>
      <w:r>
        <w:rPr>
          <w:spacing w:val="-103"/>
        </w:rPr>
        <w:t> </w:t>
      </w:r>
      <w:r>
        <w:rPr>
          <w:spacing w:val="-103"/>
        </w:rPr>
      </w:r>
      <w:r>
        <w:rPr>
          <w:spacing w:val="-5"/>
        </w:rPr>
        <w:t>公司已具备与经营有关的业务体系及主要相关资产，公司资产与股东资产严格分开，并完全独立运营，</w:t>
      </w:r>
    </w:p>
    <w:p>
      <w:pPr>
        <w:pStyle w:val="BodyText"/>
        <w:spacing w:line="273" w:lineRule="auto" w:before="10"/>
        <w:ind w:right="1133"/>
        <w:jc w:val="left"/>
      </w:pPr>
      <w:r>
        <w:rPr>
          <w:spacing w:val="-2"/>
        </w:rPr>
        <w:t>公司目前业务和生产经营必需资产的权属完全由公司独立享有，不存在与股东单位共用的情况。公司对所</w:t>
      </w:r>
      <w:r>
        <w:rPr>
          <w:spacing w:val="-43"/>
        </w:rPr>
        <w:t> </w:t>
      </w:r>
      <w:r>
        <w:rPr>
          <w:spacing w:val="-43"/>
        </w:rPr>
      </w:r>
      <w:r>
        <w:rPr/>
        <w:t>有资产拥有完全的控制和支配权。</w:t>
      </w:r>
    </w:p>
    <w:p>
      <w:pPr>
        <w:pStyle w:val="BodyText"/>
        <w:spacing w:line="273" w:lineRule="auto" w:before="7"/>
        <w:ind w:left="573" w:right="1133"/>
        <w:jc w:val="left"/>
      </w:pPr>
      <w:r>
        <w:rPr/>
        <w:t>（四）机构独立</w:t>
      </w:r>
      <w:r>
        <w:rPr>
          <w:spacing w:val="-103"/>
        </w:rPr>
        <w:t> </w:t>
      </w:r>
      <w:r>
        <w:rPr>
          <w:spacing w:val="-103"/>
        </w:rPr>
      </w:r>
      <w:r>
        <w:rPr>
          <w:spacing w:val="-2"/>
        </w:rPr>
        <w:t>公司已建立健全了内部经营管理机构，独立行使经营管理职权，与控股股东和实际控制人及其控制的</w:t>
      </w:r>
    </w:p>
    <w:p>
      <w:pPr>
        <w:pStyle w:val="BodyText"/>
        <w:spacing w:line="240" w:lineRule="auto" w:before="7"/>
        <w:ind w:right="0"/>
        <w:jc w:val="both"/>
      </w:pPr>
      <w:r>
        <w:rPr/>
        <w:t>其他企业间不存在机构混同的情形。</w:t>
      </w:r>
    </w:p>
    <w:p>
      <w:pPr>
        <w:pStyle w:val="BodyText"/>
        <w:spacing w:line="273" w:lineRule="auto" w:before="37"/>
        <w:ind w:left="573" w:right="1133"/>
        <w:jc w:val="left"/>
      </w:pPr>
      <w:r>
        <w:rPr/>
        <w:t>（五）财务独立</w:t>
      </w:r>
      <w:r>
        <w:rPr>
          <w:spacing w:val="-103"/>
        </w:rPr>
        <w:t> </w:t>
      </w:r>
      <w:r>
        <w:rPr>
          <w:spacing w:val="-103"/>
        </w:rPr>
      </w:r>
      <w:r>
        <w:rPr>
          <w:spacing w:val="-2"/>
        </w:rPr>
        <w:t>公司已建立独立的财务核算体系，能够独立作出财务决策，具有规范的财务会计制度和对分公司、子</w:t>
      </w:r>
    </w:p>
    <w:p>
      <w:pPr>
        <w:spacing w:after="0" w:line="273"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公司的财务管理制度；公司未与控股股东、实际控制人及其控制的其他企业共用银行账户。</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44"/>
        <w:ind w:left="0" w:right="1135" w:firstLine="0"/>
        <w:jc w:val="right"/>
        <w:rPr>
          <w:rFonts w:ascii="宋体" w:hAnsi="宋体" w:cs="宋体" w:eastAsia="宋体" w:hint="default"/>
          <w:sz w:val="18"/>
          <w:szCs w:val="18"/>
        </w:rPr>
      </w:pPr>
      <w:r>
        <w:rPr/>
        <w:pict>
          <v:shape style="position:absolute;margin-left:56.424pt;margin-top:-98.798286pt;width:479.15pt;height:531.2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275"/>
                    <w:gridCol w:w="1560"/>
                    <w:gridCol w:w="1702"/>
                    <w:gridCol w:w="1700"/>
                    <w:gridCol w:w="2055"/>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刊登在中国证券报、上海 证券报、证券时报、证券 日报和巨潮资讯网上的</w:t>
                        </w:r>
                      </w:p>
                      <w:p>
                        <w:pPr>
                          <w:pStyle w:val="TableParagraph"/>
                          <w:spacing w:line="309" w:lineRule="auto" w:before="17"/>
                          <w:ind w:left="26"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《科大国创：</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次临时股东大会决议公 </w:t>
                        </w:r>
                        <w:r>
                          <w:rPr>
                            <w:rFonts w:ascii="宋体" w:hAnsi="宋体" w:cs="宋体" w:eastAsia="宋体" w:hint="default"/>
                            <w:spacing w:val="-9"/>
                            <w:sz w:val="18"/>
                            <w:szCs w:val="18"/>
                          </w:rPr>
                          <w:t>告》（公告编号：</w:t>
                        </w:r>
                        <w:r>
                          <w:rPr>
                            <w:rFonts w:ascii="Times New Roman" w:hAnsi="Times New Roman" w:cs="Times New Roman" w:eastAsia="Times New Roman" w:hint="default"/>
                            <w:spacing w:val="-9"/>
                            <w:sz w:val="18"/>
                            <w:szCs w:val="18"/>
                          </w:rPr>
                          <w:t>2019-14</w:t>
                        </w:r>
                        <w:r>
                          <w:rPr>
                            <w:rFonts w:ascii="Times New Roman" w:hAnsi="Times New Roman" w:cs="Times New Roman" w:eastAsia="Times New Roman" w:hint="default"/>
                            <w:sz w:val="18"/>
                            <w:szCs w:val="18"/>
                          </w:rPr>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刊登在中国证券报、上海 证券报、证券时报、证券 日报和巨潮资讯网上的</w:t>
                        </w:r>
                      </w:p>
                      <w:p>
                        <w:pPr>
                          <w:pStyle w:val="TableParagraph"/>
                          <w:spacing w:line="309" w:lineRule="auto" w:before="19"/>
                          <w:ind w:left="26"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《科大国创：</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次临时股东大会决议公 </w:t>
                        </w:r>
                        <w:r>
                          <w:rPr>
                            <w:rFonts w:ascii="宋体" w:hAnsi="宋体" w:cs="宋体" w:eastAsia="宋体" w:hint="default"/>
                            <w:spacing w:val="-9"/>
                            <w:sz w:val="18"/>
                            <w:szCs w:val="18"/>
                          </w:rPr>
                          <w:t>告》（公告编号：</w:t>
                        </w:r>
                        <w:r>
                          <w:rPr>
                            <w:rFonts w:ascii="Times New Roman" w:hAnsi="Times New Roman" w:cs="Times New Roman" w:eastAsia="Times New Roman" w:hint="default"/>
                            <w:spacing w:val="-9"/>
                            <w:sz w:val="18"/>
                            <w:szCs w:val="18"/>
                          </w:rPr>
                          <w:t>2019-16</w:t>
                        </w:r>
                        <w:r>
                          <w:rPr>
                            <w:rFonts w:ascii="Times New Roman" w:hAnsi="Times New Roman" w:cs="Times New Roman" w:eastAsia="Times New Roman" w:hint="default"/>
                            <w:sz w:val="18"/>
                            <w:szCs w:val="18"/>
                          </w:rPr>
                        </w:r>
                      </w:p>
                    </w:tc>
                  </w:tr>
                  <w:tr>
                    <w:trPr>
                      <w:trHeight w:val="19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刊登在中国证券报、上海 证券报、证券时报、证券 日报和巨潮资讯网上的</w:t>
                        </w:r>
                      </w:p>
                      <w:p>
                        <w:pPr>
                          <w:pStyle w:val="TableParagraph"/>
                          <w:spacing w:line="309" w:lineRule="auto" w:before="19"/>
                          <w:ind w:left="26" w:right="17"/>
                          <w:jc w:val="both"/>
                          <w:rPr>
                            <w:rFonts w:ascii="宋体" w:hAnsi="宋体" w:cs="宋体" w:eastAsia="宋体" w:hint="default"/>
                            <w:sz w:val="18"/>
                            <w:szCs w:val="18"/>
                          </w:rPr>
                        </w:pPr>
                        <w:r>
                          <w:rPr>
                            <w:rFonts w:ascii="宋体" w:hAnsi="宋体" w:cs="宋体" w:eastAsia="宋体" w:hint="default"/>
                            <w:spacing w:val="-3"/>
                            <w:sz w:val="18"/>
                            <w:szCs w:val="18"/>
                          </w:rPr>
                          <w:t>《科大国创：</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w:t>
                        </w:r>
                        <w:r>
                          <w:rPr>
                            <w:rFonts w:ascii="宋体" w:hAnsi="宋体" w:cs="宋体" w:eastAsia="宋体" w:hint="default"/>
                            <w:spacing w:val="-14"/>
                            <w:sz w:val="18"/>
                            <w:szCs w:val="18"/>
                          </w:rPr>
                          <w:t>股东大会决议公告》（公告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2019-53</w:t>
                        </w:r>
                        <w:r>
                          <w:rPr>
                            <w:rFonts w:ascii="宋体" w:hAnsi="宋体" w:cs="宋体" w:eastAsia="宋体" w:hint="default"/>
                            <w:sz w:val="18"/>
                            <w:szCs w:val="18"/>
                          </w:rPr>
                          <w:t>）</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刊登在中国证券报、上海 证券报、证券时报、证券 日报和巨潮资讯网上的</w:t>
                        </w:r>
                      </w:p>
                      <w:p>
                        <w:pPr>
                          <w:pStyle w:val="TableParagraph"/>
                          <w:spacing w:line="309" w:lineRule="auto" w:before="19"/>
                          <w:ind w:left="26"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《科大国创：</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 次临时股东大会决议公 </w:t>
                        </w:r>
                        <w:r>
                          <w:rPr>
                            <w:rFonts w:ascii="宋体" w:hAnsi="宋体" w:cs="宋体" w:eastAsia="宋体" w:hint="default"/>
                            <w:spacing w:val="-9"/>
                            <w:sz w:val="18"/>
                            <w:szCs w:val="18"/>
                          </w:rPr>
                          <w:t>告》（公告编号：</w:t>
                        </w:r>
                        <w:r>
                          <w:rPr>
                            <w:rFonts w:ascii="Times New Roman" w:hAnsi="Times New Roman" w:cs="Times New Roman" w:eastAsia="Times New Roman" w:hint="default"/>
                            <w:spacing w:val="-9"/>
                            <w:sz w:val="18"/>
                            <w:szCs w:val="18"/>
                          </w:rPr>
                          <w:t>2019-70</w:t>
                        </w:r>
                        <w:r>
                          <w:rPr>
                            <w:rFonts w:ascii="Times New Roman" w:hAnsi="Times New Roman" w:cs="Times New Roman" w:eastAsia="Times New Roman" w:hint="default"/>
                            <w:sz w:val="18"/>
                            <w:szCs w:val="18"/>
                          </w:rPr>
                        </w:r>
                      </w:p>
                    </w:tc>
                  </w:tr>
                  <w:tr>
                    <w:trPr>
                      <w:trHeight w:val="19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刊登在中国证券报、上海 证券报、证券时报、证券 日报和巨潮资讯网上的</w:t>
                        </w:r>
                      </w:p>
                      <w:p>
                        <w:pPr>
                          <w:pStyle w:val="TableParagraph"/>
                          <w:spacing w:line="309" w:lineRule="auto" w:before="19"/>
                          <w:ind w:left="26"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《科大国创：</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 次临时股东大会决议公 </w:t>
                        </w:r>
                        <w:r>
                          <w:rPr>
                            <w:rFonts w:ascii="宋体" w:hAnsi="宋体" w:cs="宋体" w:eastAsia="宋体" w:hint="default"/>
                            <w:spacing w:val="-9"/>
                            <w:sz w:val="18"/>
                            <w:szCs w:val="18"/>
                          </w:rPr>
                          <w:t>告》（公告编号：</w:t>
                        </w:r>
                        <w:r>
                          <w:rPr>
                            <w:rFonts w:ascii="Times New Roman" w:hAnsi="Times New Roman" w:cs="Times New Roman" w:eastAsia="Times New Roman" w:hint="default"/>
                            <w:spacing w:val="-9"/>
                            <w:sz w:val="18"/>
                            <w:szCs w:val="18"/>
                          </w:rPr>
                          <w:t>2019-96</w:t>
                        </w:r>
                        <w:r>
                          <w:rPr>
                            <w:rFonts w:ascii="Times New Roman" w:hAnsi="Times New Roman" w:cs="Times New Roman" w:eastAsia="Times New Roman" w:hint="default"/>
                            <w:sz w:val="18"/>
                            <w:szCs w:val="18"/>
                          </w:rPr>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
                          <w:jc w:val="center"/>
                          <w:rPr>
                            <w:rFonts w:ascii="宋体" w:hAnsi="宋体" w:cs="宋体" w:eastAsia="宋体" w:hint="default"/>
                            <w:sz w:val="18"/>
                            <w:szCs w:val="18"/>
                          </w:rPr>
                        </w:pPr>
                        <w:r>
                          <w:rPr>
                            <w:rFonts w:ascii="宋体" w:hAnsi="宋体" w:cs="宋体" w:eastAsia="宋体" w:hint="default"/>
                            <w:sz w:val="18"/>
                            <w:szCs w:val="18"/>
                          </w:rPr>
                          <w:t>刊登在中国证券报、上海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1135" w:firstLine="0"/>
        <w:jc w:val="right"/>
        <w:rPr>
          <w:rFonts w:ascii="宋体" w:hAnsi="宋体" w:cs="宋体" w:eastAsia="宋体" w:hint="default"/>
          <w:sz w:val="18"/>
          <w:szCs w:val="18"/>
        </w:rPr>
      </w:pPr>
      <w:r>
        <w:rPr/>
        <w:pict>
          <v:shape style="position:absolute;margin-left:56.424pt;margin-top:-63.308304pt;width:479.15pt;height:81.0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275"/>
                    <w:gridCol w:w="1560"/>
                    <w:gridCol w:w="1702"/>
                    <w:gridCol w:w="1700"/>
                    <w:gridCol w:w="2055"/>
                  </w:tblGrid>
                  <w:tr>
                    <w:trPr>
                      <w:trHeight w:val="16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36"/>
                          <w:jc w:val="left"/>
                          <w:rPr>
                            <w:rFonts w:ascii="宋体" w:hAnsi="宋体" w:cs="宋体" w:eastAsia="宋体" w:hint="default"/>
                            <w:sz w:val="18"/>
                            <w:szCs w:val="18"/>
                          </w:rPr>
                        </w:pPr>
                        <w:r>
                          <w:rPr>
                            <w:rFonts w:ascii="宋体" w:hAnsi="宋体" w:cs="宋体" w:eastAsia="宋体" w:hint="default"/>
                            <w:sz w:val="18"/>
                            <w:szCs w:val="18"/>
                          </w:rPr>
                          <w:t>证券报、证券时报、证券 日报和巨潮资讯网上的</w:t>
                        </w:r>
                      </w:p>
                      <w:p>
                        <w:pPr>
                          <w:pStyle w:val="TableParagraph"/>
                          <w:spacing w:line="309" w:lineRule="auto" w:before="17"/>
                          <w:ind w:left="26"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《科大国创：</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 次临时股东大会决议公 </w:t>
                        </w:r>
                        <w:r>
                          <w:rPr>
                            <w:rFonts w:ascii="宋体" w:hAnsi="宋体" w:cs="宋体" w:eastAsia="宋体" w:hint="default"/>
                            <w:spacing w:val="-14"/>
                            <w:sz w:val="18"/>
                            <w:szCs w:val="18"/>
                          </w:rPr>
                          <w:t>告》（公告编号：</w:t>
                        </w:r>
                        <w:r>
                          <w:rPr>
                            <w:rFonts w:ascii="Times New Roman" w:hAnsi="Times New Roman" w:cs="Times New Roman" w:eastAsia="Times New Roman" w:hint="default"/>
                            <w:spacing w:val="-14"/>
                            <w:sz w:val="18"/>
                            <w:szCs w:val="18"/>
                          </w:rPr>
                          <w:t>2019-120</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齐美彬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李姚矿</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胡晓珂</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周学民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spacing w:line="312" w:lineRule="auto" w:before="39"/>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公司独立董事严格按照《公司法》、《深圳证券交易所创业板股票上市规则》、《深圳证券交易所创业板上市公司规范</w:t>
      </w:r>
      <w:r>
        <w:rPr>
          <w:rFonts w:ascii="宋体" w:hAnsi="宋体" w:cs="宋体" w:eastAsia="宋体" w:hint="default"/>
          <w:sz w:val="18"/>
          <w:szCs w:val="18"/>
        </w:rPr>
        <w:t> </w:t>
      </w:r>
      <w:r>
        <w:rPr>
          <w:rFonts w:ascii="宋体" w:hAnsi="宋体" w:cs="宋体" w:eastAsia="宋体" w:hint="default"/>
          <w:spacing w:val="-2"/>
          <w:sz w:val="18"/>
          <w:szCs w:val="18"/>
        </w:rPr>
        <w:t>运作指引》、《关于加强社会公众股股东权益保护的若干规定》及其他有关法律法规和《公司章程》、《独立董事任职及议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事制度》等公司相关的规定和要求，在</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年度工作中，诚实、勤勉、独立地履行职责，认真审阅相关会议议案，对增资国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仪量子、延长重大资产重组方案有效期等事项进行了事前认可，并就董事会换届选举、利润分配方案、募投项目结项、募集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资金使用、内部控制、对外担保、投资理财、会计政策变更等</w:t>
      </w:r>
      <w:r>
        <w:rPr>
          <w:rFonts w:ascii="Times New Roman" w:hAnsi="Times New Roman" w:cs="Times New Roman" w:eastAsia="Times New Roman" w:hint="default"/>
          <w:sz w:val="18"/>
          <w:szCs w:val="18"/>
        </w:rPr>
        <w:t>20</w:t>
      </w:r>
      <w:r>
        <w:rPr>
          <w:rFonts w:ascii="宋体" w:hAnsi="宋体" w:cs="宋体" w:eastAsia="宋体" w:hint="default"/>
          <w:sz w:val="18"/>
          <w:szCs w:val="18"/>
        </w:rPr>
        <w:t>多个事项进行独立、客观、公正的判断，发表了独立意见。 </w:t>
      </w:r>
      <w:r>
        <w:rPr>
          <w:rFonts w:ascii="宋体" w:hAnsi="宋体" w:cs="宋体" w:eastAsia="宋体" w:hint="default"/>
          <w:spacing w:val="-2"/>
          <w:sz w:val="18"/>
          <w:szCs w:val="18"/>
        </w:rPr>
        <w:t>公司独立董事利用各自的专业优势，科学决策、审慎判断，提出了宝贵和专业性的建议，在进一步规范公司的管理运营、提</w:t>
      </w:r>
    </w:p>
    <w:p>
      <w:pPr>
        <w:spacing w:after="0" w:line="312"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line="319" w:lineRule="auto" w:before="44"/>
        <w:ind w:left="513" w:right="3913" w:hanging="360"/>
        <w:jc w:val="left"/>
        <w:rPr>
          <w:rFonts w:ascii="宋体" w:hAnsi="宋体" w:cs="宋体" w:eastAsia="宋体" w:hint="default"/>
          <w:sz w:val="18"/>
          <w:szCs w:val="18"/>
        </w:rPr>
      </w:pPr>
      <w:r>
        <w:rPr>
          <w:rFonts w:ascii="宋体" w:hAnsi="宋体" w:cs="宋体" w:eastAsia="宋体" w:hint="default"/>
          <w:sz w:val="18"/>
          <w:szCs w:val="18"/>
        </w:rPr>
        <w:t>高决策的科学性、完善公司监督机制、维护全体股东合法权益等方面发挥了积极作用。 报告期内，公司各独立董事对董事会各项议案及公司其他事项没有提出异议。</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8" w:firstLine="420"/>
        <w:jc w:val="both"/>
      </w:pPr>
      <w:r>
        <w:rPr>
          <w:spacing w:val="-2"/>
        </w:rPr>
        <w:t>公司董事会下设审计委员会、提名委员会、薪酬与考核委员会、战略与投资委员会。各专门委员会在</w:t>
      </w:r>
      <w:r>
        <w:rPr>
          <w:w w:val="100"/>
        </w:rPr>
        <w:t> </w:t>
      </w:r>
      <w:r>
        <w:rPr/>
        <w:t>报告期内的履职情况如下：</w:t>
      </w:r>
    </w:p>
    <w:p>
      <w:pPr>
        <w:pStyle w:val="BodyText"/>
        <w:spacing w:line="256" w:lineRule="auto" w:before="7"/>
        <w:ind w:left="573" w:right="1133"/>
        <w:jc w:val="left"/>
      </w:pPr>
      <w:r>
        <w:rPr>
          <w:rFonts w:ascii="Times New Roman" w:hAnsi="Times New Roman" w:cs="Times New Roman" w:eastAsia="Times New Roman" w:hint="default"/>
        </w:rPr>
        <w:t>1</w:t>
      </w:r>
      <w:r>
        <w:rPr/>
        <w:t>、审计委员会的履职情况</w:t>
      </w:r>
      <w:r>
        <w:rPr>
          <w:w w:val="100"/>
        </w:rPr>
        <w:t> </w:t>
      </w:r>
      <w:r>
        <w:rPr>
          <w:spacing w:val="-2"/>
        </w:rPr>
        <w:t>报告期内，公司审计委员会严格按照相关法律法规及《公司章程》、《审计委员会工作细则》的有关</w:t>
      </w:r>
    </w:p>
    <w:p>
      <w:pPr>
        <w:pStyle w:val="BodyText"/>
        <w:spacing w:line="273" w:lineRule="auto" w:before="22"/>
        <w:ind w:right="1023"/>
        <w:jc w:val="both"/>
      </w:pPr>
      <w:r>
        <w:rPr>
          <w:spacing w:val="-2"/>
        </w:rPr>
        <w:t>规定积极开展相关工作，认真履行职责。审计委员会每季度召开会议审议内部审计部提交的工作计划、工</w:t>
      </w:r>
      <w:r>
        <w:rPr>
          <w:spacing w:val="-43"/>
        </w:rPr>
        <w:t> </w:t>
      </w:r>
      <w:r>
        <w:rPr>
          <w:spacing w:val="-43"/>
        </w:rPr>
      </w:r>
      <w:r>
        <w:rPr>
          <w:spacing w:val="-2"/>
        </w:rPr>
        <w:t>作报告，定期向董事会报告审计工作进展和执行的相关情况。报告期内，审计委员会对公司的定期财务报</w:t>
      </w:r>
      <w:r>
        <w:rPr>
          <w:spacing w:val="-43"/>
        </w:rPr>
        <w:t> </w:t>
      </w:r>
      <w:r>
        <w:rPr>
          <w:spacing w:val="-43"/>
        </w:rPr>
      </w:r>
      <w:r>
        <w:rPr>
          <w:spacing w:val="-5"/>
        </w:rPr>
        <w:t>告、内部控制建设、募集资金存放与使用等事项进行了审议，并审议了审计部提交的工作总结及工作计划。</w:t>
      </w:r>
    </w:p>
    <w:p>
      <w:pPr>
        <w:pStyle w:val="BodyText"/>
        <w:spacing w:line="256" w:lineRule="auto" w:before="8"/>
        <w:ind w:left="573" w:right="1133"/>
        <w:jc w:val="left"/>
      </w:pPr>
      <w:r>
        <w:rPr>
          <w:rFonts w:ascii="Times New Roman" w:hAnsi="Times New Roman" w:cs="Times New Roman" w:eastAsia="Times New Roman" w:hint="default"/>
        </w:rPr>
        <w:t>2</w:t>
      </w:r>
      <w:r>
        <w:rPr/>
        <w:t>、提名委员会履职情况</w:t>
      </w:r>
      <w:r>
        <w:rPr>
          <w:w w:val="100"/>
        </w:rPr>
        <w:t> </w:t>
      </w:r>
      <w:r>
        <w:rPr>
          <w:spacing w:val="-2"/>
        </w:rPr>
        <w:t>报告期内，公司提名委员会严格按照相关法律法规及《公司章程》、《提名委员会工作细则》等相关</w:t>
      </w:r>
    </w:p>
    <w:p>
      <w:pPr>
        <w:pStyle w:val="BodyText"/>
        <w:spacing w:line="273" w:lineRule="auto" w:before="22"/>
        <w:ind w:right="1126"/>
        <w:jc w:val="both"/>
      </w:pPr>
      <w:r>
        <w:rPr>
          <w:spacing w:val="-2"/>
        </w:rPr>
        <w:t>制度的要求积极开展相关工作，认真履行职责，对董事会换届选举候选人的任职资格进行了审查，审议了</w:t>
      </w:r>
      <w:r>
        <w:rPr>
          <w:spacing w:val="-44"/>
        </w:rPr>
        <w:t> </w:t>
      </w:r>
      <w:r>
        <w:rPr>
          <w:spacing w:val="-44"/>
        </w:rPr>
      </w:r>
      <w:r>
        <w:rPr>
          <w:spacing w:val="-2"/>
        </w:rPr>
        <w:t>公司董事会换届选举事项；根据公司实际情况，对公司高级管理人员聘任事项，进行审查并提出建议，勤</w:t>
      </w:r>
      <w:r>
        <w:rPr>
          <w:spacing w:val="-44"/>
        </w:rPr>
        <w:t> </w:t>
      </w:r>
      <w:r>
        <w:rPr>
          <w:spacing w:val="-44"/>
        </w:rPr>
      </w:r>
      <w:r>
        <w:rPr/>
        <w:t>勉尽责，切实维护中小投资者利益。</w:t>
      </w:r>
    </w:p>
    <w:p>
      <w:pPr>
        <w:pStyle w:val="BodyText"/>
        <w:spacing w:line="256" w:lineRule="auto" w:before="7"/>
        <w:ind w:left="573" w:right="1133"/>
        <w:jc w:val="left"/>
      </w:pPr>
      <w:r>
        <w:rPr>
          <w:rFonts w:ascii="Times New Roman" w:hAnsi="Times New Roman" w:cs="Times New Roman" w:eastAsia="Times New Roman" w:hint="default"/>
        </w:rPr>
        <w:t>3</w:t>
      </w:r>
      <w:r>
        <w:rPr/>
        <w:t>、薪酬与考核委员会履职情况</w:t>
      </w:r>
      <w:r>
        <w:rPr>
          <w:w w:val="100"/>
        </w:rPr>
        <w:t> </w:t>
      </w:r>
      <w:r>
        <w:rPr>
          <w:spacing w:val="-2"/>
        </w:rPr>
        <w:t>公司薪酬与考核委员会严格按照相关法律法规及《公司章程》、《薪酬与考核委员会工作细则》的有</w:t>
      </w:r>
    </w:p>
    <w:p>
      <w:pPr>
        <w:pStyle w:val="BodyText"/>
        <w:spacing w:line="273" w:lineRule="auto" w:before="22"/>
        <w:ind w:right="1021"/>
        <w:jc w:val="both"/>
      </w:pPr>
      <w:r>
        <w:rPr>
          <w:spacing w:val="-5"/>
        </w:rPr>
        <w:t>关规定积极开展相关工作，认真履行职责。报告期内，对公司董事和高级管理人员的薪酬情况进行了审核， </w:t>
      </w:r>
      <w:r>
        <w:rPr/>
        <w:t>认为其薪酬标准和年度薪酬总额的确定符合公司相关制度的规定。</w:t>
      </w:r>
    </w:p>
    <w:p>
      <w:pPr>
        <w:pStyle w:val="BodyText"/>
        <w:spacing w:line="256" w:lineRule="auto" w:before="7"/>
        <w:ind w:left="573" w:right="1133"/>
        <w:jc w:val="left"/>
      </w:pPr>
      <w:r>
        <w:rPr>
          <w:rFonts w:ascii="Times New Roman" w:hAnsi="Times New Roman" w:cs="Times New Roman" w:eastAsia="Times New Roman" w:hint="default"/>
        </w:rPr>
        <w:t>4</w:t>
      </w:r>
      <w:r>
        <w:rPr/>
        <w:t>、战略与投资委员会履职情况</w:t>
      </w:r>
      <w:r>
        <w:rPr>
          <w:w w:val="100"/>
        </w:rPr>
        <w:t> </w:t>
      </w:r>
      <w:r>
        <w:rPr>
          <w:spacing w:val="-2"/>
        </w:rPr>
        <w:t>公司战略与投资委员会严格按照相关法律法规及《公司章程》、《战略及投资委员会工作细则》的有</w:t>
      </w:r>
    </w:p>
    <w:p>
      <w:pPr>
        <w:pStyle w:val="BodyText"/>
        <w:spacing w:line="273" w:lineRule="auto" w:before="23"/>
        <w:ind w:right="1104"/>
        <w:jc w:val="both"/>
      </w:pPr>
      <w:r>
        <w:rPr>
          <w:spacing w:val="-2"/>
        </w:rPr>
        <w:t>关规定积极开展相关工作，认真履行职责。报告期内，战略与投资委员会认真讨论了公司增资国仪量子、</w:t>
      </w:r>
      <w:r>
        <w:rPr>
          <w:spacing w:val="-21"/>
        </w:rPr>
        <w:t> </w:t>
      </w:r>
      <w:r>
        <w:rPr>
          <w:spacing w:val="-21"/>
        </w:rPr>
      </w:r>
      <w:r>
        <w:rPr>
          <w:spacing w:val="-2"/>
        </w:rPr>
        <w:t>拟投资奇瑞新能源等事项，并积极关注行业和市场发展动态，结合公司实际状况，为公司的高质量、高速</w:t>
      </w:r>
      <w:r>
        <w:rPr>
          <w:spacing w:val="-48"/>
        </w:rPr>
        <w:t> </w:t>
      </w:r>
      <w:r>
        <w:rPr>
          <w:spacing w:val="-48"/>
        </w:rPr>
      </w:r>
      <w:r>
        <w:rPr/>
        <w:t>度发展出谋划策，促进了公司决策的科学性、高效性。</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04" w:firstLine="420"/>
        <w:jc w:val="both"/>
      </w:pPr>
      <w:r>
        <w:rPr>
          <w:spacing w:val="-2"/>
        </w:rPr>
        <w:t>公司高级管理人员均由董事会聘任，董事会薪酬与考核委员会负责对公司高级管理人员的工作能力、</w:t>
      </w:r>
      <w:r>
        <w:rPr>
          <w:w w:val="100"/>
        </w:rPr>
        <w:t> </w:t>
      </w:r>
      <w:r>
        <w:rPr>
          <w:spacing w:val="-2"/>
        </w:rPr>
        <w:t>履职情况、责任目标完成情况等进行考评。报告期内，公司董事会依据公司年度经营业绩状况、高级管理</w:t>
      </w:r>
      <w:r>
        <w:rPr>
          <w:spacing w:val="-50"/>
        </w:rPr>
        <w:t> </w:t>
      </w:r>
      <w:r>
        <w:rPr>
          <w:spacing w:val="-50"/>
        </w:rPr>
      </w:r>
      <w:r>
        <w:rPr>
          <w:spacing w:val="-2"/>
        </w:rPr>
        <w:t>人员的职责和年度工作目标完成情况对各高级管理人员的工作业绩进行考评，根据考评结果拟定高级管理</w:t>
      </w:r>
      <w:r>
        <w:rPr>
          <w:spacing w:val="-43"/>
        </w:rPr>
        <w:t> </w:t>
      </w:r>
      <w:r>
        <w:rPr>
          <w:spacing w:val="-43"/>
        </w:rPr>
      </w:r>
      <w:r>
        <w:rPr/>
        <w:t>人员的薪酬绩效初步方案并依规提请董事会审议。</w:t>
      </w:r>
    </w:p>
    <w:p>
      <w:pPr>
        <w:spacing w:after="0" w:line="273" w:lineRule="auto"/>
        <w:jc w:val="both"/>
        <w:sectPr>
          <w:pgSz w:w="11910" w:h="16840"/>
          <w:pgMar w:header="887" w:footer="979" w:top="1200" w:bottom="1160" w:left="980" w:right="0"/>
        </w:sectPr>
      </w:pPr>
    </w:p>
    <w:p>
      <w:pPr>
        <w:spacing w:line="240" w:lineRule="auto" w:before="10"/>
        <w:rPr>
          <w:rFonts w:ascii="宋体" w:hAnsi="宋体" w:cs="宋体" w:eastAsia="宋体" w:hint="default"/>
          <w:sz w:val="12"/>
          <w:szCs w:val="12"/>
        </w:rPr>
      </w:pPr>
    </w:p>
    <w:p>
      <w:pPr>
        <w:pStyle w:val="Heading2"/>
        <w:spacing w:line="240" w:lineRule="auto" w:before="26"/>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4"/>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年度内部控制自我评价报告》详见巨潮资讯网（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①重大缺陷：公司董事、监事及高级管理 人员舞弊，并给公司造成重大损失和不利 影响；对已公布的财务报告进行重大差错 更正；外部审计发现当期财务报告存在重 大错报，而公司内部控制制度在运行过程 中未能发现该错报；公司内部控制监督无 效。②重要缺陷：单独缺陷或连同其他缺 陷组合，其严重程度低于重大缺陷，但仍 有可能导致公司偏离控制目标。③一般缺 陷：不构成重大缺陷或重要缺陷的其他内 部控制缺陷。</w:t>
            </w:r>
          </w:p>
        </w:tc>
        <w:tc>
          <w:tcPr>
            <w:tcW w:w="30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21"/>
              <w:jc w:val="left"/>
              <w:rPr>
                <w:rFonts w:ascii="宋体" w:hAnsi="宋体" w:cs="宋体" w:eastAsia="宋体" w:hint="default"/>
                <w:sz w:val="18"/>
                <w:szCs w:val="18"/>
              </w:rPr>
            </w:pPr>
            <w:r>
              <w:rPr>
                <w:rFonts w:ascii="宋体" w:hAnsi="宋体" w:cs="宋体" w:eastAsia="宋体" w:hint="default"/>
                <w:spacing w:val="-4"/>
                <w:sz w:val="18"/>
                <w:szCs w:val="18"/>
              </w:rPr>
              <w:t>①重大缺陷：严重违反国家法律、法规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或规范性文件的规定；决策程序不科学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导致重大决策失误；涉及公司生产经营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的重要业务制度缺失或系统性失效；内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部控制评价的结果特别是重大缺陷未 </w:t>
            </w:r>
            <w:r>
              <w:rPr>
                <w:rFonts w:ascii="宋体" w:hAnsi="宋体" w:cs="宋体" w:eastAsia="宋体" w:hint="default"/>
                <w:spacing w:val="-4"/>
                <w:sz w:val="18"/>
                <w:szCs w:val="18"/>
              </w:rPr>
              <w:t>得到整改。②重要缺陷：单独缺陷或连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同其他缺陷组合，其严重程度低于重大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缺陷，但仍有可能导致公司偏离控制目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标。③一般缺陷：不构成重大缺陷或重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要缺陷的其他内部控制缺陷。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4" w:type="dxa"/>
            <w:vMerge/>
            <w:tcBorders>
              <w:left w:val="single" w:sz="4" w:space="0" w:color="000000"/>
              <w:right w:val="single" w:sz="4" w:space="0" w:color="000000"/>
            </w:tcBorders>
          </w:tcPr>
          <w:p>
            <w:pPr/>
          </w:p>
        </w:tc>
      </w:tr>
      <w:tr>
        <w:trPr>
          <w:trHeight w:val="156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62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重大缺陷：缺陷影响大于或等于合并财务 报表营业收入的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；重要缺陷：缺陷影响</w:t>
            </w:r>
            <w:r>
              <w:rPr>
                <w:rFonts w:ascii="宋体" w:hAnsi="宋体" w:cs="宋体" w:eastAsia="宋体" w:hint="default"/>
                <w:sz w:val="18"/>
                <w:szCs w:val="18"/>
              </w:rPr>
              <w:t> 大于或等于合并财务报表营业收入的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并小于</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；一般缺陷：缺陷影响小于合并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财务报表营业收入的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4" w:type="dxa"/>
            <w:vMerge/>
            <w:tcBorders>
              <w:left w:val="single" w:sz="4" w:space="0" w:color="000000"/>
              <w:right w:val="single" w:sz="4" w:space="0" w:color="000000"/>
            </w:tcBorders>
          </w:tcPr>
          <w:p>
            <w:pPr/>
          </w:p>
        </w:tc>
      </w:tr>
      <w:tr>
        <w:trPr>
          <w:trHeight w:val="62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9"/>
        <w:rPr>
          <w:rFonts w:ascii="宋体" w:hAnsi="宋体" w:cs="宋体" w:eastAsia="宋体" w:hint="default"/>
          <w:sz w:val="8"/>
          <w:szCs w:val="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2d2d2" stroked="true" strokeweight=".47998pt" strokecolor="#000000">
            <w10:anchorlock/>
            <v:textbox inset="0,0,0,0">
              <w:txbxContent>
                <w:p>
                  <w:pPr>
                    <w:spacing w:before="49"/>
                    <w:ind w:left="-1" w:right="0" w:firstLine="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我们认为，科大国创于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2"/>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2780" w:right="3764"/>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[2020]230Z0895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汪玉寿、黄冰冰、何平平</w:t>
            </w:r>
          </w:p>
        </w:tc>
      </w:tr>
    </w:tbl>
    <w:p>
      <w:pPr>
        <w:spacing w:before="49"/>
        <w:ind w:left="2784" w:right="376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7" w:footer="979" w:top="1200" w:bottom="1160" w:left="980" w:right="0"/>
        </w:sectPr>
      </w:pPr>
    </w:p>
    <w:p>
      <w:pPr>
        <w:spacing w:line="240" w:lineRule="auto" w:before="9"/>
        <w:rPr>
          <w:rFonts w:ascii="宋体" w:hAnsi="宋体" w:cs="宋体" w:eastAsia="宋体" w:hint="default"/>
          <w:sz w:val="32"/>
          <w:szCs w:val="32"/>
        </w:rPr>
      </w:pPr>
    </w:p>
    <w:p>
      <w:pPr>
        <w:spacing w:before="0"/>
        <w:ind w:left="0" w:right="0" w:firstLine="0"/>
        <w:jc w:val="righ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1"/>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pStyle w:val="BodyText"/>
        <w:spacing w:line="240" w:lineRule="auto" w:before="36"/>
        <w:ind w:left="1405" w:right="0"/>
        <w:jc w:val="left"/>
      </w:pPr>
      <w:r>
        <w:rPr/>
        <w:br w:type="column"/>
      </w:r>
      <w:r>
        <w:rPr/>
        <w:t>容诚审字</w:t>
      </w:r>
      <w:r>
        <w:rPr>
          <w:rFonts w:ascii="Times New Roman" w:hAnsi="Times New Roman" w:cs="Times New Roman" w:eastAsia="Times New Roman" w:hint="default"/>
        </w:rPr>
        <w:t>[2020]2300Z0895</w:t>
      </w:r>
      <w:r>
        <w:rPr/>
        <w:t>号</w:t>
      </w:r>
    </w:p>
    <w:p>
      <w:pPr>
        <w:spacing w:after="0" w:line="240" w:lineRule="auto"/>
        <w:jc w:val="left"/>
        <w:sectPr>
          <w:type w:val="continuous"/>
          <w:pgSz w:w="11910" w:h="16840"/>
          <w:pgMar w:top="1200" w:bottom="1160" w:left="980" w:right="0"/>
          <w:cols w:num="2" w:equalWidth="0">
            <w:col w:w="5768" w:space="40"/>
            <w:col w:w="512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08" w:lineRule="auto" w:before="36"/>
        <w:ind w:left="575" w:right="6473" w:hanging="423"/>
        <w:jc w:val="left"/>
        <w:rPr>
          <w:rFonts w:ascii="宋体" w:hAnsi="宋体" w:cs="宋体" w:eastAsia="宋体" w:hint="default"/>
          <w:sz w:val="21"/>
          <w:szCs w:val="21"/>
        </w:rPr>
      </w:pPr>
      <w:r>
        <w:rPr>
          <w:rFonts w:ascii="宋体" w:hAnsi="宋体" w:cs="宋体" w:eastAsia="宋体" w:hint="default"/>
          <w:spacing w:val="-2"/>
          <w:sz w:val="21"/>
          <w:szCs w:val="21"/>
        </w:rPr>
        <w:t>科大国创软件股份有限公司全体股东：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56" w:lineRule="auto" w:before="46"/>
        <w:ind w:right="1125" w:firstLine="420"/>
        <w:jc w:val="both"/>
      </w:pPr>
      <w:r>
        <w:rPr>
          <w:spacing w:val="-2"/>
        </w:rPr>
        <w:t>我们审计了科大国创软件股份有限公司（以下简称</w:t>
      </w:r>
      <w:r>
        <w:rPr>
          <w:rFonts w:ascii="Times New Roman" w:hAnsi="Times New Roman" w:cs="Times New Roman" w:eastAsia="Times New Roman" w:hint="default"/>
          <w:spacing w:val="-2"/>
        </w:rPr>
        <w:t>“</w:t>
      </w:r>
      <w:r>
        <w:rPr>
          <w:spacing w:val="-2"/>
        </w:rPr>
        <w:t>科大国创</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w w:val="100"/>
        </w:rPr>
        <w:t> </w:t>
      </w:r>
      <w:r>
        <w:rPr>
          <w:spacing w:val="-2"/>
        </w:rPr>
        <w:t>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w:t>
      </w:r>
      <w:r>
        <w:rPr>
          <w:spacing w:val="-43"/>
        </w:rPr>
        <w:t> </w:t>
      </w:r>
      <w:r>
        <w:rPr>
          <w:spacing w:val="-43"/>
        </w:rPr>
      </w:r>
      <w:r>
        <w:rPr/>
        <w:t>者权益变动表以及相关财务报表附注。</w:t>
      </w:r>
    </w:p>
    <w:p>
      <w:pPr>
        <w:pStyle w:val="BodyText"/>
        <w:spacing w:line="256" w:lineRule="auto" w:before="178"/>
        <w:ind w:right="1126" w:firstLine="420"/>
        <w:jc w:val="both"/>
      </w:pPr>
      <w:r>
        <w:rPr>
          <w:spacing w:val="-2"/>
        </w:rPr>
        <w:t>我们认为，后附的财务报表在所有重大方面按照企业会计准则的规定编制，公允反映了科大国创</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468" w:lineRule="exact" w:before="32"/>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248" w:lineRule="exact"/>
        <w:ind w:right="0"/>
        <w:jc w:val="left"/>
      </w:pPr>
      <w:r>
        <w:rPr/>
        <w:t>的责任”部分进一步阐述了我们在这些准则下的责任。按照中国注册会计师职业道德守则，我们独立于科</w:t>
      </w:r>
    </w:p>
    <w:p>
      <w:pPr>
        <w:pStyle w:val="BodyText"/>
        <w:spacing w:line="273" w:lineRule="auto" w:before="37"/>
        <w:ind w:right="1133"/>
        <w:jc w:val="left"/>
      </w:pPr>
      <w:r>
        <w:rPr>
          <w:spacing w:val="-2"/>
        </w:rPr>
        <w:t>大国创，并履行了职业道德方面的其他责任。我们相信，我们获取的审计证据是充分、适当的，为发表审</w:t>
      </w:r>
      <w:r>
        <w:rPr>
          <w:spacing w:val="-43"/>
        </w:rPr>
        <w:t> </w:t>
      </w:r>
      <w:r>
        <w:rPr>
          <w:spacing w:val="-43"/>
        </w:rPr>
      </w:r>
      <w:r>
        <w:rPr/>
        <w:t>计意见提供了基础。</w:t>
      </w:r>
    </w:p>
    <w:p>
      <w:pPr>
        <w:pStyle w:val="BodyText"/>
        <w:spacing w:line="468" w:lineRule="exact" w:before="35"/>
        <w:ind w:left="573" w:right="1133"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w:t>
      </w:r>
    </w:p>
    <w:p>
      <w:pPr>
        <w:pStyle w:val="BodyText"/>
        <w:spacing w:line="248" w:lineRule="exact"/>
        <w:ind w:right="1133"/>
        <w:jc w:val="left"/>
        <w:rPr>
          <w:rFonts w:ascii="宋体" w:hAnsi="宋体" w:cs="宋体" w:eastAsia="宋体" w:hint="default"/>
        </w:rPr>
      </w:pPr>
      <w:r>
        <w:rPr/>
        <w:t>财务报表整体进行审计并形成审计意见为背景，我们不对这些事项单独发表意见。</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73" w:right="1133"/>
        <w:jc w:val="left"/>
      </w:pPr>
      <w:r>
        <w:rPr/>
        <w:t>（一）营业收入确认</w:t>
      </w:r>
    </w:p>
    <w:p>
      <w:pPr>
        <w:pStyle w:val="BodyText"/>
        <w:spacing w:line="256" w:lineRule="auto" w:before="37"/>
        <w:ind w:left="573" w:right="1133"/>
        <w:jc w:val="left"/>
      </w:pPr>
      <w:r>
        <w:rPr>
          <w:rFonts w:ascii="Times New Roman" w:hAnsi="Times New Roman" w:cs="Times New Roman" w:eastAsia="Times New Roman" w:hint="default"/>
        </w:rPr>
        <w:t>1.</w:t>
      </w:r>
      <w:r>
        <w:rPr/>
        <w:t>事项描述</w:t>
      </w:r>
      <w:r>
        <w:rPr>
          <w:spacing w:val="-103"/>
        </w:rPr>
        <w:t> </w:t>
      </w:r>
      <w:r>
        <w:rPr>
          <w:spacing w:val="-103"/>
        </w:rPr>
      </w:r>
      <w:r>
        <w:rPr>
          <w:spacing w:val="2"/>
        </w:rPr>
        <w:t>参见财务报表附注五、</w:t>
      </w:r>
      <w:r>
        <w:rPr>
          <w:rFonts w:ascii="Times New Roman" w:hAnsi="Times New Roman" w:cs="Times New Roman" w:eastAsia="Times New Roman" w:hint="default"/>
          <w:spacing w:val="2"/>
        </w:rPr>
        <w:t>24</w:t>
      </w:r>
      <w:r>
        <w:rPr>
          <w:spacing w:val="2"/>
        </w:rPr>
        <w:t>收入及附注七、</w:t>
      </w:r>
      <w:r>
        <w:rPr>
          <w:rFonts w:ascii="Times New Roman" w:hAnsi="Times New Roman" w:cs="Times New Roman" w:eastAsia="Times New Roman" w:hint="default"/>
          <w:spacing w:val="2"/>
        </w:rPr>
        <w:t>41</w:t>
      </w:r>
      <w:r>
        <w:rPr>
          <w:spacing w:val="2"/>
        </w:rPr>
        <w:t>营业收入和营业成本，</w:t>
      </w:r>
      <w:r>
        <w:rPr>
          <w:rFonts w:ascii="Times New Roman" w:hAnsi="Times New Roman" w:cs="Times New Roman" w:eastAsia="Times New Roman" w:hint="default"/>
          <w:spacing w:val="2"/>
        </w:rPr>
        <w:t>2019</w:t>
      </w:r>
      <w:r>
        <w:rPr>
          <w:spacing w:val="2"/>
        </w:rPr>
        <w:t>年度科大国创确认了人民币</w:t>
      </w:r>
    </w:p>
    <w:p>
      <w:pPr>
        <w:pStyle w:val="BodyText"/>
        <w:spacing w:line="256" w:lineRule="auto" w:before="5"/>
        <w:ind w:right="1133"/>
        <w:jc w:val="left"/>
      </w:pPr>
      <w:r>
        <w:rPr>
          <w:rFonts w:ascii="Times New Roman" w:hAnsi="Times New Roman" w:cs="Times New Roman" w:eastAsia="Times New Roman" w:hint="default"/>
        </w:rPr>
        <w:t>156,971.78</w:t>
      </w:r>
      <w:r>
        <w:rPr/>
        <w:t>万元营业收入，由于收入是科大国创的关键业绩指标之一，从而存在管理层为了达到特定目标</w:t>
      </w:r>
      <w:r>
        <w:rPr>
          <w:spacing w:val="-27"/>
        </w:rPr>
        <w:t> </w:t>
      </w:r>
      <w:r>
        <w:rPr>
          <w:spacing w:val="-27"/>
        </w:rPr>
      </w:r>
      <w:r>
        <w:rPr/>
        <w:t>或期望而操纵收入确认时点的固有风险，我们将科大国创营业收入确认识别为关键审计事项。</w:t>
      </w:r>
    </w:p>
    <w:p>
      <w:pPr>
        <w:spacing w:after="0" w:line="256" w:lineRule="auto"/>
        <w:jc w:val="left"/>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left="573" w:right="4813"/>
        <w:jc w:val="left"/>
      </w:pPr>
      <w:r>
        <w:rPr>
          <w:rFonts w:ascii="Times New Roman" w:hAnsi="Times New Roman" w:cs="Times New Roman" w:eastAsia="Times New Roman" w:hint="default"/>
        </w:rPr>
        <w:t>2.</w:t>
      </w:r>
      <w:r>
        <w:rPr/>
        <w:t>审计应对</w:t>
      </w:r>
      <w:r>
        <w:rPr>
          <w:spacing w:val="-103"/>
        </w:rPr>
        <w:t> </w:t>
      </w:r>
      <w:r>
        <w:rPr>
          <w:spacing w:val="-103"/>
        </w:rPr>
      </w:r>
      <w:r>
        <w:rPr>
          <w:spacing w:val="-2"/>
        </w:rPr>
        <w:t>我们针对营业收入确认执行的审计程序主要包括：</w:t>
      </w:r>
    </w:p>
    <w:p>
      <w:pPr>
        <w:pStyle w:val="BodyText"/>
        <w:spacing w:line="240" w:lineRule="auto" w:before="22"/>
        <w:ind w:left="573" w:right="1133"/>
        <w:jc w:val="left"/>
      </w:pPr>
      <w:r>
        <w:rPr/>
        <w:t>（</w:t>
      </w:r>
      <w:r>
        <w:rPr>
          <w:rFonts w:ascii="Times New Roman" w:hAnsi="Times New Roman" w:cs="Times New Roman" w:eastAsia="Times New Roman" w:hint="default"/>
        </w:rPr>
        <w:t>1</w:t>
      </w:r>
      <w:r>
        <w:rPr/>
        <w:t>）了解和评价管理层与营业收入确认相关的关键内部控制的设计和运行有效性；</w:t>
      </w:r>
    </w:p>
    <w:p>
      <w:pPr>
        <w:pStyle w:val="BodyText"/>
        <w:spacing w:line="256" w:lineRule="auto" w:before="21"/>
        <w:ind w:right="1133" w:firstLine="420"/>
        <w:jc w:val="left"/>
      </w:pPr>
      <w:r>
        <w:rPr/>
        <w:t>（</w:t>
      </w:r>
      <w:r>
        <w:rPr>
          <w:rFonts w:ascii="Times New Roman" w:hAnsi="Times New Roman" w:cs="Times New Roman" w:eastAsia="Times New Roman" w:hint="default"/>
        </w:rPr>
        <w:t>2</w:t>
      </w:r>
      <w:r>
        <w:rPr/>
        <w:t>）选取样本检查销售合同，识别与收入确认相关的合同条款与条件，评价科大国创的营业收入确</w:t>
      </w:r>
      <w:r>
        <w:rPr>
          <w:w w:val="100"/>
        </w:rPr>
        <w:t> </w:t>
      </w:r>
      <w:r>
        <w:rPr/>
        <w:t>认方法是否符合企业会计准则的要求；</w:t>
      </w:r>
    </w:p>
    <w:p>
      <w:pPr>
        <w:pStyle w:val="BodyText"/>
        <w:spacing w:line="256" w:lineRule="auto" w:before="22"/>
        <w:ind w:right="1133" w:firstLine="420"/>
        <w:jc w:val="left"/>
      </w:pPr>
      <w:r>
        <w:rPr>
          <w:spacing w:val="-3"/>
        </w:rPr>
        <w:t>（</w:t>
      </w:r>
      <w:r>
        <w:rPr>
          <w:rFonts w:ascii="Times New Roman" w:hAnsi="Times New Roman" w:cs="Times New Roman" w:eastAsia="Times New Roman" w:hint="default"/>
          <w:spacing w:val="-3"/>
        </w:rPr>
        <w:t>3</w:t>
      </w:r>
      <w:r>
        <w:rPr>
          <w:spacing w:val="-3"/>
        </w:rPr>
        <w:t>）对本年记录的营业收入交易选取样本，核对发票、销售合同、经客户确认的进度单</w:t>
      </w:r>
      <w:r>
        <w:rPr>
          <w:rFonts w:ascii="Times New Roman" w:hAnsi="Times New Roman" w:cs="Times New Roman" w:eastAsia="Times New Roman" w:hint="default"/>
          <w:spacing w:val="-3"/>
        </w:rPr>
        <w:t>/</w:t>
      </w:r>
      <w:r>
        <w:rPr>
          <w:spacing w:val="-3"/>
        </w:rPr>
        <w:t>验收单</w:t>
      </w:r>
      <w:r>
        <w:rPr>
          <w:rFonts w:ascii="Times New Roman" w:hAnsi="Times New Roman" w:cs="Times New Roman" w:eastAsia="Times New Roman" w:hint="default"/>
          <w:spacing w:val="-3"/>
        </w:rPr>
        <w:t>/</w:t>
      </w:r>
      <w:r>
        <w:rPr>
          <w:spacing w:val="-3"/>
        </w:rPr>
        <w:t>对账</w:t>
      </w:r>
      <w:r>
        <w:rPr>
          <w:w w:val="100"/>
        </w:rPr>
        <w:t> </w:t>
      </w:r>
      <w:r>
        <w:rPr/>
        <w:t>单和内部进度单等收入确认资料，评价相关营业收入确认的真实性和准确性；</w:t>
      </w:r>
    </w:p>
    <w:p>
      <w:pPr>
        <w:pStyle w:val="BodyText"/>
        <w:spacing w:line="256" w:lineRule="auto" w:before="22"/>
        <w:ind w:right="1133" w:firstLine="420"/>
        <w:jc w:val="left"/>
      </w:pPr>
      <w:r>
        <w:rPr>
          <w:spacing w:val="-1"/>
        </w:rPr>
        <w:t>（</w:t>
      </w:r>
      <w:r>
        <w:rPr>
          <w:rFonts w:ascii="Times New Roman" w:hAnsi="Times New Roman" w:cs="Times New Roman" w:eastAsia="Times New Roman" w:hint="default"/>
          <w:spacing w:val="-1"/>
        </w:rPr>
        <w:t>4</w:t>
      </w:r>
      <w:r>
        <w:rPr>
          <w:spacing w:val="-1"/>
        </w:rPr>
        <w:t>）结合应收账款函证，向客户函证项目进度</w:t>
      </w:r>
      <w:r>
        <w:rPr>
          <w:rFonts w:ascii="Times New Roman" w:hAnsi="Times New Roman" w:cs="Times New Roman" w:eastAsia="Times New Roman" w:hint="default"/>
          <w:spacing w:val="-1"/>
        </w:rPr>
        <w:t>/</w:t>
      </w:r>
      <w:r>
        <w:rPr>
          <w:spacing w:val="-1"/>
        </w:rPr>
        <w:t>验收时间及回款情况，评价营业收入确认的真实性和</w:t>
      </w:r>
      <w:r>
        <w:rPr>
          <w:w w:val="100"/>
        </w:rPr>
        <w:t> </w:t>
      </w:r>
      <w:r>
        <w:rPr/>
        <w:t>准确性；</w:t>
      </w:r>
    </w:p>
    <w:p>
      <w:pPr>
        <w:pStyle w:val="BodyText"/>
        <w:spacing w:line="256" w:lineRule="auto" w:before="22"/>
        <w:ind w:right="1133" w:firstLine="420"/>
        <w:jc w:val="left"/>
      </w:pPr>
      <w:r>
        <w:rPr/>
        <w:t>（</w:t>
      </w:r>
      <w:r>
        <w:rPr>
          <w:rFonts w:ascii="Times New Roman" w:hAnsi="Times New Roman" w:cs="Times New Roman" w:eastAsia="Times New Roman" w:hint="default"/>
        </w:rPr>
        <w:t>5</w:t>
      </w:r>
      <w:r>
        <w:rPr/>
        <w:t>）对本年记录的营业收入中选取重大项目，实施现场走访、视频访谈和邮件确认等程序，评价相</w:t>
      </w:r>
      <w:r>
        <w:rPr>
          <w:w w:val="100"/>
        </w:rPr>
        <w:t> </w:t>
      </w:r>
      <w:r>
        <w:rPr/>
        <w:t>关营业收入确认的真实性和准确性；</w:t>
      </w:r>
    </w:p>
    <w:p>
      <w:pPr>
        <w:pStyle w:val="BodyText"/>
        <w:spacing w:line="259" w:lineRule="auto" w:before="22"/>
        <w:ind w:right="1133" w:firstLine="420"/>
        <w:jc w:val="left"/>
      </w:pPr>
      <w:r>
        <w:rPr>
          <w:spacing w:val="-3"/>
        </w:rPr>
        <w:t>（</w:t>
      </w:r>
      <w:r>
        <w:rPr>
          <w:rFonts w:ascii="Times New Roman" w:hAnsi="Times New Roman" w:cs="Times New Roman" w:eastAsia="Times New Roman" w:hint="default"/>
          <w:spacing w:val="-3"/>
        </w:rPr>
        <w:t>6</w:t>
      </w:r>
      <w:r>
        <w:rPr>
          <w:spacing w:val="-3"/>
        </w:rPr>
        <w:t>）就资产负债表日前后记录的营业收入交易，选取样本，核对经客户确认的进度单</w:t>
      </w:r>
      <w:r>
        <w:rPr>
          <w:rFonts w:ascii="Times New Roman" w:hAnsi="Times New Roman" w:cs="Times New Roman" w:eastAsia="Times New Roman" w:hint="default"/>
          <w:spacing w:val="-3"/>
        </w:rPr>
        <w:t>/</w:t>
      </w:r>
      <w:r>
        <w:rPr>
          <w:spacing w:val="-3"/>
        </w:rPr>
        <w:t>验收单</w:t>
      </w:r>
      <w:r>
        <w:rPr>
          <w:rFonts w:ascii="Times New Roman" w:hAnsi="Times New Roman" w:cs="Times New Roman" w:eastAsia="Times New Roman" w:hint="default"/>
          <w:spacing w:val="-3"/>
        </w:rPr>
        <w:t>/</w:t>
      </w:r>
      <w:r>
        <w:rPr>
          <w:spacing w:val="-3"/>
        </w:rPr>
        <w:t>对账单</w:t>
      </w:r>
      <w:r>
        <w:rPr>
          <w:w w:val="100"/>
        </w:rPr>
        <w:t> </w:t>
      </w:r>
      <w:r>
        <w:rPr/>
        <w:t>及其他支持性文件，以评价营业收入是否被记录于恰当的会计期间。</w:t>
      </w:r>
    </w:p>
    <w:p>
      <w:pPr>
        <w:pStyle w:val="BodyText"/>
        <w:spacing w:line="240" w:lineRule="auto" w:before="20"/>
        <w:ind w:left="573" w:right="1133"/>
        <w:jc w:val="left"/>
      </w:pPr>
      <w:r>
        <w:rPr/>
        <w:t>基于以上执行的审计程序，管理层对营业收入确认是可接受的。</w:t>
      </w:r>
    </w:p>
    <w:p>
      <w:pPr>
        <w:pStyle w:val="BodyText"/>
        <w:spacing w:line="240" w:lineRule="auto" w:before="37"/>
        <w:ind w:left="573" w:right="1133"/>
        <w:jc w:val="left"/>
      </w:pPr>
      <w:r>
        <w:rPr/>
        <w:t>（二）商誉减值</w:t>
      </w:r>
    </w:p>
    <w:p>
      <w:pPr>
        <w:pStyle w:val="BodyText"/>
        <w:spacing w:line="256" w:lineRule="auto" w:before="37"/>
        <w:ind w:left="573" w:right="1133"/>
        <w:jc w:val="left"/>
      </w:pPr>
      <w:r>
        <w:rPr>
          <w:rFonts w:ascii="Times New Roman" w:hAnsi="Times New Roman" w:cs="Times New Roman" w:eastAsia="Times New Roman" w:hint="default"/>
        </w:rPr>
        <w:t>1.</w:t>
      </w:r>
      <w:r>
        <w:rPr/>
        <w:t>事项描述</w:t>
      </w:r>
      <w:r>
        <w:rPr>
          <w:spacing w:val="-103"/>
        </w:rPr>
        <w:t> </w:t>
      </w:r>
      <w:r>
        <w:rPr>
          <w:spacing w:val="-103"/>
        </w:rPr>
      </w:r>
      <w:r>
        <w:rPr>
          <w:spacing w:val="-2"/>
        </w:rPr>
        <w:t>参见财务报表附注七、</w:t>
      </w:r>
      <w:r>
        <w:rPr>
          <w:rFonts w:ascii="Times New Roman" w:hAnsi="Times New Roman" w:cs="Times New Roman" w:eastAsia="Times New Roman" w:hint="default"/>
          <w:spacing w:val="-2"/>
        </w:rPr>
        <w:t>19</w:t>
      </w:r>
      <w:r>
        <w:rPr>
          <w:spacing w:val="-2"/>
        </w:rPr>
        <w:t>商誉，截至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日止，科大国创合并财务报表中商誉账面余额为人</w:t>
      </w:r>
    </w:p>
    <w:p>
      <w:pPr>
        <w:pStyle w:val="BodyText"/>
        <w:spacing w:line="264" w:lineRule="auto" w:before="5"/>
        <w:ind w:right="1126"/>
        <w:jc w:val="both"/>
      </w:pPr>
      <w:r>
        <w:rPr>
          <w:spacing w:val="-2"/>
        </w:rPr>
        <w:t>民币</w:t>
      </w:r>
      <w:r>
        <w:rPr>
          <w:rFonts w:ascii="Times New Roman" w:hAnsi="Times New Roman" w:cs="Times New Roman" w:eastAsia="Times New Roman" w:hint="default"/>
          <w:spacing w:val="-2"/>
        </w:rPr>
        <w:t>57,881.42</w:t>
      </w:r>
      <w:r>
        <w:rPr>
          <w:spacing w:val="-2"/>
        </w:rPr>
        <w:t>万元。管理层期末对商誉进行减值测试，其中涉及到多项需由管理层判断和估计的指标，主</w:t>
      </w:r>
      <w:r>
        <w:rPr>
          <w:spacing w:val="-32"/>
        </w:rPr>
        <w:t> </w:t>
      </w:r>
      <w:r>
        <w:rPr>
          <w:spacing w:val="-32"/>
        </w:rPr>
      </w:r>
      <w:r>
        <w:rPr>
          <w:spacing w:val="-2"/>
        </w:rPr>
        <w:t>要包括未来收入增长率、未来经营利润率及适用的折现率。由于商誉减值测试固有的复杂程度，以及管理</w:t>
      </w:r>
      <w:r>
        <w:rPr>
          <w:spacing w:val="-42"/>
        </w:rPr>
        <w:t> </w:t>
      </w:r>
      <w:r>
        <w:rPr>
          <w:spacing w:val="-42"/>
        </w:rPr>
      </w:r>
      <w:r>
        <w:rPr/>
        <w:t>层在对上述关键指标判断时可能的主观影响，我们将商誉减值测试事项作为关键审计事项。</w:t>
      </w:r>
    </w:p>
    <w:p>
      <w:pPr>
        <w:pStyle w:val="BodyText"/>
        <w:spacing w:line="256" w:lineRule="auto" w:before="16"/>
        <w:ind w:left="573" w:right="5593"/>
        <w:jc w:val="left"/>
      </w:pPr>
      <w:r>
        <w:rPr>
          <w:rFonts w:ascii="Times New Roman" w:hAnsi="Times New Roman" w:cs="Times New Roman" w:eastAsia="Times New Roman" w:hint="default"/>
        </w:rPr>
        <w:t>2.</w:t>
      </w:r>
      <w:r>
        <w:rPr/>
        <w:t>审计应对</w:t>
      </w:r>
      <w:r>
        <w:rPr>
          <w:spacing w:val="-103"/>
        </w:rPr>
        <w:t> </w:t>
      </w:r>
      <w:r>
        <w:rPr>
          <w:spacing w:val="-103"/>
        </w:rPr>
      </w:r>
      <w:r>
        <w:rPr>
          <w:spacing w:val="-2"/>
        </w:rPr>
        <w:t>我们针对商誉减值执行的审计程序主要包括：</w:t>
      </w:r>
    </w:p>
    <w:p>
      <w:pPr>
        <w:pStyle w:val="BodyText"/>
        <w:spacing w:line="256" w:lineRule="auto" w:before="22"/>
        <w:ind w:right="1133" w:firstLine="420"/>
        <w:jc w:val="left"/>
      </w:pPr>
      <w:r>
        <w:rPr/>
        <w:t>（</w:t>
      </w:r>
      <w:r>
        <w:rPr>
          <w:rFonts w:ascii="Times New Roman" w:hAnsi="Times New Roman" w:cs="Times New Roman" w:eastAsia="Times New Roman" w:hint="default"/>
        </w:rPr>
        <w:t>1</w:t>
      </w:r>
      <w:r>
        <w:rPr/>
        <w:t>）我们对与商誉减值相关的关键内部控制进行了解和测试，评价其设计和执行是否有效，并测试</w:t>
      </w:r>
      <w:r>
        <w:rPr>
          <w:w w:val="100"/>
        </w:rPr>
        <w:t> </w:t>
      </w:r>
      <w:r>
        <w:rPr/>
        <w:t>相关内部控制的运行有效性；</w:t>
      </w:r>
    </w:p>
    <w:p>
      <w:pPr>
        <w:pStyle w:val="BodyText"/>
        <w:spacing w:line="240" w:lineRule="auto" w:before="22"/>
        <w:ind w:left="573" w:right="1133"/>
        <w:jc w:val="left"/>
      </w:pPr>
      <w:r>
        <w:rPr/>
        <w:t>（</w:t>
      </w:r>
      <w:r>
        <w:rPr>
          <w:rFonts w:ascii="Times New Roman" w:hAnsi="Times New Roman" w:cs="Times New Roman" w:eastAsia="Times New Roman" w:hint="default"/>
        </w:rPr>
        <w:t>2</w:t>
      </w:r>
      <w:r>
        <w:rPr/>
        <w:t>）评价管理层委聘的外部评估机构的独立性、胜任能力、专业素质和客观性；</w:t>
      </w:r>
    </w:p>
    <w:p>
      <w:pPr>
        <w:pStyle w:val="BodyText"/>
        <w:spacing w:line="256" w:lineRule="auto" w:before="21"/>
        <w:ind w:right="1133" w:firstLine="420"/>
        <w:jc w:val="left"/>
      </w:pPr>
      <w:r>
        <w:rPr/>
        <w:t>（</w:t>
      </w:r>
      <w:r>
        <w:rPr>
          <w:rFonts w:ascii="Times New Roman" w:hAnsi="Times New Roman" w:cs="Times New Roman" w:eastAsia="Times New Roman" w:hint="default"/>
        </w:rPr>
        <w:t>3</w:t>
      </w:r>
      <w:r>
        <w:rPr/>
        <w:t>）利用外部评估机构的工作，评价商誉减值测试估值方法及关键假设的适当性、引用参数的合理</w:t>
      </w:r>
      <w:r>
        <w:rPr>
          <w:w w:val="100"/>
        </w:rPr>
        <w:t> </w:t>
      </w:r>
      <w:r>
        <w:rPr/>
        <w:t>性；</w:t>
      </w:r>
    </w:p>
    <w:p>
      <w:pPr>
        <w:pStyle w:val="BodyText"/>
        <w:spacing w:line="264" w:lineRule="auto" w:before="22"/>
        <w:ind w:right="1126" w:firstLine="420"/>
        <w:jc w:val="both"/>
      </w:pPr>
      <w:r>
        <w:rPr/>
        <w:t>（</w:t>
      </w:r>
      <w:r>
        <w:rPr>
          <w:rFonts w:ascii="Times New Roman" w:hAnsi="Times New Roman" w:cs="Times New Roman" w:eastAsia="Times New Roman" w:hint="default"/>
        </w:rPr>
        <w:t>4</w:t>
      </w:r>
      <w:r>
        <w:rPr/>
        <w:t>）复核资产组可收回金额和所采用折现率的合理性，包括所属资产组的预计合同、订单、框架协</w:t>
      </w:r>
      <w:r>
        <w:rPr>
          <w:w w:val="100"/>
        </w:rPr>
        <w:t> </w:t>
      </w:r>
      <w:r>
        <w:rPr>
          <w:spacing w:val="-2"/>
        </w:rPr>
        <w:t>议、未来销售价格、增长率、预计毛利率等，并与相关资产组的历史数据进行比较分析，该复核是基于我</w:t>
      </w:r>
      <w:r>
        <w:rPr>
          <w:spacing w:val="-43"/>
        </w:rPr>
        <w:t> </w:t>
      </w:r>
      <w:r>
        <w:rPr>
          <w:spacing w:val="-43"/>
        </w:rPr>
      </w:r>
      <w:r>
        <w:rPr/>
        <w:t>们对公司业务和所处行业的了解；</w:t>
      </w:r>
    </w:p>
    <w:p>
      <w:pPr>
        <w:pStyle w:val="BodyText"/>
        <w:spacing w:line="256" w:lineRule="auto" w:before="16"/>
        <w:ind w:right="1133" w:firstLine="420"/>
        <w:jc w:val="left"/>
      </w:pPr>
      <w:r>
        <w:rPr/>
        <w:t>（</w:t>
      </w:r>
      <w:r>
        <w:rPr>
          <w:rFonts w:ascii="Times New Roman" w:hAnsi="Times New Roman" w:cs="Times New Roman" w:eastAsia="Times New Roman" w:hint="default"/>
        </w:rPr>
        <w:t>5</w:t>
      </w:r>
      <w:r>
        <w:rPr/>
        <w:t>）对预测收入和采用的折现率等关键假设进行分析，以评价关键假设的变化对减值评估结果的影</w:t>
      </w:r>
      <w:r>
        <w:rPr>
          <w:w w:val="100"/>
        </w:rPr>
        <w:t> </w:t>
      </w:r>
      <w:r>
        <w:rPr/>
        <w:t>响以及考虑对关键假设的选择是否存在管理层偏好的迹象；</w:t>
      </w:r>
    </w:p>
    <w:p>
      <w:pPr>
        <w:pStyle w:val="BodyText"/>
        <w:spacing w:line="256" w:lineRule="auto" w:before="22"/>
        <w:ind w:left="573" w:right="1133"/>
        <w:jc w:val="left"/>
      </w:pPr>
      <w:r>
        <w:rPr/>
        <w:t>（</w:t>
      </w:r>
      <w:r>
        <w:rPr>
          <w:rFonts w:ascii="Times New Roman" w:hAnsi="Times New Roman" w:cs="Times New Roman" w:eastAsia="Times New Roman" w:hint="default"/>
        </w:rPr>
        <w:t>6</w:t>
      </w:r>
      <w:r>
        <w:rPr/>
        <w:t>）复核财务报表中对于商誉减值的披露是否恰当。</w:t>
      </w:r>
      <w:r>
        <w:rPr>
          <w:w w:val="100"/>
        </w:rPr>
        <w:t> </w:t>
      </w:r>
      <w:r>
        <w:rPr>
          <w:spacing w:val="-2"/>
        </w:rPr>
        <w:t>基于以上执行的审计程序，管理层对商誉减值所做出的判断及估计是可接受的。</w:t>
      </w:r>
    </w:p>
    <w:p>
      <w:pPr>
        <w:pStyle w:val="BodyText"/>
        <w:spacing w:line="240" w:lineRule="auto" w:before="23"/>
        <w:ind w:left="573" w:right="1133"/>
        <w:jc w:val="left"/>
      </w:pPr>
      <w:r>
        <w:rPr/>
        <w:t>（三）应收账款坏账准备</w:t>
      </w:r>
    </w:p>
    <w:p>
      <w:pPr>
        <w:pStyle w:val="BodyText"/>
        <w:spacing w:line="256" w:lineRule="auto" w:before="37"/>
        <w:ind w:left="573" w:right="1133"/>
        <w:jc w:val="left"/>
      </w:pPr>
      <w:r>
        <w:rPr>
          <w:rFonts w:ascii="Times New Roman" w:hAnsi="Times New Roman" w:cs="Times New Roman" w:eastAsia="Times New Roman" w:hint="default"/>
        </w:rPr>
        <w:t>1.</w:t>
      </w:r>
      <w:r>
        <w:rPr/>
        <w:t>事项描述</w:t>
      </w:r>
      <w:r>
        <w:rPr>
          <w:spacing w:val="-103"/>
        </w:rPr>
        <w:t> </w:t>
      </w:r>
      <w:r>
        <w:rPr>
          <w:spacing w:val="-103"/>
        </w:rPr>
      </w:r>
      <w:r>
        <w:rPr/>
        <w:t>参见财务报表附注五、</w:t>
      </w:r>
      <w:r>
        <w:rPr>
          <w:rFonts w:ascii="Times New Roman" w:hAnsi="Times New Roman" w:cs="Times New Roman" w:eastAsia="Times New Roman" w:hint="default"/>
        </w:rPr>
        <w:t>10</w:t>
      </w:r>
      <w:r>
        <w:rPr/>
        <w:t>金融工具之金融工具减值及附注七、</w:t>
      </w:r>
      <w:r>
        <w:rPr>
          <w:rFonts w:ascii="Times New Roman" w:hAnsi="Times New Roman" w:cs="Times New Roman" w:eastAsia="Times New Roman" w:hint="default"/>
        </w:rPr>
        <w:t>4</w:t>
      </w:r>
      <w:r>
        <w:rPr/>
        <w:t>应收账款，截至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BodyText"/>
        <w:spacing w:line="264" w:lineRule="auto" w:before="5"/>
        <w:ind w:right="0"/>
        <w:jc w:val="left"/>
      </w:pPr>
      <w:r>
        <w:rPr>
          <w:spacing w:val="-2"/>
        </w:rPr>
        <w:t>科大国创合并财务报表中应收账款账面余额为人民币</w:t>
      </w:r>
      <w:r>
        <w:rPr>
          <w:rFonts w:ascii="Times New Roman" w:hAnsi="Times New Roman" w:cs="Times New Roman" w:eastAsia="Times New Roman" w:hint="default"/>
          <w:spacing w:val="-2"/>
        </w:rPr>
        <w:t>53,272.15</w:t>
      </w:r>
      <w:r>
        <w:rPr>
          <w:spacing w:val="-2"/>
        </w:rPr>
        <w:t>万元，坏账准备余额为人民币</w:t>
      </w:r>
      <w:r>
        <w:rPr>
          <w:rFonts w:ascii="Times New Roman" w:hAnsi="Times New Roman" w:cs="Times New Roman" w:eastAsia="Times New Roman" w:hint="default"/>
          <w:spacing w:val="-2"/>
        </w:rPr>
        <w:t>5,182.02</w:t>
      </w:r>
      <w:r>
        <w:rPr>
          <w:spacing w:val="-2"/>
        </w:rPr>
        <w:t>万元。</w:t>
      </w:r>
      <w:r>
        <w:rPr>
          <w:spacing w:val="-25"/>
        </w:rPr>
        <w:t> </w:t>
      </w:r>
      <w:r>
        <w:rPr>
          <w:spacing w:val="-25"/>
        </w:rPr>
      </w:r>
      <w:r>
        <w:rPr>
          <w:spacing w:val="-2"/>
        </w:rPr>
        <w:t>由于应收账款可收回金额的计算需要管理层的判断和估计，我们将科大国创应收账款坏账准备计提识别为</w:t>
      </w:r>
      <w:r>
        <w:rPr>
          <w:spacing w:val="-43"/>
        </w:rPr>
        <w:t> </w:t>
      </w:r>
      <w:r>
        <w:rPr>
          <w:spacing w:val="-43"/>
        </w:rPr>
      </w:r>
      <w:r>
        <w:rPr/>
        <w:t>关键审计事项。</w:t>
      </w:r>
    </w:p>
    <w:p>
      <w:pPr>
        <w:pStyle w:val="BodyText"/>
        <w:spacing w:line="256" w:lineRule="auto" w:before="16"/>
        <w:ind w:left="573" w:right="4813"/>
        <w:jc w:val="left"/>
      </w:pPr>
      <w:r>
        <w:rPr>
          <w:rFonts w:ascii="Times New Roman" w:hAnsi="Times New Roman" w:cs="Times New Roman" w:eastAsia="Times New Roman" w:hint="default"/>
        </w:rPr>
        <w:t>2.</w:t>
      </w:r>
      <w:r>
        <w:rPr/>
        <w:t>审计应对</w:t>
      </w:r>
      <w:r>
        <w:rPr>
          <w:spacing w:val="-103"/>
        </w:rPr>
        <w:t> </w:t>
      </w:r>
      <w:r>
        <w:rPr>
          <w:spacing w:val="-103"/>
        </w:rPr>
      </w:r>
      <w:r>
        <w:rPr>
          <w:spacing w:val="-2"/>
        </w:rPr>
        <w:t>我们针对应收账款坏账准备执行的审计程序主要包括：</w:t>
      </w:r>
    </w:p>
    <w:p>
      <w:pPr>
        <w:pStyle w:val="BodyText"/>
        <w:spacing w:line="240" w:lineRule="auto" w:before="22"/>
        <w:ind w:left="573" w:right="1133"/>
        <w:jc w:val="left"/>
      </w:pPr>
      <w:r>
        <w:rPr/>
        <w:t>（</w:t>
      </w:r>
      <w:r>
        <w:rPr>
          <w:rFonts w:ascii="Times New Roman" w:hAnsi="Times New Roman" w:cs="Times New Roman" w:eastAsia="Times New Roman" w:hint="default"/>
        </w:rPr>
        <w:t>1</w:t>
      </w:r>
      <w:r>
        <w:rPr/>
        <w:t>）对科大国创信用政策及应收账款管理相关内部控制的设计和运行有效性进行了评估和测试；</w:t>
      </w:r>
    </w:p>
    <w:p>
      <w:pPr>
        <w:pStyle w:val="BodyText"/>
        <w:spacing w:line="240" w:lineRule="auto" w:before="21"/>
        <w:ind w:left="573" w:right="1133"/>
        <w:jc w:val="left"/>
      </w:pPr>
      <w:r>
        <w:rPr/>
        <w:t>（</w:t>
      </w:r>
      <w:r>
        <w:rPr>
          <w:rFonts w:ascii="Times New Roman" w:hAnsi="Times New Roman" w:cs="Times New Roman" w:eastAsia="Times New Roman" w:hint="default"/>
        </w:rPr>
        <w:t>2</w:t>
      </w:r>
      <w:r>
        <w:rPr/>
        <w:t>）检查科大国创预期信用损失的计量模型，评估模型中重大假设和关键参数的合理性以及信用风</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险组合划分方法的恰当性；</w:t>
      </w:r>
    </w:p>
    <w:p>
      <w:pPr>
        <w:pStyle w:val="BodyText"/>
        <w:spacing w:line="256" w:lineRule="auto" w:before="37"/>
        <w:ind w:right="1136" w:firstLine="420"/>
        <w:jc w:val="both"/>
      </w:pPr>
      <w:r>
        <w:rPr/>
        <w:t>（</w:t>
      </w:r>
      <w:r>
        <w:rPr>
          <w:rFonts w:ascii="Times New Roman" w:hAnsi="Times New Roman" w:cs="Times New Roman" w:eastAsia="Times New Roman" w:hint="default"/>
        </w:rPr>
        <w:t>3</w:t>
      </w:r>
      <w:r>
        <w:rPr/>
        <w:t>）选取检查科大国创应收账款各个组合内客户的信用记录、历史付款记录、期后回款并考虑前瞻</w:t>
      </w:r>
      <w:r>
        <w:rPr>
          <w:w w:val="100"/>
        </w:rPr>
        <w:t> </w:t>
      </w:r>
      <w:r>
        <w:rPr/>
        <w:t>性信息等因素，评估管理层对整个存续期信用损失预计的适当性；</w:t>
      </w:r>
    </w:p>
    <w:p>
      <w:pPr>
        <w:pStyle w:val="BodyText"/>
        <w:spacing w:line="240" w:lineRule="auto" w:before="22"/>
        <w:ind w:left="573" w:right="1133"/>
        <w:jc w:val="left"/>
      </w:pPr>
      <w:r>
        <w:rPr/>
        <w:t>（</w:t>
      </w:r>
      <w:r>
        <w:rPr>
          <w:rFonts w:ascii="Times New Roman" w:hAnsi="Times New Roman" w:cs="Times New Roman" w:eastAsia="Times New Roman" w:hint="default"/>
        </w:rPr>
        <w:t>4</w:t>
      </w:r>
      <w:r>
        <w:rPr/>
        <w:t>）抽样检查科大国创预期信用损失模型的关键数据，包括历史数据，以评估其完整性及准确性；</w:t>
      </w:r>
    </w:p>
    <w:p>
      <w:pPr>
        <w:pStyle w:val="BodyText"/>
        <w:spacing w:line="256" w:lineRule="auto" w:before="21"/>
        <w:ind w:right="1136" w:firstLine="420"/>
        <w:jc w:val="both"/>
      </w:pPr>
      <w:r>
        <w:rPr/>
        <w:t>（</w:t>
      </w:r>
      <w:r>
        <w:rPr>
          <w:rFonts w:ascii="Times New Roman" w:hAnsi="Times New Roman" w:cs="Times New Roman" w:eastAsia="Times New Roman" w:hint="default"/>
        </w:rPr>
        <w:t>5</w:t>
      </w:r>
      <w:r>
        <w:rPr/>
        <w:t>）通过分析科大国创客户信誉情况，并执行应收账款函证程序及检查期后回款情况，评价应收账</w:t>
      </w:r>
      <w:r>
        <w:rPr>
          <w:w w:val="100"/>
        </w:rPr>
        <w:t> </w:t>
      </w:r>
      <w:r>
        <w:rPr/>
        <w:t>款坏账准备计提的合理性；</w:t>
      </w:r>
    </w:p>
    <w:p>
      <w:pPr>
        <w:pStyle w:val="BodyText"/>
        <w:spacing w:line="408" w:lineRule="auto" w:before="22"/>
        <w:ind w:left="573" w:right="1133"/>
        <w:jc w:val="left"/>
        <w:rPr>
          <w:rFonts w:ascii="宋体" w:hAnsi="宋体" w:cs="宋体" w:eastAsia="宋体" w:hint="default"/>
        </w:rPr>
      </w:pPr>
      <w:r>
        <w:rPr/>
        <w:t>基于以上执行的审计程序，管理层对应收账款坏账准备所做出的判断及估计是可接受的。</w:t>
      </w:r>
      <w:r>
        <w:rPr>
          <w:w w:val="100"/>
        </w:rPr>
        <w:t> </w:t>
      </w:r>
      <w:r>
        <w:rPr>
          <w:rFonts w:ascii="宋体" w:hAnsi="宋体" w:cs="宋体" w:eastAsia="宋体" w:hint="default"/>
          <w:b/>
          <w:bCs/>
        </w:rPr>
        <w:t>四、其他信息</w:t>
      </w:r>
      <w:r>
        <w:rPr>
          <w:rFonts w:ascii="宋体" w:hAnsi="宋体" w:cs="宋体" w:eastAsia="宋体" w:hint="default"/>
          <w:b/>
          <w:bCs/>
          <w:w w:val="99"/>
        </w:rPr>
        <w:t> </w:t>
      </w:r>
      <w:r>
        <w:rPr>
          <w:rFonts w:ascii="宋体" w:hAnsi="宋体" w:cs="宋体" w:eastAsia="宋体" w:hint="default"/>
        </w:rPr>
      </w:r>
    </w:p>
    <w:p>
      <w:pPr>
        <w:pStyle w:val="BodyText"/>
        <w:spacing w:line="256" w:lineRule="auto" w:before="46"/>
        <w:ind w:right="1126" w:firstLine="420"/>
        <w:jc w:val="both"/>
      </w:pPr>
      <w:r>
        <w:rPr>
          <w:spacing w:val="-2"/>
        </w:rPr>
        <w:t>科大国创管理层（以下简称管理层）对其他信息负责。其他信息包括科大国创</w:t>
      </w:r>
      <w:r>
        <w:rPr>
          <w:rFonts w:ascii="Times New Roman" w:hAnsi="Times New Roman" w:cs="Times New Roman" w:eastAsia="Times New Roman" w:hint="default"/>
          <w:spacing w:val="-2"/>
        </w:rPr>
        <w:t>2019</w:t>
      </w:r>
      <w:r>
        <w:rPr>
          <w:spacing w:val="-2"/>
        </w:rPr>
        <w:t>年度报告中涵盖的</w:t>
      </w:r>
      <w:r>
        <w:rPr>
          <w:w w:val="100"/>
        </w:rPr>
        <w:t> </w:t>
      </w:r>
      <w:r>
        <w:rPr/>
        <w:t>信息，但不包括财务报表和我们的审计报告。</w:t>
      </w:r>
    </w:p>
    <w:p>
      <w:pPr>
        <w:pStyle w:val="BodyText"/>
        <w:spacing w:line="273" w:lineRule="auto" w:before="22"/>
        <w:ind w:left="573" w:right="1133"/>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73" w:lineRule="auto" w:before="7"/>
        <w:ind w:left="573" w:right="1133" w:hanging="420"/>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408" w:lineRule="auto" w:before="7"/>
        <w:ind w:left="575" w:right="6473"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46"/>
        <w:ind w:right="1126" w:firstLine="420"/>
        <w:jc w:val="both"/>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273" w:lineRule="auto" w:before="7"/>
        <w:ind w:right="1126" w:firstLine="420"/>
        <w:jc w:val="both"/>
      </w:pPr>
      <w:r>
        <w:rPr>
          <w:spacing w:val="-2"/>
        </w:rPr>
        <w:t>在编制财务报表时，管理层负责评估科大国创的持续经营能力，披露与持续经营相关的事项，并运用</w:t>
      </w:r>
      <w:r>
        <w:rPr>
          <w:w w:val="100"/>
        </w:rPr>
        <w:t> </w:t>
      </w:r>
      <w:r>
        <w:rPr/>
        <w:t>持续经营假设，除非管理层计划清算科大国创、终止运营或别无其他现实的选择。</w:t>
      </w:r>
    </w:p>
    <w:p>
      <w:pPr>
        <w:spacing w:line="408" w:lineRule="auto" w:before="7"/>
        <w:ind w:left="575" w:right="4813"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治理层负责监督科大国创的财务报告过程。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46"/>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7"/>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268" w:lineRule="auto" w:before="7"/>
        <w:ind w:right="0"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56" w:lineRule="auto" w:before="12"/>
        <w:ind w:right="1136" w:firstLine="42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w w:val="100"/>
        </w:rPr>
        <w:t> </w:t>
      </w:r>
      <w:r>
        <w:rPr/>
        <w:t>见。</w:t>
      </w:r>
    </w:p>
    <w:p>
      <w:pPr>
        <w:pStyle w:val="BodyText"/>
        <w:spacing w:line="240" w:lineRule="auto" w:before="22"/>
        <w:ind w:left="57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21"/>
        <w:ind w:right="1126"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）对管理层使用持续经营假设的恰当性得出结论。同时，根据获取的审计证据，就可能导致对科</w:t>
      </w:r>
      <w:r>
        <w:rPr>
          <w:w w:val="100"/>
        </w:rPr>
        <w:t> </w:t>
      </w:r>
      <w:r>
        <w:rPr>
          <w:spacing w:val="-2"/>
        </w:rPr>
        <w:t>大国创持续经营能力产生重大疑虑的事项或情况是否存在重大不确定性得出结论。如果我们得出结论认为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项或情况可能导致科大国创不能持续经营。</w:t>
      </w:r>
    </w:p>
    <w:p>
      <w:pPr>
        <w:pStyle w:val="BodyText"/>
        <w:spacing w:line="240" w:lineRule="auto" w:before="12"/>
        <w:ind w:left="573" w:right="1133"/>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和事项。</w:t>
      </w:r>
    </w:p>
    <w:p>
      <w:pPr>
        <w:pStyle w:val="BodyText"/>
        <w:spacing w:line="256" w:lineRule="auto" w:before="37"/>
        <w:ind w:right="1136" w:firstLine="420"/>
        <w:jc w:val="both"/>
      </w:pPr>
      <w:r>
        <w:rPr/>
        <w:t>（</w:t>
      </w:r>
      <w:r>
        <w:rPr>
          <w:rFonts w:ascii="Times New Roman" w:hAnsi="Times New Roman" w:cs="Times New Roman" w:eastAsia="Times New Roman" w:hint="default"/>
        </w:rPr>
        <w:t>6</w:t>
      </w:r>
      <w:r>
        <w:rPr/>
        <w:t>）就科大国创中实体或业务活动的财务信息获取充分、适当的审计证据，以对财务报表发表审计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22"/>
        <w:ind w:right="1126" w:firstLine="420"/>
        <w:jc w:val="both"/>
        <w:rPr>
          <w:rFonts w:ascii="宋体" w:hAnsi="宋体" w:cs="宋体" w:eastAsia="宋体" w:hint="default"/>
        </w:rPr>
      </w:pPr>
      <w:r>
        <w:rPr>
          <w:spacing w:val="-2"/>
        </w:rPr>
        <w:t>我们与治理层就计划的审计范围、时间安排和重大审计发现等事项进行沟通，包括沟通我们在审计中</w:t>
      </w:r>
      <w:r>
        <w:rPr>
          <w:w w:val="100"/>
        </w:rPr>
        <w:t> </w:t>
      </w:r>
      <w:r>
        <w:rPr/>
        <w:t>识别出的值得关注的内部控制缺陷。</w:t>
      </w:r>
      <w:r>
        <w:rPr>
          <w:rFonts w:ascii="宋体" w:hAnsi="宋体" w:cs="宋体" w:eastAsia="宋体" w:hint="default"/>
        </w:rPr>
        <w:t> </w:t>
      </w:r>
    </w:p>
    <w:p>
      <w:pPr>
        <w:pStyle w:val="BodyText"/>
        <w:spacing w:line="273" w:lineRule="auto" w:before="7"/>
        <w:ind w:right="1126" w:firstLine="420"/>
        <w:jc w:val="both"/>
        <w:rPr>
          <w:rFonts w:ascii="宋体" w:hAnsi="宋体" w:cs="宋体" w:eastAsia="宋体" w:hint="default"/>
        </w:rPr>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r>
        <w:rPr>
          <w:rFonts w:ascii="宋体" w:hAnsi="宋体" w:cs="宋体" w:eastAsia="宋体" w:hint="default"/>
        </w:rPr>
        <w:t> </w:t>
      </w:r>
    </w:p>
    <w:p>
      <w:pPr>
        <w:pStyle w:val="BodyText"/>
        <w:spacing w:line="273" w:lineRule="auto" w:before="7"/>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6"/>
        <w:rPr>
          <w:rFonts w:ascii="宋体" w:hAnsi="宋体" w:cs="宋体" w:eastAsia="宋体" w:hint="default"/>
          <w:sz w:val="24"/>
          <w:szCs w:val="24"/>
        </w:rPr>
      </w:pPr>
    </w:p>
    <w:p>
      <w:pPr>
        <w:pStyle w:val="BodyText"/>
        <w:spacing w:line="240" w:lineRule="auto"/>
        <w:ind w:left="633" w:right="1133"/>
        <w:jc w:val="left"/>
      </w:pPr>
      <w:r>
        <w:rPr/>
        <w:t>（此页无正文，为容诚审字</w:t>
      </w:r>
      <w:r>
        <w:rPr>
          <w:rFonts w:ascii="Times New Roman" w:hAnsi="Times New Roman" w:cs="Times New Roman" w:eastAsia="Times New Roman" w:hint="default"/>
        </w:rPr>
        <w:t>[2020]2300Z0895</w:t>
      </w:r>
      <w:r>
        <w:rPr/>
        <w:t>号审计报告签字页）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1"/>
          <w:szCs w:val="31"/>
        </w:rPr>
      </w:pPr>
    </w:p>
    <w:p>
      <w:pPr>
        <w:pStyle w:val="BodyText"/>
        <w:tabs>
          <w:tab w:pos="4336" w:val="left" w:leader="none"/>
        </w:tabs>
        <w:spacing w:line="240" w:lineRule="auto"/>
        <w:ind w:left="364" w:right="1133"/>
        <w:jc w:val="left"/>
      </w:pPr>
      <w:r>
        <w:rPr>
          <w:spacing w:val="-2"/>
        </w:rPr>
        <w:t>容诚会计师事务所</w:t>
        <w:tab/>
      </w:r>
      <w:r>
        <w:rPr>
          <w:spacing w:val="-1"/>
        </w:rPr>
        <w:t>中国注册会计师（项目合伙人）：</w:t>
      </w:r>
    </w:p>
    <w:p>
      <w:pPr>
        <w:pStyle w:val="BodyText"/>
        <w:spacing w:line="240" w:lineRule="auto" w:before="114"/>
        <w:ind w:left="393" w:right="1133"/>
        <w:jc w:val="left"/>
      </w:pPr>
      <w:r>
        <w:rPr/>
        <w:t>（特殊普通合伙）</w:t>
      </w:r>
    </w:p>
    <w:p>
      <w:pPr>
        <w:pStyle w:val="BodyText"/>
        <w:spacing w:line="240" w:lineRule="auto" w:before="116"/>
        <w:ind w:left="2784" w:right="3318"/>
        <w:jc w:val="center"/>
      </w:pPr>
      <w:r>
        <w:rPr/>
        <w:t>中国注册会计师：</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tabs>
          <w:tab w:pos="4425" w:val="left" w:leader="none"/>
        </w:tabs>
        <w:spacing w:line="240" w:lineRule="auto"/>
        <w:ind w:left="633" w:right="1133"/>
        <w:jc w:val="left"/>
      </w:pPr>
      <w:r>
        <w:rPr>
          <w:spacing w:val="-1"/>
        </w:rPr>
        <w:t>中国</w:t>
      </w:r>
      <w:r>
        <w:rPr>
          <w:rFonts w:ascii="Times New Roman" w:hAnsi="Times New Roman" w:cs="Times New Roman" w:eastAsia="Times New Roman" w:hint="default"/>
          <w:spacing w:val="-1"/>
        </w:rPr>
        <w:t>·</w:t>
      </w:r>
      <w:r>
        <w:rPr>
          <w:spacing w:val="-1"/>
        </w:rPr>
        <w:t>北京</w:t>
        <w:tab/>
        <w:t>中国注册会计师：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2784" w:right="3526"/>
        <w:jc w:val="center"/>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28</w:t>
      </w:r>
      <w:r>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4"/>
          <w:szCs w:val="24"/>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编制单位：科大国创软件股份有限公司</w:t>
      </w:r>
    </w:p>
    <w:p>
      <w:pPr>
        <w:spacing w:before="115"/>
        <w:ind w:left="2784" w:right="3762"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after="0"/>
        <w:jc w:val="center"/>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708,480,946.72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466,171,723.91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1,239,757.91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40,613,240.66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480,901,244.20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426,833,898.16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44,708,875.00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13,764,686.62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18,770,894.22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27,379,574.30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28,794,785.48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115,930,786.68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146,855,492.89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66,620,985.08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35,563,942.26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25,865,295.87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1,494,590,798.77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1,153,905,331.19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84,930,720.81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112,887,112.00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11,715,652.59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10,255,812.13</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188,019,662.92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70,503,792.37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59,348,070.30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206,200,724.07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109,747,033.36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49,001,161.09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49,656,638.64</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2,137,257.81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578,814,214.02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578,814,214.02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1,457,486.61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691,154.56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21,632,949.17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17,143,727.29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281,232.28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10,497,004.46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1,214,694,853.74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971,540,766.76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2,709,285,652.51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2,125,446,097.95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319,059,822.55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189,800,000.00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61,900,014.88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77,479,122.51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207,459,363.43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171,260,417.26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55,865,168.19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49,954,982.22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38,725,808.29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33,399,872.75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18,646,835.83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18,434,009.28</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250,605,699.56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216,260,538.20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191,900.00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957,762,712.73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756,588,942.22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98,835,129.58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8,777,720.45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8,418,918.92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4,923,762.86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4,118,431.88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39,667,630.65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39,533,390.63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5,990,461.55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4,422,099.91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158,194,705.09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60,992,841.34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1,115,957,417.82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817,581,783.56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250,384,762.00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239,233,684.00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969,481,803.41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814,555,640.08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16,051,873.82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391,851.61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21,659,850.94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18,497,595.22</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331,170,292.57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221,467,246.59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1,572,685,279.15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1,294,146,017.50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20,642,955.54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13,718,296.89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1,593,328,234.69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1,307,864,314.39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2,709,285,652.51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2,125,446,097.95</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法定代表人：董永东</w:t>
        <w:tab/>
      </w:r>
      <w:r>
        <w:rPr>
          <w:rFonts w:ascii="宋体" w:hAnsi="宋体" w:cs="宋体" w:eastAsia="宋体" w:hint="default"/>
          <w:spacing w:val="-1"/>
          <w:sz w:val="18"/>
          <w:szCs w:val="18"/>
        </w:rPr>
        <w:t>主管会计工作负责人：孔皖生</w:t>
        <w:tab/>
      </w:r>
      <w:r>
        <w:rPr>
          <w:rFonts w:ascii="宋体" w:hAnsi="宋体" w:cs="宋体" w:eastAsia="宋体" w:hint="default"/>
          <w:sz w:val="18"/>
          <w:szCs w:val="18"/>
        </w:rPr>
        <w:t>会计机构负责人：刘芳</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216,588,523.34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185,980,019.83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612,749.70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7,838,780.66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350,725,393.73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329,768,202.75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4,576,468.00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2,129,310.38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7,615,144.57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21,830,106.64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20,647,969.72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83,120,392.66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120,560,711.34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66,546,676.71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15,532,222.02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16,517,792.51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761,661,843.18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688,928,621.38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84,187,113.05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112,887,112.00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1,065,915,690.64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861,522,545.74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188,019,662.92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50,084,842.05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43,430,905.06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137,652,421.99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109,055,044.57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7,369,168.29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7,984,847.40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17,726,352.40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12,586,604.74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9,827,772.18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1,550,955,251.34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1,179,794,831.69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2,312,617,094.52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1,868,723,453.07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186,845,912.99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20,180,342.52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34,566,862.51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406,072,866.71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372,495,548.68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37,626,426.28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48,597,981.66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10,437,276.06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5,940,446.30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2,077,582.12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4,474,749.55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126,691,370.86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14,700,995.59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191,900.00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795,431,777.54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629,776,584.29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88,617,364.58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8,777,720.45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8,418,918.92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31,687,630.65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31,513,390.63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2,409,495.54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131,492,211.22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44,432,309.55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926,923,988.76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674,208,893.84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250,384,762.00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239,233,684.00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973,248,775.35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818,322,612.02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15,522,893.72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21,659,850.94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18,497,595.22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140,940,127.34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118,460,667.99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1,385,693,105.76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1,194,514,559.23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2,312,617,094.52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1,868,723,453.07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r>
        <w:rPr/>
        <w:pict>
          <v:group style="position:absolute;margin-left:211.009995pt;margin-top:657.039978pt;width:158.9pt;height:20.65pt;mso-position-horizontal-relative:page;mso-position-vertical-relative:page;z-index:-1157800" coordorigin="4220,13141" coordsize="3178,413">
            <v:group style="position:absolute;left:4231;top:13152;width:2;height:392" coordorigin="4231,13152" coordsize="2,392">
              <v:shape style="position:absolute;left:4231;top:13152;width:2;height:392" coordorigin="4231,13152" coordsize="0,392" path="m4231,13152l4231,13543e" filled="false" stroked="true" strokeweight="1.08pt" strokecolor="#ffffff">
                <v:path arrowok="t"/>
              </v:shape>
            </v:group>
            <v:group style="position:absolute;left:4242;top:13152;width:3157;height:392" coordorigin="4242,13152" coordsize="3157,392">
              <v:shape style="position:absolute;left:4242;top:13152;width:3157;height:392" coordorigin="4242,13152" coordsize="3157,392" path="m4242,13543l7398,13543,7398,13152,4242,13152,4242,1354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1,569,717,788.81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982,146,999.04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1,569,717,788.81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982,146,999.04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1,470,480,581.68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948,710,126.53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1,104,183,667.76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664,164,392.08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提取保险责任合同准备金 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7,634,705.24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4,150,882.14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88,404,641.88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74,345,798.36</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91,964,034.66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69,667,965.10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179,176,351.75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134,627,976.63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-882,819.61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1,753,112.22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9,762,672.55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6,198,001.32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11,190,218.57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3,843,106.29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39,256,313.98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20,351,061.86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1,800,413.62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4,094,640.12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2,073,048.07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1,670,681.75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16,063,303.59</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r>
        <w:rPr/>
        <w:pict>
          <v:group style="position:absolute;margin-left:211.009995pt;margin-top:239.359985pt;width:158.9pt;height:20.65pt;mso-position-horizontal-relative:page;mso-position-vertical-relative:page;z-index:-1157776" coordorigin="4220,4787" coordsize="3178,413">
            <v:group style="position:absolute;left:4231;top:4798;width:2;height:392" coordorigin="4231,4798" coordsize="2,392">
              <v:shape style="position:absolute;left:4231;top:4798;width:2;height:392" coordorigin="4231,4798" coordsize="0,392" path="m4231,4798l4231,5189e" filled="false" stroked="true" strokeweight="1.08pt" strokecolor="#ffffff">
                <v:path arrowok="t"/>
              </v:shape>
            </v:group>
            <v:group style="position:absolute;left:4242;top:4798;width:3157;height:392" coordorigin="4242,4798" coordsize="3157,392">
              <v:shape style="position:absolute;left:4242;top:4798;width:3157;height:392" coordorigin="4242,4798" coordsize="3157,392" path="m4242,5189l7398,5189,7398,4798,4242,4798,4242,518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-20,221,132.86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-2,004,846.21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-8,988,068.67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-187,373.89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133,943,885.36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48,893,849.94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2,854.36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1,205,062.28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133,942,948.72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47,691,642.02</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8,172,146.27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-3,537,881.73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125,770,802.45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51,229,523.75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125,770,802.45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51,229,523.75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63" w:right="0"/>
              <w:jc w:val="left"/>
              <w:rPr>
                <w:rFonts w:ascii="Times New Roman" w:hAnsi="Times New Roman" w:cs="Times New Roman" w:eastAsia="Times New Roman" w:hint="default"/>
                <w:sz w:val="18"/>
                <w:szCs w:val="18"/>
              </w:rPr>
            </w:pPr>
            <w:r>
              <w:rPr>
                <w:rFonts w:ascii="Times New Roman"/>
                <w:sz w:val="18"/>
              </w:rPr>
              <w:t>118,846,143.80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48,860,741.98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6,924,658.65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2,368,781.77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15,660,022.21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243,103.03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15,660,022.21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243,103.03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15,522,893.72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15,522,893.72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137,128.49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243,103.03</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137,128.49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243,103.03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141,430,824.66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51,472,626.78</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134,506,166.01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49,103,845.01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6,924,658.65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2,368,781.77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0.24</w:t>
            </w:r>
          </w:p>
        </w:tc>
      </w:tr>
    </w:tbl>
    <w:p>
      <w:pPr>
        <w:tabs>
          <w:tab w:pos="3667" w:val="left" w:leader="none"/>
          <w:tab w:pos="7899" w:val="left" w:leader="none"/>
        </w:tabs>
        <w:spacing w:line="595" w:lineRule="auto" w:before="49"/>
        <w:ind w:left="153" w:right="1224"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法定代表人：董永东</w:t>
        <w:tab/>
      </w:r>
      <w:r>
        <w:rPr>
          <w:rFonts w:ascii="宋体" w:hAnsi="宋体" w:cs="宋体" w:eastAsia="宋体" w:hint="default"/>
          <w:spacing w:val="-1"/>
          <w:sz w:val="18"/>
          <w:szCs w:val="18"/>
        </w:rPr>
        <w:t>主管会计工作负责人：孔皖生</w:t>
        <w:tab/>
      </w:r>
      <w:r>
        <w:rPr>
          <w:rFonts w:ascii="宋体" w:hAnsi="宋体" w:cs="宋体" w:eastAsia="宋体" w:hint="default"/>
          <w:sz w:val="18"/>
          <w:szCs w:val="18"/>
        </w:rPr>
        <w:t>会计机构负责人：刘芳</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669,072,484.68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672,749,444.99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548,067,027.83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542,398,381.25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1,344,747.01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1,176,237.36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37,979,382.73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38,394,924.17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28,536,440.40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41,909,207.89</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62,479,224.98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57,405,457.58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-638,005.95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3,626,879.29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7,589,906.29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5,026,959.65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8,576,593.70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616,991.32</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21,817,112.33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18,559,029.44</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15,677,673.08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26,944,790.99</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2,073,048.07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1,670,681.75</w:t>
            </w:r>
          </w:p>
        </w:tc>
      </w:tr>
      <w:tr>
        <w:trPr>
          <w:trHeight w:val="102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-13,957,024.20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-2,004,846.21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-8,318,708.80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-7,581.22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28,892,305.05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25,023,469.08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1,200,683.76</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28,892,305.05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23,822,785.32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-2,730,252.12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-5,162,063.06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31,622,557.17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28,984,848.38</w:t>
            </w: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31,622,557.17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28,984,848.38</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15,522,893.72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15,522,893.72</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15,522,893.72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47,145,450.89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28,984,848.38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300"/>
        <w:gridCol w:w="329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01" w:right="0"/>
              <w:jc w:val="left"/>
              <w:rPr>
                <w:rFonts w:ascii="Times New Roman" w:hAnsi="Times New Roman" w:cs="Times New Roman" w:eastAsia="Times New Roman" w:hint="default"/>
                <w:sz w:val="18"/>
                <w:szCs w:val="18"/>
              </w:rPr>
            </w:pPr>
            <w:r>
              <w:rPr>
                <w:rFonts w:ascii="Times New Roman"/>
                <w:sz w:val="18"/>
              </w:rPr>
              <w:t>1,574,992,375.98</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952,797,312.44</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8,252,840.71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1,571,309.98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63,610,604.35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58,827,929.35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1,646,855,821.04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1,013,196,551.77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966,195,643.73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573,379,167.67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426,498,855.64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335,101,283.44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76,188,429.86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31,175,785.02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84,321,302.68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91,839,597.10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1,553,204,231.91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1,031,495,833.23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93,651,589.13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-18,299,281.46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285,541.14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109,119.85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887"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24,301,914.83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6,267,064.66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24,696,575.82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6,267,064.66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91,067,862.07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46,397,496.16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149,996,769.20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-35,586,928.63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261,714,631.27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37,510,567.53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-237,018,055.45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-31,243,502.87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169,999,981.04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470,660,000.00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641,759,981.04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21,521,513.31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12,240,797.26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3,944,482.14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622,641.51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264,765,995.45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241,863,438.77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376,993,985.59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3,136,561.23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701,892.37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-1,463,354.85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234,329,411.64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-47,869,577.95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444,569,104.25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492,438,682.20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678,898,515.89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444,569,104.25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footerReference w:type="default" r:id="rId16"/>
          <w:pgSz w:w="11910" w:h="16840"/>
          <w:pgMar w:footer="979" w:header="887" w:top="1200" w:bottom="1160" w:left="980" w:right="0"/>
          <w:pgNumType w:start="101"/>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630,121,799.56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619,188,690.10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1,229,899.35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1,571,309.98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63,913,147.33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62,322,462.04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695,264,846.24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683,082,462.12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515,562,757.83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472,917,699.67</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98,395,678.10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132,464,376.36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4,607,452.68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1,967,310.87</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34,964,868.49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42,835,376.09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653,530,757.10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650,184,762.99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41,734,089.14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32,897,699.13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16,285,541.14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10,317.34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442,704.58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1,035,646.06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891,100.56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17,774,209.12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25,891,100.56</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16,882,755.88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43,456,467.18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359,996,769.20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376,879,525.08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94,156,467.18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-359,105,315.96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-68,265,366.62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169,999,981.04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598,759,981.04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16,632,827.86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11,069,755.59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3,944,482.14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622,641.51</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249,077,310.00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210,692,397.10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349,682,671.04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-31,692,397.10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-1,171,680.31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32,350,660.18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-68,231,744.90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175,028,541.51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243,260,286.41</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207,379,201.69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175,028,541.51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4"/>
        <w:gridCol w:w="583"/>
        <w:gridCol w:w="583"/>
        <w:gridCol w:w="584"/>
        <w:gridCol w:w="586"/>
        <w:gridCol w:w="583"/>
        <w:gridCol w:w="583"/>
        <w:gridCol w:w="586"/>
        <w:gridCol w:w="578"/>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239,2</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33,68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814,55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08</w:t>
            </w: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391,85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1.61</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59" w:right="0"/>
              <w:jc w:val="left"/>
              <w:rPr>
                <w:rFonts w:ascii="Times New Roman" w:hAnsi="Times New Roman" w:cs="Times New Roman" w:eastAsia="Times New Roman" w:hint="default"/>
                <w:sz w:val="18"/>
                <w:szCs w:val="18"/>
              </w:rPr>
            </w:pPr>
            <w:r>
              <w:rPr>
                <w:rFonts w:ascii="Times New Roman"/>
                <w:sz w:val="18"/>
              </w:rPr>
              <w:t>221,46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7,246.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59</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146,01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7.50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864,31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4.39</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239,2</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33,68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814,55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08</w:t>
            </w: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391,85</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1.61</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221,46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7,246.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59</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146,01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7.50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864,31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4.39</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11,15</w:t>
            </w:r>
          </w:p>
          <w:p>
            <w:pPr>
              <w:pStyle w:val="TableParagraph"/>
              <w:spacing w:line="240" w:lineRule="auto" w:before="105"/>
              <w:ind w:left="21"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154,92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3,162,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255.72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3,045.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278,53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9,261.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6,924,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658.65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285,46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4"/>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0"/>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118,84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6,143.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134,50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6,924,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658.65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141,43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0,824.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11,15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154,90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4,420.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149,99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2,195.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149,99</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2,195.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31</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11,15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154,90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4,420.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166,05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166,05</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90</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3,303.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3,303.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3,162,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255.72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-9,143,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097.82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842.10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842.10</w:t>
            </w: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3,162,</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255.72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-3,162,</w:t>
            </w:r>
          </w:p>
          <w:p>
            <w:pPr>
              <w:pStyle w:val="TableParagraph"/>
              <w:spacing w:line="240" w:lineRule="auto" w:before="103"/>
              <w:ind w:left="59" w:right="0"/>
              <w:jc w:val="left"/>
              <w:rPr>
                <w:rFonts w:ascii="Times New Roman" w:hAnsi="Times New Roman" w:cs="Times New Roman" w:eastAsia="Times New Roman" w:hint="default"/>
                <w:sz w:val="18"/>
                <w:szCs w:val="18"/>
              </w:rPr>
            </w:pPr>
            <w:r>
              <w:rPr>
                <w:rFonts w:ascii="Times New Roman"/>
                <w:sz w:val="18"/>
              </w:rPr>
              <w:t>255.72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842.10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842.10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842.10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4"/>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21,742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21,742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21,742</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.43</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250,3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84,76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1,803.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331,17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0,292.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1,572,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685,27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1,593,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328,23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9"/>
        <w:gridCol w:w="500"/>
        <w:gridCol w:w="449"/>
        <w:gridCol w:w="449"/>
        <w:gridCol w:w="492"/>
        <w:gridCol w:w="576"/>
        <w:gridCol w:w="576"/>
        <w:gridCol w:w="579"/>
        <w:gridCol w:w="576"/>
        <w:gridCol w:w="576"/>
        <w:gridCol w:w="578"/>
        <w:gridCol w:w="589"/>
        <w:gridCol w:w="566"/>
        <w:gridCol w:w="569"/>
        <w:gridCol w:w="641"/>
        <w:gridCol w:w="653"/>
      </w:tblGrid>
      <w:tr>
        <w:trPr>
          <w:trHeight w:val="401" w:hRule="exact"/>
        </w:trPr>
        <w:tc>
          <w:tcPr>
            <w:tcW w:w="1189" w:type="dxa"/>
            <w:vMerge w:val="restart"/>
            <w:tcBorders>
              <w:top w:val="single" w:sz="4" w:space="0" w:color="000000"/>
              <w:left w:val="single" w:sz="4" w:space="0" w:color="000000"/>
              <w:right w:val="single" w:sz="4" w:space="0" w:color="000000"/>
            </w:tcBorders>
            <w:shd w:val="clear" w:color="auto" w:fill="D2D2D2"/>
          </w:tcPr>
          <w:p>
            <w:pPr/>
          </w:p>
        </w:tc>
        <w:tc>
          <w:tcPr>
            <w:tcW w:w="837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89"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189"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9"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189"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30"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89"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89"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89"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202,4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164,53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1,207.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36</w:t>
            </w:r>
          </w:p>
        </w:tc>
        <w:tc>
          <w:tcPr>
            <w:tcW w:w="576" w:type="dxa"/>
            <w:vMerge w:val="restart"/>
            <w:tcBorders>
              <w:top w:val="single" w:sz="4" w:space="0" w:color="000000"/>
              <w:left w:val="single" w:sz="4" w:space="0" w:color="000000"/>
              <w:right w:val="single" w:sz="4" w:space="0" w:color="000000"/>
            </w:tcBorders>
          </w:tcPr>
          <w:p>
            <w:pPr/>
          </w:p>
        </w:tc>
        <w:tc>
          <w:tcPr>
            <w:tcW w:w="579"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8.58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2"/>
                <w:sz w:val="18"/>
              </w:rPr>
              <w:t>,110.3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18" w:space="0" w:color="D2D2D2"/>
              <w:left w:val="single" w:sz="4" w:space="0" w:color="000000"/>
              <w:right w:val="single" w:sz="4" w:space="0" w:color="000000"/>
            </w:tcBorders>
          </w:tcPr>
          <w:p>
            <w:pPr/>
          </w:p>
        </w:tc>
        <w:tc>
          <w:tcPr>
            <w:tcW w:w="589"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180,56</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4,989.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45</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563,24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4,055.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3,342,9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15.12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566,586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,970.89</w:t>
            </w:r>
          </w:p>
        </w:tc>
      </w:tr>
      <w:tr>
        <w:trPr>
          <w:trHeight w:val="704" w:hRule="exact"/>
        </w:trPr>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9"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9"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202,4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164,53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1,207.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36</w:t>
            </w:r>
          </w:p>
        </w:tc>
        <w:tc>
          <w:tcPr>
            <w:tcW w:w="576" w:type="dxa"/>
            <w:vMerge w:val="restart"/>
            <w:tcBorders>
              <w:top w:val="single" w:sz="4" w:space="0" w:color="000000"/>
              <w:left w:val="single" w:sz="4" w:space="0" w:color="000000"/>
              <w:right w:val="single" w:sz="4" w:space="0" w:color="000000"/>
            </w:tcBorders>
          </w:tcPr>
          <w:p>
            <w:pPr/>
          </w:p>
        </w:tc>
        <w:tc>
          <w:tcPr>
            <w:tcW w:w="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8.58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,110.3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180,56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4,989.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45</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563,24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4,055.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3,342,9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15.12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566,586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,970.89</w:t>
            </w:r>
          </w:p>
        </w:tc>
      </w:tr>
      <w:tr>
        <w:trPr>
          <w:trHeight w:val="706" w:hRule="exact"/>
        </w:trPr>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9"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9"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5"/>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650,02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4,432.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243,10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3.03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484.84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40,902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730,90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1,961.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10,375,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381.77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741,277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,343.50</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9"/>
        <w:gridCol w:w="576"/>
        <w:gridCol w:w="576"/>
        <w:gridCol w:w="578"/>
        <w:gridCol w:w="589"/>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243,10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3.03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2,368,7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51,472,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626.78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2"/>
              <w:ind w:left="33"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654,16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691,00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8,006,6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699,006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,600.00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654,16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691,00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8,006,6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699,006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,600.00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484.84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-7,958,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484.84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-5,060,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-5,060,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484.84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484.84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-5,060,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-5,060,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-5,060,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9"/>
        <w:gridCol w:w="576"/>
        <w:gridCol w:w="576"/>
        <w:gridCol w:w="578"/>
        <w:gridCol w:w="589"/>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-4,141,</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883.28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-4,141,</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883.28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-4,141,</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883.28</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239,2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33,68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814,55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391,85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221,46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7,246.</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146,01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7.50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13,718,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296.89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2"/>
        <w:gridCol w:w="605"/>
        <w:gridCol w:w="728"/>
        <w:gridCol w:w="727"/>
        <w:gridCol w:w="725"/>
        <w:gridCol w:w="728"/>
        <w:gridCol w:w="727"/>
        <w:gridCol w:w="614"/>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56" w:right="6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0"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239,23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3,684.0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818,322,</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612.02</w:t>
            </w:r>
          </w:p>
        </w:tc>
        <w:tc>
          <w:tcPr>
            <w:tcW w:w="727"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
        </w:tc>
        <w:tc>
          <w:tcPr>
            <w:tcW w:w="728"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18,497,5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95.22</w:t>
            </w:r>
          </w:p>
        </w:tc>
        <w:tc>
          <w:tcPr>
            <w:tcW w:w="614" w:type="dxa"/>
            <w:vMerge w:val="restart"/>
            <w:tcBorders>
              <w:top w:val="single" w:sz="22" w:space="0" w:color="D2D2D2"/>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0,667.9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1,194,514,</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559.23</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3,684.0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818,322,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612.02</w:t>
            </w: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18,497,5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95.22</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0,667.9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1,194,514,</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559.23</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11,151,</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078.00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154,926,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163.33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16,063,3</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03.59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15,522,8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93.72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3,162,25</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5.72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22,479,</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459.35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191,178,5</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46.53</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15,522,8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93.72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31,622,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557.17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47,145,45</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0.89</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5" w:right="0"/>
              <w:jc w:val="left"/>
              <w:rPr>
                <w:rFonts w:ascii="Times New Roman" w:hAnsi="Times New Roman" w:cs="Times New Roman" w:eastAsia="Times New Roman" w:hint="default"/>
                <w:sz w:val="18"/>
                <w:szCs w:val="18"/>
              </w:rPr>
            </w:pPr>
            <w:r>
              <w:rPr>
                <w:rFonts w:ascii="Times New Roman"/>
                <w:sz w:val="18"/>
              </w:rPr>
              <w:t>11,151,</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078.00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154,904,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420.90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16,063,3</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03.59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149,992,1</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95.31</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862"/>
      </w:tblGrid>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11,151,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078.00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154,904,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420.90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166,055,4</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98.90</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16,063,3</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03.59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-16,063,30</w:t>
            </w:r>
          </w:p>
          <w:p>
            <w:pPr>
              <w:pStyle w:val="TableParagraph"/>
              <w:spacing w:line="240" w:lineRule="auto" w:before="102"/>
              <w:ind w:left="516" w:right="0"/>
              <w:jc w:val="left"/>
              <w:rPr>
                <w:rFonts w:ascii="Times New Roman" w:hAnsi="Times New Roman" w:cs="Times New Roman" w:eastAsia="Times New Roman" w:hint="default"/>
                <w:sz w:val="18"/>
                <w:szCs w:val="18"/>
              </w:rPr>
            </w:pPr>
            <w:r>
              <w:rPr>
                <w:rFonts w:ascii="Times New Roman"/>
                <w:sz w:val="18"/>
              </w:rPr>
              <w:t>3.59</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3,162,25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5.72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-9,143,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097.82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-5,980,842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3,162,25</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5.72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-3,162,</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255.72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842.10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-5,980,842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21,742.43</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862"/>
      </w:tblGrid>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4,762.0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973,248,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775.35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16,063,3</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03.59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15,522,8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93.72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21,659,8</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50.94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1,385,693,</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105.76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19"/>
        <w:gridCol w:w="593"/>
        <w:gridCol w:w="574"/>
        <w:gridCol w:w="571"/>
        <w:gridCol w:w="571"/>
        <w:gridCol w:w="686"/>
        <w:gridCol w:w="687"/>
        <w:gridCol w:w="684"/>
        <w:gridCol w:w="782"/>
        <w:gridCol w:w="665"/>
        <w:gridCol w:w="797"/>
        <w:gridCol w:w="797"/>
        <w:gridCol w:w="932"/>
      </w:tblGrid>
      <w:tr>
        <w:trPr>
          <w:trHeight w:val="396" w:hRule="exact"/>
        </w:trPr>
        <w:tc>
          <w:tcPr>
            <w:tcW w:w="1219"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19"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4"/>
              <w:ind w:left="238" w:right="56"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19"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vMerge/>
            <w:tcBorders>
              <w:left w:val="single" w:sz="4" w:space="0" w:color="000000"/>
              <w:right w:val="single" w:sz="4" w:space="0" w:color="000000"/>
            </w:tcBorders>
            <w:shd w:val="clear" w:color="auto" w:fill="D2D2D2"/>
          </w:tcPr>
          <w:p>
            <w:pPr/>
          </w:p>
        </w:tc>
      </w:tr>
      <w:tr>
        <w:trPr>
          <w:trHeight w:val="194" w:hRule="exact"/>
        </w:trPr>
        <w:tc>
          <w:tcPr>
            <w:tcW w:w="1219"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r>
      <w:tr>
        <w:trPr>
          <w:trHeight w:val="156" w:hRule="exact"/>
        </w:trPr>
        <w:tc>
          <w:tcPr>
            <w:tcW w:w="1219"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9"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164,156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,296.02</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110.38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97,434,30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4.45</w:t>
            </w: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479,589,71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0.85</w:t>
            </w:r>
          </w:p>
        </w:tc>
      </w:tr>
      <w:tr>
        <w:trPr>
          <w:trHeight w:val="706"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164,156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,296.02</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110.38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97,434,30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4.45</w:t>
            </w: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479,589,71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0.85</w:t>
            </w:r>
          </w:p>
        </w:tc>
      </w:tr>
      <w:tr>
        <w:trPr>
          <w:trHeight w:val="706"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102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654,166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,316.00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21,026,36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714,924,84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8.38</w:t>
            </w: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28,984,84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28,984,848.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654,166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,316.00</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691,000,00</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703"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654,166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,316.00</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691,000,00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102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7"/>
        <w:gridCol w:w="684"/>
        <w:gridCol w:w="782"/>
        <w:gridCol w:w="665"/>
        <w:gridCol w:w="797"/>
        <w:gridCol w:w="797"/>
        <w:gridCol w:w="932"/>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-7,958,48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-2,898,48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239,23</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818,322</w:t>
            </w:r>
          </w:p>
          <w:p>
            <w:pPr>
              <w:pStyle w:val="TableParagraph"/>
              <w:spacing w:line="240" w:lineRule="auto" w:before="103"/>
              <w:ind w:left="115" w:right="0"/>
              <w:jc w:val="left"/>
              <w:rPr>
                <w:rFonts w:ascii="Times New Roman" w:hAnsi="Times New Roman" w:cs="Times New Roman" w:eastAsia="Times New Roman" w:hint="default"/>
                <w:sz w:val="18"/>
                <w:szCs w:val="18"/>
              </w:rPr>
            </w:pPr>
            <w:r>
              <w:rPr>
                <w:rFonts w:ascii="Times New Roman"/>
                <w:sz w:val="18"/>
              </w:rPr>
              <w:t>,612.02</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18,497,</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595.22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118,460,6</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67.99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1,194,514,5</w:t>
            </w:r>
          </w:p>
          <w:p>
            <w:pPr>
              <w:pStyle w:val="TableParagraph"/>
              <w:spacing w:line="240" w:lineRule="auto" w:before="103"/>
              <w:ind w:left="492" w:right="0"/>
              <w:jc w:val="left"/>
              <w:rPr>
                <w:rFonts w:ascii="Times New Roman" w:hAnsi="Times New Roman" w:cs="Times New Roman" w:eastAsia="Times New Roman" w:hint="default"/>
                <w:sz w:val="18"/>
                <w:szCs w:val="18"/>
              </w:rPr>
            </w:pPr>
            <w:r>
              <w:rPr>
                <w:rFonts w:ascii="Times New Roman"/>
                <w:sz w:val="18"/>
              </w:rPr>
              <w:t>59.23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128" w:firstLine="420"/>
        <w:jc w:val="both"/>
      </w:pPr>
      <w:r>
        <w:rPr/>
        <w:t>科大国创软件股份有限公司（以下简称</w:t>
      </w:r>
      <w:r>
        <w:rPr>
          <w:rFonts w:ascii="Times New Roman" w:hAnsi="Times New Roman" w:cs="Times New Roman" w:eastAsia="Times New Roman" w:hint="default"/>
        </w:rPr>
        <w:t>“</w:t>
      </w:r>
      <w:r>
        <w:rPr/>
        <w:t>科大国创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），系由科大恒星电子商务技</w:t>
      </w:r>
      <w:r>
        <w:rPr>
          <w:w w:val="100"/>
        </w:rPr>
        <w:t> </w:t>
      </w:r>
      <w:r>
        <w:rPr>
          <w:spacing w:val="-4"/>
        </w:rPr>
        <w:t>术有限公司（原名为</w:t>
      </w:r>
      <w:r>
        <w:rPr>
          <w:rFonts w:ascii="Times New Roman" w:hAnsi="Times New Roman" w:cs="Times New Roman" w:eastAsia="Times New Roman" w:hint="default"/>
          <w:spacing w:val="-4"/>
        </w:rPr>
        <w:t>“</w:t>
      </w:r>
      <w:r>
        <w:rPr>
          <w:spacing w:val="-4"/>
        </w:rPr>
        <w:t>安徽科大恒星电子商务技术有限公司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8</w:t>
      </w:r>
      <w:r>
        <w:rPr>
          <w:spacing w:val="-4"/>
        </w:rPr>
        <w:t>月更名）整体变更设立的股份有限公</w:t>
      </w:r>
      <w:r>
        <w:rPr>
          <w:spacing w:val="-20"/>
        </w:rPr>
        <w:t> </w:t>
      </w:r>
      <w:r>
        <w:rPr>
          <w:spacing w:val="-20"/>
        </w:rPr>
      </w:r>
      <w:r>
        <w:rPr>
          <w:spacing w:val="-2"/>
        </w:rPr>
        <w:t>司。本公司经中国证券监督管理委员会证监许可［</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1302</w:t>
      </w:r>
      <w:r>
        <w:rPr>
          <w:spacing w:val="-2"/>
        </w:rPr>
        <w:t>号文批准，首次向社会公开发行人民币普通</w:t>
      </w:r>
      <w:r>
        <w:rPr>
          <w:spacing w:val="-41"/>
        </w:rPr>
        <w:t> </w:t>
      </w:r>
      <w:r>
        <w:rPr>
          <w:spacing w:val="-41"/>
        </w:rPr>
      </w:r>
      <w:r>
        <w:rPr/>
        <w:t>股</w:t>
      </w:r>
      <w:r>
        <w:rPr>
          <w:rFonts w:ascii="Times New Roman" w:hAnsi="Times New Roman" w:cs="Times New Roman" w:eastAsia="Times New Roman" w:hint="default"/>
        </w:rPr>
        <w:t>2,300.00</w:t>
      </w:r>
      <w:r>
        <w:rPr/>
        <w:t>万股，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月在深圳证券交易所上市，注册资本人民币</w:t>
      </w:r>
      <w:r>
        <w:rPr>
          <w:rFonts w:ascii="Times New Roman" w:hAnsi="Times New Roman" w:cs="Times New Roman" w:eastAsia="Times New Roman" w:hint="default"/>
        </w:rPr>
        <w:t>9,200.00</w:t>
      </w:r>
      <w:r>
        <w:rPr/>
        <w:t>万元。</w:t>
      </w:r>
    </w:p>
    <w:p>
      <w:pPr>
        <w:pStyle w:val="BodyText"/>
        <w:spacing w:line="240" w:lineRule="auto" w:before="125"/>
        <w:ind w:left="57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日，经科大国创股东大会审议通过，向</w:t>
      </w:r>
      <w:r>
        <w:rPr>
          <w:rFonts w:ascii="Times New Roman" w:hAnsi="Times New Roman" w:cs="Times New Roman" w:eastAsia="Times New Roman" w:hint="default"/>
        </w:rPr>
        <w:t>314</w:t>
      </w:r>
      <w:r>
        <w:rPr/>
        <w:t>名员工激励对象授予限制性股票</w:t>
      </w:r>
      <w:r>
        <w:rPr>
          <w:rFonts w:ascii="Times New Roman" w:hAnsi="Times New Roman" w:cs="Times New Roman" w:eastAsia="Times New Roman" w:hint="default"/>
        </w:rPr>
        <w:t>407.50</w:t>
      </w:r>
      <w:r>
        <w:rPr/>
        <w:t>万股，</w:t>
      </w:r>
    </w:p>
    <w:p>
      <w:pPr>
        <w:spacing w:after="0" w:line="240" w:lineRule="auto"/>
        <w:jc w:val="left"/>
        <w:sectPr>
          <w:footerReference w:type="default" r:id="rId17"/>
          <w:pgSz w:w="11910" w:h="16840"/>
          <w:pgMar w:footer="979" w:header="887" w:top="1200" w:bottom="1160" w:left="980" w:right="0"/>
          <w:pgNumType w:start="110"/>
        </w:sectPr>
      </w:pPr>
    </w:p>
    <w:p>
      <w:pPr>
        <w:spacing w:line="240" w:lineRule="auto" w:before="12"/>
        <w:rPr>
          <w:rFonts w:ascii="宋体" w:hAnsi="宋体" w:cs="宋体" w:eastAsia="宋体" w:hint="default"/>
          <w:sz w:val="13"/>
          <w:szCs w:val="13"/>
        </w:rPr>
      </w:pPr>
    </w:p>
    <w:p>
      <w:pPr>
        <w:pStyle w:val="BodyText"/>
        <w:spacing w:line="256" w:lineRule="auto" w:before="36"/>
        <w:ind w:right="1130"/>
        <w:jc w:val="both"/>
      </w:pPr>
      <w:r>
        <w:rPr/>
        <w:t>每股面值人民币</w:t>
      </w:r>
      <w:r>
        <w:rPr>
          <w:rFonts w:ascii="Times New Roman" w:hAnsi="Times New Roman" w:cs="Times New Roman" w:eastAsia="Times New Roman" w:hint="default"/>
        </w:rPr>
        <w:t>1</w:t>
      </w:r>
      <w:r>
        <w:rPr/>
        <w:t>元，申请增加注册资本人民币</w:t>
      </w:r>
      <w:r>
        <w:rPr>
          <w:rFonts w:ascii="Times New Roman" w:hAnsi="Times New Roman" w:cs="Times New Roman" w:eastAsia="Times New Roman" w:hint="default"/>
        </w:rPr>
        <w:t>4,075,000.00</w:t>
      </w:r>
      <w:r>
        <w:rPr/>
        <w:t>元，变更后的注册资本为人民币</w:t>
      </w:r>
      <w:r>
        <w:rPr>
          <w:rFonts w:ascii="Times New Roman" w:hAnsi="Times New Roman" w:cs="Times New Roman" w:eastAsia="Times New Roman" w:hint="default"/>
        </w:rPr>
        <w:t>96,075,000.00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w:t>
      </w:r>
    </w:p>
    <w:p>
      <w:pPr>
        <w:pStyle w:val="BodyText"/>
        <w:spacing w:line="256" w:lineRule="auto" w:before="142"/>
        <w:ind w:right="1129" w:firstLine="420"/>
        <w:jc w:val="both"/>
      </w:pPr>
      <w:r>
        <w:rPr/>
        <w:t>根据公司</w:t>
      </w:r>
      <w:r>
        <w:rPr>
          <w:rFonts w:ascii="Times New Roman" w:hAnsi="Times New Roman" w:cs="Times New Roman" w:eastAsia="Times New Roman" w:hint="default"/>
        </w:rPr>
        <w:t>2016</w:t>
      </w:r>
      <w:r>
        <w:rPr/>
        <w:t>年度股东大会决议的规定，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日公司由资本公积转增股本，增加注册资本人</w:t>
      </w:r>
      <w:r>
        <w:rPr>
          <w:w w:val="100"/>
        </w:rPr>
        <w:t> </w:t>
      </w:r>
      <w:r>
        <w:rPr/>
        <w:t>民币</w:t>
      </w:r>
      <w:r>
        <w:rPr>
          <w:rFonts w:ascii="Times New Roman" w:hAnsi="Times New Roman" w:cs="Times New Roman" w:eastAsia="Times New Roman" w:hint="default"/>
        </w:rPr>
        <w:t>115,290,000.00</w:t>
      </w:r>
      <w:r>
        <w:rPr/>
        <w:t>元，变更后的注册资本为人民币</w:t>
      </w:r>
      <w:r>
        <w:rPr>
          <w:rFonts w:ascii="Times New Roman" w:hAnsi="Times New Roman" w:cs="Times New Roman" w:eastAsia="Times New Roman" w:hint="default"/>
        </w:rPr>
        <w:t>211,365,000.00</w:t>
      </w:r>
      <w:r>
        <w:rPr/>
        <w:t>元。</w:t>
      </w:r>
    </w:p>
    <w:p>
      <w:pPr>
        <w:pStyle w:val="BodyText"/>
        <w:spacing w:line="264" w:lineRule="auto" w:before="125"/>
        <w:ind w:right="1126" w:firstLine="420"/>
        <w:jc w:val="both"/>
      </w:pPr>
      <w:r>
        <w:rPr>
          <w:spacing w:val="-2"/>
        </w:rPr>
        <w:t>根据公司</w:t>
      </w:r>
      <w:r>
        <w:rPr>
          <w:rFonts w:ascii="Times New Roman" w:hAnsi="Times New Roman" w:cs="Times New Roman" w:eastAsia="Times New Roman" w:hint="default"/>
          <w:spacing w:val="-2"/>
        </w:rPr>
        <w:t>2017</w:t>
      </w:r>
      <w:r>
        <w:rPr>
          <w:spacing w:val="-2"/>
        </w:rPr>
        <w:t>年第二次临时股东大会决议、第二届董事会第十六次会议决议、第二届董事会第十七次</w:t>
      </w:r>
      <w:r>
        <w:rPr>
          <w:w w:val="100"/>
        </w:rPr>
        <w:t> </w:t>
      </w:r>
      <w:r>
        <w:rPr>
          <w:spacing w:val="-2"/>
        </w:rPr>
        <w:t>会议决议、第二届监事会第十二次会议决议、第二届监事会第十三次会议决议以及修改后的章程规定，公</w:t>
      </w:r>
      <w:r>
        <w:rPr>
          <w:spacing w:val="-43"/>
        </w:rPr>
        <w:t> </w:t>
      </w:r>
      <w:r>
        <w:rPr>
          <w:spacing w:val="-43"/>
        </w:rPr>
      </w:r>
      <w:r>
        <w:rPr/>
        <w:t>司申请减少注册资本人民币</w:t>
      </w:r>
      <w:r>
        <w:rPr>
          <w:rFonts w:ascii="Times New Roman" w:hAnsi="Times New Roman" w:cs="Times New Roman" w:eastAsia="Times New Roman" w:hint="default"/>
        </w:rPr>
        <w:t>8,965,000.00</w:t>
      </w:r>
      <w:r>
        <w:rPr/>
        <w:t>元，变更后的注册资本为人民币</w:t>
      </w:r>
      <w:r>
        <w:rPr>
          <w:rFonts w:ascii="Times New Roman" w:hAnsi="Times New Roman" w:cs="Times New Roman" w:eastAsia="Times New Roman" w:hint="default"/>
        </w:rPr>
        <w:t>202,400,000.00</w:t>
      </w:r>
      <w:r>
        <w:rPr/>
        <w:t>元。</w:t>
      </w:r>
    </w:p>
    <w:p>
      <w:pPr>
        <w:pStyle w:val="BodyText"/>
        <w:spacing w:line="256" w:lineRule="auto" w:before="118"/>
        <w:ind w:right="1056" w:firstLine="420"/>
        <w:jc w:val="right"/>
      </w:pPr>
      <w:r>
        <w:rPr>
          <w:spacing w:val="-2"/>
        </w:rPr>
        <w:t>根据公司</w:t>
      </w:r>
      <w:r>
        <w:rPr>
          <w:rFonts w:ascii="Times New Roman" w:hAnsi="Times New Roman" w:cs="Times New Roman" w:eastAsia="Times New Roman" w:hint="default"/>
          <w:spacing w:val="-2"/>
        </w:rPr>
        <w:t>2018</w:t>
      </w:r>
      <w:r>
        <w:rPr>
          <w:spacing w:val="-2"/>
        </w:rPr>
        <w:t>年第一次临时股东大会决议和修改后的章程规定，经中国证券监督管理委员会《关于核</w:t>
      </w:r>
      <w:r>
        <w:rPr>
          <w:w w:val="100"/>
        </w:rPr>
        <w:t> </w:t>
      </w:r>
      <w:r>
        <w:rPr>
          <w:spacing w:val="-1"/>
        </w:rPr>
        <w:t>准科大国创软件股份有限公司向孙路等发行股份购买资产并募集配套资金的批复》（证监许可</w:t>
      </w:r>
      <w:r>
        <w:rPr>
          <w:rFonts w:ascii="Times New Roman" w:hAnsi="Times New Roman" w:cs="Times New Roman" w:eastAsia="Times New Roman" w:hint="default"/>
          <w:spacing w:val="-1"/>
        </w:rPr>
        <w:t>[2018]2063</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号）的批准，公司向孙路等</w:t>
      </w:r>
      <w:r>
        <w:rPr>
          <w:rFonts w:ascii="Times New Roman" w:hAnsi="Times New Roman" w:cs="Times New Roman" w:eastAsia="Times New Roman" w:hint="default"/>
        </w:rPr>
        <w:t>8</w:t>
      </w:r>
      <w:r>
        <w:rPr/>
        <w:t>名发行对象发行人民币普通股</w:t>
      </w:r>
      <w:r>
        <w:rPr>
          <w:rFonts w:ascii="Times New Roman" w:hAnsi="Times New Roman" w:cs="Times New Roman" w:eastAsia="Times New Roman" w:hint="default"/>
        </w:rPr>
        <w:t>36,833,684</w:t>
      </w:r>
      <w:r>
        <w:rPr/>
        <w:t>股，每股面值</w:t>
      </w:r>
      <w:r>
        <w:rPr>
          <w:rFonts w:ascii="Times New Roman" w:hAnsi="Times New Roman" w:cs="Times New Roman" w:eastAsia="Times New Roman" w:hint="default"/>
        </w:rPr>
        <w:t>1</w:t>
      </w:r>
      <w:r>
        <w:rPr/>
        <w:t>元，每股发行价为人</w:t>
      </w:r>
      <w:r>
        <w:rPr>
          <w:w w:val="100"/>
        </w:rPr>
        <w:t> </w:t>
      </w:r>
      <w:r>
        <w:rPr>
          <w:spacing w:val="-2"/>
        </w:rPr>
        <w:t>民币</w:t>
      </w:r>
      <w:r>
        <w:rPr>
          <w:rFonts w:ascii="Times New Roman" w:hAnsi="Times New Roman" w:cs="Times New Roman" w:eastAsia="Times New Roman" w:hint="default"/>
          <w:spacing w:val="-2"/>
        </w:rPr>
        <w:t>18.76</w:t>
      </w:r>
      <w:r>
        <w:rPr>
          <w:spacing w:val="-2"/>
        </w:rPr>
        <w:t>元，公司申请增加注册资本人民币</w:t>
      </w:r>
      <w:r>
        <w:rPr>
          <w:rFonts w:ascii="Times New Roman" w:hAnsi="Times New Roman" w:cs="Times New Roman" w:eastAsia="Times New Roman" w:hint="default"/>
          <w:spacing w:val="-2"/>
        </w:rPr>
        <w:t>36,833,684.00</w:t>
      </w:r>
      <w:r>
        <w:rPr>
          <w:spacing w:val="-2"/>
        </w:rPr>
        <w:t>元，变更后注册资本为人民币</w:t>
      </w:r>
      <w:r>
        <w:rPr>
          <w:rFonts w:ascii="Times New Roman" w:hAnsi="Times New Roman" w:cs="Times New Roman" w:eastAsia="Times New Roman" w:hint="default"/>
          <w:spacing w:val="-2"/>
        </w:rPr>
        <w:t>239,233,684.00</w:t>
      </w:r>
      <w:r>
        <w:rPr>
          <w:spacing w:val="-2"/>
        </w:rPr>
        <w:t>元。</w:t>
      </w:r>
    </w:p>
    <w:p>
      <w:pPr>
        <w:pStyle w:val="BodyText"/>
        <w:spacing w:line="261" w:lineRule="auto" w:before="125"/>
        <w:ind w:right="1126" w:firstLine="420"/>
        <w:jc w:val="both"/>
      </w:pPr>
      <w:r>
        <w:rPr>
          <w:spacing w:val="-2"/>
        </w:rPr>
        <w:t>根据公司</w:t>
      </w:r>
      <w:r>
        <w:rPr>
          <w:rFonts w:ascii="Times New Roman" w:hAnsi="Times New Roman" w:cs="Times New Roman" w:eastAsia="Times New Roman" w:hint="default"/>
          <w:spacing w:val="-2"/>
        </w:rPr>
        <w:t>2018</w:t>
      </w:r>
      <w:r>
        <w:rPr>
          <w:spacing w:val="-2"/>
        </w:rPr>
        <w:t>年第一次临时股东大会决议、</w:t>
      </w:r>
      <w:r>
        <w:rPr>
          <w:rFonts w:ascii="Times New Roman" w:hAnsi="Times New Roman" w:cs="Times New Roman" w:eastAsia="Times New Roman" w:hint="default"/>
          <w:spacing w:val="-2"/>
        </w:rPr>
        <w:t>2019</w:t>
      </w:r>
      <w:r>
        <w:rPr>
          <w:spacing w:val="-2"/>
        </w:rPr>
        <w:t>年第四次临时股东大会决议和修改后的章程规定，经</w:t>
      </w:r>
      <w:r>
        <w:rPr>
          <w:w w:val="100"/>
        </w:rPr>
        <w:t> </w:t>
      </w:r>
      <w:r>
        <w:rPr>
          <w:spacing w:val="-2"/>
        </w:rPr>
        <w:t>中国证券监督管理委员会《关于核准科大国创软件股份有限公司向孙路等发行股份购买资产并募集配套资</w:t>
      </w:r>
      <w:r>
        <w:rPr>
          <w:spacing w:val="-43"/>
        </w:rPr>
        <w:t> </w:t>
      </w:r>
      <w:r>
        <w:rPr>
          <w:spacing w:val="-43"/>
        </w:rPr>
      </w:r>
      <w:r>
        <w:rPr/>
        <w:t>金的批复》（证监许可</w:t>
      </w:r>
      <w:r>
        <w:rPr>
          <w:rFonts w:ascii="Times New Roman" w:hAnsi="Times New Roman" w:cs="Times New Roman" w:eastAsia="Times New Roman" w:hint="default"/>
        </w:rPr>
        <w:t>[2018]2063</w:t>
      </w:r>
      <w:r>
        <w:rPr/>
        <w:t>号）的批准，公司向安徽安华创新三期风险投资基金有限公司、合肥兴</w:t>
      </w:r>
      <w:r>
        <w:rPr>
          <w:spacing w:val="-58"/>
        </w:rPr>
        <w:t> </w:t>
      </w:r>
      <w:r>
        <w:rPr>
          <w:spacing w:val="-58"/>
        </w:rPr>
      </w:r>
      <w:r>
        <w:rPr>
          <w:spacing w:val="-6"/>
        </w:rPr>
        <w:t>泰金融控股（集团）有限公司、合肥兴泰资本管理有限公司</w:t>
      </w:r>
      <w:r>
        <w:rPr>
          <w:rFonts w:ascii="Times New Roman" w:hAnsi="Times New Roman" w:cs="Times New Roman" w:eastAsia="Times New Roman" w:hint="default"/>
          <w:spacing w:val="-6"/>
        </w:rPr>
        <w:t>3</w:t>
      </w:r>
      <w:r>
        <w:rPr>
          <w:spacing w:val="-6"/>
        </w:rPr>
        <w:t>名特定对象发行人民币普通股</w:t>
      </w:r>
      <w:r>
        <w:rPr>
          <w:rFonts w:ascii="Times New Roman" w:hAnsi="Times New Roman" w:cs="Times New Roman" w:eastAsia="Times New Roman" w:hint="default"/>
          <w:spacing w:val="-6"/>
        </w:rPr>
        <w:t>11,151,078</w:t>
      </w:r>
      <w:r>
        <w:rPr>
          <w:spacing w:val="-6"/>
        </w:rPr>
        <w:t>股（每</w:t>
      </w:r>
      <w:r>
        <w:rPr>
          <w:spacing w:val="-32"/>
        </w:rPr>
        <w:t> </w:t>
      </w:r>
      <w:r>
        <w:rPr>
          <w:spacing w:val="-32"/>
        </w:rPr>
      </w:r>
      <w:r>
        <w:rPr>
          <w:spacing w:val="-2"/>
        </w:rPr>
        <w:t>股发行价为人民币</w:t>
      </w:r>
      <w:r>
        <w:rPr>
          <w:rFonts w:ascii="Times New Roman" w:hAnsi="Times New Roman" w:cs="Times New Roman" w:eastAsia="Times New Roman" w:hint="default"/>
          <w:spacing w:val="-2"/>
        </w:rPr>
        <w:t>16.68</w:t>
      </w:r>
      <w:r>
        <w:rPr>
          <w:spacing w:val="-2"/>
        </w:rPr>
        <w:t>元）募集配套资金，公司申请增加注册资本人民币</w:t>
      </w:r>
      <w:r>
        <w:rPr>
          <w:rFonts w:ascii="Times New Roman" w:hAnsi="Times New Roman" w:cs="Times New Roman" w:eastAsia="Times New Roman" w:hint="default"/>
          <w:spacing w:val="-2"/>
        </w:rPr>
        <w:t>11,151,078.00</w:t>
      </w:r>
      <w:r>
        <w:rPr>
          <w:spacing w:val="-2"/>
        </w:rPr>
        <w:t>元，变更后的注册</w:t>
      </w:r>
      <w:r>
        <w:rPr>
          <w:spacing w:val="-33"/>
        </w:rPr>
        <w:t> </w:t>
      </w:r>
      <w:r>
        <w:rPr>
          <w:spacing w:val="-33"/>
        </w:rPr>
      </w:r>
      <w:r>
        <w:rPr/>
        <w:t>资本为人民币</w:t>
      </w:r>
      <w:r>
        <w:rPr>
          <w:rFonts w:ascii="Times New Roman" w:hAnsi="Times New Roman" w:cs="Times New Roman" w:eastAsia="Times New Roman" w:hint="default"/>
        </w:rPr>
        <w:t>250,384,762.00</w:t>
      </w:r>
      <w:r>
        <w:rPr/>
        <w:t>元。</w:t>
      </w:r>
    </w:p>
    <w:p>
      <w:pPr>
        <w:pStyle w:val="BodyText"/>
        <w:spacing w:line="357" w:lineRule="auto" w:before="120"/>
        <w:ind w:left="573" w:right="1133"/>
        <w:jc w:val="left"/>
      </w:pPr>
      <w:r>
        <w:rPr/>
        <w:t>公司的住所：合肥市高新区文曲路</w:t>
      </w:r>
      <w:r>
        <w:rPr>
          <w:rFonts w:ascii="Times New Roman" w:hAnsi="Times New Roman" w:cs="Times New Roman" w:eastAsia="Times New Roman" w:hint="default"/>
        </w:rPr>
        <w:t>355</w:t>
      </w:r>
      <w:r>
        <w:rPr/>
        <w:t>号。法定代表人：董永东。</w:t>
      </w:r>
      <w:r>
        <w:rPr>
          <w:w w:val="100"/>
        </w:rPr>
        <w:t> </w:t>
      </w:r>
      <w:r>
        <w:rPr/>
        <w:t>公司统一社会信用代码：</w:t>
      </w:r>
      <w:r>
        <w:rPr>
          <w:rFonts w:ascii="Times New Roman" w:hAnsi="Times New Roman" w:cs="Times New Roman" w:eastAsia="Times New Roman" w:hint="default"/>
        </w:rPr>
        <w:t>91340100723329328P</w:t>
      </w:r>
      <w:r>
        <w:rPr/>
        <w:t>。</w:t>
      </w:r>
      <w:r>
        <w:rPr>
          <w:w w:val="100"/>
        </w:rPr>
        <w:t> </w:t>
      </w:r>
      <w:r>
        <w:rPr>
          <w:spacing w:val="-2"/>
        </w:rPr>
        <w:t>公司经营范围：软件开发、系统集成、云计算大数据研发与服务；电子和信息及其他新技术研发、转</w:t>
      </w:r>
    </w:p>
    <w:p>
      <w:pPr>
        <w:pStyle w:val="BodyText"/>
        <w:spacing w:line="209" w:lineRule="exact"/>
        <w:ind w:right="0"/>
        <w:jc w:val="both"/>
      </w:pPr>
      <w:r>
        <w:rPr/>
        <w:t>让及产品生产、销售；自动控制、安全防范、智能楼宇、智能交通、公路交通机电工程和建筑智能化工程</w:t>
      </w:r>
    </w:p>
    <w:p>
      <w:pPr>
        <w:pStyle w:val="BodyText"/>
        <w:spacing w:line="273" w:lineRule="auto" w:before="37"/>
        <w:ind w:right="1126"/>
        <w:jc w:val="both"/>
      </w:pPr>
      <w:r>
        <w:rPr>
          <w:spacing w:val="-2"/>
        </w:rPr>
        <w:t>的设计与施工；互联网技术服务；第一类增值电信业务中的互联网接入服务业务，第二类增值电信业务中</w:t>
      </w:r>
      <w:r>
        <w:rPr>
          <w:spacing w:val="-44"/>
        </w:rPr>
        <w:t> </w:t>
      </w:r>
      <w:r>
        <w:rPr>
          <w:spacing w:val="-44"/>
        </w:rPr>
      </w:r>
      <w:r>
        <w:rPr>
          <w:spacing w:val="-2"/>
        </w:rPr>
        <w:t>的国内呼叫中心业务和信息服务（仅限互联网信息服务）业务；信息工程咨询、监理、培训及服务。上述</w:t>
      </w:r>
      <w:r>
        <w:rPr>
          <w:spacing w:val="-42"/>
        </w:rPr>
        <w:t> </w:t>
      </w:r>
      <w:r>
        <w:rPr>
          <w:spacing w:val="-42"/>
        </w:rPr>
      </w:r>
      <w:r>
        <w:rPr/>
        <w:t>产品的批发。（依法须经批准的项目，经相关部门批准后方可开展经营活动）</w:t>
      </w:r>
    </w:p>
    <w:p>
      <w:pPr>
        <w:pStyle w:val="BodyText"/>
        <w:spacing w:line="240" w:lineRule="auto" w:before="127"/>
        <w:ind w:left="573" w:right="1133"/>
        <w:jc w:val="left"/>
      </w:pPr>
      <w:r>
        <w:rPr/>
        <w:t>财务报告批准报出日：本财务报表业经本公司董事会于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日决议批准报出。</w:t>
      </w:r>
    </w:p>
    <w:p>
      <w:pPr>
        <w:pStyle w:val="BodyText"/>
        <w:spacing w:line="240" w:lineRule="auto" w:before="141"/>
        <w:ind w:left="633" w:right="1133"/>
        <w:jc w:val="left"/>
      </w:pPr>
      <w:r>
        <w:rPr/>
        <w:t>（</w:t>
      </w:r>
      <w:r>
        <w:rPr>
          <w:rFonts w:ascii="Times New Roman" w:hAnsi="Times New Roman" w:cs="Times New Roman" w:eastAsia="Times New Roman" w:hint="default"/>
        </w:rPr>
        <w:t>1</w:t>
      </w:r>
      <w:r>
        <w:rPr/>
        <w:t>）本公司本期纳入合并范围的子公司</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010"/>
        <w:gridCol w:w="3546"/>
        <w:gridCol w:w="1850"/>
        <w:gridCol w:w="1177"/>
        <w:gridCol w:w="1275"/>
      </w:tblGrid>
      <w:tr>
        <w:trPr>
          <w:trHeight w:val="348" w:hRule="exact"/>
        </w:trPr>
        <w:tc>
          <w:tcPr>
            <w:tcW w:w="1010" w:type="dxa"/>
            <w:vMerge w:val="restart"/>
            <w:tcBorders>
              <w:top w:val="single" w:sz="6" w:space="0" w:color="000000"/>
              <w:left w:val="single" w:sz="6" w:space="0" w:color="000000"/>
              <w:right w:val="single" w:sz="6" w:space="0" w:color="000000"/>
            </w:tcBorders>
          </w:tcPr>
          <w:p>
            <w:pPr>
              <w:pStyle w:val="TableParagraph"/>
              <w:spacing w:line="240" w:lineRule="auto" w:before="172"/>
              <w:ind w:left="29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546" w:type="dxa"/>
            <w:vMerge w:val="restart"/>
            <w:tcBorders>
              <w:top w:val="single" w:sz="6" w:space="0" w:color="000000"/>
              <w:left w:val="single" w:sz="6" w:space="0" w:color="000000"/>
              <w:right w:val="single" w:sz="6"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850" w:type="dxa"/>
            <w:vMerge w:val="restart"/>
            <w:tcBorders>
              <w:top w:val="single" w:sz="6" w:space="0" w:color="000000"/>
              <w:left w:val="single" w:sz="6" w:space="0" w:color="000000"/>
              <w:right w:val="single" w:sz="6" w:space="0" w:color="000000"/>
            </w:tcBorders>
          </w:tcPr>
          <w:p>
            <w:pPr>
              <w:pStyle w:val="TableParagraph"/>
              <w:spacing w:line="240" w:lineRule="auto" w:before="172"/>
              <w:ind w:left="391"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24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9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6" w:hRule="exact"/>
        </w:trPr>
        <w:tc>
          <w:tcPr>
            <w:tcW w:w="1010" w:type="dxa"/>
            <w:vMerge/>
            <w:tcBorders>
              <w:left w:val="single" w:sz="6" w:space="0" w:color="000000"/>
              <w:bottom w:val="single" w:sz="6" w:space="0" w:color="000000"/>
              <w:right w:val="single" w:sz="6" w:space="0" w:color="000000"/>
            </w:tcBorders>
          </w:tcPr>
          <w:p>
            <w:pPr/>
          </w:p>
        </w:tc>
        <w:tc>
          <w:tcPr>
            <w:tcW w:w="3546" w:type="dxa"/>
            <w:vMerge/>
            <w:tcBorders>
              <w:left w:val="single" w:sz="6" w:space="0" w:color="000000"/>
              <w:bottom w:val="single" w:sz="6" w:space="0" w:color="000000"/>
              <w:right w:val="single" w:sz="6" w:space="0" w:color="000000"/>
            </w:tcBorders>
          </w:tcPr>
          <w:p>
            <w:pPr/>
          </w:p>
        </w:tc>
        <w:tc>
          <w:tcPr>
            <w:tcW w:w="1850" w:type="dxa"/>
            <w:vMerge/>
            <w:tcBorders>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7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0" w:right="0"/>
              <w:jc w:val="left"/>
              <w:rPr>
                <w:rFonts w:ascii="宋体" w:hAnsi="宋体" w:cs="宋体" w:eastAsia="宋体" w:hint="default"/>
                <w:sz w:val="21"/>
                <w:szCs w:val="21"/>
              </w:rPr>
            </w:pPr>
            <w:r>
              <w:rPr>
                <w:rFonts w:ascii="宋体" w:hAnsi="宋体" w:cs="宋体" w:eastAsia="宋体" w:hint="default"/>
                <w:sz w:val="21"/>
                <w:szCs w:val="21"/>
              </w:rPr>
              <w:t>间接</w:t>
            </w:r>
          </w:p>
        </w:tc>
      </w:tr>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46" w:right="0"/>
              <w:jc w:val="left"/>
              <w:rPr>
                <w:rFonts w:ascii="Times New Roman" w:hAnsi="Times New Roman" w:cs="Times New Roman" w:eastAsia="Times New Roman" w:hint="default"/>
                <w:sz w:val="21"/>
                <w:szCs w:val="21"/>
              </w:rPr>
            </w:pPr>
            <w:r>
              <w:rPr>
                <w:rFonts w:ascii="Times New Roman"/>
                <w:w w:val="100"/>
                <w:sz w:val="21"/>
              </w:rPr>
              <w:t>1</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科大国创云网科技有限公司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云网科技</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6" w:right="0"/>
              <w:jc w:val="left"/>
              <w:rPr>
                <w:rFonts w:ascii="Times New Roman" w:hAnsi="Times New Roman" w:cs="Times New Roman" w:eastAsia="Times New Roman" w:hint="default"/>
                <w:sz w:val="21"/>
                <w:szCs w:val="21"/>
              </w:rPr>
            </w:pPr>
            <w:r>
              <w:rPr>
                <w:rFonts w:ascii="Times New Roman"/>
                <w:w w:val="100"/>
                <w:sz w:val="21"/>
              </w:rPr>
              <w:t>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贵州科大国创大数据科技有限公司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贵州大数据</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100.00</w:t>
            </w:r>
          </w:p>
        </w:tc>
      </w:tr>
      <w:tr>
        <w:trPr>
          <w:trHeight w:val="349"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446" w:right="0"/>
              <w:jc w:val="left"/>
              <w:rPr>
                <w:rFonts w:ascii="Times New Roman" w:hAnsi="Times New Roman" w:cs="Times New Roman" w:eastAsia="Times New Roman" w:hint="default"/>
                <w:sz w:val="21"/>
                <w:szCs w:val="21"/>
              </w:rPr>
            </w:pPr>
            <w:r>
              <w:rPr>
                <w:rFonts w:ascii="Times New Roman"/>
                <w:w w:val="100"/>
                <w:sz w:val="21"/>
              </w:rPr>
              <w:t>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苏州科大国创信息技术有限公司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苏州国创</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6" w:right="0"/>
              <w:jc w:val="left"/>
              <w:rPr>
                <w:rFonts w:ascii="Times New Roman" w:hAnsi="Times New Roman" w:cs="Times New Roman" w:eastAsia="Times New Roman" w:hint="default"/>
                <w:sz w:val="21"/>
                <w:szCs w:val="21"/>
              </w:rPr>
            </w:pPr>
            <w:r>
              <w:rPr>
                <w:rFonts w:ascii="Times New Roman"/>
                <w:w w:val="100"/>
                <w:sz w:val="21"/>
              </w:rPr>
              <w:t>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国创恒星（合肥）软件技术有限公司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国创恒星</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46" w:right="0"/>
              <w:jc w:val="left"/>
              <w:rPr>
                <w:rFonts w:ascii="Times New Roman" w:hAnsi="Times New Roman" w:cs="Times New Roman" w:eastAsia="Times New Roman" w:hint="default"/>
                <w:sz w:val="21"/>
                <w:szCs w:val="21"/>
              </w:rPr>
            </w:pPr>
            <w:r>
              <w:rPr>
                <w:rFonts w:ascii="Times New Roman"/>
                <w:w w:val="100"/>
                <w:sz w:val="21"/>
              </w:rPr>
              <w:t>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安徽慧联运科技有限公司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慧联运</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60.00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6" w:right="0"/>
              <w:jc w:val="left"/>
              <w:rPr>
                <w:rFonts w:ascii="Times New Roman" w:hAnsi="Times New Roman" w:cs="Times New Roman" w:eastAsia="Times New Roman" w:hint="default"/>
                <w:sz w:val="21"/>
                <w:szCs w:val="21"/>
              </w:rPr>
            </w:pPr>
            <w:r>
              <w:rPr>
                <w:rFonts w:ascii="Times New Roman"/>
                <w:w w:val="100"/>
                <w:sz w:val="21"/>
              </w:rPr>
              <w:t>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安徽慧通互联物流科技有限公司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慧通物流</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60.00</w:t>
            </w:r>
          </w:p>
        </w:tc>
      </w:tr>
      <w:tr>
        <w:trPr>
          <w:trHeight w:val="346"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6" w:right="0"/>
              <w:jc w:val="left"/>
              <w:rPr>
                <w:rFonts w:ascii="Times New Roman" w:hAnsi="Times New Roman" w:cs="Times New Roman" w:eastAsia="Times New Roman" w:hint="default"/>
                <w:sz w:val="21"/>
                <w:szCs w:val="21"/>
              </w:rPr>
            </w:pPr>
            <w:r>
              <w:rPr>
                <w:rFonts w:ascii="Times New Roman"/>
                <w:w w:val="100"/>
                <w:sz w:val="21"/>
              </w:rPr>
              <w:t>7</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安徽中科国创高可信软件有限公司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中科国创</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68.50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46" w:right="0"/>
              <w:jc w:val="left"/>
              <w:rPr>
                <w:rFonts w:ascii="Times New Roman" w:hAnsi="Times New Roman" w:cs="Times New Roman" w:eastAsia="Times New Roman" w:hint="default"/>
                <w:sz w:val="21"/>
                <w:szCs w:val="21"/>
              </w:rPr>
            </w:pPr>
            <w:r>
              <w:rPr>
                <w:rFonts w:ascii="Times New Roman"/>
                <w:w w:val="100"/>
                <w:sz w:val="21"/>
              </w:rPr>
              <w:t>8</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株式会社科大国创</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日本国创</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6" w:right="0"/>
              <w:jc w:val="left"/>
              <w:rPr>
                <w:rFonts w:ascii="Times New Roman" w:hAnsi="Times New Roman" w:cs="Times New Roman" w:eastAsia="Times New Roman" w:hint="default"/>
                <w:sz w:val="21"/>
                <w:szCs w:val="21"/>
              </w:rPr>
            </w:pPr>
            <w:r>
              <w:rPr>
                <w:rFonts w:ascii="Times New Roman"/>
                <w:w w:val="100"/>
                <w:sz w:val="21"/>
              </w:rPr>
              <w:t>9</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安徽科大国创智能科技有限公司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智能科技</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93" w:right="0"/>
              <w:jc w:val="left"/>
              <w:rPr>
                <w:rFonts w:ascii="Times New Roman" w:hAnsi="Times New Roman" w:cs="Times New Roman" w:eastAsia="Times New Roman" w:hint="default"/>
                <w:sz w:val="21"/>
                <w:szCs w:val="21"/>
              </w:rPr>
            </w:pPr>
            <w:r>
              <w:rPr>
                <w:rFonts w:ascii="Times New Roman"/>
                <w:sz w:val="21"/>
              </w:rPr>
              <w:t>10</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安徽科大国创软件科技有限公司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国创软件</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80.00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93" w:right="0"/>
              <w:jc w:val="left"/>
              <w:rPr>
                <w:rFonts w:ascii="Times New Roman" w:hAnsi="Times New Roman" w:cs="Times New Roman" w:eastAsia="Times New Roman" w:hint="default"/>
                <w:sz w:val="21"/>
                <w:szCs w:val="21"/>
              </w:rPr>
            </w:pPr>
            <w:r>
              <w:rPr>
                <w:rFonts w:ascii="Times New Roman"/>
                <w:sz w:val="21"/>
              </w:rPr>
              <w:t>11</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安徽贵博新能科技有限公司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贵博新能</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010"/>
        <w:gridCol w:w="3546"/>
        <w:gridCol w:w="1850"/>
        <w:gridCol w:w="1177"/>
        <w:gridCol w:w="1275"/>
      </w:tblGrid>
      <w:tr>
        <w:trPr>
          <w:trHeight w:val="348" w:hRule="exact"/>
        </w:trPr>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安徽科大国创数字科技有限公司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96" w:right="0"/>
              <w:jc w:val="left"/>
              <w:rPr>
                <w:rFonts w:ascii="宋体" w:hAnsi="宋体" w:cs="宋体" w:eastAsia="宋体" w:hint="default"/>
                <w:sz w:val="21"/>
                <w:szCs w:val="21"/>
              </w:rPr>
            </w:pPr>
            <w:r>
              <w:rPr>
                <w:rFonts w:ascii="宋体" w:hAnsi="宋体" w:cs="宋体" w:eastAsia="宋体" w:hint="default"/>
                <w:sz w:val="21"/>
                <w:szCs w:val="21"/>
              </w:rPr>
              <w:t>国创数字</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81" w:right="-1"/>
              <w:jc w:val="left"/>
              <w:rPr>
                <w:rFonts w:ascii="Times New Roman" w:hAnsi="Times New Roman" w:cs="Times New Roman" w:eastAsia="Times New Roman" w:hint="default"/>
                <w:sz w:val="21"/>
                <w:szCs w:val="21"/>
              </w:rPr>
            </w:pPr>
            <w:r>
              <w:rPr>
                <w:rFonts w:ascii="Times New Roman"/>
                <w:sz w:val="21"/>
              </w:rPr>
              <w:t>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line="240" w:lineRule="auto" w:before="6"/>
        <w:rPr>
          <w:rFonts w:ascii="宋体" w:hAnsi="宋体" w:cs="宋体" w:eastAsia="宋体" w:hint="default"/>
          <w:sz w:val="5"/>
          <w:szCs w:val="5"/>
        </w:rPr>
      </w:pPr>
    </w:p>
    <w:p>
      <w:pPr>
        <w:pStyle w:val="BodyText"/>
        <w:spacing w:line="240" w:lineRule="auto" w:before="36"/>
        <w:ind w:left="633" w:right="1133"/>
        <w:jc w:val="left"/>
      </w:pPr>
      <w:r>
        <w:rPr/>
        <w:t>上述子公司具体情况详见本附注九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357" w:lineRule="auto" w:before="141"/>
        <w:ind w:left="633" w:right="6473"/>
        <w:jc w:val="left"/>
      </w:pPr>
      <w:r>
        <w:rPr/>
        <w:pict>
          <v:shape style="position:absolute;margin-left:56.424pt;margin-top:44.87365pt;width:443.65pt;height:34.7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9"/>
                    <w:gridCol w:w="3714"/>
                    <w:gridCol w:w="1855"/>
                    <w:gridCol w:w="2430"/>
                  </w:tblGrid>
                  <w:tr>
                    <w:trPr>
                      <w:trHeight w:val="341"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子公司简称</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本期纳入合并范围原因</w:t>
                        </w:r>
                      </w:p>
                    </w:tc>
                  </w:tr>
                  <w:tr>
                    <w:trPr>
                      <w:trHeight w:val="34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安徽科大国创数字科技有限公司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国创数字</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p>
              </w:txbxContent>
            </v:textbox>
            <w10:wrap type="none"/>
          </v:shape>
        </w:pict>
      </w:r>
      <w:r>
        <w:rPr>
          <w:spacing w:val="-2"/>
        </w:rPr>
        <w:t>（</w:t>
      </w:r>
      <w:r>
        <w:rPr>
          <w:rFonts w:ascii="Times New Roman" w:hAnsi="Times New Roman" w:cs="Times New Roman" w:eastAsia="Times New Roman" w:hint="default"/>
          <w:spacing w:val="-2"/>
        </w:rPr>
        <w:t>2</w:t>
      </w:r>
      <w:r>
        <w:rPr>
          <w:spacing w:val="-2"/>
        </w:rPr>
        <w:t>）本公司本期合并财务报表范围变化</w:t>
      </w:r>
      <w:r>
        <w:rPr>
          <w:spacing w:val="-72"/>
        </w:rPr>
        <w:t> </w:t>
      </w:r>
      <w:r>
        <w:rPr>
          <w:spacing w:val="-72"/>
        </w:rPr>
      </w:r>
      <w:r>
        <w:rPr/>
        <w:t>本期新增子公司：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57" w:lineRule="auto" w:before="36"/>
        <w:ind w:left="633" w:right="4273"/>
        <w:jc w:val="left"/>
      </w:pPr>
      <w:r>
        <w:rPr/>
        <w:pict>
          <v:shape style="position:absolute;margin-left:56.424pt;margin-top:39.623646pt;width:443.65pt;height:51.9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6"/>
                    <w:gridCol w:w="3545"/>
                    <w:gridCol w:w="1277"/>
                    <w:gridCol w:w="1417"/>
                    <w:gridCol w:w="2052"/>
                  </w:tblGrid>
                  <w:tr>
                    <w:trPr>
                      <w:trHeight w:val="34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子公司简称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报告期间</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未纳入合并范围原因</w:t>
                        </w:r>
                      </w:p>
                    </w:tc>
                  </w:tr>
                  <w:tr>
                    <w:trPr>
                      <w:trHeight w:val="34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国创恒星（合肥）软件技术有限公司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国创恒星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1-4</w:t>
                        </w:r>
                        <w:r>
                          <w:rPr>
                            <w:rFonts w:ascii="宋体" w:hAnsi="宋体" w:cs="宋体" w:eastAsia="宋体" w:hint="default"/>
                            <w:sz w:val="21"/>
                            <w:szCs w:val="21"/>
                          </w:rPr>
                          <w:t>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注销</w:t>
                        </w:r>
                      </w:p>
                    </w:tc>
                  </w:tr>
                  <w:tr>
                    <w:trPr>
                      <w:trHeight w:val="34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安徽科大国创智能科技有限公司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智能科技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1-4</w:t>
                        </w:r>
                        <w:r>
                          <w:rPr>
                            <w:rFonts w:ascii="宋体" w:hAnsi="宋体" w:cs="宋体" w:eastAsia="宋体" w:hint="default"/>
                            <w:sz w:val="21"/>
                            <w:szCs w:val="21"/>
                          </w:rPr>
                          <w:t>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注销</w:t>
                        </w:r>
                      </w:p>
                    </w:tc>
                  </w:tr>
                </w:tbl>
                <w:p>
                  <w:pPr/>
                </w:p>
              </w:txbxContent>
            </v:textbox>
            <w10:wrap type="none"/>
          </v:shape>
        </w:pict>
      </w:r>
      <w:r>
        <w:rPr>
          <w:spacing w:val="-2"/>
        </w:rPr>
        <w:t>本期新增子公司的具体情况详见本附注八</w:t>
      </w:r>
      <w:r>
        <w:rPr>
          <w:rFonts w:ascii="Times New Roman" w:hAnsi="Times New Roman" w:cs="Times New Roman" w:eastAsia="Times New Roman" w:hint="default"/>
          <w:spacing w:val="-2"/>
        </w:rPr>
        <w:t>“</w:t>
      </w:r>
      <w:r>
        <w:rPr>
          <w:spacing w:val="-2"/>
        </w:rPr>
        <w:t>合并范围的变更</w:t>
      </w:r>
      <w:r>
        <w:rPr>
          <w:rFonts w:ascii="Times New Roman" w:hAnsi="Times New Roman" w:cs="Times New Roman" w:eastAsia="Times New Roman" w:hint="default"/>
          <w:spacing w:val="-2"/>
        </w:rPr>
        <w:t>”</w:t>
      </w:r>
      <w:r>
        <w:rPr>
          <w:spacing w:val="-2"/>
        </w:rPr>
        <w:t>。</w:t>
      </w:r>
      <w:r>
        <w:rPr>
          <w:spacing w:val="-55"/>
        </w:rPr>
        <w:t> </w:t>
      </w:r>
      <w:r>
        <w:rPr/>
        <w:t>本期减少子公司：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9"/>
        <w:ind w:right="113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33"/>
        <w:jc w:val="left"/>
      </w:pPr>
      <w:r>
        <w:rPr>
          <w:spacing w:val="-2"/>
        </w:rPr>
        <w:t>本公司以持续经营为基础，根据实际发生的交易和事项，按照企业会计准则及其应用指南和准则解释的规</w:t>
      </w:r>
      <w:r>
        <w:rPr>
          <w:spacing w:val="-43"/>
        </w:rPr>
        <w:t> </w:t>
      </w:r>
      <w:r>
        <w:rPr>
          <w:spacing w:val="-43"/>
        </w:rPr>
      </w:r>
      <w:r>
        <w:rPr/>
        <w:t>定进行确认和计量，在此基础上编制财务报表。</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133"/>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w:t>
      </w:r>
      <w:r>
        <w:rPr>
          <w:spacing w:val="-41"/>
        </w:rPr>
        <w:t> </w:t>
      </w:r>
      <w:r>
        <w:rPr>
          <w:spacing w:val="-41"/>
        </w:rPr>
      </w:r>
      <w:r>
        <w:rPr/>
        <w:t>司以持续经营为基础编制财务报表是合理的。</w:t>
      </w:r>
    </w:p>
    <w:p>
      <w:pPr>
        <w:spacing w:line="240" w:lineRule="auto" w:before="9"/>
        <w:rPr>
          <w:rFonts w:ascii="宋体" w:hAnsi="宋体" w:cs="宋体" w:eastAsia="宋体" w:hint="default"/>
          <w:sz w:val="22"/>
          <w:szCs w:val="22"/>
        </w:rPr>
      </w:pPr>
    </w:p>
    <w:p>
      <w:pPr>
        <w:pStyle w:val="Heading2"/>
        <w:spacing w:line="240" w:lineRule="auto"/>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439" w:lineRule="auto" w:before="0"/>
        <w:ind w:left="153" w:right="175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本公司下列重要会计政策、会计估计根据企业会计准则制定。未提及的业务按企业会计准则中相关会计政策执行。</w:t>
      </w:r>
    </w:p>
    <w:p>
      <w:pPr>
        <w:spacing w:line="240" w:lineRule="auto" w:before="10"/>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3"/>
        <w:jc w:val="left"/>
      </w:pPr>
      <w:r>
        <w:rPr>
          <w:spacing w:val="-2"/>
        </w:rPr>
        <w:t>本公司所编制的财务报表符合企业会计准则的要求，真实、完整地反映了公司的财务状况、经营成果、所</w:t>
      </w:r>
      <w:r>
        <w:rPr>
          <w:spacing w:val="-44"/>
        </w:rPr>
        <w:t> </w:t>
      </w:r>
      <w:r>
        <w:rPr>
          <w:spacing w:val="-44"/>
        </w:rPr>
      </w:r>
      <w:r>
        <w:rPr/>
        <w:t>有者权益变动和现金流量等有关信息。</w:t>
      </w:r>
    </w:p>
    <w:p>
      <w:pPr>
        <w:spacing w:line="240" w:lineRule="auto" w:before="7"/>
        <w:rPr>
          <w:rFonts w:ascii="宋体" w:hAnsi="宋体" w:cs="宋体" w:eastAsia="宋体" w:hint="default"/>
          <w:sz w:val="23"/>
          <w:szCs w:val="23"/>
        </w:rPr>
      </w:pPr>
    </w:p>
    <w:p>
      <w:pPr>
        <w:spacing w:line="547" w:lineRule="auto" w:before="0"/>
        <w:ind w:left="153" w:right="69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本公司正常营业周期为一年。</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本公司的记账本位币为人民币，境外子公司以所在国家或地区的货币为记账本位币。</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633" w:right="1133"/>
        <w:jc w:val="left"/>
      </w:pPr>
      <w:r>
        <w:rPr/>
        <w:t>（</w:t>
      </w:r>
      <w:r>
        <w:rPr>
          <w:rFonts w:ascii="Times New Roman" w:hAnsi="Times New Roman" w:cs="Times New Roman" w:eastAsia="Times New Roman" w:hint="default"/>
        </w:rPr>
        <w:t>1</w:t>
      </w:r>
      <w:r>
        <w:rPr/>
        <w:t>）同一控制下的企业合并</w:t>
      </w:r>
      <w:r>
        <w:rPr>
          <w:w w:val="100"/>
        </w:rPr>
        <w:t> </w:t>
      </w:r>
      <w:r>
        <w:rPr>
          <w:spacing w:val="-4"/>
        </w:rPr>
        <w:t>本公司在企业合并中取得的资产和负债，在合并日按取得被合并方在最终控制方合并财务报表中的账</w:t>
      </w:r>
    </w:p>
    <w:p>
      <w:pPr>
        <w:pStyle w:val="BodyText"/>
        <w:spacing w:line="209" w:lineRule="exact"/>
        <w:ind w:right="0"/>
        <w:jc w:val="left"/>
      </w:pPr>
      <w:r>
        <w:rPr/>
        <w:t>面价值计量。其中，对于被合并方与本公司在企业合并前采用的会计政策不同的，基于重要性原则统一会</w:t>
      </w:r>
    </w:p>
    <w:p>
      <w:pPr>
        <w:pStyle w:val="BodyText"/>
        <w:spacing w:line="273" w:lineRule="auto" w:before="37"/>
        <w:ind w:right="0"/>
        <w:jc w:val="left"/>
      </w:pPr>
      <w:r>
        <w:rPr>
          <w:spacing w:val="-2"/>
        </w:rPr>
        <w:t>计政策，即按照本公司的会计政策对被合并方资产、负债的账面价值进行调整。本公司在企业合并中取得</w:t>
      </w:r>
      <w:r>
        <w:rPr>
          <w:spacing w:val="-43"/>
        </w:rPr>
        <w:t> </w:t>
      </w:r>
      <w:r>
        <w:rPr>
          <w:spacing w:val="-43"/>
        </w:rPr>
      </w:r>
      <w:r>
        <w:rPr>
          <w:spacing w:val="-5"/>
        </w:rPr>
        <w:t>的净资产账面价值与所支付对价的账面价值之间存在差额的，首先调整资本公积（资本溢价或股本溢价）， </w:t>
      </w:r>
      <w:r>
        <w:rPr>
          <w:spacing w:val="-5"/>
        </w:rPr>
      </w:r>
      <w:r>
        <w:rPr/>
        <w:t>资本公积（资本溢价或股本溢价）的余额不足冲减的，依次冲减盈余公积和未分配利润。</w:t>
      </w:r>
    </w:p>
    <w:p>
      <w:pPr>
        <w:pStyle w:val="BodyText"/>
        <w:spacing w:line="240" w:lineRule="auto" w:before="128"/>
        <w:ind w:left="633" w:right="1133"/>
        <w:jc w:val="left"/>
      </w:pPr>
      <w:r>
        <w:rPr/>
        <w:t>通过分步交易实现同一控制下企业合并的会计处理方法见</w:t>
      </w:r>
      <w:r>
        <w:rPr>
          <w:rFonts w:ascii="Times New Roman" w:hAnsi="Times New Roman" w:cs="Times New Roman" w:eastAsia="Times New Roman" w:hint="default"/>
        </w:rPr>
        <w:t>“</w:t>
      </w:r>
      <w:r>
        <w:rPr/>
        <w:t>附注三、</w:t>
      </w:r>
      <w:r>
        <w:rPr>
          <w:rFonts w:ascii="Times New Roman" w:hAnsi="Times New Roman" w:cs="Times New Roman" w:eastAsia="Times New Roman" w:hint="default"/>
        </w:rPr>
        <w:t>6</w:t>
      </w:r>
      <w:r>
        <w:rPr/>
        <w:t>。</w:t>
      </w:r>
    </w:p>
    <w:p>
      <w:pPr>
        <w:pStyle w:val="BodyText"/>
        <w:spacing w:line="357" w:lineRule="auto" w:before="141"/>
        <w:ind w:left="633" w:right="1133"/>
        <w:jc w:val="left"/>
      </w:pPr>
      <w:r>
        <w:rPr/>
        <w:t>（</w:t>
      </w:r>
      <w:r>
        <w:rPr>
          <w:rFonts w:ascii="Times New Roman" w:hAnsi="Times New Roman" w:cs="Times New Roman" w:eastAsia="Times New Roman" w:hint="default"/>
        </w:rPr>
        <w:t>2</w:t>
      </w:r>
      <w:r>
        <w:rPr/>
        <w:t>）非同一控制下的企业合并</w:t>
      </w:r>
      <w:r>
        <w:rPr>
          <w:w w:val="100"/>
        </w:rPr>
        <w:t> </w:t>
      </w:r>
      <w:r>
        <w:rPr>
          <w:spacing w:val="-4"/>
        </w:rPr>
        <w:t>本公司在企业合并中取得的被购买方各项可辨认资产和负债，在购买日按其公允价值计量。其中，对</w:t>
      </w:r>
    </w:p>
    <w:p>
      <w:pPr>
        <w:pStyle w:val="BodyText"/>
        <w:spacing w:line="209" w:lineRule="exact"/>
        <w:ind w:right="0"/>
        <w:jc w:val="left"/>
      </w:pPr>
      <w:r>
        <w:rPr/>
        <w:t>于被购买方与本公司在企业合并前采用的会计政策不同的，基于重要性原则统一会计政策，即按照本公司</w:t>
      </w:r>
    </w:p>
    <w:p>
      <w:pPr>
        <w:pStyle w:val="BodyText"/>
        <w:spacing w:line="273" w:lineRule="auto" w:before="37"/>
        <w:ind w:right="1126"/>
        <w:jc w:val="both"/>
      </w:pPr>
      <w:r>
        <w:rPr>
          <w:spacing w:val="-2"/>
        </w:rPr>
        <w:t>的会计政策对被购买方资产、负债的账面价值进行调整。本公司在购买日的合并成本大于企业合并中取得</w:t>
      </w:r>
      <w:r>
        <w:rPr>
          <w:spacing w:val="-43"/>
        </w:rPr>
        <w:t> </w:t>
      </w:r>
      <w:r>
        <w:rPr>
          <w:spacing w:val="-43"/>
        </w:rPr>
      </w:r>
      <w:r>
        <w:rPr>
          <w:spacing w:val="-2"/>
        </w:rPr>
        <w:t>的被购买方可辨认资产、负债公允价值的差额，确认为商誉；如果合并成本小于企业合并中取得的被购买</w:t>
      </w:r>
      <w:r>
        <w:rPr>
          <w:spacing w:val="-45"/>
        </w:rPr>
        <w:t> </w:t>
      </w:r>
      <w:r>
        <w:rPr>
          <w:spacing w:val="-45"/>
        </w:rPr>
      </w:r>
      <w:r>
        <w:rPr>
          <w:spacing w:val="-2"/>
        </w:rPr>
        <w:t>方可辨认资产、负债公允价值的差额，首先对合并成本以及在企业合并中取得的被购买方可辨认资产、负</w:t>
      </w:r>
      <w:r>
        <w:rPr>
          <w:spacing w:val="-43"/>
        </w:rPr>
        <w:t> </w:t>
      </w:r>
      <w:r>
        <w:rPr>
          <w:spacing w:val="-43"/>
        </w:rPr>
      </w:r>
      <w:r>
        <w:rPr>
          <w:spacing w:val="-2"/>
        </w:rPr>
        <w:t>债的公允价值进行复核，经复核后合并成本仍小于取得的被购买方可辨认资产、负债公允价值的，其差额</w:t>
      </w:r>
      <w:r>
        <w:rPr>
          <w:spacing w:val="-42"/>
        </w:rPr>
        <w:t> </w:t>
      </w:r>
      <w:r>
        <w:rPr>
          <w:spacing w:val="-42"/>
        </w:rPr>
      </w:r>
      <w:r>
        <w:rPr/>
        <w:t>确认为合并当期损益。</w:t>
      </w:r>
    </w:p>
    <w:p>
      <w:pPr>
        <w:pStyle w:val="BodyText"/>
        <w:spacing w:line="240" w:lineRule="auto" w:before="128"/>
        <w:ind w:left="633" w:right="1133"/>
        <w:jc w:val="left"/>
      </w:pPr>
      <w:r>
        <w:rPr/>
        <w:t>通过分步交易实现非同一控制下企业合并的会计处理方法见</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6</w:t>
      </w:r>
      <w:r>
        <w:rPr/>
        <w:t>。</w:t>
      </w:r>
    </w:p>
    <w:p>
      <w:pPr>
        <w:pStyle w:val="BodyText"/>
        <w:spacing w:line="278" w:lineRule="auto" w:before="141"/>
        <w:ind w:right="1133" w:firstLine="480"/>
        <w:jc w:val="left"/>
      </w:pPr>
      <w:r>
        <w:rPr/>
        <w:t>（</w:t>
      </w:r>
      <w:r>
        <w:rPr>
          <w:rFonts w:ascii="Times New Roman" w:hAnsi="Times New Roman" w:cs="Times New Roman" w:eastAsia="Times New Roman" w:hint="default"/>
        </w:rPr>
        <w:t>3</w:t>
      </w:r>
      <w:r>
        <w:rPr/>
        <w:t>）企业合并中有关交易费用的处理</w:t>
      </w:r>
      <w:r>
        <w:rPr>
          <w:w w:val="100"/>
        </w:rPr>
        <w:t> </w:t>
      </w:r>
      <w:r>
        <w:rPr>
          <w:spacing w:val="-2"/>
        </w:rPr>
        <w:t>为进行企业合并发生的审计、法律服务、评估咨询等中介费用以及其他相关管理费用，于发生时计入当期</w:t>
      </w:r>
      <w:r>
        <w:rPr>
          <w:spacing w:val="-44"/>
        </w:rPr>
        <w:t> </w:t>
      </w:r>
      <w:r>
        <w:rPr>
          <w:spacing w:val="-44"/>
        </w:rPr>
      </w:r>
      <w:r>
        <w:rPr>
          <w:spacing w:val="-2"/>
        </w:rPr>
        <w:t>损益。作为合并对价发行的权益性证券或债务性证券的交易费用，计入权益性证券或债务性证券的初始确</w:t>
      </w:r>
      <w:r>
        <w:rPr>
          <w:spacing w:val="-43"/>
        </w:rPr>
        <w:t> </w:t>
      </w:r>
      <w:r>
        <w:rPr>
          <w:spacing w:val="-43"/>
        </w:rPr>
      </w:r>
      <w:r>
        <w:rPr/>
        <w:t>认金额。</w:t>
      </w:r>
    </w:p>
    <w:p>
      <w:pPr>
        <w:spacing w:line="240" w:lineRule="auto" w:before="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256" w:lineRule="auto" w:before="141"/>
        <w:ind w:right="1133" w:firstLine="42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不仅包括根据表决权（或类似表决权）本身或者结</w:t>
      </w:r>
      <w:r>
        <w:rPr>
          <w:w w:val="100"/>
        </w:rPr>
        <w:t> </w:t>
      </w:r>
      <w:r>
        <w:rPr/>
        <w:t>合其他安排确定的子公司，也包括基于一项或多项合同安排决定的结构化主体。</w:t>
      </w:r>
    </w:p>
    <w:p>
      <w:pPr>
        <w:pStyle w:val="BodyText"/>
        <w:spacing w:line="273" w:lineRule="auto" w:before="143"/>
        <w:ind w:right="1126" w:firstLine="420"/>
        <w:jc w:val="both"/>
      </w:pPr>
      <w:r>
        <w:rPr>
          <w:spacing w:val="-2"/>
        </w:rPr>
        <w:t>控制是指本公司拥有对被投资方的权力，通过参与被投资方的相关活动而享有可变回报，并且有能力</w:t>
      </w:r>
      <w:r>
        <w:rPr>
          <w:w w:val="100"/>
        </w:rPr>
        <w:t> </w:t>
      </w:r>
      <w:r>
        <w:rPr>
          <w:spacing w:val="-2"/>
        </w:rPr>
        <w:t>运用对被投资方的权力影响其回报金额。子公司是指被本公司控制的主体（含企业、被投资单位中可分割</w:t>
      </w:r>
      <w:r>
        <w:rPr>
          <w:spacing w:val="-44"/>
        </w:rPr>
        <w:t> </w:t>
      </w:r>
      <w:r>
        <w:rPr>
          <w:spacing w:val="-44"/>
        </w:rPr>
      </w:r>
      <w:r>
        <w:rPr>
          <w:spacing w:val="-2"/>
        </w:rPr>
        <w:t>的部分，以及企业所控制的结构化主体等），结构化主体是指在确定其控制方时没有将表决权或类似权利</w:t>
      </w:r>
      <w:r>
        <w:rPr>
          <w:spacing w:val="-44"/>
        </w:rPr>
        <w:t> </w:t>
      </w:r>
      <w:r>
        <w:rPr>
          <w:spacing w:val="-44"/>
        </w:rPr>
      </w:r>
      <w:r>
        <w:rPr/>
        <w:t>作为决定性因素而设计的主体（注：有时也称为特殊目的主体）。</w:t>
      </w:r>
    </w:p>
    <w:p>
      <w:pPr>
        <w:pStyle w:val="BodyText"/>
        <w:spacing w:line="367" w:lineRule="auto" w:before="12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）合并财务报表的编制方法</w:t>
      </w:r>
      <w:r>
        <w:rPr>
          <w:rFonts w:ascii="宋体" w:hAnsi="宋体" w:cs="宋体" w:eastAsia="宋体" w:hint="default"/>
          <w:b/>
          <w:bCs/>
          <w:w w:val="100"/>
        </w:rPr>
        <w:t> </w:t>
      </w:r>
      <w:r>
        <w:rPr/>
        <w:t>本公司以自身和子公司的财务报表为基础，根据其他有关资料，编制合并财务报表。</w:t>
      </w:r>
      <w:r>
        <w:rPr>
          <w:w w:val="100"/>
        </w:rPr>
        <w:t> </w:t>
      </w:r>
      <w:r>
        <w:rPr>
          <w:spacing w:val="-2"/>
        </w:rPr>
        <w:t>本公司编制合并财务报表，将整个企业集团视为一个会计主体，依据相关企业会计准则的确认、计量</w:t>
      </w:r>
    </w:p>
    <w:p>
      <w:pPr>
        <w:pStyle w:val="BodyText"/>
        <w:spacing w:line="201" w:lineRule="exact"/>
        <w:ind w:right="1133"/>
        <w:jc w:val="left"/>
      </w:pPr>
      <w:r>
        <w:rPr/>
        <w:t>和列报要求，按照统一的会计政策和会计期间，反映企业集团整体财务状况、经营成果和现金流量。</w:t>
      </w:r>
    </w:p>
    <w:p>
      <w:pPr>
        <w:spacing w:after="0" w:line="201" w:lineRule="exact"/>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①合并母公司与子公司的资产、负债、所有者权益、收入、费用和现金流等项目。</w:t>
      </w:r>
    </w:p>
    <w:p>
      <w:pPr>
        <w:pStyle w:val="BodyText"/>
        <w:spacing w:line="240" w:lineRule="auto" w:before="157"/>
        <w:ind w:left="573" w:right="1133"/>
        <w:jc w:val="left"/>
      </w:pPr>
      <w:r>
        <w:rPr/>
        <w:t>②抵销母公司对子公司的长期股权投资与母公司在子公司所有者权益中所享有的份额。</w:t>
      </w:r>
    </w:p>
    <w:p>
      <w:pPr>
        <w:pStyle w:val="BodyText"/>
        <w:spacing w:line="273" w:lineRule="auto" w:before="157"/>
        <w:ind w:right="1126" w:firstLine="420"/>
        <w:jc w:val="both"/>
      </w:pPr>
      <w:r>
        <w:rPr>
          <w:spacing w:val="-2"/>
        </w:rPr>
        <w:t>③抵销母公司与子公司、子公司相互之间发生的内部交易的影响。内部交易表明相关资产发生减值损</w:t>
      </w:r>
      <w:r>
        <w:rPr>
          <w:w w:val="100"/>
        </w:rPr>
        <w:t> </w:t>
      </w:r>
      <w:r>
        <w:rPr/>
        <w:t>失的，应当全额确认该部分损失。</w:t>
      </w:r>
    </w:p>
    <w:p>
      <w:pPr>
        <w:pStyle w:val="BodyText"/>
        <w:spacing w:line="240" w:lineRule="auto" w:before="127"/>
        <w:ind w:left="573" w:right="1133"/>
        <w:jc w:val="left"/>
      </w:pPr>
      <w:r>
        <w:rPr/>
        <w:t>④站在企业集团角度对特殊交易事项予以调整。</w:t>
      </w:r>
    </w:p>
    <w:p>
      <w:pPr>
        <w:pStyle w:val="Heading3"/>
        <w:spacing w:line="240" w:lineRule="auto" w:before="157"/>
        <w:ind w:left="575" w:right="1133"/>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pStyle w:val="BodyText"/>
        <w:spacing w:line="240" w:lineRule="auto" w:before="141"/>
        <w:ind w:left="573" w:right="1133"/>
        <w:jc w:val="left"/>
      </w:pPr>
      <w:r>
        <w:rPr/>
        <w:t>①增加子公司或业务</w:t>
      </w:r>
    </w:p>
    <w:p>
      <w:pPr>
        <w:pStyle w:val="BodyText"/>
        <w:spacing w:line="240" w:lineRule="auto" w:before="157"/>
        <w:ind w:left="573" w:right="1133"/>
        <w:jc w:val="left"/>
      </w:pPr>
      <w:r>
        <w:rPr>
          <w:rFonts w:ascii="Times New Roman" w:hAnsi="Times New Roman" w:cs="Times New Roman" w:eastAsia="Times New Roman" w:hint="default"/>
        </w:rPr>
        <w:t>A.</w:t>
      </w:r>
      <w:r>
        <w:rPr/>
        <w:t>同一控制下企业合并增加的子公司或业务</w:t>
      </w:r>
    </w:p>
    <w:p>
      <w:pPr>
        <w:pStyle w:val="BodyText"/>
        <w:spacing w:line="259" w:lineRule="auto" w:before="141"/>
        <w:ind w:right="0" w:firstLine="420"/>
        <w:jc w:val="left"/>
      </w:pPr>
      <w:r>
        <w:rPr>
          <w:spacing w:val="-2"/>
        </w:rPr>
        <w:t>（</w:t>
      </w:r>
      <w:r>
        <w:rPr>
          <w:rFonts w:ascii="Times New Roman" w:hAnsi="Times New Roman" w:cs="Times New Roman" w:eastAsia="Times New Roman" w:hint="default"/>
          <w:spacing w:val="-2"/>
        </w:rPr>
        <w:t>a</w:t>
      </w:r>
      <w:r>
        <w:rPr>
          <w:spacing w:val="-2"/>
        </w:rPr>
        <w:t>）编制合并资产负债表时，调整合并资产负债表的期初数，同时对比较报表的相关项目进行调整，</w:t>
      </w:r>
      <w:r>
        <w:rPr>
          <w:w w:val="100"/>
        </w:rPr>
        <w:t> </w:t>
      </w:r>
      <w:r>
        <w:rPr/>
        <w:t>视同合并后的报告主体自最终控制方开始控制时点起一直存在。</w:t>
      </w:r>
    </w:p>
    <w:p>
      <w:pPr>
        <w:pStyle w:val="BodyText"/>
        <w:spacing w:line="264" w:lineRule="auto" w:before="140"/>
        <w:ind w:right="1126" w:firstLine="420"/>
        <w:jc w:val="both"/>
      </w:pPr>
      <w:r>
        <w:rPr/>
        <w:t>（</w:t>
      </w:r>
      <w:r>
        <w:rPr>
          <w:rFonts w:ascii="Times New Roman" w:hAnsi="Times New Roman" w:cs="Times New Roman" w:eastAsia="Times New Roman" w:hint="default"/>
        </w:rPr>
        <w:t>b</w:t>
      </w:r>
      <w:r>
        <w:rPr/>
        <w:t>）编制合并利润表时，将该子公司以及业务合并当期期初至报告期末的收入、费用、利润纳入合</w:t>
      </w:r>
      <w:r>
        <w:rPr>
          <w:w w:val="100"/>
        </w:rPr>
        <w:t> </w:t>
      </w:r>
      <w:r>
        <w:rPr>
          <w:spacing w:val="-2"/>
        </w:rPr>
        <w:t>并利润表，同时对比较报表的相关项目进行调整，视同合并后的报告主体自最终控制方开始控制时点起一</w:t>
      </w:r>
      <w:r>
        <w:rPr>
          <w:spacing w:val="-42"/>
        </w:rPr>
        <w:t> </w:t>
      </w:r>
      <w:r>
        <w:rPr>
          <w:spacing w:val="-42"/>
        </w:rPr>
      </w:r>
      <w:r>
        <w:rPr/>
        <w:t>直存在。</w:t>
      </w:r>
    </w:p>
    <w:p>
      <w:pPr>
        <w:pStyle w:val="BodyText"/>
        <w:spacing w:line="264" w:lineRule="auto" w:before="136"/>
        <w:ind w:right="1126" w:firstLine="420"/>
        <w:jc w:val="both"/>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w:t>
      </w:r>
      <w:r>
        <w:rPr>
          <w:w w:val="100"/>
        </w:rPr>
        <w:t> </w:t>
      </w:r>
      <w:r>
        <w:rPr>
          <w:spacing w:val="-2"/>
        </w:rPr>
        <w:t>金流量表，同时对比较报表的相关项目进行调整，视同合并后的报告主体自最终控制方开始控制时点起一</w:t>
      </w:r>
      <w:r>
        <w:rPr>
          <w:spacing w:val="-42"/>
        </w:rPr>
        <w:t> </w:t>
      </w:r>
      <w:r>
        <w:rPr>
          <w:spacing w:val="-42"/>
        </w:rPr>
      </w:r>
      <w:r>
        <w:rPr/>
        <w:t>直存在。</w:t>
      </w:r>
    </w:p>
    <w:p>
      <w:pPr>
        <w:pStyle w:val="BodyText"/>
        <w:spacing w:line="240" w:lineRule="auto" w:before="136"/>
        <w:ind w:left="573" w:right="1133"/>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141"/>
        <w:ind w:left="573" w:right="1133"/>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56" w:lineRule="auto" w:before="141"/>
        <w:ind w:right="1136" w:firstLine="420"/>
        <w:jc w:val="both"/>
      </w:pPr>
      <w:r>
        <w:rPr/>
        <w:t>（</w:t>
      </w:r>
      <w:r>
        <w:rPr>
          <w:rFonts w:ascii="Times New Roman" w:hAnsi="Times New Roman" w:cs="Times New Roman" w:eastAsia="Times New Roman" w:hint="default"/>
        </w:rPr>
        <w:t>b</w:t>
      </w:r>
      <w:r>
        <w:rPr/>
        <w:t>）编制合并利润表时，将该子公司以及业务购买日至报告期末的收入、费用、利润纳入合并利润</w:t>
      </w:r>
      <w:r>
        <w:rPr>
          <w:w w:val="100"/>
        </w:rPr>
        <w:t> </w:t>
      </w:r>
      <w:r>
        <w:rPr/>
        <w:t>表。</w:t>
      </w:r>
    </w:p>
    <w:p>
      <w:pPr>
        <w:pStyle w:val="BodyText"/>
        <w:spacing w:line="240" w:lineRule="auto" w:before="142"/>
        <w:ind w:left="573" w:right="1133"/>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141"/>
        <w:ind w:left="573" w:right="1133"/>
        <w:jc w:val="left"/>
      </w:pPr>
      <w:r>
        <w:rPr/>
        <w:t>②处置子公司或业务</w:t>
      </w:r>
    </w:p>
    <w:p>
      <w:pPr>
        <w:pStyle w:val="BodyText"/>
        <w:spacing w:line="357" w:lineRule="auto" w:before="157"/>
        <w:ind w:left="573" w:right="1133"/>
        <w:jc w:val="left"/>
      </w:pPr>
      <w:r>
        <w:rPr>
          <w:rFonts w:ascii="Times New Roman" w:hAnsi="Times New Roman" w:cs="Times New Roman" w:eastAsia="Times New Roman" w:hint="default"/>
        </w:rPr>
        <w:t>A.</w:t>
      </w:r>
      <w:r>
        <w:rPr/>
        <w:t>编制合并资产负债表时，不调整合并资产负债表的期初数。</w:t>
      </w:r>
      <w:r>
        <w:rPr>
          <w:w w:val="100"/>
        </w:rPr>
        <w:t> </w:t>
      </w:r>
      <w:r>
        <w:rPr>
          <w:rFonts w:ascii="Times New Roman" w:hAnsi="Times New Roman" w:cs="Times New Roman" w:eastAsia="Times New Roman" w:hint="default"/>
          <w:spacing w:val="-2"/>
        </w:rPr>
        <w:t>B.</w:t>
      </w:r>
      <w:r>
        <w:rPr>
          <w:spacing w:val="-2"/>
        </w:rPr>
        <w:t>编制合并利润表时，将该子公司以及业务期初至处置日的收入、费用、利润纳入合并利润表。</w:t>
      </w:r>
      <w:r>
        <w:rPr>
          <w:spacing w:val="-26"/>
        </w:rPr>
        <w:t> </w:t>
      </w:r>
      <w:r>
        <w:rPr>
          <w:spacing w:val="-26"/>
        </w:rPr>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Heading3"/>
        <w:spacing w:line="240" w:lineRule="auto" w:before="27"/>
        <w:ind w:left="575" w:right="1133"/>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pStyle w:val="BodyText"/>
        <w:spacing w:line="273" w:lineRule="auto" w:before="141"/>
        <w:ind w:right="1126" w:firstLine="420"/>
        <w:jc w:val="both"/>
      </w:pPr>
      <w:r>
        <w:rPr>
          <w:spacing w:val="-2"/>
        </w:rPr>
        <w:t>①子公司持有本公司的长期股权投资，应当视为本公司的库存股，作为所有者权益的减项，在合并资</w:t>
      </w:r>
      <w:r>
        <w:rPr>
          <w:w w:val="100"/>
        </w:rPr>
        <w:t> </w:t>
      </w:r>
      <w:r>
        <w:rPr/>
        <w:t>产负债表中所有者权益项目下以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273" w:lineRule="auto" w:before="108"/>
        <w:ind w:right="1126" w:firstLine="420"/>
        <w:jc w:val="both"/>
      </w:pPr>
      <w:r>
        <w:rPr>
          <w:spacing w:val="-2"/>
        </w:rPr>
        <w:t>子公司相互之间持有的长期股权投资，比照本公司对子公司的股权投资的抵销方法，将长期股权投资</w:t>
      </w:r>
      <w:r>
        <w:rPr>
          <w:w w:val="100"/>
        </w:rPr>
        <w:t> </w:t>
      </w:r>
      <w:r>
        <w:rPr/>
        <w:t>与其对应的子公司所有者权益中所享有的份额相互抵销。</w:t>
      </w:r>
    </w:p>
    <w:p>
      <w:pPr>
        <w:pStyle w:val="BodyText"/>
        <w:spacing w:line="264" w:lineRule="auto" w:before="127"/>
        <w:ind w:right="1126" w:firstLine="420"/>
        <w:jc w:val="both"/>
      </w:pPr>
      <w:r>
        <w:rPr>
          <w:spacing w:val="-1"/>
        </w:rPr>
        <w:t>②</w:t>
      </w:r>
      <w:r>
        <w:rPr>
          <w:rFonts w:ascii="Times New Roman" w:hAnsi="Times New Roman" w:cs="Times New Roman" w:eastAsia="Times New Roman" w:hint="default"/>
          <w:spacing w:val="-1"/>
        </w:rPr>
        <w:t>“</w:t>
      </w:r>
      <w:r>
        <w:rPr>
          <w:spacing w:val="-1"/>
        </w:rPr>
        <w:t>专项储备</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一般风险准备</w:t>
      </w:r>
      <w:r>
        <w:rPr>
          <w:rFonts w:ascii="Times New Roman" w:hAnsi="Times New Roman" w:cs="Times New Roman" w:eastAsia="Times New Roman" w:hint="default"/>
          <w:spacing w:val="-1"/>
        </w:rPr>
        <w:t>”</w:t>
      </w:r>
      <w:r>
        <w:rPr>
          <w:spacing w:val="-1"/>
        </w:rPr>
        <w:t>项目由于既不属于实收资本（或股本）、资本公积，也与留存收益、</w:t>
      </w:r>
      <w:r>
        <w:rPr>
          <w:w w:val="100"/>
        </w:rPr>
        <w:t> </w:t>
      </w:r>
      <w:r>
        <w:rPr>
          <w:spacing w:val="-2"/>
        </w:rPr>
        <w:t>未分配利润不同，在长期股权投资与子公司所有者权益相互抵销后，按归属于母公司所有者的份额予以恢</w:t>
      </w:r>
      <w:r>
        <w:rPr>
          <w:spacing w:val="-44"/>
        </w:rPr>
        <w:t> </w:t>
      </w:r>
      <w:r>
        <w:rPr>
          <w:spacing w:val="-44"/>
        </w:rPr>
      </w:r>
      <w:r>
        <w:rPr/>
        <w:t>复。</w:t>
      </w:r>
    </w:p>
    <w:p>
      <w:pPr>
        <w:pStyle w:val="BodyText"/>
        <w:spacing w:line="273" w:lineRule="auto" w:before="136"/>
        <w:ind w:right="1126" w:firstLine="420"/>
        <w:jc w:val="both"/>
      </w:pPr>
      <w:r>
        <w:rPr>
          <w:spacing w:val="-2"/>
        </w:rPr>
        <w:t>③因抵销未实现内部销售损益导致合并资产负债表中资产、负债的账面价值与其在所属纳税主体的计</w:t>
      </w:r>
      <w:r>
        <w:rPr>
          <w:w w:val="100"/>
        </w:rPr>
        <w:t> </w:t>
      </w:r>
      <w:r>
        <w:rPr>
          <w:spacing w:val="-2"/>
        </w:rPr>
        <w:t>税基础之间产生暂时性差异的，在合并资产负债表中确认递延所得税资产或递延所得税负债，同时调整合</w:t>
      </w:r>
      <w:r>
        <w:rPr>
          <w:spacing w:val="-43"/>
        </w:rPr>
        <w:t> </w:t>
      </w:r>
      <w:r>
        <w:rPr>
          <w:spacing w:val="-43"/>
        </w:rPr>
      </w:r>
      <w:r>
        <w:rPr/>
        <w:t>并利润表中的所得税费用，但与直接计入所有者权益的交易或事项及企业合并相关的递延所得税除外。</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28" w:firstLine="420"/>
        <w:jc w:val="both"/>
      </w:pPr>
      <w:r>
        <w:rPr/>
        <w:t>④本公司向子公司出售资产所发生的未实现内部交易损益，应当全额抵销</w:t>
      </w:r>
      <w:r>
        <w:rPr>
          <w:rFonts w:ascii="Times New Roman" w:hAnsi="Times New Roman" w:cs="Times New Roman" w:eastAsia="Times New Roman" w:hint="default"/>
        </w:rPr>
        <w:t>“</w:t>
      </w:r>
      <w:r>
        <w:rPr/>
        <w:t>归属于母公司所有者的净</w:t>
      </w:r>
      <w:r>
        <w:rPr>
          <w:w w:val="100"/>
        </w:rPr>
        <w:t> </w:t>
      </w:r>
      <w:r>
        <w:rPr/>
        <w:t>利润</w:t>
      </w:r>
      <w:r>
        <w:rPr>
          <w:rFonts w:ascii="Times New Roman" w:hAnsi="Times New Roman" w:cs="Times New Roman" w:eastAsia="Times New Roman" w:hint="default"/>
        </w:rPr>
        <w:t>”</w:t>
      </w:r>
      <w:r>
        <w:rPr/>
        <w:t>。子公司向本公司出售资产所发生的未实现内部交易损益，应当按照本公司对该子公司的分配比例</w:t>
      </w:r>
      <w:r>
        <w:rPr>
          <w:spacing w:val="-17"/>
        </w:rPr>
        <w:t> </w:t>
      </w:r>
      <w:r>
        <w:rPr>
          <w:spacing w:val="-17"/>
        </w:rPr>
      </w:r>
      <w:r>
        <w:rPr>
          <w:spacing w:val="-1"/>
        </w:rPr>
        <w:t>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之间分配抵销。子公司之间出售资产所发生的未实现</w:t>
      </w:r>
      <w:r>
        <w:rPr>
          <w:spacing w:val="-41"/>
        </w:rPr>
        <w:t> </w:t>
      </w:r>
      <w:r>
        <w:rPr>
          <w:spacing w:val="-41"/>
        </w:rPr>
      </w:r>
      <w:r>
        <w:rPr>
          <w:spacing w:val="-4"/>
          <w:w w:val="100"/>
        </w:rPr>
        <w:t>内部交易损益，应当按照本公司对出售方子公司的分配比例在</w:t>
      </w:r>
      <w:r>
        <w:rPr>
          <w:rFonts w:ascii="Times New Roman" w:hAnsi="Times New Roman" w:cs="Times New Roman" w:eastAsia="Times New Roman" w:hint="default"/>
          <w:spacing w:val="-4"/>
          <w:w w:val="100"/>
        </w:rPr>
        <w:t>“</w:t>
      </w:r>
      <w:r>
        <w:rPr>
          <w:spacing w:val="-4"/>
          <w:w w:val="100"/>
        </w:rPr>
        <w:t>归属于母公司所有者的净利润</w:t>
      </w:r>
      <w:r>
        <w:rPr>
          <w:rFonts w:ascii="Times New Roman" w:hAnsi="Times New Roman" w:cs="Times New Roman" w:eastAsia="Times New Roman" w:hint="default"/>
          <w:spacing w:val="-4"/>
          <w:w w:val="100"/>
        </w:rPr>
        <w:t>”</w:t>
      </w:r>
      <w:r>
        <w:rPr>
          <w:spacing w:val="-4"/>
          <w:w w:val="100"/>
        </w:rPr>
        <w:t>和</w:t>
      </w:r>
      <w:r>
        <w:rPr>
          <w:rFonts w:ascii="Times New Roman" w:hAnsi="Times New Roman" w:cs="Times New Roman" w:eastAsia="Times New Roman" w:hint="default"/>
          <w:spacing w:val="-4"/>
          <w:w w:val="100"/>
        </w:rPr>
        <w:t>“</w:t>
      </w:r>
      <w:r>
        <w:rPr>
          <w:spacing w:val="-4"/>
          <w:w w:val="100"/>
        </w:rPr>
        <w:t>少数股东</w:t>
      </w:r>
      <w:r>
        <w:rPr>
          <w:spacing w:val="-72"/>
          <w:w w:val="100"/>
        </w:rPr>
        <w:t> </w:t>
      </w:r>
      <w:r>
        <w:rPr>
          <w:spacing w:val="-72"/>
          <w:w w:val="100"/>
        </w:rPr>
      </w:r>
      <w:r>
        <w:rPr/>
        <w:t>损益</w:t>
      </w:r>
      <w:r>
        <w:rPr>
          <w:rFonts w:ascii="Times New Roman" w:hAnsi="Times New Roman" w:cs="Times New Roman" w:eastAsia="Times New Roman" w:hint="default"/>
        </w:rPr>
        <w:t>”</w:t>
      </w:r>
      <w:r>
        <w:rPr/>
        <w:t>之间分配抵销。</w:t>
      </w:r>
    </w:p>
    <w:p>
      <w:pPr>
        <w:pStyle w:val="BodyText"/>
        <w:spacing w:line="273" w:lineRule="auto" w:before="125"/>
        <w:ind w:right="1126" w:firstLine="420"/>
        <w:jc w:val="both"/>
      </w:pPr>
      <w:r>
        <w:rPr>
          <w:spacing w:val="-2"/>
        </w:rPr>
        <w:t>⑤子公司少数股东分担的当期亏损超过了少数股东在该子公司期初所有者权益中所享有的份额的，其</w:t>
      </w:r>
      <w:r>
        <w:rPr>
          <w:w w:val="100"/>
        </w:rPr>
        <w:t> </w:t>
      </w:r>
      <w:r>
        <w:rPr/>
        <w:t>余额仍应当冲减少数股东权益。</w:t>
      </w:r>
    </w:p>
    <w:p>
      <w:pPr>
        <w:pStyle w:val="Heading3"/>
        <w:spacing w:line="240" w:lineRule="auto" w:before="127"/>
        <w:ind w:left="575" w:right="1133"/>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pStyle w:val="BodyText"/>
        <w:spacing w:line="432" w:lineRule="exact" w:before="41"/>
        <w:ind w:left="573" w:right="1133"/>
        <w:jc w:val="left"/>
      </w:pPr>
      <w:r>
        <w:rPr/>
        <w:t>①购买少数股东股权</w:t>
      </w:r>
      <w:r>
        <w:rPr>
          <w:w w:val="100"/>
        </w:rPr>
        <w:t> </w:t>
      </w:r>
      <w:r>
        <w:rPr>
          <w:spacing w:val="-2"/>
        </w:rPr>
        <w:t>本公司购买子公司少数股东拥有的子公司股权，在个别财务报表中，购买少数股权新取得的长期股权</w:t>
      </w:r>
    </w:p>
    <w:p>
      <w:pPr>
        <w:pStyle w:val="BodyText"/>
        <w:spacing w:line="256" w:lineRule="exact"/>
        <w:ind w:right="0"/>
        <w:jc w:val="left"/>
      </w:pPr>
      <w:r>
        <w:rPr/>
        <w:t>投资的投资成本按照所支付对价的公允价值计量。在合并财务报表中，因购买少数股权新取得的长期股权</w:t>
      </w:r>
    </w:p>
    <w:p>
      <w:pPr>
        <w:pStyle w:val="BodyText"/>
        <w:spacing w:line="273" w:lineRule="auto" w:before="37"/>
        <w:ind w:right="1133"/>
        <w:jc w:val="left"/>
      </w:pPr>
      <w:r>
        <w:rPr>
          <w:spacing w:val="-2"/>
        </w:rPr>
        <w:t>投资与按照新增持股比例计算应享有子公司自购买日或合并日开始持续计算的净资产份额之间的差额，应</w:t>
      </w:r>
      <w:r>
        <w:rPr>
          <w:spacing w:val="-43"/>
        </w:rPr>
        <w:t> </w:t>
      </w:r>
      <w:r>
        <w:rPr>
          <w:spacing w:val="-43"/>
        </w:rPr>
      </w:r>
      <w:r>
        <w:rPr/>
        <w:t>当调整资本公积（资本溢价或股本溢价），资本公积不足冲减的，依次冲减盈余公积和未分配利润。</w:t>
      </w:r>
    </w:p>
    <w:p>
      <w:pPr>
        <w:pStyle w:val="BodyText"/>
        <w:spacing w:line="240" w:lineRule="auto" w:before="127"/>
        <w:ind w:left="573" w:right="1133"/>
        <w:jc w:val="left"/>
      </w:pPr>
      <w:r>
        <w:rPr/>
        <w:t>②通过多次交易分步取得子公司控制权的</w:t>
      </w:r>
    </w:p>
    <w:p>
      <w:pPr>
        <w:pStyle w:val="BodyText"/>
        <w:spacing w:line="357" w:lineRule="auto" w:before="157"/>
        <w:ind w:left="573" w:right="1133"/>
        <w:jc w:val="left"/>
      </w:pPr>
      <w:r>
        <w:rPr>
          <w:rFonts w:ascii="Times New Roman" w:hAnsi="Times New Roman" w:cs="Times New Roman" w:eastAsia="Times New Roman" w:hint="default"/>
        </w:rPr>
        <w:t>A.</w:t>
      </w:r>
      <w:r>
        <w:rPr/>
        <w:t>通过多次交易分步实现同一控制下企业合并</w:t>
      </w:r>
      <w:r>
        <w:rPr>
          <w:w w:val="100"/>
        </w:rPr>
        <w:t> </w:t>
      </w:r>
      <w:r>
        <w:rPr>
          <w:spacing w:val="-2"/>
        </w:rPr>
        <w:t>在合并日，本公司在个别财务报表中，根据合并后应享有的子公司净资产在最终控制方合并财务报表</w:t>
      </w:r>
    </w:p>
    <w:p>
      <w:pPr>
        <w:pStyle w:val="BodyText"/>
        <w:spacing w:line="209" w:lineRule="exact"/>
        <w:ind w:right="0"/>
        <w:jc w:val="left"/>
      </w:pPr>
      <w:r>
        <w:rPr/>
        <w:t>中的账面价值的份额，确定长期股权投资的初始投资成本；初始投资成本与达到合并前的长期股权投资账</w:t>
      </w:r>
    </w:p>
    <w:p>
      <w:pPr>
        <w:pStyle w:val="BodyText"/>
        <w:spacing w:line="273" w:lineRule="auto" w:before="37"/>
        <w:ind w:right="1133"/>
        <w:jc w:val="left"/>
      </w:pPr>
      <w:r>
        <w:rPr>
          <w:spacing w:val="-2"/>
        </w:rPr>
        <w:t>面价值加上合并日取得进一步股份新支付对价的账面价值之和的差额，调整资本公积（资本溢价或股本溢</w:t>
      </w:r>
      <w:r>
        <w:rPr>
          <w:spacing w:val="-43"/>
        </w:rPr>
        <w:t> </w:t>
      </w:r>
      <w:r>
        <w:rPr>
          <w:spacing w:val="-43"/>
        </w:rPr>
      </w:r>
      <w:r>
        <w:rPr/>
        <w:t>价），资本公积（资本溢价或股本溢价）不足冲减的，依次冲减盈余公积和未分配利润。</w:t>
      </w:r>
    </w:p>
    <w:p>
      <w:pPr>
        <w:pStyle w:val="BodyText"/>
        <w:spacing w:line="268" w:lineRule="auto" w:before="127"/>
        <w:ind w:right="0" w:firstLine="420"/>
        <w:jc w:val="left"/>
      </w:pPr>
      <w:r>
        <w:rPr>
          <w:spacing w:val="-2"/>
        </w:rPr>
        <w:t>在合并财务报表中，合并方在合并中取得的被合并方的资产、负债，除因会计政策不同而进行的调整</w:t>
      </w:r>
      <w:r>
        <w:rPr>
          <w:w w:val="100"/>
        </w:rPr>
        <w:t> </w:t>
      </w:r>
      <w:r>
        <w:rPr>
          <w:spacing w:val="-2"/>
        </w:rPr>
        <w:t>以外，按合并日在最终控制方合并财务报表中的账面价值计量；合并前持有投资的账面价值加上合并日新</w:t>
      </w:r>
      <w:r>
        <w:rPr>
          <w:spacing w:val="-43"/>
        </w:rPr>
        <w:t> </w:t>
      </w:r>
      <w:r>
        <w:rPr>
          <w:spacing w:val="-43"/>
        </w:rPr>
      </w:r>
      <w:r>
        <w:rPr>
          <w:spacing w:val="-6"/>
        </w:rPr>
        <w:t>支付对价的账面价值之和，与合并中取得的净资产账面价值的差额，调整资本公积（股本溢价</w:t>
      </w:r>
      <w:r>
        <w:rPr>
          <w:rFonts w:ascii="Times New Roman" w:hAnsi="Times New Roman" w:cs="Times New Roman" w:eastAsia="Times New Roman" w:hint="default"/>
          <w:spacing w:val="-6"/>
        </w:rPr>
        <w:t>/</w:t>
      </w:r>
      <w:r>
        <w:rPr>
          <w:spacing w:val="-6"/>
        </w:rPr>
        <w:t>资本溢价），</w:t>
      </w:r>
      <w:r>
        <w:rPr>
          <w:spacing w:val="-12"/>
        </w:rPr>
        <w:t> </w:t>
      </w:r>
      <w:r>
        <w:rPr>
          <w:spacing w:val="-12"/>
        </w:rPr>
      </w:r>
      <w:r>
        <w:rPr/>
        <w:t>资本公积不足冲减的，调整留存收益。</w:t>
      </w:r>
    </w:p>
    <w:p>
      <w:pPr>
        <w:pStyle w:val="BodyText"/>
        <w:spacing w:line="273" w:lineRule="auto" w:before="132"/>
        <w:ind w:right="1126" w:firstLine="420"/>
        <w:jc w:val="both"/>
      </w:pPr>
      <w:r>
        <w:rPr>
          <w:spacing w:val="-2"/>
        </w:rPr>
        <w:t>合并方在取得被合并方控制权之前持有的股权投资且按权益法核算的，在取得原股权之日与合并方和</w:t>
      </w:r>
      <w:r>
        <w:rPr>
          <w:w w:val="100"/>
        </w:rPr>
        <w:t> </w:t>
      </w:r>
      <w:r>
        <w:rPr>
          <w:spacing w:val="-2"/>
        </w:rPr>
        <w:t>被合并方同处于同一方最终控制之日孰晚日起至合并日之间已确认有关损益、其他综合收益以及其他所有</w:t>
      </w:r>
      <w:r>
        <w:rPr>
          <w:spacing w:val="-43"/>
        </w:rPr>
        <w:t> </w:t>
      </w:r>
      <w:r>
        <w:rPr>
          <w:spacing w:val="-43"/>
        </w:rPr>
      </w:r>
      <w:r>
        <w:rPr/>
        <w:t>者权益变动，应分别冲减比较报表期间的期初留存收益。</w:t>
      </w:r>
    </w:p>
    <w:p>
      <w:pPr>
        <w:pStyle w:val="BodyText"/>
        <w:spacing w:line="357" w:lineRule="auto" w:before="127"/>
        <w:ind w:left="573" w:right="0"/>
        <w:jc w:val="left"/>
      </w:pPr>
      <w:r>
        <w:rPr>
          <w:rFonts w:ascii="Times New Roman" w:hAnsi="Times New Roman" w:cs="Times New Roman" w:eastAsia="Times New Roman" w:hint="default"/>
        </w:rPr>
        <w:t>B.</w:t>
      </w:r>
      <w:r>
        <w:rPr/>
        <w:t>通过多次交易分步实现非同一控制下企业合并</w:t>
      </w:r>
      <w:r>
        <w:rPr>
          <w:w w:val="100"/>
        </w:rPr>
        <w:t> </w:t>
      </w:r>
      <w:r>
        <w:rPr>
          <w:spacing w:val="-5"/>
        </w:rPr>
        <w:t>在合并日，在个别财务报表中，按照原持有的长期股权投资的账面价值加上合并日新增投资成本之和，</w:t>
      </w:r>
    </w:p>
    <w:p>
      <w:pPr>
        <w:pStyle w:val="BodyText"/>
        <w:spacing w:line="209" w:lineRule="exact"/>
        <w:ind w:right="1133"/>
        <w:jc w:val="left"/>
      </w:pPr>
      <w:r>
        <w:rPr/>
        <w:t>作为合并日长期股权投资的初始投资成本。</w:t>
      </w:r>
    </w:p>
    <w:p>
      <w:pPr>
        <w:pStyle w:val="BodyText"/>
        <w:spacing w:line="273" w:lineRule="auto" w:before="157"/>
        <w:ind w:right="1126" w:firstLine="420"/>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新计量，公允价值与其账面价值的差额计入当期投资收益；购买日之前持有的被购买方的股权涉及权益法</w:t>
      </w:r>
      <w:r>
        <w:rPr>
          <w:spacing w:val="-44"/>
        </w:rPr>
        <w:t> </w:t>
      </w:r>
      <w:r>
        <w:rPr>
          <w:spacing w:val="-44"/>
        </w:rPr>
      </w:r>
      <w:r>
        <w:rPr>
          <w:spacing w:val="-2"/>
        </w:rPr>
        <w:t>核算下的其他综合收益等的，与其相关的其他综合收益等转为购买日所属当期收益，但由于被合并方重新</w:t>
      </w:r>
      <w:r>
        <w:rPr>
          <w:spacing w:val="-44"/>
        </w:rPr>
        <w:t> </w:t>
      </w:r>
      <w:r>
        <w:rPr>
          <w:spacing w:val="-44"/>
        </w:rPr>
      </w:r>
      <w:r>
        <w:rPr>
          <w:spacing w:val="-2"/>
        </w:rPr>
        <w:t>计量设定受益计划净资产或净负债变动而产生的其他综合收益除外。本公司在附注中披露其在购买日之前</w:t>
      </w:r>
      <w:r>
        <w:rPr>
          <w:spacing w:val="-43"/>
        </w:rPr>
        <w:t> </w:t>
      </w:r>
      <w:r>
        <w:rPr>
          <w:spacing w:val="-43"/>
        </w:rPr>
      </w:r>
      <w:r>
        <w:rPr/>
        <w:t>持有的被购买方的股权在购买日的公允价值、按照公允价值重新计量产生的相关利得或损失的金额。</w:t>
      </w:r>
    </w:p>
    <w:p>
      <w:pPr>
        <w:pStyle w:val="BodyText"/>
        <w:spacing w:line="432" w:lineRule="exact" w:before="27"/>
        <w:ind w:left="573" w:right="1133"/>
        <w:jc w:val="left"/>
      </w:pPr>
      <w:r>
        <w:rPr/>
        <w:t>③本公司处置对子公司长期股权投资但未丧失控制权</w:t>
      </w:r>
      <w:r>
        <w:rPr>
          <w:w w:val="100"/>
        </w:rPr>
        <w:t> </w:t>
      </w:r>
      <w:r>
        <w:rPr>
          <w:spacing w:val="-2"/>
        </w:rPr>
        <w:t>母公司在不丧失控制权的情况下部分处置对子公司的长期股权投资，在合并财务报表中，处置价款与</w:t>
      </w:r>
    </w:p>
    <w:p>
      <w:pPr>
        <w:pStyle w:val="BodyText"/>
        <w:spacing w:line="255" w:lineRule="exact"/>
        <w:ind w:right="0"/>
        <w:jc w:val="left"/>
      </w:pPr>
      <w:r>
        <w:rPr/>
        <w:t>处置长期股权投资相对应享有子公司自购买日或合并日开始持续计算的净资产份额之间的差额，调整资本</w:t>
      </w:r>
    </w:p>
    <w:p>
      <w:pPr>
        <w:pStyle w:val="BodyText"/>
        <w:spacing w:line="240" w:lineRule="auto" w:before="37"/>
        <w:ind w:right="1133"/>
        <w:jc w:val="left"/>
      </w:pPr>
      <w:r>
        <w:rPr/>
        <w:t>公积（资本溢价或股本溢价），资本公积不足冲减的，调整留存收益。</w:t>
      </w:r>
    </w:p>
    <w:p>
      <w:pPr>
        <w:pStyle w:val="BodyText"/>
        <w:spacing w:line="240" w:lineRule="auto" w:before="157"/>
        <w:ind w:left="573" w:right="1133"/>
        <w:jc w:val="left"/>
      </w:pPr>
      <w:r>
        <w:rPr/>
        <w:t>④本公司处置对子公司长期股权投资且丧失控制权</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357" w:lineRule="auto" w:before="36"/>
        <w:ind w:left="573" w:right="1133"/>
        <w:jc w:val="left"/>
      </w:pPr>
      <w:r>
        <w:rPr>
          <w:rFonts w:ascii="Times New Roman" w:hAnsi="Times New Roman" w:cs="Times New Roman" w:eastAsia="Times New Roman" w:hint="default"/>
        </w:rPr>
        <w:t>A.</w:t>
      </w:r>
      <w:r>
        <w:rPr/>
        <w:t>一次交易处置</w:t>
      </w:r>
      <w:r>
        <w:rPr>
          <w:w w:val="100"/>
        </w:rPr>
        <w:t> </w:t>
      </w:r>
      <w:r>
        <w:rPr>
          <w:spacing w:val="-2"/>
        </w:rPr>
        <w:t>本公司因处置部分股权投资等原因丧失了对被投资方的控制权的，在编制合并财务报表时，对于剩余</w:t>
      </w:r>
    </w:p>
    <w:p>
      <w:pPr>
        <w:pStyle w:val="BodyText"/>
        <w:spacing w:line="209" w:lineRule="exact"/>
        <w:ind w:right="0"/>
        <w:jc w:val="both"/>
      </w:pPr>
      <w:r>
        <w:rPr/>
        <w:t>股权，按照其在丧失控制权日的公允价值进行重新计量。处置股权取得的对价与剩余股权公允价值之和，</w:t>
      </w:r>
    </w:p>
    <w:p>
      <w:pPr>
        <w:pStyle w:val="BodyText"/>
        <w:spacing w:line="273" w:lineRule="auto" w:before="37"/>
        <w:ind w:right="1126"/>
        <w:jc w:val="both"/>
      </w:pPr>
      <w:r>
        <w:rPr>
          <w:spacing w:val="-2"/>
        </w:rPr>
        <w:t>减去按原持股比例计算应享有原有子公司自购买日或合并日开始持续计算的净资产的份额之间的差额，计</w:t>
      </w:r>
      <w:r>
        <w:rPr>
          <w:spacing w:val="-43"/>
        </w:rPr>
        <w:t> </w:t>
      </w:r>
      <w:r>
        <w:rPr>
          <w:spacing w:val="-43"/>
        </w:rPr>
      </w:r>
      <w:r>
        <w:rPr/>
        <w:t>入丧失控制权当期的投资收益。</w:t>
      </w:r>
    </w:p>
    <w:p>
      <w:pPr>
        <w:pStyle w:val="BodyText"/>
        <w:spacing w:line="273" w:lineRule="auto" w:before="127"/>
        <w:ind w:right="1104" w:firstLine="420"/>
        <w:jc w:val="both"/>
      </w:pPr>
      <w:r>
        <w:rPr>
          <w:spacing w:val="-2"/>
        </w:rPr>
        <w:t>与原子公司的股权投资相关的其他综合收益、其他所有者权益变动，在丧失控制权时转入当期损益，</w:t>
      </w:r>
      <w:r>
        <w:rPr>
          <w:w w:val="100"/>
        </w:rPr>
        <w:t> </w:t>
      </w:r>
      <w:r>
        <w:rPr/>
        <w:t>由于被投资方重新计量设定受益计划净负债或净资产变动而产生的其他综合收益除外。</w:t>
      </w:r>
    </w:p>
    <w:p>
      <w:pPr>
        <w:pStyle w:val="BodyText"/>
        <w:spacing w:line="357" w:lineRule="auto" w:before="127"/>
        <w:ind w:left="573" w:right="2653"/>
        <w:jc w:val="left"/>
      </w:pPr>
      <w:r>
        <w:rPr>
          <w:rFonts w:ascii="Times New Roman" w:hAnsi="Times New Roman" w:cs="Times New Roman" w:eastAsia="Times New Roman" w:hint="default"/>
        </w:rPr>
        <w:t>B.</w:t>
      </w:r>
      <w:r>
        <w:rPr/>
        <w:t>多次交易分步处置</w:t>
      </w:r>
      <w:r>
        <w:rPr>
          <w:w w:val="100"/>
        </w:rPr>
        <w:t> </w:t>
      </w:r>
      <w:r>
        <w:rPr>
          <w:spacing w:val="-2"/>
        </w:rPr>
        <w:t>在合并财务报表中，应首先判断分步交易是否属于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p>
    <w:p>
      <w:pPr>
        <w:pStyle w:val="BodyText"/>
        <w:spacing w:line="261" w:lineRule="auto" w:before="27"/>
        <w:ind w:right="1126" w:firstLine="420"/>
        <w:jc w:val="both"/>
      </w:pPr>
      <w:r>
        <w:rPr>
          <w:spacing w:val="-2"/>
        </w:rPr>
        <w:t>如果分步交易不属于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的，在个别财务报表中，对丧失子公司控制权之前的各项交易，结</w:t>
      </w:r>
      <w:r>
        <w:rPr>
          <w:w w:val="100"/>
        </w:rPr>
        <w:t> </w:t>
      </w:r>
      <w:r>
        <w:rPr>
          <w:spacing w:val="-2"/>
        </w:rPr>
        <w:t>转每一次处置股权相对应的长期股权投资的账面价值，所得价款与处置长期股权投资账面价值之间的差额</w:t>
      </w:r>
      <w:r>
        <w:rPr>
          <w:spacing w:val="-43"/>
        </w:rPr>
        <w:t> </w:t>
      </w:r>
      <w:r>
        <w:rPr>
          <w:spacing w:val="-43"/>
        </w:rPr>
      </w:r>
      <w:r>
        <w:rPr>
          <w:spacing w:val="-2"/>
        </w:rPr>
        <w:t>计入当期投资收益；在合并财务报表中，应按照</w:t>
      </w:r>
      <w:r>
        <w:rPr>
          <w:rFonts w:ascii="Times New Roman" w:hAnsi="Times New Roman" w:cs="Times New Roman" w:eastAsia="Times New Roman" w:hint="default"/>
          <w:spacing w:val="-2"/>
        </w:rPr>
        <w:t>“</w:t>
      </w:r>
      <w:r>
        <w:rPr>
          <w:spacing w:val="-2"/>
        </w:rPr>
        <w:t>母公司处置对子公司长期股权投资但未丧失控制权</w:t>
      </w:r>
      <w:r>
        <w:rPr>
          <w:rFonts w:ascii="Times New Roman" w:hAnsi="Times New Roman" w:cs="Times New Roman" w:eastAsia="Times New Roman" w:hint="default"/>
          <w:spacing w:val="-2"/>
        </w:rPr>
        <w:t>”</w:t>
      </w:r>
      <w:r>
        <w:rPr>
          <w:spacing w:val="-2"/>
        </w:rPr>
        <w:t>的有</w:t>
      </w:r>
      <w:r>
        <w:rPr>
          <w:spacing w:val="-23"/>
        </w:rPr>
        <w:t> </w:t>
      </w:r>
      <w:r>
        <w:rPr/>
        <w:t>关规定处理。</w:t>
      </w:r>
    </w:p>
    <w:p>
      <w:pPr>
        <w:pStyle w:val="BodyText"/>
        <w:spacing w:line="268" w:lineRule="auto" w:before="138"/>
        <w:ind w:right="1126" w:firstLine="42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w:t>
      </w:r>
      <w:r>
        <w:rPr>
          <w:w w:val="100"/>
        </w:rPr>
        <w:t> </w:t>
      </w:r>
      <w:r>
        <w:rPr>
          <w:spacing w:val="-2"/>
        </w:rPr>
        <w:t>计处理；在个别财务报表中，在丧失控制权之前的每一次处置价款与所处置的股权对应的长期股权投资账</w:t>
      </w:r>
      <w:r>
        <w:rPr>
          <w:spacing w:val="-44"/>
        </w:rPr>
        <w:t> </w:t>
      </w:r>
      <w:r>
        <w:rPr>
          <w:spacing w:val="-44"/>
        </w:rPr>
      </w:r>
      <w:r>
        <w:rPr>
          <w:spacing w:val="-2"/>
        </w:rPr>
        <w:t>面价值之间的差额，先确认为其他综合收益，到丧失控制权时再一并转入丧失控制权的当期损益；在合并</w:t>
      </w:r>
      <w:r>
        <w:rPr>
          <w:spacing w:val="-43"/>
        </w:rPr>
        <w:t> </w:t>
      </w:r>
      <w:r>
        <w:rPr>
          <w:spacing w:val="-43"/>
        </w:rPr>
      </w:r>
      <w:r>
        <w:rPr>
          <w:spacing w:val="-2"/>
        </w:rPr>
        <w:t>财务报表中，对于丧失控制权之前的每一次交易，处置价款与处置投资对应的享有该子公司净资产份额的</w:t>
      </w:r>
      <w:r>
        <w:rPr>
          <w:spacing w:val="-43"/>
        </w:rPr>
        <w:t> </w:t>
      </w:r>
      <w:r>
        <w:rPr>
          <w:spacing w:val="-43"/>
        </w:rPr>
      </w:r>
      <w:r>
        <w:rPr/>
        <w:t>差额应当确认为其他综合收益，在丧失控制权时一并转入丧失控制权当期的损益。</w:t>
      </w:r>
    </w:p>
    <w:p>
      <w:pPr>
        <w:pStyle w:val="BodyText"/>
        <w:spacing w:line="256" w:lineRule="auto" w:before="132"/>
        <w:ind w:right="1125" w:firstLine="420"/>
        <w:jc w:val="both"/>
      </w:pPr>
      <w:r>
        <w:rPr>
          <w:spacing w:val="-2"/>
        </w:rPr>
        <w:t>各项交易的条款、条件以及经济影响符合下列一种或多种情况的，通常将多次交易作为</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进行会计处理：</w:t>
      </w:r>
    </w:p>
    <w:p>
      <w:pPr>
        <w:pStyle w:val="BodyText"/>
        <w:spacing w:line="240" w:lineRule="auto" w:before="143"/>
        <w:ind w:left="573" w:right="1133"/>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141"/>
        <w:ind w:left="573" w:right="1133"/>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141"/>
        <w:ind w:left="573" w:right="1133"/>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141"/>
        <w:ind w:left="573" w:right="1133"/>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273" w:lineRule="auto" w:before="141"/>
        <w:ind w:left="573" w:right="1133"/>
        <w:jc w:val="left"/>
      </w:pPr>
      <w:r>
        <w:rPr/>
        <w:t>⑤因子公司的少数股东增资而稀释母公司拥有的股权比例</w:t>
      </w:r>
      <w:r>
        <w:rPr>
          <w:w w:val="100"/>
        </w:rPr>
        <w:t> </w:t>
      </w:r>
      <w:r>
        <w:rPr>
          <w:spacing w:val="-3"/>
        </w:rPr>
        <w:t>子公司的其他股东（少数股东）对子公司进行增资，由此稀释了母公司对子公司的股权比例。在合并</w:t>
      </w:r>
    </w:p>
    <w:p>
      <w:pPr>
        <w:pStyle w:val="BodyText"/>
        <w:spacing w:line="273" w:lineRule="auto" w:before="7"/>
        <w:ind w:right="1126"/>
        <w:jc w:val="both"/>
      </w:pPr>
      <w:r>
        <w:rPr>
          <w:spacing w:val="-2"/>
        </w:rPr>
        <w:t>财务报表中，按照增资前的母公司股权比例计算其在增资前子公司账面净资产中的份额，该份额与增资后</w:t>
      </w:r>
      <w:r>
        <w:rPr>
          <w:spacing w:val="-44"/>
        </w:rPr>
        <w:t> </w:t>
      </w:r>
      <w:r>
        <w:rPr>
          <w:spacing w:val="-44"/>
        </w:rPr>
      </w:r>
      <w:r>
        <w:rPr>
          <w:spacing w:val="-2"/>
        </w:rPr>
        <w:t>按照母公司持股比例计算的在增资后子公司账面净资产份额之间的差额调整资本公积（资本溢价或股本溢</w:t>
      </w:r>
      <w:r>
        <w:rPr>
          <w:spacing w:val="-43"/>
        </w:rPr>
        <w:t> </w:t>
      </w:r>
      <w:r>
        <w:rPr>
          <w:spacing w:val="-43"/>
        </w:rPr>
      </w:r>
      <w:r>
        <w:rPr/>
        <w:t>价），资本公积（资本溢价或股本溢价）不足冲减的，调整留存收益。</w:t>
      </w:r>
    </w:p>
    <w:p>
      <w:pPr>
        <w:spacing w:line="600" w:lineRule="atLeast" w:before="0"/>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合营安排，是指一项由两个或两个以上的参与方共同控制的安排。本公司合营安排分为共同经营和合</w:t>
      </w:r>
    </w:p>
    <w:p>
      <w:pPr>
        <w:pStyle w:val="BodyText"/>
        <w:spacing w:line="240" w:lineRule="auto" w:before="37"/>
        <w:ind w:right="0"/>
        <w:jc w:val="both"/>
      </w:pPr>
      <w:r>
        <w:rPr/>
        <w:t>营企业。</w:t>
      </w:r>
    </w:p>
    <w:p>
      <w:pPr>
        <w:pStyle w:val="BodyText"/>
        <w:spacing w:line="357" w:lineRule="auto" w:before="157"/>
        <w:ind w:left="573" w:right="2113"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）共同经营</w:t>
      </w:r>
      <w:r>
        <w:rPr>
          <w:rFonts w:ascii="宋体" w:hAnsi="宋体" w:cs="宋体" w:eastAsia="宋体" w:hint="default"/>
          <w:b/>
          <w:bCs/>
          <w:w w:val="100"/>
        </w:rPr>
        <w:t> </w:t>
      </w:r>
      <w:r>
        <w:rPr>
          <w:spacing w:val="-2"/>
        </w:rPr>
        <w:t>共同经营是指本公司享有该安排相关资产且承担该安排相关负债的合营安排。</w:t>
      </w:r>
    </w:p>
    <w:p>
      <w:pPr>
        <w:pStyle w:val="BodyText"/>
        <w:spacing w:line="273" w:lineRule="auto" w:before="52"/>
        <w:ind w:right="1140" w:firstLine="420"/>
        <w:jc w:val="both"/>
      </w:pPr>
      <w:r>
        <w:rPr>
          <w:spacing w:val="2"/>
        </w:rPr>
        <w:t>本公司确认其与共同经营中利益份额相关的下列项目，并按照相关企业会计准则的规定进行会计处</w:t>
      </w:r>
      <w:r>
        <w:rPr>
          <w:w w:val="100"/>
        </w:rPr>
        <w:t> </w:t>
      </w:r>
      <w:r>
        <w:rPr/>
        <w:t>理：</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①</w:t>
      </w:r>
      <w:r>
        <w:rPr>
          <w:spacing w:val="-24"/>
        </w:rPr>
        <w:t> </w:t>
      </w:r>
      <w:r>
        <w:rPr/>
        <w:t>确认单独所持有的资产，以及按其份额确认共同持有的资产；</w:t>
      </w:r>
    </w:p>
    <w:p>
      <w:pPr>
        <w:pStyle w:val="BodyText"/>
        <w:spacing w:line="240" w:lineRule="auto" w:before="157"/>
        <w:ind w:left="573" w:right="1133"/>
        <w:jc w:val="left"/>
      </w:pPr>
      <w:r>
        <w:rPr/>
        <w:t>②</w:t>
      </w:r>
      <w:r>
        <w:rPr>
          <w:spacing w:val="-24"/>
        </w:rPr>
        <w:t> </w:t>
      </w:r>
      <w:r>
        <w:rPr/>
        <w:t>确认单独所承担的负债，以及按其份额确认共同承担的负债；</w:t>
      </w:r>
    </w:p>
    <w:p>
      <w:pPr>
        <w:pStyle w:val="BodyText"/>
        <w:spacing w:line="240" w:lineRule="auto" w:before="157"/>
        <w:ind w:left="573" w:right="1133"/>
        <w:jc w:val="left"/>
      </w:pPr>
      <w:r>
        <w:rPr/>
        <w:t>③</w:t>
      </w:r>
      <w:r>
        <w:rPr>
          <w:spacing w:val="-23"/>
        </w:rPr>
        <w:t> </w:t>
      </w:r>
      <w:r>
        <w:rPr/>
        <w:t>确认出售其享有的共同经营产出份额所产生的收入；</w:t>
      </w:r>
    </w:p>
    <w:p>
      <w:pPr>
        <w:pStyle w:val="BodyText"/>
        <w:spacing w:line="240" w:lineRule="auto" w:before="157"/>
        <w:ind w:left="573" w:right="1133"/>
        <w:jc w:val="left"/>
      </w:pPr>
      <w:r>
        <w:rPr/>
        <w:t>④</w:t>
      </w:r>
      <w:r>
        <w:rPr>
          <w:spacing w:val="-24"/>
        </w:rPr>
        <w:t> </w:t>
      </w:r>
      <w:r>
        <w:rPr/>
        <w:t>按其份额确认共同经营因出售产出所产生的收入；</w:t>
      </w:r>
    </w:p>
    <w:p>
      <w:pPr>
        <w:pStyle w:val="BodyText"/>
        <w:spacing w:line="240" w:lineRule="auto" w:before="157"/>
        <w:ind w:left="573" w:right="1133"/>
        <w:jc w:val="left"/>
      </w:pPr>
      <w:r>
        <w:rPr/>
        <w:t>⑤</w:t>
      </w:r>
      <w:r>
        <w:rPr>
          <w:spacing w:val="-24"/>
        </w:rPr>
        <w:t> </w:t>
      </w:r>
      <w:r>
        <w:rPr/>
        <w:t>确认单独所发生的费用，以及按其份额确认共同经营发生的费用。</w:t>
      </w:r>
    </w:p>
    <w:p>
      <w:pPr>
        <w:spacing w:line="357" w:lineRule="auto" w:before="157"/>
        <w:ind w:left="573" w:right="427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）合营企业</w:t>
      </w:r>
      <w:r>
        <w:rPr>
          <w:rFonts w:ascii="宋体" w:hAnsi="宋体" w:cs="宋体" w:eastAsia="宋体" w:hint="default"/>
          <w:b/>
          <w:bCs/>
          <w:w w:val="100"/>
          <w:sz w:val="21"/>
          <w:szCs w:val="21"/>
        </w:rPr>
        <w:t> </w:t>
      </w:r>
      <w:r>
        <w:rPr>
          <w:rFonts w:ascii="宋体" w:hAnsi="宋体" w:cs="宋体" w:eastAsia="宋体" w:hint="default"/>
          <w:spacing w:val="-2"/>
          <w:sz w:val="21"/>
          <w:szCs w:val="21"/>
        </w:rPr>
        <w:t>合营企业是指本公司仅对该安排的净资产享有权利的合营安排。</w:t>
      </w:r>
    </w:p>
    <w:p>
      <w:pPr>
        <w:pStyle w:val="BodyText"/>
        <w:spacing w:line="240" w:lineRule="auto" w:before="54"/>
        <w:ind w:left="573" w:right="1133"/>
        <w:jc w:val="left"/>
      </w:pPr>
      <w:r>
        <w:rPr/>
        <w:t>本公司按照长期股权投资有关权益法核算的规定对合营企业的投资进行会计处理。</w:t>
      </w:r>
    </w:p>
    <w:p>
      <w:pPr>
        <w:spacing w:line="600" w:lineRule="atLeast" w:before="28"/>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现金指企业库存现金及可以随时用于支付的存款。现金等价物指持有的期限短（一般是指从购买日起</w:t>
      </w:r>
    </w:p>
    <w:p>
      <w:pPr>
        <w:pStyle w:val="BodyText"/>
        <w:spacing w:line="240" w:lineRule="auto" w:before="37"/>
        <w:ind w:right="1133"/>
        <w:jc w:val="left"/>
      </w:pPr>
      <w:r>
        <w:rPr/>
        <w:t>三个月内到期）、流动性强、易于转换为已知金额现金、价值变动风险很小的投资。</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）外币交易时折算汇率的确定方法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本公司外币交易初始确认时采用交易发生日的即期汇率或即期汇率的近似汇率折算为记账本位币。</w:t>
      </w:r>
    </w:p>
    <w:p>
      <w:pPr>
        <w:spacing w:line="357" w:lineRule="auto" w:before="54"/>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）资产负债表日外币货币性项目的折算方法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在资产负债表日，对于外币货币性项目，采用资产负债表日的即期汇率折算。因资产负债表日即期汇</w:t>
      </w:r>
    </w:p>
    <w:p>
      <w:pPr>
        <w:pStyle w:val="BodyText"/>
        <w:spacing w:line="209" w:lineRule="exact"/>
        <w:ind w:right="1133"/>
        <w:jc w:val="left"/>
      </w:pPr>
      <w:r>
        <w:rPr/>
        <w:t>率与初始确认时或前一资产负债表日即期汇率不同而产生的汇兑差额，计入当期损益。</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）外币报表折算方法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对企业境外经营财务报表进行折算前先调整境外经营的会计期间和会计政策，使之与企业会计期间和</w:t>
      </w:r>
    </w:p>
    <w:p>
      <w:pPr>
        <w:pStyle w:val="BodyText"/>
        <w:spacing w:line="209" w:lineRule="exact"/>
        <w:ind w:right="0"/>
        <w:jc w:val="left"/>
      </w:pPr>
      <w:r>
        <w:rPr>
          <w:spacing w:val="-5"/>
        </w:rPr>
        <w:t>会计政策相一致，再根据调整后会计政策及会计期间编制相应货币（记账本位币以外的货币）的财务报表，</w:t>
      </w:r>
    </w:p>
    <w:p>
      <w:pPr>
        <w:pStyle w:val="BodyText"/>
        <w:spacing w:line="240" w:lineRule="auto" w:before="37"/>
        <w:ind w:right="1133"/>
        <w:jc w:val="left"/>
      </w:pPr>
      <w:r>
        <w:rPr/>
        <w:t>再按照以下方法对境外经营财务报表进行折算：</w:t>
      </w:r>
    </w:p>
    <w:p>
      <w:pPr>
        <w:pStyle w:val="BodyText"/>
        <w:spacing w:line="256" w:lineRule="auto" w:before="157"/>
        <w:ind w:right="1133" w:firstLine="420"/>
        <w:jc w:val="left"/>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w:t>
      </w:r>
      <w:r>
        <w:rPr>
          <w:w w:val="100"/>
        </w:rPr>
        <w:t> </w:t>
      </w:r>
      <w:r>
        <w:rPr/>
        <w:t>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125"/>
        <w:ind w:left="573" w:right="1133"/>
        <w:jc w:val="left"/>
      </w:pPr>
      <w:r>
        <w:rPr/>
        <w:t>②利润表中的收入和费用项目，采用交易发生日的即期汇率或即期汇率的近似汇率折算。</w:t>
      </w:r>
    </w:p>
    <w:p>
      <w:pPr>
        <w:pStyle w:val="BodyText"/>
        <w:spacing w:line="273" w:lineRule="auto" w:before="157"/>
        <w:ind w:right="1133" w:firstLine="420"/>
        <w:jc w:val="left"/>
      </w:pPr>
      <w:r>
        <w:rPr>
          <w:spacing w:val="-2"/>
        </w:rPr>
        <w:t>③产生的外币财务报表折算差额，在编制合并财务报表时，在合并资产负债表中所有者权益项目下单</w:t>
      </w:r>
      <w:r>
        <w:rPr>
          <w:w w:val="100"/>
        </w:rPr>
        <w:t> </w:t>
      </w:r>
      <w:r>
        <w:rPr/>
        <w:t>独列示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w:t>
      </w:r>
    </w:p>
    <w:p>
      <w:pPr>
        <w:pStyle w:val="BodyText"/>
        <w:spacing w:line="273" w:lineRule="auto" w:before="108"/>
        <w:ind w:right="1133" w:firstLine="420"/>
        <w:jc w:val="left"/>
      </w:pPr>
      <w:r>
        <w:rPr>
          <w:spacing w:val="-2"/>
        </w:rPr>
        <w:t>④外币现金流量以及境外子公司的现金流量，采用现金流量发生日的即期汇率或即期汇率的近似汇率</w:t>
      </w:r>
      <w:r>
        <w:rPr>
          <w:w w:val="100"/>
        </w:rPr>
        <w:t> </w:t>
      </w:r>
      <w:r>
        <w:rPr/>
        <w:t>折算。汇率变动对现金的影响额应当作为调节项目，在现金流量表中单独列报。</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spacing w:line="256"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16"/>
          <w:sz w:val="21"/>
          <w:szCs w:val="21"/>
        </w:rPr>
        <w:t> </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日起适用</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金融工具，是指形成一方的金融资产并形成其他方的金融负债或权益工具的合同。</w:t>
      </w:r>
    </w:p>
    <w:p>
      <w:pPr>
        <w:pStyle w:val="Heading3"/>
        <w:spacing w:line="240" w:lineRule="auto" w:before="142"/>
        <w:ind w:left="575" w:right="1133"/>
        <w:jc w:val="left"/>
        <w:rPr>
          <w:b w:val="0"/>
          <w:bCs w:val="0"/>
        </w:rPr>
      </w:pPr>
      <w:r>
        <w:rPr/>
        <w:t>（</w:t>
      </w:r>
      <w:r>
        <w:rPr>
          <w:rFonts w:ascii="Times New Roman" w:hAnsi="Times New Roman" w:cs="Times New Roman" w:eastAsia="Times New Roman" w:hint="default"/>
        </w:rPr>
        <w:t>1</w:t>
      </w:r>
      <w:r>
        <w:rPr/>
        <w:t>）金融工具的确认和终止确认</w:t>
      </w:r>
      <w:r>
        <w:rPr>
          <w:b w:val="0"/>
          <w:bCs w:val="0"/>
        </w:rPr>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b/>
          <w:bCs/>
          <w:sz w:val="13"/>
          <w:szCs w:val="13"/>
        </w:rPr>
      </w:pPr>
    </w:p>
    <w:p>
      <w:pPr>
        <w:pStyle w:val="BodyText"/>
        <w:spacing w:line="376" w:lineRule="auto" w:before="36"/>
        <w:ind w:left="573" w:right="1133"/>
        <w:jc w:val="left"/>
      </w:pPr>
      <w:r>
        <w:rPr>
          <w:spacing w:val="-2"/>
        </w:rPr>
        <w:t>当本公司成为金融工具合同的一方时，确认相关的金融资产或金融负债。</w:t>
      </w:r>
      <w:r>
        <w:rPr>
          <w:spacing w:val="-45"/>
        </w:rPr>
        <w:t> </w:t>
      </w:r>
      <w:r>
        <w:rPr>
          <w:spacing w:val="-45"/>
        </w:rPr>
      </w:r>
      <w:r>
        <w:rPr/>
        <w:t>金融资产满足下列条件之一的，终止确认：</w:t>
      </w:r>
    </w:p>
    <w:p>
      <w:pPr>
        <w:pStyle w:val="BodyText"/>
        <w:spacing w:line="240" w:lineRule="auto" w:before="37"/>
        <w:ind w:left="573" w:right="1133"/>
        <w:jc w:val="left"/>
      </w:pPr>
      <w:r>
        <w:rPr/>
        <w:t>①收取该金融资产现金流量的合同权利终止；</w:t>
      </w:r>
    </w:p>
    <w:p>
      <w:pPr>
        <w:pStyle w:val="BodyText"/>
        <w:spacing w:line="430" w:lineRule="atLeast" w:before="2"/>
        <w:ind w:left="573" w:right="1133"/>
        <w:jc w:val="left"/>
      </w:pPr>
      <w:r>
        <w:rPr/>
        <w:t>②该金融资产已转移，且符合下述金融资产转移的终止确认条件。</w:t>
      </w:r>
      <w:r>
        <w:rPr>
          <w:w w:val="100"/>
        </w:rPr>
        <w:t> </w:t>
      </w:r>
      <w:r>
        <w:rPr>
          <w:spacing w:val="-2"/>
        </w:rPr>
        <w:t>金融负债的现时义务全部或部分已经解除的，终止确认该金融负债或其一部分。本公司（债务人）与</w:t>
      </w:r>
    </w:p>
    <w:p>
      <w:pPr>
        <w:pStyle w:val="BodyText"/>
        <w:spacing w:line="273" w:lineRule="auto" w:before="37"/>
        <w:ind w:right="1104"/>
        <w:jc w:val="both"/>
      </w:pPr>
      <w:r>
        <w:rPr>
          <w:spacing w:val="-2"/>
        </w:rPr>
        <w:t>债权人之间签订协议，以承担新金融负债方式替换现存金融负债，且新金融负债与现存金融负债的合同条</w:t>
      </w:r>
      <w:r>
        <w:rPr>
          <w:spacing w:val="-43"/>
        </w:rPr>
        <w:t> </w:t>
      </w:r>
      <w:r>
        <w:rPr>
          <w:spacing w:val="-43"/>
        </w:rPr>
      </w:r>
      <w:r>
        <w:rPr>
          <w:spacing w:val="-2"/>
        </w:rPr>
        <w:t>款实质上不同的，终止确认现存金融负债，并同时确认新金融负债。本公司对原金融负债（或其一部分）</w:t>
      </w:r>
      <w:r>
        <w:rPr>
          <w:spacing w:val="-21"/>
        </w:rPr>
        <w:t> </w:t>
      </w:r>
      <w:r>
        <w:rPr>
          <w:spacing w:val="-21"/>
        </w:rPr>
      </w:r>
      <w:r>
        <w:rPr/>
        <w:t>的合同条款作出实质性修改的，应当终止原金融负债，同时按照修改后的条款确认一项新的金融负债。</w:t>
      </w:r>
    </w:p>
    <w:p>
      <w:pPr>
        <w:pStyle w:val="BodyText"/>
        <w:spacing w:line="273" w:lineRule="auto" w:before="127"/>
        <w:ind w:right="1126" w:firstLine="420"/>
        <w:jc w:val="both"/>
      </w:pPr>
      <w:r>
        <w:rPr>
          <w:spacing w:val="-2"/>
        </w:rPr>
        <w:t>以常规方式买卖金融资产，按交易日进行会计确认和终止确认。常规方式买卖金融资产，是指按照合</w:t>
      </w:r>
      <w:r>
        <w:rPr>
          <w:w w:val="100"/>
        </w:rPr>
        <w:t> </w:t>
      </w:r>
      <w:r>
        <w:rPr>
          <w:spacing w:val="-2"/>
        </w:rPr>
        <w:t>同条款规定，在法规或市场惯例所确定的时间安排来交付金融资产。交易日，是指本公司承诺买入或卖出</w:t>
      </w:r>
      <w:r>
        <w:rPr>
          <w:spacing w:val="-44"/>
        </w:rPr>
        <w:t> </w:t>
      </w:r>
      <w:r>
        <w:rPr>
          <w:spacing w:val="-44"/>
        </w:rPr>
      </w:r>
      <w:r>
        <w:rPr/>
        <w:t>金融资产的日期。</w:t>
      </w:r>
    </w:p>
    <w:p>
      <w:pPr>
        <w:spacing w:line="357" w:lineRule="auto" w:before="127"/>
        <w:ind w:left="573" w:right="1133" w:firstLine="6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）金融资产的分类与计量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本公司在初始确认时根据管理金融资产的业务模式和金融资产的合同现金流量特征，将金融资产分类</w:t>
      </w:r>
    </w:p>
    <w:p>
      <w:pPr>
        <w:pStyle w:val="BodyText"/>
        <w:spacing w:line="209" w:lineRule="exact"/>
        <w:ind w:right="0"/>
        <w:jc w:val="both"/>
      </w:pPr>
      <w:r>
        <w:rPr/>
        <w:t>为：以摊余成本计量的金融资产、以公允价值计量且其变动计入当期损益的金融资产、以公允价值计量且</w:t>
      </w:r>
    </w:p>
    <w:p>
      <w:pPr>
        <w:pStyle w:val="BodyText"/>
        <w:spacing w:line="273" w:lineRule="auto" w:before="37"/>
        <w:ind w:right="1126"/>
        <w:jc w:val="both"/>
      </w:pPr>
      <w:r>
        <w:rPr>
          <w:spacing w:val="-2"/>
        </w:rPr>
        <w:t>其变动计入其他综合收益的金融资产。除非本公司改变管理金融资产的业务模式，在此情形下，所有受影</w:t>
      </w:r>
      <w:r>
        <w:rPr>
          <w:spacing w:val="-44"/>
        </w:rPr>
        <w:t> </w:t>
      </w:r>
      <w:r>
        <w:rPr>
          <w:spacing w:val="-44"/>
        </w:rPr>
      </w:r>
      <w:r>
        <w:rPr>
          <w:spacing w:val="-2"/>
        </w:rPr>
        <w:t>响的相关金融资产在业务模式发生变更后的首个报告期间的第一天进行重分类，否则金融资产在初始确认</w:t>
      </w:r>
      <w:r>
        <w:rPr>
          <w:spacing w:val="-43"/>
        </w:rPr>
        <w:t> </w:t>
      </w:r>
      <w:r>
        <w:rPr>
          <w:spacing w:val="-43"/>
        </w:rPr>
      </w:r>
      <w:r>
        <w:rPr/>
        <w:t>后不得进行重分类。</w:t>
      </w:r>
    </w:p>
    <w:p>
      <w:pPr>
        <w:pStyle w:val="BodyText"/>
        <w:spacing w:line="273" w:lineRule="auto" w:before="127"/>
        <w:ind w:right="1126" w:firstLine="420"/>
        <w:jc w:val="both"/>
      </w:pPr>
      <w:r>
        <w:rPr>
          <w:spacing w:val="-2"/>
        </w:rPr>
        <w:t>金融资产在初始确认时以公允价值计量。对于以公允价值计量且其变动计入当期损益的金融资产，相</w:t>
      </w:r>
      <w:r>
        <w:rPr>
          <w:w w:val="100"/>
        </w:rPr>
        <w:t> </w:t>
      </w:r>
      <w:r>
        <w:rPr>
          <w:spacing w:val="-2"/>
        </w:rPr>
        <w:t>关交易费用直接计入当期损益，其他类别的金融资产相关交易费用计入其初始确认金额。因销售商品或提</w:t>
      </w:r>
      <w:r>
        <w:rPr>
          <w:spacing w:val="-43"/>
        </w:rPr>
        <w:t> </w:t>
      </w:r>
      <w:r>
        <w:rPr>
          <w:spacing w:val="-43"/>
        </w:rPr>
      </w:r>
      <w:r>
        <w:rPr>
          <w:spacing w:val="-2"/>
        </w:rPr>
        <w:t>供劳务而产生的、未包含或不考虑重大融资成分的应收票据及应收账款，本公司则按照收入准则定义的交</w:t>
      </w:r>
      <w:r>
        <w:rPr>
          <w:spacing w:val="-44"/>
        </w:rPr>
        <w:t> </w:t>
      </w:r>
      <w:r>
        <w:rPr>
          <w:spacing w:val="-44"/>
        </w:rPr>
      </w:r>
      <w:r>
        <w:rPr/>
        <w:t>易价格进行初始计量。</w:t>
      </w:r>
    </w:p>
    <w:p>
      <w:pPr>
        <w:pStyle w:val="BodyText"/>
        <w:spacing w:line="240" w:lineRule="auto" w:before="127"/>
        <w:ind w:left="573" w:right="1133"/>
        <w:jc w:val="left"/>
      </w:pPr>
      <w:r>
        <w:rPr/>
        <w:t>金融资产的后续计量取决于其分类：</w:t>
      </w:r>
    </w:p>
    <w:p>
      <w:pPr>
        <w:pStyle w:val="BodyText"/>
        <w:spacing w:line="430" w:lineRule="atLeast" w:before="2"/>
        <w:ind w:left="573" w:right="1133"/>
        <w:jc w:val="left"/>
      </w:pPr>
      <w:r>
        <w:rPr/>
        <w:t>①以摊余成本计量的金融资产</w:t>
      </w:r>
      <w:r>
        <w:rPr>
          <w:w w:val="100"/>
        </w:rPr>
        <w:t> </w:t>
      </w:r>
      <w:r>
        <w:rPr>
          <w:spacing w:val="-2"/>
        </w:rPr>
        <w:t>金融资产同时符合下列条件的，分类为以摊余成本计量的金融资产：本公司管理该金融资产的业务模</w:t>
      </w:r>
    </w:p>
    <w:p>
      <w:pPr>
        <w:pStyle w:val="BodyText"/>
        <w:spacing w:line="273" w:lineRule="auto" w:before="37"/>
        <w:ind w:right="1126"/>
        <w:jc w:val="both"/>
      </w:pPr>
      <w:r>
        <w:rPr>
          <w:spacing w:val="-2"/>
        </w:rPr>
        <w:t>式是以收取合同现金流量为目标；该金融资产的合同条款规定，在特定日期产生的现金流量，仅为对本金</w:t>
      </w:r>
      <w:r>
        <w:rPr>
          <w:spacing w:val="-43"/>
        </w:rPr>
        <w:t> </w:t>
      </w:r>
      <w:r>
        <w:rPr>
          <w:spacing w:val="-43"/>
        </w:rPr>
      </w:r>
      <w:r>
        <w:rPr>
          <w:spacing w:val="-2"/>
        </w:rPr>
        <w:t>和以未偿付本金金额为基础的利息的支付。对于此类金融资产，采用实际利率法，按照摊余成本进行后续</w:t>
      </w:r>
      <w:r>
        <w:rPr>
          <w:spacing w:val="-44"/>
        </w:rPr>
        <w:t> </w:t>
      </w:r>
      <w:r>
        <w:rPr>
          <w:spacing w:val="-44"/>
        </w:rPr>
      </w:r>
      <w:r>
        <w:rPr/>
        <w:t>计量，其终止确认、按实际利率法摊销或减值产生的利得或损失，均计入当期损益。</w:t>
      </w:r>
    </w:p>
    <w:p>
      <w:pPr>
        <w:pStyle w:val="BodyText"/>
        <w:spacing w:line="432" w:lineRule="exact" w:before="27"/>
        <w:ind w:left="573" w:right="1133"/>
        <w:jc w:val="left"/>
      </w:pPr>
      <w:r>
        <w:rPr/>
        <w:t>②以公允价值计量且其变动计入其他综合收益的金融资产</w:t>
      </w:r>
      <w:r>
        <w:rPr>
          <w:w w:val="100"/>
        </w:rPr>
        <w:t> </w:t>
      </w:r>
      <w:r>
        <w:rPr>
          <w:spacing w:val="-2"/>
        </w:rPr>
        <w:t>金融资产同时符合下列条件的，分类为以公允价值计量且其变动计入其他综合收益的金融资产：本公</w:t>
      </w:r>
    </w:p>
    <w:p>
      <w:pPr>
        <w:pStyle w:val="BodyText"/>
        <w:spacing w:line="256" w:lineRule="exact"/>
        <w:ind w:right="0"/>
        <w:jc w:val="both"/>
      </w:pPr>
      <w:r>
        <w:rPr/>
        <w:t>司管理该金融资产的业务模式是既以收取合同现金流量为目标又以出售金融资产为目标；该金融资产的合</w:t>
      </w:r>
    </w:p>
    <w:p>
      <w:pPr>
        <w:pStyle w:val="BodyText"/>
        <w:spacing w:line="273" w:lineRule="auto" w:before="37"/>
        <w:ind w:right="1126"/>
        <w:jc w:val="both"/>
      </w:pPr>
      <w:r>
        <w:rPr>
          <w:spacing w:val="-2"/>
        </w:rPr>
        <w:t>同条款规定，在特定日期产生的现金流量，仅为对本金和以未偿付本金金额为基础的利息的支付。对于此</w:t>
      </w:r>
      <w:r>
        <w:rPr>
          <w:spacing w:val="-44"/>
        </w:rPr>
        <w:t> </w:t>
      </w:r>
      <w:r>
        <w:rPr>
          <w:spacing w:val="-44"/>
        </w:rPr>
      </w:r>
      <w:r>
        <w:rPr>
          <w:spacing w:val="-2"/>
        </w:rPr>
        <w:t>类金融资产，采用公允价值进行后续计量。其折价或溢价采用实际利率法进行摊销并确认为利息收入或费</w:t>
      </w:r>
      <w:r>
        <w:rPr>
          <w:spacing w:val="-44"/>
        </w:rPr>
        <w:t> </w:t>
      </w:r>
      <w:r>
        <w:rPr>
          <w:spacing w:val="-44"/>
        </w:rPr>
      </w:r>
      <w:r>
        <w:rPr>
          <w:spacing w:val="-2"/>
        </w:rPr>
        <w:t>用。除减值损失或利得及汇兑损益确认为当期损益外，此类金融资产的公允价值变动作为其他综合收益确</w:t>
      </w:r>
      <w:r>
        <w:rPr>
          <w:spacing w:val="-44"/>
        </w:rPr>
        <w:t> </w:t>
      </w:r>
      <w:r>
        <w:rPr>
          <w:spacing w:val="-44"/>
        </w:rPr>
      </w:r>
      <w:r>
        <w:rPr>
          <w:spacing w:val="-2"/>
        </w:rPr>
        <w:t>认，直到该金融资产终止确认时，其累计利得或损失转入当期损益。但是采用实际利率法计算的该金融资</w:t>
      </w:r>
      <w:r>
        <w:rPr>
          <w:spacing w:val="-43"/>
        </w:rPr>
        <w:t> </w:t>
      </w:r>
      <w:r>
        <w:rPr>
          <w:spacing w:val="-43"/>
        </w:rPr>
      </w:r>
      <w:r>
        <w:rPr/>
        <w:t>产的相关利息收入计入当期损益。</w:t>
      </w:r>
    </w:p>
    <w:p>
      <w:pPr>
        <w:pStyle w:val="BodyText"/>
        <w:spacing w:line="273" w:lineRule="auto" w:before="127"/>
        <w:ind w:right="1126" w:firstLine="420"/>
        <w:jc w:val="both"/>
      </w:pPr>
      <w:r>
        <w:rPr>
          <w:spacing w:val="2"/>
        </w:rPr>
        <w:t>本公司不可撤销地选择将部分非交易性权益工具投资指定为以公允价值计量且其变动计入其他综合</w:t>
      </w:r>
      <w:r>
        <w:rPr>
          <w:w w:val="100"/>
        </w:rPr>
        <w:t> </w:t>
      </w:r>
      <w:r>
        <w:rPr>
          <w:spacing w:val="-2"/>
        </w:rPr>
        <w:t>收益的金融资产，仅将相关股利收入计入当期损益，公允价值变动作为其他综合收益确认，直到该金融资</w:t>
      </w:r>
      <w:r>
        <w:rPr>
          <w:spacing w:val="-45"/>
        </w:rPr>
        <w:t> </w:t>
      </w:r>
      <w:r>
        <w:rPr>
          <w:spacing w:val="-45"/>
        </w:rPr>
      </w:r>
      <w:r>
        <w:rPr/>
        <w:t>产终止确认时，其累计利得或损失转入留存收益。</w:t>
      </w:r>
    </w:p>
    <w:p>
      <w:pPr>
        <w:pStyle w:val="BodyText"/>
        <w:spacing w:line="240" w:lineRule="auto" w:before="127"/>
        <w:ind w:left="573" w:right="1133"/>
        <w:jc w:val="left"/>
      </w:pPr>
      <w:r>
        <w:rPr/>
        <w:t>③以公允价值计量且其变动计入当期损益的金融资产</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firstLine="420"/>
        <w:jc w:val="both"/>
      </w:pPr>
      <w:r>
        <w:rPr>
          <w:spacing w:val="2"/>
        </w:rPr>
        <w:t>上述以摊余成本计量的金融资产和以公允价值计量且其变动计入其他综合收益的金融资产之外的金</w:t>
      </w:r>
      <w:r>
        <w:rPr>
          <w:w w:val="100"/>
        </w:rPr>
        <w:t> </w:t>
      </w:r>
      <w:r>
        <w:rPr>
          <w:spacing w:val="-2"/>
        </w:rPr>
        <w:t>融资产，分类为以公允价值计量且其变动计入当期损益的金融资产。对于此类金融资产，采用公允价值进</w:t>
      </w:r>
      <w:r>
        <w:rPr>
          <w:spacing w:val="-43"/>
        </w:rPr>
        <w:t> </w:t>
      </w:r>
      <w:r>
        <w:rPr>
          <w:spacing w:val="-43"/>
        </w:rPr>
      </w:r>
      <w:r>
        <w:rPr/>
        <w:t>行后续计量，所有公允价值变动计入当期损益。</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）金融负债的分类与计量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本公司将金融负债分类为以公允价值计量且其变动计入当期损益的金融负债、财务担保合同负债及以</w:t>
      </w:r>
    </w:p>
    <w:p>
      <w:pPr>
        <w:pStyle w:val="BodyText"/>
        <w:spacing w:line="209" w:lineRule="exact"/>
        <w:ind w:right="0"/>
        <w:jc w:val="both"/>
      </w:pPr>
      <w:r>
        <w:rPr/>
        <w:t>摊余成本计量的金融负债。</w:t>
      </w:r>
    </w:p>
    <w:p>
      <w:pPr>
        <w:pStyle w:val="BodyText"/>
        <w:spacing w:line="240" w:lineRule="auto" w:before="157"/>
        <w:ind w:left="573" w:right="1133"/>
        <w:jc w:val="left"/>
      </w:pPr>
      <w:r>
        <w:rPr/>
        <w:t>金融负债的后续计量取决于其分类：</w:t>
      </w:r>
    </w:p>
    <w:p>
      <w:pPr>
        <w:pStyle w:val="BodyText"/>
        <w:spacing w:line="430" w:lineRule="atLeast" w:before="2"/>
        <w:ind w:left="573" w:right="1133"/>
        <w:jc w:val="left"/>
      </w:pPr>
      <w:r>
        <w:rPr/>
        <w:t>①以公允价值计量且其变动计入当期损益的金融负债</w:t>
      </w:r>
      <w:r>
        <w:rPr>
          <w:w w:val="100"/>
        </w:rPr>
        <w:t> </w:t>
      </w:r>
      <w:r>
        <w:rPr>
          <w:spacing w:val="-2"/>
        </w:rPr>
        <w:t>该类金融负债包括交易性金融负债（含属于金融负债的衍生工具）和指定为以公允价值计量且其变动</w:t>
      </w:r>
    </w:p>
    <w:p>
      <w:pPr>
        <w:pStyle w:val="BodyText"/>
        <w:spacing w:line="273" w:lineRule="auto" w:before="37"/>
        <w:ind w:right="1104"/>
        <w:jc w:val="both"/>
      </w:pPr>
      <w:r>
        <w:rPr>
          <w:spacing w:val="-2"/>
        </w:rPr>
        <w:t>计入当期损益的金融负债。初始确认后，对于该类金融负债以公允价值进行后续计量，除与套期会计有关</w:t>
      </w:r>
      <w:r>
        <w:rPr>
          <w:spacing w:val="-45"/>
        </w:rPr>
        <w:t> </w:t>
      </w:r>
      <w:r>
        <w:rPr>
          <w:spacing w:val="-45"/>
        </w:rPr>
      </w:r>
      <w:r>
        <w:rPr>
          <w:spacing w:val="-2"/>
        </w:rPr>
        <w:t>外，产生的利得或损失（包括利息费用）计入当期损益。但本公司对指定为以公允价值计量且其变动计入</w:t>
      </w:r>
      <w:r>
        <w:rPr>
          <w:spacing w:val="-47"/>
        </w:rPr>
        <w:t> </w:t>
      </w:r>
      <w:r>
        <w:rPr>
          <w:spacing w:val="-47"/>
        </w:rPr>
      </w:r>
      <w:r>
        <w:rPr>
          <w:spacing w:val="-2"/>
        </w:rPr>
        <w:t>当期损益的金融负债，由其自身信用风险变动引起的该金融负债公允价值的变动金额计入其他综合收益，</w:t>
      </w:r>
      <w:r>
        <w:rPr>
          <w:spacing w:val="-21"/>
        </w:rPr>
        <w:t> </w:t>
      </w:r>
      <w:r>
        <w:rPr>
          <w:spacing w:val="-21"/>
        </w:rPr>
      </w:r>
      <w:r>
        <w:rPr>
          <w:spacing w:val="-2"/>
        </w:rPr>
        <w:t>当该金融负债终止确认时，之前计入其他综合收益的累计利得和损失应当从其他综合收益中转出，计入留</w:t>
      </w:r>
      <w:r>
        <w:rPr>
          <w:spacing w:val="-44"/>
        </w:rPr>
        <w:t> </w:t>
      </w:r>
      <w:r>
        <w:rPr>
          <w:spacing w:val="-44"/>
        </w:rPr>
      </w:r>
      <w:r>
        <w:rPr/>
        <w:t>存收益。</w:t>
      </w:r>
    </w:p>
    <w:p>
      <w:pPr>
        <w:pStyle w:val="BodyText"/>
        <w:spacing w:line="432" w:lineRule="exact" w:before="27"/>
        <w:ind w:left="573" w:right="1133"/>
        <w:jc w:val="left"/>
      </w:pPr>
      <w:r>
        <w:rPr/>
        <w:t>②财务担保合同负债</w:t>
      </w:r>
      <w:r>
        <w:rPr>
          <w:w w:val="100"/>
        </w:rPr>
        <w:t> </w:t>
      </w:r>
      <w:r>
        <w:rPr>
          <w:spacing w:val="-2"/>
        </w:rPr>
        <w:t>财务担保合同指，当特定债务人到期不能按照最初或修改后的债务工具条款偿付债务时，要求本公司</w:t>
      </w:r>
    </w:p>
    <w:p>
      <w:pPr>
        <w:pStyle w:val="BodyText"/>
        <w:spacing w:line="255" w:lineRule="exact"/>
        <w:ind w:right="0"/>
        <w:jc w:val="both"/>
      </w:pPr>
      <w:r>
        <w:rPr/>
        <w:t>向蒙受损失的合同持有人赔付特定金额的合同。财务担保合同负债以按照依据金融工具的减值原则所确定</w:t>
      </w:r>
    </w:p>
    <w:p>
      <w:pPr>
        <w:pStyle w:val="BodyText"/>
        <w:spacing w:line="240" w:lineRule="auto" w:before="37"/>
        <w:ind w:right="0"/>
        <w:jc w:val="both"/>
      </w:pPr>
      <w:r>
        <w:rPr/>
        <w:t>的损失准备金额以及初始确认金额扣除按收入确认原则确定的累计摊销额后的余额孰高进行后续计量。</w:t>
      </w:r>
    </w:p>
    <w:p>
      <w:pPr>
        <w:pStyle w:val="BodyText"/>
        <w:spacing w:line="376" w:lineRule="auto" w:before="157"/>
        <w:ind w:left="573" w:right="2113"/>
        <w:jc w:val="left"/>
      </w:pPr>
      <w:r>
        <w:rPr/>
        <w:t>③以摊余成本计量的金融负债</w:t>
      </w:r>
      <w:r>
        <w:rPr>
          <w:w w:val="100"/>
        </w:rPr>
        <w:t> </w:t>
      </w:r>
      <w:r>
        <w:rPr>
          <w:spacing w:val="-2"/>
        </w:rPr>
        <w:t>初始确认后，对其他金融负债采用实际利率法以摊余成本计量。</w:t>
      </w:r>
      <w:r>
        <w:rPr>
          <w:spacing w:val="-52"/>
        </w:rPr>
        <w:t> </w:t>
      </w:r>
      <w:r>
        <w:rPr>
          <w:spacing w:val="-52"/>
        </w:rPr>
      </w:r>
      <w:r>
        <w:rPr/>
        <w:t>除特殊情况外，金融负债与权益工具按照下列原则进行区分：</w:t>
      </w:r>
    </w:p>
    <w:p>
      <w:pPr>
        <w:pStyle w:val="BodyText"/>
        <w:spacing w:line="273" w:lineRule="auto" w:before="37"/>
        <w:ind w:right="1126" w:firstLine="420"/>
        <w:jc w:val="both"/>
      </w:pPr>
      <w:r>
        <w:rPr>
          <w:spacing w:val="-2"/>
        </w:rPr>
        <w:t>①如果本公司不能无条件地避免以交付现金或其他金融资产来履行一项合同义务，则该合同义务符合</w:t>
      </w:r>
      <w:r>
        <w:rPr>
          <w:w w:val="100"/>
        </w:rPr>
        <w:t> </w:t>
      </w:r>
      <w:r>
        <w:rPr>
          <w:spacing w:val="-2"/>
        </w:rPr>
        <w:t>金融负债的定义。有些金融工具虽然没有明确地包含交付现金或其他金融资产义务的条款和条件，但有可</w:t>
      </w:r>
      <w:r>
        <w:rPr>
          <w:spacing w:val="-44"/>
        </w:rPr>
        <w:t> </w:t>
      </w:r>
      <w:r>
        <w:rPr>
          <w:spacing w:val="-44"/>
        </w:rPr>
      </w:r>
      <w:r>
        <w:rPr/>
        <w:t>能通过其他条款和条件间接地形成合同义务。</w:t>
      </w:r>
    </w:p>
    <w:p>
      <w:pPr>
        <w:pStyle w:val="BodyText"/>
        <w:spacing w:line="273" w:lineRule="auto" w:before="127"/>
        <w:ind w:right="1126" w:firstLine="420"/>
        <w:jc w:val="both"/>
      </w:pPr>
      <w:r>
        <w:rPr>
          <w:spacing w:val="-2"/>
        </w:rPr>
        <w:t>②如果一项金融工具须用或可用本公司自身权益工具进行结算，需要考虑用于结算该工具的本公司自</w:t>
      </w:r>
      <w:r>
        <w:rPr>
          <w:w w:val="100"/>
        </w:rPr>
        <w:t> </w:t>
      </w:r>
      <w:r>
        <w:rPr>
          <w:spacing w:val="-2"/>
        </w:rPr>
        <w:t>身权益工具，是作为现金或其他金融资产的替代品，还是为了使该工具持有方享有在发行方扣除所有负债</w:t>
      </w:r>
      <w:r>
        <w:rPr>
          <w:spacing w:val="-44"/>
        </w:rPr>
        <w:t> </w:t>
      </w:r>
      <w:r>
        <w:rPr>
          <w:spacing w:val="-44"/>
        </w:rPr>
      </w:r>
      <w:r>
        <w:rPr>
          <w:spacing w:val="-2"/>
        </w:rPr>
        <w:t>后的资产中的剩余权益。如果是前者，该工具是发行方的金融负债；如果是后者，该工具是发行方的权益</w:t>
      </w:r>
      <w:r>
        <w:rPr>
          <w:spacing w:val="-50"/>
        </w:rPr>
        <w:t> </w:t>
      </w:r>
      <w:r>
        <w:rPr>
          <w:spacing w:val="-50"/>
        </w:rPr>
      </w:r>
      <w:r>
        <w:rPr>
          <w:spacing w:val="-2"/>
        </w:rPr>
        <w:t>工具。在某些情况下，一项金融工具合同规定本公司须用或可用自身权益工具结算该金融工具，其中合同</w:t>
      </w:r>
      <w:r>
        <w:rPr>
          <w:spacing w:val="-43"/>
        </w:rPr>
        <w:t> </w:t>
      </w:r>
      <w:r>
        <w:rPr>
          <w:spacing w:val="-43"/>
        </w:rPr>
      </w:r>
      <w:r>
        <w:rPr>
          <w:spacing w:val="-2"/>
        </w:rPr>
        <w:t>权利或合同义务的金额等于可获取或需交付的自身权益工具的数量乘以其结算时的公允价值，则无论该合</w:t>
      </w:r>
      <w:r>
        <w:rPr>
          <w:spacing w:val="-43"/>
        </w:rPr>
        <w:t> </w:t>
      </w:r>
      <w:r>
        <w:rPr>
          <w:spacing w:val="-43"/>
        </w:rPr>
      </w:r>
      <w:r>
        <w:rPr>
          <w:spacing w:val="2"/>
        </w:rPr>
        <w:t>同权利或合同义务的金额是固定的，还是完全或部分地基于除本公司自身权益工具的市场价格以外变量</w:t>
      </w:r>
    </w:p>
    <w:p>
      <w:pPr>
        <w:pStyle w:val="BodyText"/>
        <w:spacing w:line="240" w:lineRule="auto" w:before="8"/>
        <w:ind w:right="0"/>
        <w:jc w:val="both"/>
      </w:pPr>
      <w:r>
        <w:rPr/>
        <w:t>（例如利率、某种商品的价格或某项金融工具的价格）的变动而变动，该合同分类为金融负债。</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）衍生金融工具及嵌入衍生工具</w:t>
      </w:r>
      <w:r>
        <w:rPr>
          <w:rFonts w:ascii="宋体" w:hAnsi="宋体" w:cs="宋体" w:eastAsia="宋体" w:hint="default"/>
          <w:b/>
          <w:bCs/>
          <w:w w:val="100"/>
          <w:sz w:val="21"/>
          <w:szCs w:val="21"/>
        </w:rPr>
        <w:t> </w:t>
      </w:r>
      <w:r>
        <w:rPr>
          <w:rFonts w:ascii="宋体" w:hAnsi="宋体" w:cs="宋体" w:eastAsia="宋体" w:hint="default"/>
          <w:spacing w:val="-2"/>
          <w:sz w:val="21"/>
          <w:szCs w:val="21"/>
        </w:rPr>
        <w:t>衍生金融工具初始以衍生交易合同签订当日的公允价值进行计量，并以其公允价值进行后续计量。公</w:t>
      </w:r>
    </w:p>
    <w:p>
      <w:pPr>
        <w:pStyle w:val="BodyText"/>
        <w:spacing w:line="209" w:lineRule="exact"/>
        <w:ind w:right="0"/>
        <w:jc w:val="both"/>
      </w:pPr>
      <w:r>
        <w:rPr/>
        <w:t>允价值为正数的衍生金融工具确认为一项资产，公允价值为负数的确认为一项负债。</w:t>
      </w:r>
    </w:p>
    <w:p>
      <w:pPr>
        <w:pStyle w:val="BodyText"/>
        <w:spacing w:line="273" w:lineRule="auto" w:before="157"/>
        <w:ind w:right="1140" w:firstLine="420"/>
        <w:jc w:val="both"/>
      </w:pPr>
      <w:r>
        <w:rPr>
          <w:spacing w:val="2"/>
        </w:rPr>
        <w:t>除现金流量套期中属于套期有效的部分计入其他综合收益并于被套期项目影响损益时转出计入当期</w:t>
      </w:r>
      <w:r>
        <w:rPr>
          <w:w w:val="100"/>
        </w:rPr>
        <w:t> </w:t>
      </w:r>
      <w:r>
        <w:rPr/>
        <w:t>损益之外，衍生工具公允价值变动而产生的利得或损失，直接计入当期损益。</w:t>
      </w:r>
    </w:p>
    <w:p>
      <w:pPr>
        <w:pStyle w:val="BodyText"/>
        <w:spacing w:line="273" w:lineRule="auto" w:before="127"/>
        <w:ind w:right="1126" w:firstLine="420"/>
        <w:jc w:val="both"/>
      </w:pPr>
      <w:r>
        <w:rPr>
          <w:spacing w:val="-2"/>
        </w:rPr>
        <w:t>对包含嵌入衍生工具的混合工具，如主合同为金融资产的，混合工具作为一个整体适用金融资产分类</w:t>
      </w:r>
      <w:r>
        <w:rPr>
          <w:w w:val="100"/>
        </w:rPr>
        <w:t> </w:t>
      </w:r>
      <w:r>
        <w:rPr>
          <w:spacing w:val="-2"/>
        </w:rPr>
        <w:t>的相关规定。如主合同并非金融资产，且该混合工具不是以公允价值计量且其变动计入当期损益进行会计</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处理，嵌入衍生工具与该主合同在经济特征及风险方面不存在紧密关系，且与嵌入衍生工具条件相同，单</w:t>
      </w:r>
      <w:r>
        <w:rPr>
          <w:spacing w:val="-44"/>
        </w:rPr>
        <w:t> </w:t>
      </w:r>
      <w:r>
        <w:rPr>
          <w:spacing w:val="-44"/>
        </w:rPr>
      </w:r>
      <w:r>
        <w:rPr>
          <w:spacing w:val="-2"/>
        </w:rPr>
        <w:t>独存在的工具符合衍生工具定义的，嵌入衍生工具从混合工具中分拆，作为单独的衍生金融工具处理。如</w:t>
      </w:r>
      <w:r>
        <w:rPr>
          <w:spacing w:val="-44"/>
        </w:rPr>
        <w:t> </w:t>
      </w:r>
      <w:r>
        <w:rPr>
          <w:spacing w:val="-44"/>
        </w:rPr>
      </w:r>
      <w:r>
        <w:rPr>
          <w:spacing w:val="-2"/>
        </w:rPr>
        <w:t>果该嵌入衍生工具在取得日或后续资产负债表日的公允价值无法单独计量，则将混合工具整体指定为以公</w:t>
      </w:r>
      <w:r>
        <w:rPr>
          <w:spacing w:val="-43"/>
        </w:rPr>
        <w:t> </w:t>
      </w:r>
      <w:r>
        <w:rPr>
          <w:spacing w:val="-43"/>
        </w:rPr>
      </w:r>
      <w:r>
        <w:rPr/>
        <w:t>允价值计量且其变动计入当期损益的金融资产或金融负债。</w:t>
      </w:r>
    </w:p>
    <w:p>
      <w:pPr>
        <w:pStyle w:val="BodyText"/>
        <w:spacing w:line="357" w:lineRule="auto" w:before="12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）金融工具减值</w:t>
      </w:r>
      <w:r>
        <w:rPr>
          <w:rFonts w:ascii="宋体" w:hAnsi="宋体" w:cs="宋体" w:eastAsia="宋体" w:hint="default"/>
          <w:b/>
          <w:bCs/>
          <w:w w:val="100"/>
        </w:rPr>
        <w:t> </w:t>
      </w:r>
      <w:r>
        <w:rPr>
          <w:spacing w:val="2"/>
        </w:rPr>
        <w:t>本公司对于以摊余成本计量的金融资产、以公允价值计量且其变动计入其他综合收益的债务工具投</w:t>
      </w:r>
    </w:p>
    <w:p>
      <w:pPr>
        <w:pStyle w:val="BodyText"/>
        <w:spacing w:line="209" w:lineRule="exact"/>
        <w:ind w:right="0"/>
        <w:jc w:val="both"/>
      </w:pPr>
      <w:r>
        <w:rPr/>
        <w:t>资、租赁应收款及财务担保合同等，以预期信用损失为基础确认损失准备。</w:t>
      </w:r>
    </w:p>
    <w:p>
      <w:pPr>
        <w:pStyle w:val="BodyText"/>
        <w:spacing w:line="430" w:lineRule="atLeast" w:before="2"/>
        <w:ind w:left="573" w:right="1133"/>
        <w:jc w:val="left"/>
      </w:pPr>
      <w:r>
        <w:rPr/>
        <w:t>①预期信用损失的计量</w:t>
      </w:r>
      <w:r>
        <w:rPr>
          <w:w w:val="100"/>
        </w:rPr>
        <w:t> </w:t>
      </w:r>
      <w:r>
        <w:rPr>
          <w:spacing w:val="-2"/>
        </w:rPr>
        <w:t>预期信用损失，是指以发生违约的风险为权重的金融工具信用损失的加权平均值。信用损失，是指本</w:t>
      </w:r>
    </w:p>
    <w:p>
      <w:pPr>
        <w:pStyle w:val="BodyText"/>
        <w:spacing w:line="273" w:lineRule="auto" w:before="37"/>
        <w:ind w:right="1104"/>
        <w:jc w:val="both"/>
      </w:pPr>
      <w:r>
        <w:rPr>
          <w:spacing w:val="-2"/>
        </w:rPr>
        <w:t>公司按照原实际利率折现的、根据合同应收的所有合同现金流量与预期收取的所有现金流量之间的差额，</w:t>
      </w:r>
      <w:r>
        <w:rPr>
          <w:spacing w:val="-21"/>
        </w:rPr>
        <w:t> </w:t>
      </w:r>
      <w:r>
        <w:rPr>
          <w:spacing w:val="-21"/>
        </w:rPr>
      </w:r>
      <w:r>
        <w:rPr>
          <w:spacing w:val="-2"/>
        </w:rPr>
        <w:t>即全部现金短缺的现值。其中，对于本公司购买或源生的已发生信用减值的金融资产，应按照该金融资产</w:t>
      </w:r>
      <w:r>
        <w:rPr>
          <w:spacing w:val="-44"/>
        </w:rPr>
        <w:t> </w:t>
      </w:r>
      <w:r>
        <w:rPr>
          <w:spacing w:val="-44"/>
        </w:rPr>
      </w:r>
      <w:r>
        <w:rPr/>
        <w:t>经信用调整的实际利率折现。</w:t>
      </w:r>
    </w:p>
    <w:p>
      <w:pPr>
        <w:pStyle w:val="BodyText"/>
        <w:spacing w:line="273" w:lineRule="auto" w:before="127"/>
        <w:ind w:right="1126" w:firstLine="420"/>
        <w:jc w:val="both"/>
      </w:pPr>
      <w:r>
        <w:rPr>
          <w:spacing w:val="-2"/>
        </w:rPr>
        <w:t>整个存续期预期信用损失，是指因金融工具整个预计存续期内所有可能发生的违约事件而导致的预期</w:t>
      </w:r>
      <w:r>
        <w:rPr>
          <w:w w:val="100"/>
        </w:rPr>
        <w:t> </w:t>
      </w:r>
      <w:r>
        <w:rPr/>
        <w:t>信用损失。</w:t>
      </w:r>
    </w:p>
    <w:p>
      <w:pPr>
        <w:pStyle w:val="BodyText"/>
        <w:spacing w:line="264" w:lineRule="auto" w:before="127"/>
        <w:ind w:right="1022" w:firstLine="420"/>
        <w:jc w:val="left"/>
      </w:pPr>
      <w:r>
        <w:rPr>
          <w:spacing w:val="-4"/>
        </w:rPr>
        <w:t>未来</w:t>
      </w:r>
      <w:r>
        <w:rPr>
          <w:rFonts w:ascii="Times New Roman" w:hAnsi="Times New Roman" w:cs="Times New Roman" w:eastAsia="Times New Roman" w:hint="default"/>
          <w:spacing w:val="-4"/>
        </w:rPr>
        <w:t>12</w:t>
      </w:r>
      <w:r>
        <w:rPr>
          <w:spacing w:val="-4"/>
        </w:rPr>
        <w:t>个月内预期信用损失，是指因资产负债表日后</w:t>
      </w:r>
      <w:r>
        <w:rPr>
          <w:rFonts w:ascii="Times New Roman" w:hAnsi="Times New Roman" w:cs="Times New Roman" w:eastAsia="Times New Roman" w:hint="default"/>
          <w:spacing w:val="-4"/>
        </w:rPr>
        <w:t>12</w:t>
      </w:r>
      <w:r>
        <w:rPr>
          <w:spacing w:val="-4"/>
        </w:rPr>
        <w:t>个月内（若金融工具的预计存续期少于</w:t>
      </w:r>
      <w:r>
        <w:rPr>
          <w:rFonts w:ascii="Times New Roman" w:hAnsi="Times New Roman" w:cs="Times New Roman" w:eastAsia="Times New Roman" w:hint="default"/>
          <w:spacing w:val="-4"/>
        </w:rPr>
        <w:t>12</w:t>
      </w:r>
      <w:r>
        <w:rPr>
          <w:spacing w:val="-4"/>
        </w:rPr>
        <w:t>个月，</w:t>
      </w:r>
      <w:r>
        <w:rPr>
          <w:w w:val="100"/>
        </w:rPr>
        <w:t> </w:t>
      </w:r>
      <w:r>
        <w:rPr>
          <w:spacing w:val="-2"/>
        </w:rPr>
        <w:t>则为预计存续期）可能发生的金融工具违约事件而导致的预期信用损失，是整个存续期预期信用损失的一</w:t>
      </w:r>
      <w:r>
        <w:rPr>
          <w:spacing w:val="-44"/>
        </w:rPr>
        <w:t> </w:t>
      </w:r>
      <w:r>
        <w:rPr>
          <w:spacing w:val="-44"/>
        </w:rPr>
      </w:r>
      <w:r>
        <w:rPr/>
        <w:t>部分。</w:t>
      </w:r>
    </w:p>
    <w:p>
      <w:pPr>
        <w:pStyle w:val="BodyText"/>
        <w:spacing w:line="268" w:lineRule="auto" w:before="136"/>
        <w:ind w:right="1125" w:firstLine="420"/>
        <w:jc w:val="both"/>
      </w:pPr>
      <w:r>
        <w:rPr>
          <w:spacing w:val="-2"/>
        </w:rPr>
        <w:t>于每个资产负债表日，本公司对于处于不同阶段的金融工具的预期信用损失分别进行计量。金融工具</w:t>
      </w:r>
      <w:r>
        <w:rPr>
          <w:w w:val="100"/>
        </w:rPr>
        <w:t> </w:t>
      </w:r>
      <w:r>
        <w:rPr>
          <w:spacing w:val="-2"/>
        </w:rPr>
        <w:t>自初始确认后信用风险未显著增加的，处于第一阶段，本公司按照未来</w:t>
      </w:r>
      <w:r>
        <w:rPr>
          <w:rFonts w:ascii="Times New Roman" w:hAnsi="Times New Roman" w:cs="Times New Roman" w:eastAsia="Times New Roman" w:hint="default"/>
          <w:spacing w:val="-2"/>
        </w:rPr>
        <w:t>12</w:t>
      </w:r>
      <w:r>
        <w:rPr>
          <w:spacing w:val="-2"/>
        </w:rPr>
        <w:t>个月内的预期信用损失计量损失</w:t>
      </w:r>
      <w:r>
        <w:rPr>
          <w:spacing w:val="-42"/>
        </w:rPr>
        <w:t> </w:t>
      </w:r>
      <w:r>
        <w:rPr>
          <w:spacing w:val="-42"/>
        </w:rPr>
      </w:r>
      <w:r>
        <w:rPr>
          <w:spacing w:val="-2"/>
        </w:rPr>
        <w:t>准备；金融工具自初始确认后信用风险已显著增加但尚未发生信用减值的，处于第二阶段，本公司按照该</w:t>
      </w:r>
      <w:r>
        <w:rPr>
          <w:spacing w:val="-44"/>
        </w:rPr>
        <w:t> </w:t>
      </w:r>
      <w:r>
        <w:rPr>
          <w:spacing w:val="-44"/>
        </w:rPr>
      </w:r>
      <w:r>
        <w:rPr>
          <w:spacing w:val="-2"/>
        </w:rPr>
        <w:t>工具整个存续期的预期信用损失计量损失准备；金融工具自初始确认后已经发生信用减值的，处于第三阶</w:t>
      </w:r>
      <w:r>
        <w:rPr>
          <w:spacing w:val="-44"/>
        </w:rPr>
        <w:t> </w:t>
      </w:r>
      <w:r>
        <w:rPr>
          <w:spacing w:val="-44"/>
        </w:rPr>
      </w:r>
      <w:r>
        <w:rPr/>
        <w:t>段，本公司按照该工具整个存续期的预期信用损失计量损失准备。</w:t>
      </w:r>
    </w:p>
    <w:p>
      <w:pPr>
        <w:pStyle w:val="BodyText"/>
        <w:spacing w:line="273" w:lineRule="auto" w:before="132"/>
        <w:ind w:right="1126" w:firstLine="420"/>
        <w:jc w:val="both"/>
      </w:pPr>
      <w:r>
        <w:rPr>
          <w:spacing w:val="-2"/>
        </w:rPr>
        <w:t>对于在资产负债表日具有较低信用风险的金融工具，本公司假设其信用风险自初始确认后并未显著增</w:t>
      </w:r>
      <w:r>
        <w:rPr>
          <w:w w:val="100"/>
        </w:rPr>
        <w:t> </w:t>
      </w:r>
      <w:r>
        <w:rPr/>
        <w:t>加，按照未来</w:t>
      </w:r>
      <w:r>
        <w:rPr>
          <w:rFonts w:ascii="Times New Roman" w:hAnsi="Times New Roman" w:cs="Times New Roman" w:eastAsia="Times New Roman" w:hint="default"/>
        </w:rPr>
        <w:t>12</w:t>
      </w:r>
      <w:r>
        <w:rPr/>
        <w:t>个月内的预期信用损失计量损失准备。</w:t>
      </w:r>
    </w:p>
    <w:p>
      <w:pPr>
        <w:pStyle w:val="BodyText"/>
        <w:spacing w:line="273" w:lineRule="auto" w:before="108"/>
        <w:ind w:right="1126" w:firstLine="420"/>
        <w:jc w:val="both"/>
      </w:pPr>
      <w:r>
        <w:rPr>
          <w:spacing w:val="-2"/>
        </w:rPr>
        <w:t>本公司对于处于第一阶段和第二阶段、以及较低信用风险的金融工具，按照其未扣除减值准备的账面</w:t>
      </w:r>
      <w:r>
        <w:rPr>
          <w:w w:val="100"/>
        </w:rPr>
        <w:t> </w:t>
      </w:r>
      <w:r>
        <w:rPr>
          <w:spacing w:val="-2"/>
        </w:rPr>
        <w:t>余额和实际利率计算利息收入。对于处于第三阶段的金融工具，按照其账面余额减已计提减值准备后的摊</w:t>
      </w:r>
      <w:r>
        <w:rPr>
          <w:spacing w:val="-43"/>
        </w:rPr>
        <w:t> </w:t>
      </w:r>
      <w:r>
        <w:rPr>
          <w:spacing w:val="-43"/>
        </w:rPr>
      </w:r>
      <w:r>
        <w:rPr/>
        <w:t>余成本和实际利率计算利息收入。</w:t>
      </w:r>
    </w:p>
    <w:p>
      <w:pPr>
        <w:pStyle w:val="BodyText"/>
        <w:spacing w:line="273" w:lineRule="auto" w:before="127"/>
        <w:ind w:right="1126" w:firstLine="420"/>
        <w:jc w:val="both"/>
      </w:pPr>
      <w:r>
        <w:rPr>
          <w:spacing w:val="-2"/>
        </w:rPr>
        <w:t>对于应收票据、应收账款及应收融资款，无论是否存在重大融资成分，本公司均按照整个存续期的预</w:t>
      </w:r>
      <w:r>
        <w:rPr>
          <w:w w:val="100"/>
        </w:rPr>
        <w:t> </w:t>
      </w:r>
      <w:r>
        <w:rPr/>
        <w:t>期信用损失计量损失准备。</w:t>
      </w:r>
    </w:p>
    <w:p>
      <w:pPr>
        <w:pStyle w:val="BodyText"/>
        <w:spacing w:line="357" w:lineRule="auto" w:before="127"/>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应收款项</w:t>
      </w:r>
      <w:r>
        <w:rPr>
          <w:w w:val="100"/>
        </w:rPr>
        <w:t> </w:t>
      </w:r>
      <w:r>
        <w:rPr>
          <w:spacing w:val="-2"/>
        </w:rPr>
        <w:t>对于存在客观证据表明存在减值，以及其他适用于单项评估的应收票据、应收账款、其他应收款、应</w:t>
      </w:r>
    </w:p>
    <w:p>
      <w:pPr>
        <w:pStyle w:val="BodyText"/>
        <w:spacing w:line="209" w:lineRule="exact"/>
        <w:ind w:right="0"/>
        <w:jc w:val="both"/>
      </w:pPr>
      <w:r>
        <w:rPr/>
        <w:t>收款项融资及长期应收款等单独进行减值测试，确认预期信用损失，计提单项减值准备。对于不存在减值</w:t>
      </w:r>
    </w:p>
    <w:p>
      <w:pPr>
        <w:pStyle w:val="BodyText"/>
        <w:spacing w:line="273" w:lineRule="auto" w:before="37"/>
        <w:ind w:right="1126"/>
        <w:jc w:val="both"/>
      </w:pPr>
      <w:r>
        <w:rPr>
          <w:spacing w:val="-2"/>
        </w:rPr>
        <w:t>客观证据的应收票据、应收账款、其他应收款、应收款项融资及长期应收款或当单项金融资产无法以合理</w:t>
      </w:r>
      <w:r>
        <w:rPr>
          <w:spacing w:val="-43"/>
        </w:rPr>
        <w:t> </w:t>
      </w:r>
      <w:r>
        <w:rPr>
          <w:spacing w:val="-43"/>
        </w:rPr>
      </w:r>
      <w:r>
        <w:rPr>
          <w:spacing w:val="-2"/>
        </w:rPr>
        <w:t>成本评估预期信用损失的信息时，本公司依据信用风险特征将应收票据、应收账款、其他应收款、应收款</w:t>
      </w:r>
      <w:r>
        <w:rPr>
          <w:spacing w:val="-47"/>
        </w:rPr>
        <w:t> </w:t>
      </w:r>
      <w:r>
        <w:rPr>
          <w:spacing w:val="-47"/>
        </w:rPr>
      </w:r>
      <w:r>
        <w:rPr/>
        <w:t>项融资及长期应收款等划分为若干组合，在组合基础上计算预期信用损失，确定组合的依据如下：</w:t>
      </w:r>
    </w:p>
    <w:p>
      <w:pPr>
        <w:pStyle w:val="BodyText"/>
        <w:spacing w:line="357" w:lineRule="auto" w:before="127"/>
        <w:ind w:left="573" w:right="6473"/>
        <w:jc w:val="left"/>
      </w:pPr>
      <w:r>
        <w:rPr>
          <w:spacing w:val="-2"/>
        </w:rPr>
        <w:t>（</w:t>
      </w:r>
      <w:r>
        <w:rPr>
          <w:rFonts w:ascii="Times New Roman" w:hAnsi="Times New Roman" w:cs="Times New Roman" w:eastAsia="Times New Roman" w:hint="default"/>
          <w:spacing w:val="-2"/>
        </w:rPr>
        <w:t>a</w:t>
      </w:r>
      <w:r>
        <w:rPr>
          <w:spacing w:val="-2"/>
        </w:rPr>
        <w:t>）应收票据确定组合的依据如下：</w:t>
      </w:r>
      <w:r>
        <w:rPr>
          <w:spacing w:val="-74"/>
        </w:rPr>
        <w:t> </w:t>
      </w:r>
      <w:r>
        <w:rPr>
          <w:spacing w:val="-74"/>
        </w:rPr>
      </w:r>
      <w:r>
        <w:rPr/>
        <w:t>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银行承兑汇票</w:t>
      </w:r>
      <w:r>
        <w:rPr>
          <w:w w:val="100"/>
        </w:rPr>
        <w:t> </w:t>
      </w:r>
      <w:r>
        <w:rPr/>
        <w:t>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商业承兑汇票</w:t>
      </w:r>
    </w:p>
    <w:p>
      <w:pPr>
        <w:spacing w:after="0" w:line="357" w:lineRule="auto"/>
        <w:jc w:val="left"/>
        <w:sectPr>
          <w:footerReference w:type="default" r:id="rId18"/>
          <w:pgSz w:w="11910" w:h="16840"/>
          <w:pgMar w:footer="979" w:header="887" w:top="1200" w:bottom="1160" w:left="980" w:right="0"/>
          <w:pgNumType w:start="120"/>
        </w:sectPr>
      </w:pPr>
    </w:p>
    <w:p>
      <w:pPr>
        <w:spacing w:line="240" w:lineRule="auto" w:before="12"/>
        <w:rPr>
          <w:rFonts w:ascii="宋体" w:hAnsi="宋体" w:cs="宋体" w:eastAsia="宋体" w:hint="default"/>
          <w:sz w:val="13"/>
          <w:szCs w:val="13"/>
        </w:rPr>
      </w:pPr>
    </w:p>
    <w:p>
      <w:pPr>
        <w:pStyle w:val="BodyText"/>
        <w:spacing w:line="273" w:lineRule="auto" w:before="36"/>
        <w:ind w:right="1133" w:firstLine="420"/>
        <w:jc w:val="left"/>
      </w:pPr>
      <w:r>
        <w:rPr>
          <w:spacing w:val="-2"/>
        </w:rPr>
        <w:t>对于划分为组合的应收票据，本公司参考历史信用损失经验，结合当前状况以及对未来经济状况的预</w:t>
      </w:r>
      <w:r>
        <w:rPr>
          <w:w w:val="100"/>
        </w:rPr>
        <w:t> </w:t>
      </w:r>
      <w:r>
        <w:rPr/>
        <w:t>测，通过违约风险敞口和整个存续期预期信用损失率，计算预期信用损失。</w:t>
      </w:r>
    </w:p>
    <w:p>
      <w:pPr>
        <w:pStyle w:val="BodyText"/>
        <w:spacing w:line="357" w:lineRule="auto" w:before="127"/>
        <w:ind w:left="573" w:right="6473"/>
        <w:jc w:val="left"/>
      </w:pPr>
      <w:r>
        <w:rPr>
          <w:spacing w:val="-2"/>
        </w:rPr>
        <w:t>（</w:t>
      </w:r>
      <w:r>
        <w:rPr>
          <w:rFonts w:ascii="Times New Roman" w:hAnsi="Times New Roman" w:cs="Times New Roman" w:eastAsia="Times New Roman" w:hint="default"/>
          <w:spacing w:val="-2"/>
        </w:rPr>
        <w:t>b</w:t>
      </w:r>
      <w:r>
        <w:rPr>
          <w:spacing w:val="-2"/>
        </w:rPr>
        <w:t>）应收账款确定组合的依据如下：</w:t>
      </w:r>
      <w:r>
        <w:rPr>
          <w:spacing w:val="-73"/>
        </w:rPr>
        <w:t> </w:t>
      </w:r>
      <w:r>
        <w:rPr>
          <w:spacing w:val="-73"/>
        </w:rPr>
      </w:r>
      <w:r>
        <w:rPr/>
        <w:t>应收账款组合</w:t>
      </w: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应收客户款</w:t>
      </w:r>
    </w:p>
    <w:p>
      <w:pPr>
        <w:pStyle w:val="BodyText"/>
        <w:spacing w:line="240" w:lineRule="auto" w:before="27"/>
        <w:ind w:left="573" w:right="1133"/>
        <w:jc w:val="left"/>
      </w:pPr>
      <w:r>
        <w:rPr/>
        <w:t>应收账款组合</w:t>
      </w: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应收合并范围内关联方款项</w:t>
      </w:r>
    </w:p>
    <w:p>
      <w:pPr>
        <w:pStyle w:val="BodyText"/>
        <w:spacing w:line="357" w:lineRule="auto" w:before="141"/>
        <w:ind w:left="573" w:right="6473"/>
        <w:jc w:val="left"/>
      </w:pPr>
      <w:r>
        <w:rPr>
          <w:spacing w:val="-2"/>
        </w:rPr>
        <w:t>（</w:t>
      </w:r>
      <w:r>
        <w:rPr>
          <w:rFonts w:ascii="Times New Roman" w:hAnsi="Times New Roman" w:cs="Times New Roman" w:eastAsia="Times New Roman" w:hint="default"/>
          <w:spacing w:val="-2"/>
        </w:rPr>
        <w:t>c</w:t>
      </w:r>
      <w:r>
        <w:rPr>
          <w:spacing w:val="-2"/>
        </w:rPr>
        <w:t>）其他应收款确定组合的依据如下：</w:t>
      </w:r>
      <w:r>
        <w:rPr>
          <w:spacing w:val="-73"/>
        </w:rPr>
        <w:t> </w:t>
      </w:r>
      <w:r>
        <w:rPr>
          <w:spacing w:val="-73"/>
        </w:rPr>
      </w:r>
      <w:r>
        <w:rPr/>
        <w:t>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应收利息</w:t>
      </w:r>
      <w:r>
        <w:rPr>
          <w:w w:val="100"/>
        </w:rPr>
        <w:t> </w:t>
      </w:r>
      <w:r>
        <w:rPr/>
        <w:t>其他应收款组合</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应收股利</w:t>
      </w:r>
      <w:r>
        <w:rPr>
          <w:w w:val="100"/>
        </w:rPr>
        <w:t> </w:t>
      </w:r>
      <w:r>
        <w:rPr/>
        <w:t>其他应收款组合</w:t>
      </w:r>
      <w:r>
        <w:rPr>
          <w:rFonts w:ascii="Times New Roman" w:hAnsi="Times New Roman" w:cs="Times New Roman" w:eastAsia="Times New Roman" w:hint="default"/>
        </w:rPr>
        <w:t>3  </w:t>
      </w:r>
      <w:r>
        <w:rPr>
          <w:rFonts w:ascii="Times New Roman" w:hAnsi="Times New Roman" w:cs="Times New Roman" w:eastAsia="Times New Roman" w:hint="default"/>
          <w:spacing w:val="10"/>
        </w:rPr>
        <w:t> </w:t>
      </w:r>
      <w:r>
        <w:rPr/>
        <w:t>应收其他款项组合</w:t>
      </w:r>
    </w:p>
    <w:p>
      <w:pPr>
        <w:pStyle w:val="BodyText"/>
        <w:spacing w:line="357" w:lineRule="auto" w:before="28"/>
        <w:ind w:left="573" w:right="1133"/>
        <w:jc w:val="left"/>
      </w:pPr>
      <w:r>
        <w:rPr/>
        <w:t>其他应收款组合</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应收合并范围内关联方款项</w:t>
      </w:r>
      <w:r>
        <w:rPr>
          <w:w w:val="100"/>
        </w:rPr>
        <w:t> </w:t>
      </w:r>
      <w:r>
        <w:rPr>
          <w:spacing w:val="-2"/>
        </w:rPr>
        <w:t>对于划分为组合的其他应收款，本公司参考历史信用损失经验，结合当前状况以及对未来经济状况的</w:t>
      </w:r>
    </w:p>
    <w:p>
      <w:pPr>
        <w:pStyle w:val="BodyText"/>
        <w:spacing w:line="225" w:lineRule="exact"/>
        <w:ind w:right="1133"/>
        <w:jc w:val="left"/>
      </w:pPr>
      <w:r>
        <w:rPr/>
        <w:t>预测，通过违约风险敞口和未来</w:t>
      </w:r>
      <w:r>
        <w:rPr>
          <w:rFonts w:ascii="Times New Roman" w:hAnsi="Times New Roman" w:cs="Times New Roman" w:eastAsia="Times New Roman" w:hint="default"/>
        </w:rPr>
        <w:t>12</w:t>
      </w:r>
      <w:r>
        <w:rPr/>
        <w:t>个月内或整个存续期预期信用损失率，计算预期信用损失。</w:t>
      </w:r>
    </w:p>
    <w:p>
      <w:pPr>
        <w:pStyle w:val="BodyText"/>
        <w:spacing w:line="357" w:lineRule="auto" w:before="141"/>
        <w:ind w:left="573" w:right="6433"/>
        <w:jc w:val="left"/>
      </w:pPr>
      <w:r>
        <w:rPr>
          <w:spacing w:val="-2"/>
        </w:rPr>
        <w:t>（</w:t>
      </w:r>
      <w:r>
        <w:rPr>
          <w:rFonts w:ascii="Times New Roman" w:hAnsi="Times New Roman" w:cs="Times New Roman" w:eastAsia="Times New Roman" w:hint="default"/>
          <w:spacing w:val="-2"/>
        </w:rPr>
        <w:t>d</w:t>
      </w:r>
      <w:r>
        <w:rPr>
          <w:spacing w:val="-2"/>
        </w:rPr>
        <w:t>）应收款项融资确定组合的依据如下：</w:t>
      </w:r>
      <w:r>
        <w:rPr>
          <w:spacing w:val="-69"/>
        </w:rPr>
        <w:t> </w:t>
      </w:r>
      <w:r>
        <w:rPr>
          <w:spacing w:val="-69"/>
        </w:rPr>
      </w:r>
      <w:r>
        <w:rPr/>
        <w:t>应收款项融资组合</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银行承兑汇票</w:t>
      </w:r>
      <w:r>
        <w:rPr>
          <w:w w:val="100"/>
        </w:rPr>
        <w:t> </w:t>
      </w:r>
      <w:r>
        <w:rPr/>
        <w:t>应收款项融资组合</w:t>
      </w: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应收账款</w:t>
      </w:r>
    </w:p>
    <w:p>
      <w:pPr>
        <w:pStyle w:val="BodyText"/>
        <w:spacing w:line="273" w:lineRule="auto" w:before="27"/>
        <w:ind w:right="1133" w:firstLine="420"/>
        <w:jc w:val="left"/>
      </w:pPr>
      <w:r>
        <w:rPr>
          <w:spacing w:val="-2"/>
        </w:rPr>
        <w:t>对于划分为组合的应收款项融资，本公司参考历史信用损失经验，结合当前状况以及对未来经济状况</w:t>
      </w:r>
      <w:r>
        <w:rPr>
          <w:w w:val="100"/>
        </w:rPr>
        <w:t> </w:t>
      </w:r>
      <w:r>
        <w:rPr/>
        <w:t>的预测，通过违约风险敞口和整个存续期预期信用损失率，计算预期信用损失。</w:t>
      </w:r>
    </w:p>
    <w:p>
      <w:pPr>
        <w:pStyle w:val="BodyText"/>
        <w:spacing w:line="256" w:lineRule="auto" w:before="127"/>
        <w:ind w:right="1133" w:firstLine="420"/>
        <w:jc w:val="left"/>
      </w:pPr>
      <w:r>
        <w:rPr/>
        <w:t>（</w:t>
      </w:r>
      <w:r>
        <w:rPr>
          <w:rFonts w:ascii="Times New Roman" w:hAnsi="Times New Roman" w:cs="Times New Roman" w:eastAsia="Times New Roman" w:hint="default"/>
        </w:rPr>
        <w:t>e</w:t>
      </w:r>
      <w:r>
        <w:rPr/>
        <w:t>）对于长期应收款、应收款项融资，本公司参考历史信用损失经验，结合当前状况以及对未来经</w:t>
      </w:r>
      <w:r>
        <w:rPr>
          <w:w w:val="100"/>
        </w:rPr>
        <w:t> </w:t>
      </w:r>
      <w:r>
        <w:rPr/>
        <w:t>济状况的预测，通过违约风险敞口和整个存续期预期信用损失率，计算预期信用损失。</w:t>
      </w:r>
    </w:p>
    <w:p>
      <w:pPr>
        <w:pStyle w:val="BodyText"/>
        <w:spacing w:line="357" w:lineRule="auto" w:before="142"/>
        <w:ind w:left="57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债权投资、其他债权投资</w:t>
      </w:r>
      <w:r>
        <w:rPr>
          <w:w w:val="100"/>
        </w:rPr>
        <w:t> </w:t>
      </w:r>
      <w:r>
        <w:rPr>
          <w:spacing w:val="-2"/>
        </w:rPr>
        <w:t>对于债权投资和其他债权投资，本公司按照投资的性质，根据交易对手和风险敞口的各种类型，通过</w:t>
      </w:r>
    </w:p>
    <w:p>
      <w:pPr>
        <w:pStyle w:val="BodyText"/>
        <w:spacing w:line="225" w:lineRule="exact"/>
        <w:ind w:right="1133"/>
        <w:jc w:val="left"/>
      </w:pPr>
      <w:r>
        <w:rPr/>
        <w:t>违约风险敞口和未来</w:t>
      </w:r>
      <w:r>
        <w:rPr>
          <w:spacing w:val="-23"/>
        </w:rPr>
        <w:t> </w:t>
      </w:r>
      <w:r>
        <w:rPr>
          <w:rFonts w:ascii="Times New Roman" w:hAnsi="Times New Roman" w:cs="Times New Roman" w:eastAsia="Times New Roman" w:hint="default"/>
        </w:rPr>
        <w:t>12</w:t>
      </w:r>
      <w:r>
        <w:rPr/>
        <w:t>个月内或整个存续期预期信用损失率，计算预期信用损失。</w:t>
      </w:r>
    </w:p>
    <w:p>
      <w:pPr>
        <w:pStyle w:val="BodyText"/>
        <w:spacing w:line="432" w:lineRule="exact" w:before="41"/>
        <w:ind w:left="573" w:right="1133"/>
        <w:jc w:val="left"/>
      </w:pPr>
      <w:r>
        <w:rPr/>
        <w:t>②具有较低的信用风险</w:t>
      </w:r>
      <w:r>
        <w:rPr>
          <w:w w:val="100"/>
        </w:rPr>
        <w:t> </w:t>
      </w:r>
      <w:r>
        <w:rPr>
          <w:spacing w:val="-2"/>
        </w:rPr>
        <w:t>如果金融工具的违约风险较低，借款人在短期内履行其合同现金流量义务的能力很强，并且即便较长</w:t>
      </w:r>
    </w:p>
    <w:p>
      <w:pPr>
        <w:pStyle w:val="BodyText"/>
        <w:spacing w:line="255" w:lineRule="exact"/>
        <w:ind w:right="0"/>
        <w:jc w:val="left"/>
      </w:pPr>
      <w:r>
        <w:rPr/>
        <w:t>时期内经济形势和经营环境存在不利变化但未必一定降低借款人履行其合同现金流量义务的能力，该金融</w:t>
      </w:r>
    </w:p>
    <w:p>
      <w:pPr>
        <w:pStyle w:val="BodyText"/>
        <w:spacing w:line="240" w:lineRule="auto" w:before="37"/>
        <w:ind w:right="1133"/>
        <w:jc w:val="left"/>
      </w:pPr>
      <w:r>
        <w:rPr/>
        <w:t>工具被视为具有较低的信用风险。</w:t>
      </w:r>
    </w:p>
    <w:p>
      <w:pPr>
        <w:pStyle w:val="BodyText"/>
        <w:spacing w:line="432" w:lineRule="exact" w:before="57"/>
        <w:ind w:left="573" w:right="1133"/>
        <w:jc w:val="left"/>
      </w:pPr>
      <w:r>
        <w:rPr/>
        <w:t>③信用风险显著增加</w:t>
      </w:r>
      <w:r>
        <w:rPr>
          <w:w w:val="100"/>
        </w:rPr>
        <w:t> </w:t>
      </w:r>
      <w:r>
        <w:rPr>
          <w:spacing w:val="2"/>
        </w:rPr>
        <w:t>本公司通过比较金融工具在资产负债表日所确定的预计存续期内的违约概率与在初始确认时所确定</w:t>
      </w:r>
    </w:p>
    <w:p>
      <w:pPr>
        <w:pStyle w:val="BodyText"/>
        <w:spacing w:line="255" w:lineRule="exact"/>
        <w:ind w:right="0"/>
        <w:jc w:val="left"/>
      </w:pPr>
      <w:r>
        <w:rPr/>
        <w:t>的预计存续期内的违约概率，以确定金融工具预计存续期内发生违约概率的相对变化，以评估金融工具的</w:t>
      </w:r>
    </w:p>
    <w:p>
      <w:pPr>
        <w:pStyle w:val="BodyText"/>
        <w:spacing w:line="240" w:lineRule="auto" w:before="37"/>
        <w:ind w:right="1133"/>
        <w:jc w:val="left"/>
      </w:pPr>
      <w:r>
        <w:rPr/>
        <w:t>信用风险自初始确认后是否已显著增加。</w:t>
      </w:r>
    </w:p>
    <w:p>
      <w:pPr>
        <w:pStyle w:val="BodyText"/>
        <w:spacing w:line="273" w:lineRule="auto" w:before="157"/>
        <w:ind w:right="1133" w:firstLine="420"/>
        <w:jc w:val="left"/>
      </w:pPr>
      <w:r>
        <w:rPr>
          <w:spacing w:val="-2"/>
        </w:rPr>
        <w:t>在确定信用风险自初始确认后是否显著增加时，本公司考虑无须付出不必要的额外成本或努力即可获</w:t>
      </w:r>
      <w:r>
        <w:rPr>
          <w:w w:val="100"/>
        </w:rPr>
        <w:t> </w:t>
      </w:r>
      <w:r>
        <w:rPr/>
        <w:t>得的合理且有依据的信息，包括前瞻性信息。本公司考虑的信息包括：</w:t>
      </w:r>
    </w:p>
    <w:p>
      <w:pPr>
        <w:pStyle w:val="BodyText"/>
        <w:spacing w:line="240" w:lineRule="auto" w:before="127"/>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信用风险变化所导致的内部价格指标是否发生显著变化；</w:t>
      </w:r>
    </w:p>
    <w:p>
      <w:pPr>
        <w:pStyle w:val="BodyText"/>
        <w:spacing w:line="240" w:lineRule="auto" w:before="141"/>
        <w:ind w:left="573"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
        </w:rPr>
        <w:t> </w:t>
      </w:r>
      <w:r>
        <w:rPr>
          <w:spacing w:val="-2"/>
        </w:rPr>
        <w:t>预期将导致债务人履行其偿债义务的能力是否发生显著变化的业务、财务或经济状况的不利变化；</w:t>
      </w:r>
    </w:p>
    <w:p>
      <w:pPr>
        <w:pStyle w:val="BodyText"/>
        <w:spacing w:line="240" w:lineRule="auto" w:before="141"/>
        <w:ind w:left="573" w:right="0"/>
        <w:jc w:val="left"/>
      </w:pPr>
      <w:r>
        <w:rPr>
          <w:rFonts w:ascii="Times New Roman" w:hAnsi="Times New Roman" w:cs="Times New Roman" w:eastAsia="Times New Roman" w:hint="default"/>
        </w:rPr>
        <w:t>C. </w:t>
      </w:r>
      <w:r>
        <w:rPr>
          <w:rFonts w:ascii="Times New Roman" w:hAnsi="Times New Roman" w:cs="Times New Roman" w:eastAsia="Times New Roman" w:hint="default"/>
          <w:spacing w:val="50"/>
        </w:rPr>
        <w:t> </w:t>
      </w:r>
      <w:r>
        <w:rPr>
          <w:spacing w:val="-4"/>
        </w:rPr>
        <w:t>债务人经营成果实际或预期是否发生显著变化；债务人所处的监管、经济或技术环境是否发生显著</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不利变化；</w:t>
      </w:r>
    </w:p>
    <w:p>
      <w:pPr>
        <w:pStyle w:val="BodyText"/>
        <w:spacing w:line="256" w:lineRule="auto" w:before="157"/>
        <w:ind w:right="1126" w:firstLine="420"/>
        <w:jc w:val="both"/>
      </w:pPr>
      <w:r>
        <w:rPr>
          <w:rFonts w:ascii="Times New Roman" w:hAnsi="Times New Roman" w:cs="Times New Roman" w:eastAsia="Times New Roman" w:hint="default"/>
          <w:w w:val="100"/>
        </w:rPr>
        <w:t>D.</w:t>
      </w:r>
      <w:r>
        <w:rPr>
          <w:rFonts w:ascii="Times New Roman" w:hAnsi="Times New Roman" w:cs="Times New Roman" w:eastAsia="Times New Roman" w:hint="default"/>
          <w:spacing w:val="40"/>
          <w:w w:val="100"/>
        </w:rPr>
        <w:t> </w:t>
      </w:r>
      <w:r>
        <w:rPr>
          <w:spacing w:val="-4"/>
          <w:w w:val="100"/>
        </w:rPr>
        <w:t>作为债务抵押的担保物价值或第三方提供的担保或信用增级质量是否发生显著变化。这些变化预期</w:t>
      </w:r>
      <w:r>
        <w:rPr>
          <w:w w:val="100"/>
        </w:rPr>
        <w:t> </w:t>
      </w:r>
      <w:r>
        <w:rPr/>
        <w:t>将降低债务人按合同规定期限还款的经济动机或者影响违约概率；</w:t>
      </w:r>
    </w:p>
    <w:p>
      <w:pPr>
        <w:pStyle w:val="BodyText"/>
        <w:spacing w:line="240" w:lineRule="auto" w:before="142"/>
        <w:ind w:left="573" w:right="1133"/>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24"/>
        </w:rPr>
        <w:t> </w:t>
      </w:r>
      <w:r>
        <w:rPr/>
        <w:t>预期将降低债务人按合同约定期限还款的经济动机是否发生显著变化；</w:t>
      </w:r>
    </w:p>
    <w:p>
      <w:pPr>
        <w:pStyle w:val="BodyText"/>
        <w:spacing w:line="256" w:lineRule="auto" w:before="141"/>
        <w:ind w:right="1126" w:firstLine="420"/>
        <w:jc w:val="both"/>
      </w:pPr>
      <w:r>
        <w:rPr>
          <w:rFonts w:ascii="Times New Roman" w:hAnsi="Times New Roman" w:cs="Times New Roman" w:eastAsia="Times New Roman" w:hint="default"/>
        </w:rPr>
        <w:t>F.</w:t>
      </w:r>
      <w:r>
        <w:rPr>
          <w:rFonts w:ascii="Times New Roman" w:hAnsi="Times New Roman" w:cs="Times New Roman" w:eastAsia="Times New Roman" w:hint="default"/>
          <w:spacing w:val="27"/>
        </w:rPr>
        <w:t> </w:t>
      </w:r>
      <w:r>
        <w:rPr>
          <w:spacing w:val="-3"/>
        </w:rPr>
        <w:t>借款合同的预期变更，包括预计违反合同的行为是否可能导致的合同义务的免除或修订、给予免息</w:t>
      </w:r>
      <w:r>
        <w:rPr>
          <w:w w:val="100"/>
        </w:rPr>
        <w:t> </w:t>
      </w:r>
      <w:r>
        <w:rPr/>
        <w:t>期、利率跳升、要求追加抵押品或担保或者对金融工具的合同框架做出其他变更；</w:t>
      </w:r>
    </w:p>
    <w:p>
      <w:pPr>
        <w:pStyle w:val="BodyText"/>
        <w:spacing w:line="240" w:lineRule="auto" w:before="142"/>
        <w:ind w:left="573" w:right="1133"/>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27"/>
        </w:rPr>
        <w:t> </w:t>
      </w:r>
      <w:r>
        <w:rPr/>
        <w:t>债务人预期表现和还款行为是否发生显著变化；</w:t>
      </w:r>
    </w:p>
    <w:p>
      <w:pPr>
        <w:pStyle w:val="BodyText"/>
        <w:spacing w:line="357" w:lineRule="auto" w:before="141"/>
        <w:ind w:left="573" w:right="1133"/>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31"/>
        </w:rPr>
        <w:t> </w:t>
      </w:r>
      <w:r>
        <w:rPr/>
        <w:t>合同付款是否发生逾期超过（含）</w:t>
      </w:r>
      <w:r>
        <w:rPr>
          <w:rFonts w:ascii="Times New Roman" w:hAnsi="Times New Roman" w:cs="Times New Roman" w:eastAsia="Times New Roman" w:hint="default"/>
        </w:rPr>
        <w:t>30</w:t>
      </w:r>
      <w:r>
        <w:rPr/>
        <w:t>日。</w:t>
      </w:r>
      <w:r>
        <w:rPr>
          <w:spacing w:val="-3"/>
          <w:w w:val="100"/>
        </w:rPr>
        <w:t> </w:t>
      </w:r>
      <w:r>
        <w:rPr>
          <w:spacing w:val="-2"/>
        </w:rPr>
        <w:t>根据金融工具的性质，本公司以单项金融工具或金融工具组合为基础评估信用风险是否显著增加。以</w:t>
      </w:r>
    </w:p>
    <w:p>
      <w:pPr>
        <w:pStyle w:val="BodyText"/>
        <w:spacing w:line="209" w:lineRule="exact"/>
        <w:ind w:right="0"/>
        <w:jc w:val="left"/>
      </w:pPr>
      <w:r>
        <w:rPr/>
        <w:t>金融工具组合为基础进行评估时，本公司可基于共同信用风险特征对金融工具进行分类，例如逾期信息和</w:t>
      </w:r>
    </w:p>
    <w:p>
      <w:pPr>
        <w:pStyle w:val="BodyText"/>
        <w:spacing w:line="240" w:lineRule="auto" w:before="37"/>
        <w:ind w:right="1133"/>
        <w:jc w:val="left"/>
      </w:pPr>
      <w:r>
        <w:rPr/>
        <w:t>信用风险评级。</w:t>
      </w:r>
    </w:p>
    <w:p>
      <w:pPr>
        <w:pStyle w:val="BodyText"/>
        <w:spacing w:line="256" w:lineRule="auto" w:before="157"/>
        <w:ind w:right="1126" w:firstLine="420"/>
        <w:jc w:val="both"/>
      </w:pPr>
      <w:r>
        <w:rPr/>
        <w:t>通常情况下，如果逾期超过</w:t>
      </w:r>
      <w:r>
        <w:rPr>
          <w:rFonts w:ascii="Times New Roman" w:hAnsi="Times New Roman" w:cs="Times New Roman" w:eastAsia="Times New Roman" w:hint="default"/>
        </w:rPr>
        <w:t>30</w:t>
      </w:r>
      <w:r>
        <w:rPr/>
        <w:t>日，本公司确定金融工具的信用风险已经显著增加。</w:t>
      </w:r>
      <w:r>
        <w:rPr>
          <w:spacing w:val="73"/>
        </w:rPr>
        <w:t> </w:t>
      </w:r>
      <w:r>
        <w:rPr/>
        <w:t>除非本公司无需</w:t>
      </w:r>
      <w:r>
        <w:rPr>
          <w:w w:val="100"/>
        </w:rPr>
        <w:t> </w:t>
      </w:r>
      <w:r>
        <w:rPr>
          <w:spacing w:val="-2"/>
        </w:rPr>
        <w:t>付出过多成本或努力即可获得合理且有依据的信息，证明虽然超过合同约定的付款期限</w:t>
      </w:r>
      <w:r>
        <w:rPr>
          <w:rFonts w:ascii="Times New Roman" w:hAnsi="Times New Roman" w:cs="Times New Roman" w:eastAsia="Times New Roman" w:hint="default"/>
          <w:spacing w:val="-2"/>
        </w:rPr>
        <w:t>30</w:t>
      </w:r>
      <w:r>
        <w:rPr>
          <w:spacing w:val="-2"/>
        </w:rPr>
        <w:t>天，但信用风险</w:t>
      </w:r>
      <w:r>
        <w:rPr>
          <w:spacing w:val="-42"/>
        </w:rPr>
        <w:t> </w:t>
      </w:r>
      <w:r>
        <w:rPr>
          <w:spacing w:val="-42"/>
        </w:rPr>
      </w:r>
      <w:r>
        <w:rPr/>
        <w:t>自初始确认以来并未显著增加。</w:t>
      </w:r>
    </w:p>
    <w:p>
      <w:pPr>
        <w:pStyle w:val="BodyText"/>
        <w:spacing w:line="432" w:lineRule="exact" w:before="42"/>
        <w:ind w:left="573" w:right="1133"/>
        <w:jc w:val="left"/>
      </w:pPr>
      <w:r>
        <w:rPr/>
        <w:t>④已发生信用减值的金融资产</w:t>
      </w:r>
      <w:r>
        <w:rPr>
          <w:w w:val="100"/>
        </w:rPr>
        <w:t> </w:t>
      </w:r>
      <w:r>
        <w:rPr>
          <w:spacing w:val="2"/>
        </w:rPr>
        <w:t>本公司在资产负债表日评估以摊余成本计量的金融资产和以公允价值计量且其变动计入其他综合收</w:t>
      </w:r>
    </w:p>
    <w:p>
      <w:pPr>
        <w:pStyle w:val="BodyText"/>
        <w:spacing w:line="255" w:lineRule="exact"/>
        <w:ind w:right="0"/>
        <w:jc w:val="left"/>
      </w:pPr>
      <w:r>
        <w:rPr/>
        <w:t>益的债权投资是否已发生信用减值。当对金融资产预期未来现金流量具有不利影响的一项或多项事件发生</w:t>
      </w:r>
    </w:p>
    <w:p>
      <w:pPr>
        <w:pStyle w:val="BodyText"/>
        <w:spacing w:line="240" w:lineRule="auto" w:before="37"/>
        <w:ind w:left="573" w:right="0" w:hanging="420"/>
        <w:jc w:val="left"/>
      </w:pPr>
      <w:r>
        <w:rPr/>
        <w:t>时，该金融资产成为已发生信用减值的金融资产。金融资产已发生信用减值的证据包括下列可观察信息：</w:t>
      </w:r>
    </w:p>
    <w:p>
      <w:pPr>
        <w:pStyle w:val="BodyText"/>
        <w:spacing w:line="273" w:lineRule="auto" w:before="157"/>
        <w:ind w:right="1126" w:firstLine="420"/>
        <w:jc w:val="both"/>
      </w:pPr>
      <w:r>
        <w:rPr>
          <w:spacing w:val="-2"/>
        </w:rPr>
        <w:t>发行方或债务人发生重大财务困难；债务人违反合同，如偿付利息或本金违约或逾期等；债权人出于</w:t>
      </w:r>
      <w:r>
        <w:rPr>
          <w:w w:val="100"/>
        </w:rPr>
        <w:t> </w:t>
      </w:r>
      <w:r>
        <w:rPr>
          <w:spacing w:val="-2"/>
        </w:rPr>
        <w:t>与债务人财务困难有关的经济或合同考虑，给予债务人在任何其他情况下都不会做出的让步；债务人很可</w:t>
      </w:r>
      <w:r>
        <w:rPr>
          <w:spacing w:val="-44"/>
        </w:rPr>
        <w:t> </w:t>
      </w:r>
      <w:r>
        <w:rPr>
          <w:spacing w:val="-44"/>
        </w:rPr>
      </w:r>
      <w:r>
        <w:rPr>
          <w:spacing w:val="-2"/>
        </w:rPr>
        <w:t>能破产或进行其他财务重组；发行方或债务人财务困难导致该金融资产的活跃市场消失；以大幅折扣购买</w:t>
      </w:r>
      <w:r>
        <w:rPr>
          <w:spacing w:val="-44"/>
        </w:rPr>
        <w:t> </w:t>
      </w:r>
      <w:r>
        <w:rPr>
          <w:spacing w:val="-44"/>
        </w:rPr>
      </w:r>
      <w:r>
        <w:rPr/>
        <w:t>或源生一项金融资产，该折扣反映了发生信用损失的事实。</w:t>
      </w:r>
    </w:p>
    <w:p>
      <w:pPr>
        <w:pStyle w:val="BodyText"/>
        <w:spacing w:line="432" w:lineRule="exact" w:before="27"/>
        <w:ind w:left="573" w:right="1133"/>
        <w:jc w:val="left"/>
      </w:pPr>
      <w:r>
        <w:rPr/>
        <w:t>⑤预期信用损失准备的列报</w:t>
      </w:r>
      <w:r>
        <w:rPr>
          <w:w w:val="100"/>
        </w:rPr>
        <w:t> </w:t>
      </w:r>
      <w:r>
        <w:rPr>
          <w:spacing w:val="2"/>
        </w:rPr>
        <w:t>为反映金融工具的信用风险自初始确认后的变化，本公司在每个资产负债表日重新计量预期信用损</w:t>
      </w:r>
    </w:p>
    <w:p>
      <w:pPr>
        <w:pStyle w:val="BodyText"/>
        <w:spacing w:line="255" w:lineRule="exact"/>
        <w:ind w:right="0"/>
        <w:jc w:val="left"/>
      </w:pPr>
      <w:r>
        <w:rPr/>
        <w:t>失，由此形成的损失准备的增加或转回金额，应当作为减值损失或利得计入当期损益。对于以摊余成本计</w:t>
      </w:r>
    </w:p>
    <w:p>
      <w:pPr>
        <w:pStyle w:val="BodyText"/>
        <w:spacing w:line="273" w:lineRule="auto" w:before="37"/>
        <w:ind w:right="0"/>
        <w:jc w:val="left"/>
      </w:pPr>
      <w:r>
        <w:rPr>
          <w:spacing w:val="-2"/>
        </w:rPr>
        <w:t>量的金融资产，损失准备抵减该金融资产在资产负债表中列示的账面价值；对于以公允价值计量且其变动</w:t>
      </w:r>
      <w:r>
        <w:rPr>
          <w:spacing w:val="-42"/>
        </w:rPr>
        <w:t> </w:t>
      </w:r>
      <w:r>
        <w:rPr>
          <w:spacing w:val="-42"/>
        </w:rPr>
      </w:r>
      <w:r>
        <w:rPr>
          <w:spacing w:val="-5"/>
        </w:rPr>
        <w:t>计入其他综合收益的债权投资，本公司在其他综合收益中确认其损失准备，不抵减该金融资产的账面价值。</w:t>
      </w:r>
    </w:p>
    <w:p>
      <w:pPr>
        <w:pStyle w:val="BodyText"/>
        <w:spacing w:line="432" w:lineRule="exact" w:before="27"/>
        <w:ind w:left="573" w:right="1133"/>
        <w:jc w:val="left"/>
      </w:pPr>
      <w:r>
        <w:rPr/>
        <w:t>⑥核销</w:t>
      </w:r>
      <w:r>
        <w:rPr>
          <w:spacing w:val="-102"/>
        </w:rPr>
        <w:t> </w:t>
      </w:r>
      <w:r>
        <w:rPr>
          <w:spacing w:val="-2"/>
        </w:rPr>
        <w:t>如果本公司不再合理预期金融资产合同现金流量能够全部或部分收回，则直接减记该金融资产的账面</w:t>
      </w:r>
    </w:p>
    <w:p>
      <w:pPr>
        <w:pStyle w:val="BodyText"/>
        <w:spacing w:line="256" w:lineRule="exact"/>
        <w:ind w:right="0"/>
        <w:jc w:val="left"/>
      </w:pPr>
      <w:r>
        <w:rPr/>
        <w:t>余额。这种减记构成相关金融资产的终止确认。这种情况通常发生在本公司确定债务人没有资产或收入来</w:t>
      </w:r>
    </w:p>
    <w:p>
      <w:pPr>
        <w:pStyle w:val="BodyText"/>
        <w:spacing w:line="376" w:lineRule="auto" w:before="37"/>
        <w:ind w:left="573" w:right="1133" w:hanging="420"/>
        <w:jc w:val="left"/>
      </w:pPr>
      <w:r>
        <w:rPr/>
        <w:t>源可产生足够的现金流量以偿还将被减记的金额。</w:t>
      </w:r>
      <w:r>
        <w:rPr>
          <w:w w:val="100"/>
        </w:rPr>
        <w:t> </w:t>
      </w:r>
      <w:r>
        <w:rPr>
          <w:spacing w:val="-2"/>
        </w:rPr>
        <w:t>已减记的金融资产以后又收回的，作为减值损失的转回计入收回当期的损益。</w:t>
      </w:r>
    </w:p>
    <w:p>
      <w:pPr>
        <w:spacing w:line="357" w:lineRule="auto" w:before="37"/>
        <w:ind w:left="573" w:right="647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）金融资产转移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金融资产转移是指下列两种情形：</w:t>
      </w:r>
    </w:p>
    <w:p>
      <w:pPr>
        <w:pStyle w:val="BodyText"/>
        <w:spacing w:line="240" w:lineRule="auto" w:before="54"/>
        <w:ind w:left="573" w:right="1133"/>
        <w:jc w:val="left"/>
      </w:pPr>
      <w:r>
        <w:rPr>
          <w:rFonts w:ascii="Times New Roman" w:hAnsi="Times New Roman" w:cs="Times New Roman" w:eastAsia="Times New Roman" w:hint="default"/>
        </w:rPr>
        <w:t>A.</w:t>
      </w:r>
      <w:r>
        <w:rPr/>
        <w:t>将收取金融资产现金流量的合同权利转移给另一方；</w:t>
      </w:r>
    </w:p>
    <w:p>
      <w:pPr>
        <w:pStyle w:val="BodyText"/>
        <w:spacing w:line="256" w:lineRule="auto" w:before="141"/>
        <w:ind w:right="1126" w:firstLine="420"/>
        <w:jc w:val="both"/>
      </w:pP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w:t>
      </w:r>
      <w:r>
        <w:rPr>
          <w:w w:val="100"/>
        </w:rPr>
        <w:t> </w:t>
      </w:r>
      <w:r>
        <w:rPr/>
        <w:t>现金流量支付给一个或多个收款方的合同义务。</w:t>
      </w:r>
    </w:p>
    <w:p>
      <w:pPr>
        <w:spacing w:after="0" w:line="256"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①终止确认所转移的金融资产</w:t>
      </w:r>
    </w:p>
    <w:p>
      <w:pPr>
        <w:pStyle w:val="BodyText"/>
        <w:spacing w:line="273" w:lineRule="auto" w:before="157"/>
        <w:ind w:right="1125" w:firstLine="420"/>
        <w:jc w:val="both"/>
      </w:pPr>
      <w:r>
        <w:rPr>
          <w:spacing w:val="-2"/>
        </w:rPr>
        <w:t>已将金融资产所有权上几乎所有的风险和报酬转移给转入方的，或既没有转移也没有保留金融资产所</w:t>
      </w:r>
      <w:r>
        <w:rPr>
          <w:w w:val="100"/>
        </w:rPr>
        <w:t> </w:t>
      </w:r>
      <w:r>
        <w:rPr/>
        <w:t>有权上几乎所有的风险和报酬的，但放弃了对该金融资产控制的，终止确认该金融资产。</w:t>
      </w:r>
    </w:p>
    <w:p>
      <w:pPr>
        <w:pStyle w:val="BodyText"/>
        <w:spacing w:line="273" w:lineRule="auto" w:before="127"/>
        <w:ind w:right="1126" w:firstLine="420"/>
        <w:jc w:val="both"/>
      </w:pPr>
      <w:r>
        <w:rPr>
          <w:spacing w:val="-2"/>
        </w:rPr>
        <w:t>在判断是否已放弃对所转移金融资产的控制时，注重转入方出售该金融资产的实际能力。转入方能够</w:t>
      </w:r>
      <w:r>
        <w:rPr>
          <w:w w:val="100"/>
        </w:rPr>
        <w:t> </w:t>
      </w:r>
      <w:r>
        <w:rPr>
          <w:spacing w:val="-2"/>
        </w:rPr>
        <w:t>单独将转入的金融资产整体出售给与其不存在关联方关系的第三方，且没有额外条件对此项出售加以限制</w:t>
      </w:r>
      <w:r>
        <w:rPr>
          <w:spacing w:val="-43"/>
        </w:rPr>
        <w:t> </w:t>
      </w:r>
      <w:r>
        <w:rPr>
          <w:spacing w:val="-43"/>
        </w:rPr>
      </w:r>
      <w:r>
        <w:rPr/>
        <w:t>的，表明企业已放弃对该金融资产的控制。</w:t>
      </w:r>
    </w:p>
    <w:p>
      <w:pPr>
        <w:pStyle w:val="BodyText"/>
        <w:spacing w:line="432" w:lineRule="exact" w:before="27"/>
        <w:ind w:left="573" w:right="1133"/>
        <w:jc w:val="left"/>
      </w:pPr>
      <w:r>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A.</w:t>
      </w:r>
      <w:r>
        <w:rPr/>
        <w:t>所转移金融资产的账面价值；</w:t>
      </w:r>
      <w:r>
        <w:rPr>
          <w:w w:val="100"/>
        </w:rPr>
        <w:t> </w:t>
      </w: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w:t>
      </w:r>
    </w:p>
    <w:p>
      <w:pPr>
        <w:pStyle w:val="BodyText"/>
        <w:spacing w:line="256" w:lineRule="exact"/>
        <w:ind w:right="1133"/>
        <w:jc w:val="left"/>
      </w:pPr>
      <w:r>
        <w:rPr/>
        <w:t>供出售金融资产的情形）之和。</w:t>
      </w:r>
    </w:p>
    <w:p>
      <w:pPr>
        <w:pStyle w:val="BodyText"/>
        <w:spacing w:line="273" w:lineRule="auto" w:before="157"/>
        <w:ind w:right="1126" w:firstLine="420"/>
        <w:jc w:val="both"/>
      </w:pPr>
      <w:r>
        <w:rPr>
          <w:spacing w:val="-2"/>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47"/>
        </w:rPr>
        <w:t> </w:t>
      </w:r>
      <w:r>
        <w:rPr>
          <w:spacing w:val="-47"/>
        </w:rPr>
      </w:r>
      <w:r>
        <w:rPr/>
        <w:t>对公允价值进行分摊，并将下列两项金额的差额计入当期损益：</w:t>
      </w:r>
    </w:p>
    <w:p>
      <w:pPr>
        <w:pStyle w:val="BodyText"/>
        <w:spacing w:line="432" w:lineRule="exact" w:before="27"/>
        <w:ind w:left="573" w:right="1133"/>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w:t>
      </w:r>
    </w:p>
    <w:p>
      <w:pPr>
        <w:pStyle w:val="BodyText"/>
        <w:spacing w:line="255" w:lineRule="exact"/>
        <w:ind w:right="1133"/>
        <w:jc w:val="left"/>
      </w:pPr>
      <w:r>
        <w:rPr/>
        <w:t>（涉及转移的金融资产为可供出售金融资产的情形）之和。</w:t>
      </w:r>
    </w:p>
    <w:p>
      <w:pPr>
        <w:pStyle w:val="BodyText"/>
        <w:spacing w:line="430" w:lineRule="atLeast" w:before="2"/>
        <w:ind w:left="573" w:right="1133"/>
        <w:jc w:val="left"/>
      </w:pPr>
      <w:r>
        <w:rPr/>
        <w:t>②继续涉入所转移的金融资产</w:t>
      </w:r>
      <w:r>
        <w:rPr>
          <w:w w:val="100"/>
        </w:rPr>
        <w:t> </w:t>
      </w:r>
      <w:r>
        <w:rPr>
          <w:spacing w:val="-2"/>
        </w:rPr>
        <w:t>既没有转移也没有保留金融资产所有权上几乎所有的风险和报酬的，且未放弃对该金融资产控制的，</w:t>
      </w:r>
    </w:p>
    <w:p>
      <w:pPr>
        <w:pStyle w:val="BodyText"/>
        <w:spacing w:line="376" w:lineRule="auto" w:before="37"/>
        <w:ind w:left="573" w:right="1133" w:hanging="420"/>
        <w:jc w:val="left"/>
      </w:pPr>
      <w:r>
        <w:rPr/>
        <w:t>应当按照其继续涉入所转移金融资产的程度确认有关金融资产，并相应确认有关负债。</w:t>
      </w:r>
      <w:r>
        <w:rPr>
          <w:w w:val="100"/>
        </w:rPr>
        <w:t> </w:t>
      </w:r>
      <w:r>
        <w:rPr>
          <w:spacing w:val="-2"/>
        </w:rPr>
        <w:t>继续涉入所转移金融资产的程度，是指该金融资产价值变动使企业面临的风险水平。</w:t>
      </w:r>
    </w:p>
    <w:p>
      <w:pPr>
        <w:pStyle w:val="BodyText"/>
        <w:spacing w:line="240" w:lineRule="auto" w:before="37"/>
        <w:ind w:left="573" w:right="1133"/>
        <w:jc w:val="left"/>
      </w:pPr>
      <w:r>
        <w:rPr/>
        <w:t>③继续确认所转移的金融资产</w:t>
      </w:r>
    </w:p>
    <w:p>
      <w:pPr>
        <w:pStyle w:val="BodyText"/>
        <w:spacing w:line="273" w:lineRule="auto" w:before="157"/>
        <w:ind w:right="1126" w:firstLine="420"/>
        <w:jc w:val="both"/>
      </w:pPr>
      <w:r>
        <w:rPr>
          <w:spacing w:val="-2"/>
        </w:rPr>
        <w:t>仍保留与所转移金融资产所有权上几乎所有的风险和报酬的，应当继续确认所转移金融资产整体，并</w:t>
      </w:r>
      <w:r>
        <w:rPr>
          <w:w w:val="100"/>
        </w:rPr>
        <w:t> </w:t>
      </w:r>
      <w:r>
        <w:rPr/>
        <w:t>将收到的对价确认为一项金融负债。</w:t>
      </w:r>
    </w:p>
    <w:p>
      <w:pPr>
        <w:pStyle w:val="BodyText"/>
        <w:spacing w:line="273" w:lineRule="auto" w:before="127"/>
        <w:ind w:right="1126" w:firstLine="420"/>
        <w:jc w:val="both"/>
      </w:pPr>
      <w:r>
        <w:rPr>
          <w:spacing w:val="-2"/>
        </w:rPr>
        <w:t>该金融资产与确认的相关金融负债不得相互抵销。在随后的会计期间，企业应当继续确认该金融资产</w:t>
      </w:r>
      <w:r>
        <w:rPr>
          <w:w w:val="100"/>
        </w:rPr>
        <w:t> </w:t>
      </w:r>
      <w:r>
        <w:rPr>
          <w:spacing w:val="-2"/>
        </w:rPr>
        <w:t>产生的收入和该金融负债产生的费用。所转移的金融资产以摊余成本计量的，确认的相关负债不得指定为</w:t>
      </w:r>
      <w:r>
        <w:rPr>
          <w:spacing w:val="-44"/>
        </w:rPr>
        <w:t> </w:t>
      </w:r>
      <w:r>
        <w:rPr>
          <w:spacing w:val="-44"/>
        </w:rPr>
      </w:r>
      <w:r>
        <w:rPr/>
        <w:t>以公允价值计量且其变动计入当期损益的金融负债。</w:t>
      </w:r>
    </w:p>
    <w:p>
      <w:pPr>
        <w:pStyle w:val="BodyText"/>
        <w:spacing w:line="357" w:lineRule="auto" w:before="12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）金融工具的抵销</w:t>
      </w:r>
      <w:r>
        <w:rPr>
          <w:rFonts w:ascii="宋体" w:hAnsi="宋体" w:cs="宋体" w:eastAsia="宋体" w:hint="default"/>
          <w:b/>
          <w:bCs/>
          <w:w w:val="100"/>
        </w:rPr>
        <w:t> </w:t>
      </w:r>
      <w:r>
        <w:rPr>
          <w:spacing w:val="-2"/>
        </w:rPr>
        <w:t>金融资产和金融负债应当在资产负债表内分别列示，不得相互抵销。但同时满足下列条件的，以相互</w:t>
      </w:r>
    </w:p>
    <w:p>
      <w:pPr>
        <w:pStyle w:val="BodyText"/>
        <w:spacing w:line="209" w:lineRule="exact"/>
        <w:ind w:right="1133"/>
        <w:jc w:val="left"/>
      </w:pPr>
      <w:r>
        <w:rPr/>
        <w:t>抵销后的净额在资产负债表内列示：</w:t>
      </w:r>
    </w:p>
    <w:p>
      <w:pPr>
        <w:pStyle w:val="BodyText"/>
        <w:spacing w:line="376" w:lineRule="auto" w:before="157"/>
        <w:ind w:left="573" w:right="1133"/>
        <w:jc w:val="left"/>
      </w:pP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p>
    <w:p>
      <w:pPr>
        <w:spacing w:line="357" w:lineRule="auto" w:before="3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）金融工具公允价值的确定方法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本公司以主要市场的价格计量相关资产或负债的公允价值，不存在主要市场的，本公司以最有利市场</w:t>
      </w:r>
    </w:p>
    <w:p>
      <w:pPr>
        <w:pStyle w:val="BodyText"/>
        <w:spacing w:line="209" w:lineRule="exact"/>
        <w:ind w:right="1133"/>
        <w:jc w:val="left"/>
      </w:pPr>
      <w:r>
        <w:rPr/>
        <w:t>的价格计量相关资产或负债的公允价值。</w:t>
      </w:r>
    </w:p>
    <w:p>
      <w:pPr>
        <w:spacing w:after="0" w:line="209" w:lineRule="exact"/>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firstLine="420"/>
        <w:jc w:val="both"/>
      </w:pPr>
      <w:r>
        <w:rPr>
          <w:spacing w:val="-2"/>
        </w:rPr>
        <w:t>主要市场，是指相关资产或负债交易量最大和交易活跃程度最高的市场；最有利市场，是指在考虑交</w:t>
      </w:r>
      <w:r>
        <w:rPr>
          <w:w w:val="100"/>
        </w:rPr>
        <w:t> </w:t>
      </w:r>
      <w:r>
        <w:rPr>
          <w:spacing w:val="-2"/>
        </w:rPr>
        <w:t>易费用和运输费用后，能够以最高金额出售相关资产或者以最低金额转移相关负债的市场。本公司采用市</w:t>
      </w:r>
      <w:r>
        <w:rPr>
          <w:spacing w:val="-43"/>
        </w:rPr>
        <w:t> </w:t>
      </w:r>
      <w:r>
        <w:rPr>
          <w:spacing w:val="-43"/>
        </w:rPr>
      </w:r>
      <w:r>
        <w:rPr/>
        <w:t>场参与者在对该资产或负债定价时为实现其经济利益最大化所使用的假设。</w:t>
      </w:r>
    </w:p>
    <w:p>
      <w:pPr>
        <w:pStyle w:val="BodyText"/>
        <w:spacing w:line="432" w:lineRule="exact" w:before="27"/>
        <w:ind w:left="573" w:right="1133"/>
        <w:jc w:val="left"/>
      </w:pPr>
      <w:r>
        <w:rPr/>
        <w:t>①估值技术</w:t>
      </w:r>
      <w:r>
        <w:rPr>
          <w:spacing w:val="-102"/>
        </w:rPr>
        <w:t> </w:t>
      </w:r>
      <w:r>
        <w:rPr>
          <w:spacing w:val="-102"/>
        </w:rPr>
      </w:r>
      <w:r>
        <w:rPr>
          <w:spacing w:val="-2"/>
        </w:rPr>
        <w:t>本公司采用在当期情况下适用并且有足够可利用数据和其他信息支持的估值技术，使用的估值技术主</w:t>
      </w:r>
    </w:p>
    <w:p>
      <w:pPr>
        <w:pStyle w:val="BodyText"/>
        <w:spacing w:line="255" w:lineRule="exact"/>
        <w:ind w:right="0"/>
        <w:jc w:val="both"/>
      </w:pPr>
      <w:r>
        <w:rPr/>
        <w:t>要包括市场法、收益法和成本法。本公司使用与其中一种或多种估值技术相一致的方法计量公允价值，使</w:t>
      </w:r>
    </w:p>
    <w:p>
      <w:pPr>
        <w:pStyle w:val="BodyText"/>
        <w:spacing w:line="273" w:lineRule="auto" w:before="37"/>
        <w:ind w:right="1126"/>
        <w:jc w:val="both"/>
      </w:pPr>
      <w:r>
        <w:rPr>
          <w:spacing w:val="-2"/>
        </w:rPr>
        <w:t>用多种估值技术计量公允价值的，考虑各估值结果的合理性，选取在当期情况下最能代表公允价值的金额</w:t>
      </w:r>
      <w:r>
        <w:rPr>
          <w:spacing w:val="-43"/>
        </w:rPr>
        <w:t> </w:t>
      </w:r>
      <w:r>
        <w:rPr>
          <w:spacing w:val="-43"/>
        </w:rPr>
      </w:r>
      <w:r>
        <w:rPr/>
        <w:t>作为公允价值。</w:t>
      </w:r>
    </w:p>
    <w:p>
      <w:pPr>
        <w:pStyle w:val="BodyText"/>
        <w:spacing w:line="273" w:lineRule="auto" w:before="127"/>
        <w:ind w:right="1126" w:firstLine="420"/>
        <w:jc w:val="both"/>
      </w:pPr>
      <w:r>
        <w:rPr>
          <w:spacing w:val="-2"/>
        </w:rPr>
        <w:t>本公司在估值技术的应用中，优先使用相关可观察输入值，只有在相关可观察输入值无法取得或取得</w:t>
      </w:r>
      <w:r>
        <w:rPr>
          <w:w w:val="100"/>
        </w:rPr>
        <w:t> </w:t>
      </w:r>
      <w:r>
        <w:rPr>
          <w:spacing w:val="-2"/>
        </w:rPr>
        <w:t>不切实可行的情况下，才使用不可观察输入值。可观察输入值，是指能够从市场数据中取得的输入值。该</w:t>
      </w:r>
      <w:r>
        <w:rPr>
          <w:spacing w:val="-47"/>
        </w:rPr>
        <w:t> </w:t>
      </w:r>
      <w:r>
        <w:rPr>
          <w:spacing w:val="-47"/>
        </w:rPr>
      </w:r>
      <w:r>
        <w:rPr>
          <w:spacing w:val="-2"/>
        </w:rPr>
        <w:t>输入值反映了市场参与者在对相关资产或负债定价时所使用的假设。不可观察输入值，是指不能从市场数</w:t>
      </w:r>
      <w:r>
        <w:rPr>
          <w:spacing w:val="-43"/>
        </w:rPr>
        <w:t> </w:t>
      </w:r>
      <w:r>
        <w:rPr>
          <w:spacing w:val="-43"/>
        </w:rPr>
      </w:r>
      <w:r>
        <w:rPr>
          <w:spacing w:val="-2"/>
        </w:rPr>
        <w:t>据中取得的输入值。该输入值根据可获得的市场参与者在对相关资产或负债定价时所使用假设的最佳信息</w:t>
      </w:r>
      <w:r>
        <w:rPr>
          <w:spacing w:val="-43"/>
        </w:rPr>
        <w:t> </w:t>
      </w:r>
      <w:r>
        <w:rPr>
          <w:spacing w:val="-43"/>
        </w:rPr>
      </w:r>
      <w:r>
        <w:rPr/>
        <w:t>取得。</w:t>
      </w:r>
    </w:p>
    <w:p>
      <w:pPr>
        <w:pStyle w:val="BodyText"/>
        <w:spacing w:line="290" w:lineRule="auto" w:before="127"/>
        <w:ind w:right="1133" w:firstLine="420"/>
        <w:jc w:val="left"/>
      </w:pPr>
      <w:r>
        <w:rPr/>
        <w:t>②公允价值层次</w:t>
      </w:r>
      <w:r>
        <w:rPr>
          <w:w w:val="100"/>
        </w:rPr>
        <w:t> </w:t>
      </w:r>
      <w:r>
        <w:rPr>
          <w:spacing w:val="-2"/>
        </w:rPr>
        <w:t>本公司将公允价值计量所使用的输入值划分为三个层次，并首先使用第一层次输入值，其次使用第二层次</w:t>
      </w:r>
      <w:r>
        <w:rPr>
          <w:spacing w:val="-42"/>
        </w:rPr>
        <w:t> </w:t>
      </w:r>
      <w:r>
        <w:rPr>
          <w:spacing w:val="-42"/>
        </w:rPr>
      </w:r>
      <w:r>
        <w:rPr>
          <w:spacing w:val="-2"/>
        </w:rPr>
        <w:t>输入值，最后使用第三层次输入值。第一层次输入值是在计量日能够取得的相同资产或负债在活跃市场上</w:t>
      </w:r>
    </w:p>
    <w:p>
      <w:pPr>
        <w:pStyle w:val="BodyText"/>
        <w:spacing w:line="273" w:lineRule="auto"/>
        <w:ind w:right="1126"/>
        <w:jc w:val="both"/>
      </w:pPr>
      <w:r>
        <w:rPr>
          <w:spacing w:val="-2"/>
        </w:rPr>
        <w:t>未经调整的报价。第二层次输入值是除第一层次输入值外相关资产或负债直接或间接可观察的输入值。第</w:t>
      </w:r>
      <w:r>
        <w:rPr>
          <w:spacing w:val="-44"/>
        </w:rPr>
        <w:t> </w:t>
      </w:r>
      <w:r>
        <w:rPr>
          <w:spacing w:val="-44"/>
        </w:rPr>
      </w:r>
      <w:r>
        <w:rPr/>
        <w:t>三层次输入值是相关资产或负债的不可观察输入值。</w:t>
      </w:r>
    </w:p>
    <w:p>
      <w:pPr>
        <w:pStyle w:val="Heading3"/>
        <w:spacing w:line="240" w:lineRule="auto" w:before="127"/>
        <w:ind w:left="575" w:right="1133"/>
        <w:jc w:val="left"/>
        <w:rPr>
          <w:b w:val="0"/>
          <w:bCs w:val="0"/>
        </w:rPr>
      </w:pPr>
      <w:r>
        <w:rPr/>
        <w:t>以下金融工具会计政策适用于</w:t>
      </w:r>
      <w:r>
        <w:rPr>
          <w:rFonts w:ascii="Times New Roman" w:hAnsi="Times New Roman" w:cs="Times New Roman" w:eastAsia="Times New Roman" w:hint="default"/>
        </w:rPr>
        <w:t>2018</w:t>
      </w:r>
      <w:r>
        <w:rPr/>
        <w:t>年度及以前</w:t>
      </w:r>
      <w:r>
        <w:rPr>
          <w:b w:val="0"/>
          <w:bCs w:val="0"/>
        </w:rPr>
      </w:r>
    </w:p>
    <w:p>
      <w:pPr>
        <w:pStyle w:val="Heading3"/>
        <w:spacing w:line="240" w:lineRule="auto" w:before="141"/>
        <w:ind w:left="575" w:right="1133"/>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432" w:lineRule="exact" w:before="41"/>
        <w:ind w:left="573" w:right="1133"/>
        <w:jc w:val="left"/>
      </w:pPr>
      <w:r>
        <w:rPr/>
        <w:t>①以公允价值计量且其变动计入当期损益的金融资产</w:t>
      </w:r>
      <w:r>
        <w:rPr>
          <w:w w:val="100"/>
        </w:rPr>
        <w:t> </w:t>
      </w:r>
      <w:r>
        <w:rPr>
          <w:spacing w:val="-2"/>
        </w:rPr>
        <w:t>包括交易性金融资产和直接指定为以公允价值计量且其变动计入当期损益的金融资产，前者主要是指</w:t>
      </w:r>
    </w:p>
    <w:p>
      <w:pPr>
        <w:pStyle w:val="BodyText"/>
        <w:spacing w:line="255" w:lineRule="exact"/>
        <w:ind w:right="0"/>
        <w:jc w:val="both"/>
      </w:pPr>
      <w:r>
        <w:rPr/>
        <w:t>本公司为了近期内出售而持有的股票、债券、基金以及不作为有效套期工具的衍生工具投资。这类资产在</w:t>
      </w:r>
    </w:p>
    <w:p>
      <w:pPr>
        <w:pStyle w:val="BodyText"/>
        <w:spacing w:line="273" w:lineRule="auto" w:before="37"/>
        <w:ind w:right="1127"/>
        <w:jc w:val="both"/>
      </w:pPr>
      <w:r>
        <w:rPr>
          <w:spacing w:val="-2"/>
        </w:rPr>
        <w:t>初始计量时按照取得时的公允价值作为初始确认金额，相关的交易费用在发生时计入当期损益。支付的价</w:t>
      </w:r>
      <w:r>
        <w:rPr>
          <w:spacing w:val="-43"/>
        </w:rPr>
        <w:t> </w:t>
      </w:r>
      <w:r>
        <w:rPr>
          <w:spacing w:val="-43"/>
        </w:rPr>
      </w:r>
      <w:r>
        <w:rPr>
          <w:spacing w:val="-2"/>
        </w:rPr>
        <w:t>款中包含已宣告但尚未发放的现金股利或已到付息但尚未领取的债券利息，单独确认为应收项目。在持有</w:t>
      </w:r>
      <w:r>
        <w:rPr>
          <w:spacing w:val="-43"/>
        </w:rPr>
        <w:t> </w:t>
      </w:r>
      <w:r>
        <w:rPr>
          <w:spacing w:val="-43"/>
        </w:rPr>
      </w:r>
      <w:r>
        <w:rPr>
          <w:spacing w:val="-2"/>
        </w:rPr>
        <w:t>期间取得利息或现金股利，确认为投资收益。资产负债表日，本公司将这类金融资产以公允价值计量且其</w:t>
      </w:r>
      <w:r>
        <w:rPr>
          <w:spacing w:val="-45"/>
        </w:rPr>
        <w:t> </w:t>
      </w:r>
      <w:r>
        <w:rPr>
          <w:spacing w:val="-45"/>
        </w:rPr>
      </w:r>
      <w:r>
        <w:rPr>
          <w:spacing w:val="-2"/>
        </w:rPr>
        <w:t>变动计入当期损益。这类金融资产在处置时，其公允价值与初始入账金额之间的差额确认为投资收益，同</w:t>
      </w:r>
      <w:r>
        <w:rPr>
          <w:spacing w:val="-42"/>
        </w:rPr>
        <w:t> </w:t>
      </w:r>
      <w:r>
        <w:rPr>
          <w:spacing w:val="-42"/>
        </w:rPr>
      </w:r>
      <w:r>
        <w:rPr/>
        <w:t>时调整公允价值变动损益。</w:t>
      </w:r>
    </w:p>
    <w:p>
      <w:pPr>
        <w:pStyle w:val="BodyText"/>
        <w:spacing w:line="432" w:lineRule="exact" w:before="27"/>
        <w:ind w:left="573" w:right="1133"/>
        <w:jc w:val="left"/>
      </w:pPr>
      <w:r>
        <w:rPr/>
        <w:t>②持有至到期投资</w:t>
      </w:r>
      <w:r>
        <w:rPr>
          <w:w w:val="100"/>
        </w:rPr>
        <w:t> </w:t>
      </w:r>
      <w:r>
        <w:rPr>
          <w:spacing w:val="-2"/>
        </w:rPr>
        <w:t>主要是指到期日固定、回收金额固定或可确定，且本公司具有明确意图和能力持有至到期的国债、公</w:t>
      </w:r>
    </w:p>
    <w:p>
      <w:pPr>
        <w:pStyle w:val="BodyText"/>
        <w:spacing w:line="256" w:lineRule="exact"/>
        <w:ind w:right="0"/>
        <w:jc w:val="both"/>
      </w:pPr>
      <w:r>
        <w:rPr/>
        <w:t>司债券等。这类金融资产按照取得时的公允价值和相关交易费用之和作为初始确认金额。支付价款中包含</w:t>
      </w:r>
    </w:p>
    <w:p>
      <w:pPr>
        <w:pStyle w:val="BodyText"/>
        <w:spacing w:line="273" w:lineRule="auto" w:before="37"/>
        <w:ind w:right="1126"/>
        <w:jc w:val="both"/>
      </w:pPr>
      <w:r>
        <w:rPr>
          <w:spacing w:val="-2"/>
        </w:rPr>
        <w:t>的已到付息期但尚未发放的债券利息，单独确认为应收项目。持有至到期投资在持有期间按照摊余成本和</w:t>
      </w:r>
      <w:r>
        <w:rPr>
          <w:spacing w:val="-43"/>
        </w:rPr>
        <w:t> </w:t>
      </w:r>
      <w:r>
        <w:rPr>
          <w:spacing w:val="-43"/>
        </w:rPr>
      </w:r>
      <w:r>
        <w:rPr>
          <w:spacing w:val="-2"/>
        </w:rPr>
        <w:t>实际利率计算确认利息收入，计入投资收益。处置持有至到期投资时，将所取得价款与该投资账面价值之</w:t>
      </w:r>
      <w:r>
        <w:rPr>
          <w:spacing w:val="-43"/>
        </w:rPr>
        <w:t> </w:t>
      </w:r>
      <w:r>
        <w:rPr>
          <w:spacing w:val="-43"/>
        </w:rPr>
      </w:r>
      <w:r>
        <w:rPr/>
        <w:t>间的差额计入投资收益。</w:t>
      </w:r>
    </w:p>
    <w:p>
      <w:pPr>
        <w:pStyle w:val="BodyText"/>
        <w:spacing w:line="432" w:lineRule="exact" w:before="27"/>
        <w:ind w:left="573" w:right="1133"/>
        <w:jc w:val="left"/>
      </w:pPr>
      <w:r>
        <w:rPr/>
        <w:t>③应收款项</w:t>
      </w:r>
      <w:r>
        <w:rPr>
          <w:spacing w:val="-102"/>
        </w:rPr>
        <w:t> </w:t>
      </w:r>
      <w:r>
        <w:rPr>
          <w:spacing w:val="-102"/>
        </w:rPr>
      </w:r>
      <w:r>
        <w:rPr>
          <w:spacing w:val="-2"/>
        </w:rPr>
        <w:t>应收款项主要包括应收账款和其他应收款等。应收账款是指本公司销售商品或提供劳务形成的应收款</w:t>
      </w:r>
    </w:p>
    <w:p>
      <w:pPr>
        <w:pStyle w:val="BodyText"/>
        <w:spacing w:line="255" w:lineRule="exact"/>
        <w:ind w:right="0"/>
        <w:jc w:val="both"/>
      </w:pPr>
      <w:r>
        <w:rPr/>
        <w:t>项。应收账款按从购货方应收的合同或协议价款作为初始确认金额。</w:t>
      </w:r>
    </w:p>
    <w:p>
      <w:pPr>
        <w:pStyle w:val="BodyText"/>
        <w:spacing w:line="376" w:lineRule="auto" w:before="157"/>
        <w:ind w:left="573" w:right="1133"/>
        <w:jc w:val="left"/>
      </w:pPr>
      <w:r>
        <w:rPr/>
        <w:t>④可供出售金融资产</w:t>
      </w:r>
      <w:r>
        <w:rPr>
          <w:w w:val="100"/>
        </w:rPr>
        <w:t> </w:t>
      </w:r>
      <w:r>
        <w:rPr>
          <w:spacing w:val="-2"/>
        </w:rPr>
        <w:t>主要是指本公司没有划分为以公允价值计量且其变动计入当期损益的金融资产、持有至到期投资、贷</w:t>
      </w:r>
    </w:p>
    <w:p>
      <w:pPr>
        <w:spacing w:after="0" w:line="376"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款和应收款项的金融资产。可供出售金融资产按照取得该金融资产的公允价值和相关交易费用之和作为初</w:t>
      </w:r>
      <w:r>
        <w:rPr>
          <w:spacing w:val="-43"/>
        </w:rPr>
        <w:t> </w:t>
      </w:r>
      <w:r>
        <w:rPr>
          <w:spacing w:val="-43"/>
        </w:rPr>
      </w:r>
      <w:r>
        <w:rPr>
          <w:spacing w:val="-2"/>
        </w:rPr>
        <w:t>始确认金额。支付的价款中包含的已到付息期但尚未领取的债券利息或已宣告但尚未发放的现金股利，单</w:t>
      </w:r>
      <w:r>
        <w:rPr>
          <w:spacing w:val="-44"/>
        </w:rPr>
        <w:t> </w:t>
      </w:r>
      <w:r>
        <w:rPr>
          <w:spacing w:val="-44"/>
        </w:rPr>
      </w:r>
      <w:r>
        <w:rPr/>
        <w:t>独确认为应收项目。可供出售金融资产持有期间取得的利息或现金股利计入投资收益。</w:t>
      </w:r>
    </w:p>
    <w:p>
      <w:pPr>
        <w:pStyle w:val="BodyText"/>
        <w:spacing w:line="273" w:lineRule="auto" w:before="127"/>
        <w:ind w:right="1104" w:firstLine="420"/>
        <w:jc w:val="both"/>
      </w:pPr>
      <w:r>
        <w:rPr>
          <w:spacing w:val="-2"/>
        </w:rPr>
        <w:t>可供出售金融资产是外币货币性金融资产的，其形成的汇兑损益应当计入当期损益。采用实际利率法</w:t>
      </w:r>
      <w:r>
        <w:rPr>
          <w:w w:val="100"/>
        </w:rPr>
        <w:t> </w:t>
      </w:r>
      <w:r>
        <w:rPr>
          <w:spacing w:val="-2"/>
        </w:rPr>
        <w:t>计算的可供出售债务工具投资的利息，计入当期损益；可供出售权益工具投资的现金股利，在被投资单位</w:t>
      </w:r>
      <w:r>
        <w:rPr>
          <w:spacing w:val="-43"/>
        </w:rPr>
        <w:t> </w:t>
      </w:r>
      <w:r>
        <w:rPr>
          <w:spacing w:val="-43"/>
        </w:rPr>
      </w:r>
      <w:r>
        <w:rPr>
          <w:spacing w:val="-2"/>
        </w:rPr>
        <w:t>宣告发放股利时计入当期损益。资产负债表日，可供出售金融资产以公允价值计量，且其变动计入其他综</w:t>
      </w:r>
      <w:r>
        <w:rPr>
          <w:spacing w:val="-43"/>
        </w:rPr>
        <w:t> </w:t>
      </w:r>
      <w:r>
        <w:rPr>
          <w:spacing w:val="-43"/>
        </w:rPr>
      </w:r>
      <w:r>
        <w:rPr>
          <w:spacing w:val="-2"/>
        </w:rPr>
        <w:t>合收益。处置可供出售金融资产时，将取得的价款与该金融资产账面价值之间差额计入投资收益；同时，</w:t>
      </w:r>
      <w:r>
        <w:rPr>
          <w:spacing w:val="-21"/>
        </w:rPr>
        <w:t> </w:t>
      </w:r>
      <w:r>
        <w:rPr>
          <w:spacing w:val="-21"/>
        </w:rPr>
      </w:r>
      <w:r>
        <w:rPr/>
        <w:t>将原计入所有者权益的公允价值变动累计额对应处置部分的金额转出，计入投资收益。</w:t>
      </w:r>
    </w:p>
    <w:p>
      <w:pPr>
        <w:pStyle w:val="Heading3"/>
        <w:spacing w:line="240" w:lineRule="auto" w:before="127"/>
        <w:ind w:left="575" w:right="1133"/>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pStyle w:val="BodyText"/>
        <w:spacing w:line="273" w:lineRule="auto" w:before="141"/>
        <w:ind w:right="1126" w:firstLine="420"/>
        <w:jc w:val="both"/>
      </w:pPr>
      <w:r>
        <w:rPr>
          <w:spacing w:val="-2"/>
        </w:rPr>
        <w:t>①以公允价值计量且其变动计入当期损益的金融负债，包括交易性金融负债和指定为以公允价值计量</w:t>
      </w:r>
      <w:r>
        <w:rPr>
          <w:w w:val="100"/>
        </w:rPr>
        <w:t> </w:t>
      </w:r>
      <w:r>
        <w:rPr>
          <w:spacing w:val="-2"/>
        </w:rPr>
        <w:t>且其变动计入当期损益的金融负债；这类金融负债初始确认时以公允价值计量，相关交易费用直接计入当</w:t>
      </w:r>
      <w:r>
        <w:rPr>
          <w:spacing w:val="-43"/>
        </w:rPr>
        <w:t> </w:t>
      </w:r>
      <w:r>
        <w:rPr>
          <w:spacing w:val="-43"/>
        </w:rPr>
      </w:r>
      <w:r>
        <w:rPr/>
        <w:t>期损益，资产负债表日将公允价值变动计入当期损益。</w:t>
      </w:r>
    </w:p>
    <w:p>
      <w:pPr>
        <w:pStyle w:val="BodyText"/>
        <w:spacing w:line="240" w:lineRule="auto" w:before="127"/>
        <w:ind w:left="573" w:right="1133"/>
        <w:jc w:val="left"/>
      </w:pPr>
      <w:r>
        <w:rPr/>
        <w:t>②其他金融负债，是指以公允价值计量且其变动计入当期损益的金融负债以外的金融负债。</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）金融资产的重分类</w:t>
      </w:r>
      <w:r>
        <w:rPr>
          <w:rFonts w:ascii="宋体" w:hAnsi="宋体" w:cs="宋体" w:eastAsia="宋体" w:hint="default"/>
          <w:b/>
          <w:bCs/>
          <w:w w:val="100"/>
          <w:sz w:val="21"/>
          <w:szCs w:val="21"/>
        </w:rPr>
        <w:t> </w:t>
      </w:r>
      <w:r>
        <w:rPr>
          <w:rFonts w:ascii="宋体" w:hAnsi="宋体" w:cs="宋体" w:eastAsia="宋体" w:hint="default"/>
          <w:spacing w:val="-2"/>
          <w:sz w:val="21"/>
          <w:szCs w:val="21"/>
        </w:rPr>
        <w:t>因持有意图或能力发生改变，使某项投资不再适合划分为持有至到期投资的，本公司将其重分类为可</w:t>
      </w:r>
    </w:p>
    <w:p>
      <w:pPr>
        <w:pStyle w:val="BodyText"/>
        <w:spacing w:line="209" w:lineRule="exact"/>
        <w:ind w:right="0"/>
        <w:jc w:val="both"/>
      </w:pPr>
      <w:r>
        <w:rPr/>
        <w:t>供出售金融资产，并以公允价值进行后续计量。持有至到期投资部分出售或重分类的金额较大，且不属于</w:t>
      </w:r>
    </w:p>
    <w:p>
      <w:pPr>
        <w:pStyle w:val="BodyText"/>
        <w:spacing w:line="264" w:lineRule="auto" w:before="37"/>
        <w:ind w:left="0" w:right="1107"/>
        <w:jc w:val="right"/>
      </w:pPr>
      <w:r>
        <w:rPr>
          <w:spacing w:val="-2"/>
        </w:rPr>
        <w:t>《企业会计准则第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金融工具确认和计量》第十六条所指的例外情况，使该投资的剩余部分不再适</w:t>
      </w:r>
      <w:r>
        <w:rPr>
          <w:spacing w:val="-81"/>
        </w:rPr>
        <w:t> </w:t>
      </w:r>
      <w:r>
        <w:rPr>
          <w:spacing w:val="-81"/>
        </w:rPr>
      </w:r>
      <w:r>
        <w:rPr>
          <w:spacing w:val="-2"/>
        </w:rPr>
        <w:t>合划分为持有至到期投资的，本公司应当将该投资的剩余部分重分类为可供出售金融资产，并以公允价值</w:t>
      </w:r>
      <w:r>
        <w:rPr>
          <w:spacing w:val="-83"/>
        </w:rPr>
        <w:t> </w:t>
      </w:r>
      <w:r>
        <w:rPr>
          <w:spacing w:val="-83"/>
        </w:rPr>
      </w:r>
      <w:r>
        <w:rPr>
          <w:spacing w:val="-2"/>
        </w:rPr>
        <w:t>进行后续计量，但在本会计年度及以后两个完整的会计年度内不再将该金融资产划分为持有至到期投资。</w:t>
      </w:r>
    </w:p>
    <w:p>
      <w:pPr>
        <w:pStyle w:val="BodyText"/>
        <w:spacing w:line="273" w:lineRule="auto" w:before="136"/>
        <w:ind w:right="1126" w:firstLine="420"/>
        <w:jc w:val="both"/>
      </w:pPr>
      <w:r>
        <w:rPr>
          <w:spacing w:val="-2"/>
        </w:rPr>
        <w:t>重分类日，该投资的账面价值与公允价值之间的差额计入其他综合收益，在该可供出售金融资产发生</w:t>
      </w:r>
      <w:r>
        <w:rPr>
          <w:w w:val="100"/>
        </w:rPr>
        <w:t> </w:t>
      </w:r>
      <w:r>
        <w:rPr/>
        <w:t>减值或终止确认时转出，计入当期损益。</w:t>
      </w:r>
    </w:p>
    <w:p>
      <w:pPr>
        <w:spacing w:line="357" w:lineRule="auto" w:before="127"/>
        <w:ind w:left="573" w:right="211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）金融负债与权益工具的区分</w:t>
      </w:r>
      <w:r>
        <w:rPr>
          <w:rFonts w:ascii="宋体" w:hAnsi="宋体" w:cs="宋体" w:eastAsia="宋体" w:hint="default"/>
          <w:b/>
          <w:bCs/>
          <w:w w:val="100"/>
          <w:sz w:val="21"/>
          <w:szCs w:val="21"/>
        </w:rPr>
        <w:t> </w:t>
      </w:r>
      <w:r>
        <w:rPr>
          <w:rFonts w:ascii="宋体" w:hAnsi="宋体" w:cs="宋体" w:eastAsia="宋体" w:hint="default"/>
          <w:spacing w:val="-2"/>
          <w:sz w:val="21"/>
          <w:szCs w:val="21"/>
        </w:rPr>
        <w:t>除特殊情况外，金融负债与权益工具按照下列原则进行区分：</w:t>
      </w:r>
    </w:p>
    <w:p>
      <w:pPr>
        <w:pStyle w:val="BodyText"/>
        <w:spacing w:line="273" w:lineRule="auto" w:before="54"/>
        <w:ind w:right="1126" w:firstLine="420"/>
        <w:jc w:val="both"/>
      </w:pPr>
      <w:r>
        <w:rPr>
          <w:spacing w:val="-2"/>
        </w:rPr>
        <w:t>①如果本公司不能无条件地避免以交付现金或其他金融资产来履行一项合同义务，则该合同义务符合</w:t>
      </w:r>
      <w:r>
        <w:rPr>
          <w:w w:val="100"/>
        </w:rPr>
        <w:t> </w:t>
      </w:r>
      <w:r>
        <w:rPr>
          <w:spacing w:val="-2"/>
        </w:rPr>
        <w:t>金融负债的定义。有些金融工具虽然没有明确地包含交付现金或其他金融资产义务的条款和条件，但有可</w:t>
      </w:r>
      <w:r>
        <w:rPr>
          <w:spacing w:val="-44"/>
        </w:rPr>
        <w:t> </w:t>
      </w:r>
      <w:r>
        <w:rPr>
          <w:spacing w:val="-44"/>
        </w:rPr>
      </w:r>
      <w:r>
        <w:rPr/>
        <w:t>能通过其他条款和条件间接地形成合同义务。</w:t>
      </w:r>
    </w:p>
    <w:p>
      <w:pPr>
        <w:pStyle w:val="BodyText"/>
        <w:spacing w:line="273" w:lineRule="auto" w:before="127"/>
        <w:ind w:right="1126" w:firstLine="420"/>
        <w:jc w:val="both"/>
      </w:pPr>
      <w:r>
        <w:rPr>
          <w:spacing w:val="-2"/>
        </w:rPr>
        <w:t>②如果一项金融工具须用或可用本公司自身权益工具进行结算，需要考虑用于结算该工具的本公司自</w:t>
      </w:r>
      <w:r>
        <w:rPr>
          <w:w w:val="100"/>
        </w:rPr>
        <w:t> </w:t>
      </w:r>
      <w:r>
        <w:rPr>
          <w:spacing w:val="-2"/>
        </w:rPr>
        <w:t>身权益工具，是作为现金或其他金融资产的替代品，还是为了使该工具持有方享有在发行方扣除所有负债</w:t>
      </w:r>
      <w:r>
        <w:rPr>
          <w:spacing w:val="-44"/>
        </w:rPr>
        <w:t> </w:t>
      </w:r>
      <w:r>
        <w:rPr>
          <w:spacing w:val="-44"/>
        </w:rPr>
      </w:r>
      <w:r>
        <w:rPr>
          <w:spacing w:val="-2"/>
        </w:rPr>
        <w:t>后的资产中的剩余权益。如果是前者，该工具是发行方的金融负债；如果是后者，该工具是发行方的权益</w:t>
      </w:r>
      <w:r>
        <w:rPr>
          <w:spacing w:val="-50"/>
        </w:rPr>
        <w:t> </w:t>
      </w:r>
      <w:r>
        <w:rPr>
          <w:spacing w:val="-50"/>
        </w:rPr>
      </w:r>
      <w:r>
        <w:rPr>
          <w:spacing w:val="-2"/>
        </w:rPr>
        <w:t>工具。在某些情况下，一项金融工具合同规定本公司须用或可用自身权益工具结算该金融工具，其中合同</w:t>
      </w:r>
      <w:r>
        <w:rPr>
          <w:spacing w:val="-43"/>
        </w:rPr>
        <w:t> </w:t>
      </w:r>
      <w:r>
        <w:rPr>
          <w:spacing w:val="-43"/>
        </w:rPr>
      </w:r>
      <w:r>
        <w:rPr>
          <w:spacing w:val="-2"/>
        </w:rPr>
        <w:t>权利或合同义务的金额等于可获取或需交付的自身权益工具的数量乘以其结算时的公允价值，则无论该合</w:t>
      </w:r>
      <w:r>
        <w:rPr>
          <w:spacing w:val="-43"/>
        </w:rPr>
        <w:t> </w:t>
      </w:r>
      <w:r>
        <w:rPr>
          <w:spacing w:val="-43"/>
        </w:rPr>
      </w:r>
      <w:r>
        <w:rPr>
          <w:spacing w:val="2"/>
        </w:rPr>
        <w:t>同权利或合同义务的金额是固定的，还是完全或部分地基于除本公司自身权益工具的市场价格以外变量</w:t>
      </w:r>
    </w:p>
    <w:p>
      <w:pPr>
        <w:pStyle w:val="BodyText"/>
        <w:spacing w:line="240" w:lineRule="auto" w:before="7"/>
        <w:ind w:right="0"/>
        <w:jc w:val="both"/>
      </w:pPr>
      <w:r>
        <w:rPr/>
        <w:t>（例如利率、某种商品的价格或某项金融工具的价格）的变动而变动，该合同分类为金融负债。</w:t>
      </w:r>
    </w:p>
    <w:p>
      <w:pPr>
        <w:spacing w:line="357" w:lineRule="auto" w:before="157"/>
        <w:ind w:left="573" w:right="647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）金融资产转移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金融资产转移是指下列两种情形：</w:t>
      </w:r>
    </w:p>
    <w:p>
      <w:pPr>
        <w:pStyle w:val="BodyText"/>
        <w:spacing w:line="240" w:lineRule="auto" w:before="54"/>
        <w:ind w:left="573" w:right="1133"/>
        <w:jc w:val="left"/>
      </w:pPr>
      <w:r>
        <w:rPr>
          <w:rFonts w:ascii="Times New Roman" w:hAnsi="Times New Roman" w:cs="Times New Roman" w:eastAsia="Times New Roman" w:hint="default"/>
        </w:rPr>
        <w:t>A.</w:t>
      </w:r>
      <w:r>
        <w:rPr/>
        <w:t>将收取金融资产现金流量的合同权利转移给另一方；</w:t>
      </w:r>
    </w:p>
    <w:p>
      <w:pPr>
        <w:pStyle w:val="BodyText"/>
        <w:spacing w:line="256" w:lineRule="auto" w:before="141"/>
        <w:ind w:right="1126" w:firstLine="420"/>
        <w:jc w:val="both"/>
      </w:pP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w:t>
      </w:r>
      <w:r>
        <w:rPr>
          <w:w w:val="100"/>
        </w:rPr>
        <w:t> </w:t>
      </w:r>
      <w:r>
        <w:rPr/>
        <w:t>现金流量支付给一个或多个收款方的合同义务。</w:t>
      </w:r>
    </w:p>
    <w:p>
      <w:pPr>
        <w:spacing w:after="0" w:line="256"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①终止确认所转移的金融资产</w:t>
      </w:r>
    </w:p>
    <w:p>
      <w:pPr>
        <w:pStyle w:val="BodyText"/>
        <w:spacing w:line="273" w:lineRule="auto" w:before="157"/>
        <w:ind w:right="1126" w:firstLine="420"/>
        <w:jc w:val="both"/>
      </w:pPr>
      <w:r>
        <w:rPr>
          <w:spacing w:val="-2"/>
        </w:rPr>
        <w:t>已将金融资产所有权上几乎所有的风险和报酬转移给转入方的，或既没有转移也没有保留金融资产所</w:t>
      </w:r>
      <w:r>
        <w:rPr>
          <w:w w:val="100"/>
        </w:rPr>
        <w:t> </w:t>
      </w:r>
      <w:r>
        <w:rPr/>
        <w:t>有权上几乎所有的风险和报酬的，但放弃了对该金融资产控制的，终止确认该金融资产。</w:t>
      </w:r>
    </w:p>
    <w:p>
      <w:pPr>
        <w:pStyle w:val="BodyText"/>
        <w:spacing w:line="273" w:lineRule="auto" w:before="127"/>
        <w:ind w:right="1126" w:firstLine="420"/>
        <w:jc w:val="both"/>
      </w:pPr>
      <w:r>
        <w:rPr>
          <w:spacing w:val="-2"/>
        </w:rPr>
        <w:t>在判断是否已放弃对所转移金融资产的控制时，注重转入方出售该金融资产的实际能力。转入方能够</w:t>
      </w:r>
      <w:r>
        <w:rPr>
          <w:w w:val="100"/>
        </w:rPr>
        <w:t> </w:t>
      </w:r>
      <w:r>
        <w:rPr>
          <w:spacing w:val="-2"/>
        </w:rPr>
        <w:t>单独将转入的金融资产整体出售给与其不存在关联方关系的第三方，且没有额外条件对此项出售加以限制</w:t>
      </w:r>
      <w:r>
        <w:rPr>
          <w:spacing w:val="-43"/>
        </w:rPr>
        <w:t> </w:t>
      </w:r>
      <w:r>
        <w:rPr>
          <w:spacing w:val="-43"/>
        </w:rPr>
      </w:r>
      <w:r>
        <w:rPr/>
        <w:t>的，表明企业已放弃对该金融资产的控制。</w:t>
      </w:r>
    </w:p>
    <w:p>
      <w:pPr>
        <w:pStyle w:val="BodyText"/>
        <w:spacing w:line="432" w:lineRule="exact" w:before="27"/>
        <w:ind w:left="573" w:right="1133"/>
        <w:jc w:val="left"/>
      </w:pPr>
      <w:r>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A.</w:t>
      </w:r>
      <w:r>
        <w:rPr/>
        <w:t>所转移金融资产的账面价值；</w:t>
      </w:r>
      <w:r>
        <w:rPr>
          <w:w w:val="100"/>
        </w:rPr>
        <w:t> </w:t>
      </w: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w:t>
      </w:r>
    </w:p>
    <w:p>
      <w:pPr>
        <w:pStyle w:val="BodyText"/>
        <w:spacing w:line="256" w:lineRule="exact"/>
        <w:ind w:right="1133"/>
        <w:jc w:val="left"/>
      </w:pPr>
      <w:r>
        <w:rPr/>
        <w:t>供出售金融资产的情形）之和。</w:t>
      </w:r>
    </w:p>
    <w:p>
      <w:pPr>
        <w:pStyle w:val="BodyText"/>
        <w:spacing w:line="273" w:lineRule="auto" w:before="157"/>
        <w:ind w:right="1126" w:firstLine="420"/>
        <w:jc w:val="both"/>
      </w:pPr>
      <w:r>
        <w:rPr>
          <w:spacing w:val="-2"/>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47"/>
        </w:rPr>
        <w:t> </w:t>
      </w:r>
      <w:r>
        <w:rPr>
          <w:spacing w:val="-47"/>
        </w:rPr>
      </w:r>
      <w:r>
        <w:rPr/>
        <w:t>对公允价值进行分摊，并将下列两项金额的差额计入当期损益：</w:t>
      </w:r>
    </w:p>
    <w:p>
      <w:pPr>
        <w:pStyle w:val="BodyText"/>
        <w:spacing w:line="432" w:lineRule="exact" w:before="27"/>
        <w:ind w:left="573" w:right="1133"/>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w:t>
      </w:r>
    </w:p>
    <w:p>
      <w:pPr>
        <w:pStyle w:val="BodyText"/>
        <w:spacing w:line="255" w:lineRule="exact"/>
        <w:ind w:right="1133"/>
        <w:jc w:val="left"/>
      </w:pPr>
      <w:r>
        <w:rPr/>
        <w:t>（涉及转移的金融资产为可供出售金融资产的情形）之和。</w:t>
      </w:r>
    </w:p>
    <w:p>
      <w:pPr>
        <w:pStyle w:val="BodyText"/>
        <w:spacing w:line="430" w:lineRule="atLeast" w:before="2"/>
        <w:ind w:left="573" w:right="1133"/>
        <w:jc w:val="left"/>
      </w:pPr>
      <w:r>
        <w:rPr/>
        <w:t>②继续涉入所转移的金融资产</w:t>
      </w:r>
      <w:r>
        <w:rPr>
          <w:w w:val="100"/>
        </w:rPr>
        <w:t> </w:t>
      </w:r>
      <w:r>
        <w:rPr>
          <w:spacing w:val="-2"/>
        </w:rPr>
        <w:t>既没有转移也没有保留金融资产所有权上几乎所有的风险和报酬的，且未放弃对该金融资产控制的，</w:t>
      </w:r>
    </w:p>
    <w:p>
      <w:pPr>
        <w:pStyle w:val="BodyText"/>
        <w:spacing w:line="376" w:lineRule="auto" w:before="37"/>
        <w:ind w:left="573" w:right="1133" w:hanging="420"/>
        <w:jc w:val="left"/>
      </w:pPr>
      <w:r>
        <w:rPr/>
        <w:t>应当按照其继续涉入所转移金融资产的程度确认有关金融资产，并相应确认有关负债。</w:t>
      </w:r>
      <w:r>
        <w:rPr>
          <w:w w:val="100"/>
        </w:rPr>
        <w:t> </w:t>
      </w:r>
      <w:r>
        <w:rPr>
          <w:spacing w:val="-2"/>
        </w:rPr>
        <w:t>继续涉入所转移金融资产的程度，是指该金融资产价值变动使企业面临的风险水平。</w:t>
      </w:r>
    </w:p>
    <w:p>
      <w:pPr>
        <w:pStyle w:val="BodyText"/>
        <w:spacing w:line="240" w:lineRule="auto" w:before="37"/>
        <w:ind w:left="573" w:right="1133"/>
        <w:jc w:val="left"/>
      </w:pPr>
      <w:r>
        <w:rPr/>
        <w:t>③继续确认所转移的金融资产</w:t>
      </w:r>
    </w:p>
    <w:p>
      <w:pPr>
        <w:pStyle w:val="BodyText"/>
        <w:spacing w:line="273" w:lineRule="auto" w:before="157"/>
        <w:ind w:right="1126" w:firstLine="420"/>
        <w:jc w:val="both"/>
      </w:pPr>
      <w:r>
        <w:rPr>
          <w:spacing w:val="-2"/>
        </w:rPr>
        <w:t>仍保留与所转移金融资产所有权上几乎所有的风险和报酬的，应当继续确认所转移金融资产整体，并</w:t>
      </w:r>
      <w:r>
        <w:rPr>
          <w:w w:val="100"/>
        </w:rPr>
        <w:t> </w:t>
      </w:r>
      <w:r>
        <w:rPr/>
        <w:t>将收到的对价确认为一项金融负债。</w:t>
      </w:r>
    </w:p>
    <w:p>
      <w:pPr>
        <w:pStyle w:val="BodyText"/>
        <w:spacing w:line="273" w:lineRule="auto" w:before="127"/>
        <w:ind w:right="1126" w:firstLine="420"/>
        <w:jc w:val="both"/>
      </w:pPr>
      <w:r>
        <w:rPr>
          <w:spacing w:val="-2"/>
        </w:rPr>
        <w:t>该金融资产与确认的相关金融负债不得相互抵销。在随后的会计期间，企业应当继续确认该金融资产</w:t>
      </w:r>
      <w:r>
        <w:rPr>
          <w:w w:val="100"/>
        </w:rPr>
        <w:t> </w:t>
      </w:r>
      <w:r>
        <w:rPr>
          <w:spacing w:val="-2"/>
        </w:rPr>
        <w:t>产生的收入和该金融负债产生的费用。所转移的金融资产以摊余成本计量的，确认的相关负债不得指定为</w:t>
      </w:r>
      <w:r>
        <w:rPr>
          <w:spacing w:val="-44"/>
        </w:rPr>
        <w:t> </w:t>
      </w:r>
      <w:r>
        <w:rPr>
          <w:spacing w:val="-44"/>
        </w:rPr>
      </w:r>
      <w:r>
        <w:rPr/>
        <w:t>以公允价值计量且其变动计入当期损益的金融负债。</w:t>
      </w:r>
    </w:p>
    <w:p>
      <w:pPr>
        <w:pStyle w:val="BodyText"/>
        <w:spacing w:line="367" w:lineRule="auto" w:before="12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）金融负债终止确认</w:t>
      </w:r>
      <w:r>
        <w:rPr>
          <w:rFonts w:ascii="宋体" w:hAnsi="宋体" w:cs="宋体" w:eastAsia="宋体" w:hint="default"/>
          <w:b/>
          <w:bCs/>
          <w:w w:val="100"/>
        </w:rPr>
        <w:t> </w:t>
      </w:r>
      <w:r>
        <w:rPr/>
        <w:t>金融负债的现时义务全部或部分已经解除的，终止确认该金融负债或其一部分。</w:t>
      </w:r>
      <w:r>
        <w:rPr>
          <w:w w:val="100"/>
        </w:rPr>
        <w:t> </w:t>
      </w:r>
      <w:r>
        <w:rPr>
          <w:spacing w:val="-2"/>
        </w:rPr>
        <w:t>将用于偿付金融负债的资产转入某个机构或设立信托，偿付债务的现时义务仍存在的，不终止确认该</w:t>
      </w:r>
    </w:p>
    <w:p>
      <w:pPr>
        <w:pStyle w:val="BodyText"/>
        <w:spacing w:line="201" w:lineRule="exact"/>
        <w:ind w:right="1133"/>
        <w:jc w:val="left"/>
      </w:pPr>
      <w:r>
        <w:rPr/>
        <w:t>金融负债，也不终止确认转出的资产。</w:t>
      </w:r>
    </w:p>
    <w:p>
      <w:pPr>
        <w:pStyle w:val="BodyText"/>
        <w:spacing w:line="273" w:lineRule="auto" w:before="157"/>
        <w:ind w:right="1125" w:firstLine="420"/>
        <w:jc w:val="both"/>
      </w:pPr>
      <w:r>
        <w:rPr>
          <w:spacing w:val="-2"/>
        </w:rPr>
        <w:t>与债权人之间签订协议，以承担新金融负债方式替换现存金融负债，且新金融负债与现存金融负债的</w:t>
      </w:r>
      <w:r>
        <w:rPr>
          <w:w w:val="100"/>
        </w:rPr>
        <w:t> </w:t>
      </w:r>
      <w:r>
        <w:rPr/>
        <w:t>合同条款实质上不同的，终止确认现存金融负债，并同时确认新金融负债。</w:t>
      </w:r>
    </w:p>
    <w:p>
      <w:pPr>
        <w:pStyle w:val="BodyText"/>
        <w:spacing w:line="273" w:lineRule="auto" w:before="127"/>
        <w:ind w:right="1126" w:firstLine="420"/>
        <w:jc w:val="both"/>
      </w:pPr>
      <w:r>
        <w:rPr>
          <w:spacing w:val="-2"/>
        </w:rPr>
        <w:t>对现存金融负债全部或部分的合同条款作出实质性修改的，终止确认现存金融负债或其一部分，同时</w:t>
      </w:r>
      <w:r>
        <w:rPr>
          <w:w w:val="100"/>
        </w:rPr>
        <w:t> </w:t>
      </w:r>
      <w:r>
        <w:rPr/>
        <w:t>将修改条款后的金融负债确认为一项新金融负债。</w:t>
      </w:r>
    </w:p>
    <w:p>
      <w:pPr>
        <w:pStyle w:val="BodyText"/>
        <w:spacing w:line="240" w:lineRule="auto" w:before="127"/>
        <w:ind w:left="573" w:right="0"/>
        <w:jc w:val="left"/>
      </w:pPr>
      <w:r>
        <w:rPr/>
        <w:t>金融负债全部或部分终止确认的，将终止确认部分的账面价值与支付的对价（包括转出的非现金资产</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或承担的新金融负债）之间的差额，计入当期损益。</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金融资产和金融负债应当在资产负债表内分别列示，不得相互抵销。但同时满足下列条件的，以相互</w:t>
      </w:r>
    </w:p>
    <w:p>
      <w:pPr>
        <w:pStyle w:val="BodyText"/>
        <w:spacing w:line="209" w:lineRule="exact"/>
        <w:ind w:right="1133"/>
        <w:jc w:val="left"/>
      </w:pPr>
      <w:r>
        <w:rPr/>
        <w:t>抵销后的净额在资产负债表内列示：</w:t>
      </w:r>
    </w:p>
    <w:p>
      <w:pPr>
        <w:pStyle w:val="BodyText"/>
        <w:spacing w:line="364" w:lineRule="auto" w:before="157"/>
        <w:ind w:left="573" w:right="1133"/>
        <w:jc w:val="left"/>
        <w:rPr>
          <w:sz w:val="24"/>
          <w:szCs w:val="24"/>
        </w:rPr>
      </w:pP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r>
        <w:rPr>
          <w:spacing w:val="-2"/>
          <w:sz w:val="24"/>
          <w:szCs w:val="24"/>
        </w:rPr>
        <w:t>。</w:t>
      </w:r>
    </w:p>
    <w:p>
      <w:pPr>
        <w:pStyle w:val="Heading3"/>
        <w:spacing w:line="240" w:lineRule="auto" w:before="21"/>
        <w:ind w:left="575" w:right="1133"/>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pStyle w:val="BodyText"/>
        <w:spacing w:line="367" w:lineRule="auto" w:before="141"/>
        <w:ind w:left="573" w:right="4273"/>
        <w:jc w:val="left"/>
      </w:pPr>
      <w:r>
        <w:rPr/>
        <w:t>①金融资产发生减值的客观证据：</w:t>
      </w:r>
      <w:r>
        <w:rPr>
          <w:w w:val="100"/>
        </w:rPr>
        <w:t> </w:t>
      </w:r>
      <w:r>
        <w:rPr>
          <w:rFonts w:ascii="Times New Roman" w:hAnsi="Times New Roman" w:cs="Times New Roman" w:eastAsia="Times New Roman" w:hint="default"/>
        </w:rPr>
        <w:t>A.</w:t>
      </w:r>
      <w:r>
        <w:rPr/>
        <w:t>发行方或债务人发生严重财务困难；</w:t>
      </w:r>
      <w:r>
        <w:rPr>
          <w:w w:val="100"/>
        </w:rPr>
        <w:t> </w:t>
      </w:r>
      <w:r>
        <w:rPr>
          <w:rFonts w:ascii="Times New Roman" w:hAnsi="Times New Roman" w:cs="Times New Roman" w:eastAsia="Times New Roman" w:hint="default"/>
          <w:spacing w:val="-2"/>
        </w:rPr>
        <w:t>B.</w:t>
      </w:r>
      <w:r>
        <w:rPr>
          <w:spacing w:val="-2"/>
        </w:rPr>
        <w:t>债务人违反了合同条款，如偿付利息或本金发生违约或逾期等；</w:t>
      </w:r>
    </w:p>
    <w:p>
      <w:pPr>
        <w:pStyle w:val="BodyText"/>
        <w:spacing w:line="357" w:lineRule="auto" w:before="18"/>
        <w:ind w:left="573" w:right="1133"/>
        <w:jc w:val="left"/>
      </w:pPr>
      <w:r>
        <w:rPr>
          <w:rFonts w:ascii="Times New Roman" w:hAnsi="Times New Roman" w:cs="Times New Roman" w:eastAsia="Times New Roman" w:hint="default"/>
        </w:rPr>
        <w:t>C.</w:t>
      </w:r>
      <w:r>
        <w:rPr/>
        <w:t>债权人出于经济或法律等方面的考虑，对发生财务困难的债务人作出让步；</w:t>
      </w:r>
      <w:r>
        <w:rPr>
          <w:w w:val="100"/>
        </w:rPr>
        <w:t> </w:t>
      </w:r>
      <w:r>
        <w:rPr>
          <w:rFonts w:ascii="Times New Roman" w:hAnsi="Times New Roman" w:cs="Times New Roman" w:eastAsia="Times New Roman" w:hint="default"/>
        </w:rPr>
        <w:t>D.</w:t>
      </w:r>
      <w:r>
        <w:rPr/>
        <w:t>债务人可能倒闭或进行其他财务重组；</w:t>
      </w:r>
      <w:r>
        <w:rPr>
          <w:w w:val="100"/>
        </w:rPr>
        <w:t>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256" w:lineRule="auto" w:before="27"/>
        <w:ind w:right="1127" w:firstLine="420"/>
        <w:jc w:val="both"/>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w:t>
      </w:r>
      <w:r>
        <w:rPr>
          <w:w w:val="100"/>
        </w:rPr>
        <w:t> </w:t>
      </w:r>
      <w:r>
        <w:rPr/>
        <w:t>价后发现，该组金融资产自初始确认以来的预计未来现金流量确已减少且可计量；</w:t>
      </w:r>
    </w:p>
    <w:p>
      <w:pPr>
        <w:pStyle w:val="BodyText"/>
        <w:spacing w:line="256" w:lineRule="auto" w:before="142"/>
        <w:ind w:right="1128" w:firstLine="420"/>
        <w:jc w:val="both"/>
      </w:pPr>
      <w:r>
        <w:rPr>
          <w:rFonts w:ascii="Times New Roman" w:hAnsi="Times New Roman" w:cs="Times New Roman" w:eastAsia="Times New Roman" w:hint="default"/>
          <w:spacing w:val="-2"/>
        </w:rPr>
        <w:t>G.</w:t>
      </w:r>
      <w:r>
        <w:rPr>
          <w:spacing w:val="-2"/>
        </w:rPr>
        <w:t>债务人经营所处的技术、市场、经济或法律环境等发生重大不利变化，使权益工具投资人可能无法</w:t>
      </w:r>
      <w:r>
        <w:rPr>
          <w:w w:val="100"/>
        </w:rPr>
        <w:t> </w:t>
      </w:r>
      <w:r>
        <w:rPr/>
        <w:t>收回投资成本；</w:t>
      </w:r>
    </w:p>
    <w:p>
      <w:pPr>
        <w:pStyle w:val="BodyText"/>
        <w:spacing w:line="357" w:lineRule="auto" w:before="143"/>
        <w:ind w:left="573" w:right="2113"/>
        <w:jc w:val="left"/>
      </w:pPr>
      <w:r>
        <w:rPr>
          <w:rFonts w:ascii="Times New Roman" w:hAnsi="Times New Roman" w:cs="Times New Roman" w:eastAsia="Times New Roman" w:hint="default"/>
          <w:spacing w:val="-2"/>
        </w:rPr>
        <w:t>H.</w:t>
      </w:r>
      <w:r>
        <w:rPr>
          <w:spacing w:val="-2"/>
        </w:rPr>
        <w:t>权益工具投资的公允价值发生严重或非暂时性下跌；</w:t>
      </w:r>
      <w:r>
        <w:rPr>
          <w:spacing w:val="-59"/>
        </w:rPr>
        <w:t> </w:t>
      </w:r>
      <w:r>
        <w:rPr>
          <w:spacing w:val="-59"/>
        </w:rPr>
      </w:r>
      <w:r>
        <w:rPr>
          <w:rFonts w:ascii="Times New Roman" w:hAnsi="Times New Roman" w:cs="Times New Roman" w:eastAsia="Times New Roman" w:hint="default"/>
        </w:rPr>
        <w:t>I.</w:t>
      </w:r>
      <w:r>
        <w:rPr/>
        <w:t>其他表明金融资产发生减值的客观证据。</w:t>
      </w:r>
    </w:p>
    <w:p>
      <w:pPr>
        <w:pStyle w:val="BodyText"/>
        <w:spacing w:line="240" w:lineRule="auto" w:before="27"/>
        <w:ind w:left="573" w:right="1133"/>
        <w:jc w:val="left"/>
      </w:pPr>
      <w:r>
        <w:rPr/>
        <w:t>②金融资产的减值测试（不包括应收款项）</w:t>
      </w:r>
    </w:p>
    <w:p>
      <w:pPr>
        <w:pStyle w:val="BodyText"/>
        <w:spacing w:line="357" w:lineRule="auto" w:before="157"/>
        <w:ind w:left="573" w:right="1133"/>
        <w:jc w:val="left"/>
      </w:pPr>
      <w:r>
        <w:rPr>
          <w:rFonts w:ascii="Times New Roman" w:hAnsi="Times New Roman" w:cs="Times New Roman" w:eastAsia="Times New Roman" w:hint="default"/>
        </w:rPr>
        <w:t>A</w:t>
      </w:r>
      <w:r>
        <w:rPr/>
        <w:t>．持有至到期投资减值测试</w:t>
      </w:r>
      <w:r>
        <w:rPr>
          <w:w w:val="100"/>
        </w:rPr>
        <w:t> </w:t>
      </w:r>
      <w:r>
        <w:rPr>
          <w:spacing w:val="-2"/>
        </w:rPr>
        <w:t>持有至到期投资发生减值时，将该持有至到期投资的账面价值减记至预计未来现金流量（不包括尚未</w:t>
      </w:r>
    </w:p>
    <w:p>
      <w:pPr>
        <w:pStyle w:val="BodyText"/>
        <w:spacing w:line="209" w:lineRule="exact"/>
        <w:ind w:right="1133"/>
        <w:jc w:val="left"/>
      </w:pPr>
      <w:r>
        <w:rPr/>
        <w:t>发生的未来信用损失）现值，减记的金额确认为资产减值损失，计入当期损益。</w:t>
      </w:r>
    </w:p>
    <w:p>
      <w:pPr>
        <w:pStyle w:val="BodyText"/>
        <w:spacing w:line="273" w:lineRule="auto" w:before="157"/>
        <w:ind w:right="1126" w:firstLine="420"/>
        <w:jc w:val="both"/>
      </w:pPr>
      <w:r>
        <w:rPr>
          <w:spacing w:val="-7"/>
        </w:rPr>
        <w:t>预计未来现金流量现值，按照该持有至到期投资的原实际利率折现确定，并考虑相关担保物的价值（取</w:t>
      </w:r>
      <w:r>
        <w:rPr>
          <w:w w:val="100"/>
        </w:rPr>
        <w:t> </w:t>
      </w:r>
      <w:r>
        <w:rPr>
          <w:spacing w:val="-2"/>
        </w:rPr>
        <w:t>得和出售该担保物发生的费用予以扣除）。原实际利率是初始确认该持有至到期投资时计算确定的实际利</w:t>
      </w:r>
      <w:r>
        <w:rPr>
          <w:spacing w:val="-43"/>
        </w:rPr>
        <w:t> </w:t>
      </w:r>
      <w:r>
        <w:rPr>
          <w:spacing w:val="-43"/>
        </w:rPr>
      </w:r>
      <w:r>
        <w:rPr>
          <w:spacing w:val="-2"/>
        </w:rPr>
        <w:t>率。对于浮动利率的持有至到期投资，在计算未来现金流量现值时可采用合同规定的现行实际利率作为折</w:t>
      </w:r>
      <w:r>
        <w:rPr>
          <w:spacing w:val="-44"/>
        </w:rPr>
        <w:t> </w:t>
      </w:r>
      <w:r>
        <w:rPr>
          <w:spacing w:val="-44"/>
        </w:rPr>
      </w:r>
      <w:r>
        <w:rPr/>
        <w:t>现率。</w:t>
      </w:r>
    </w:p>
    <w:p>
      <w:pPr>
        <w:pStyle w:val="BodyText"/>
        <w:spacing w:line="273" w:lineRule="auto" w:before="127"/>
        <w:ind w:right="1126" w:firstLine="420"/>
        <w:jc w:val="both"/>
      </w:pPr>
      <w:r>
        <w:rPr>
          <w:spacing w:val="-2"/>
        </w:rPr>
        <w:t>即使合同条款因债务方或金融资产发行方发生财务困难而重新商定或修改，在确认减值损失时，仍用</w:t>
      </w:r>
      <w:r>
        <w:rPr>
          <w:w w:val="100"/>
        </w:rPr>
        <w:t> </w:t>
      </w:r>
      <w:r>
        <w:rPr/>
        <w:t>条款修改前所计算的该金融资产的原实际利率计算。</w:t>
      </w:r>
    </w:p>
    <w:p>
      <w:pPr>
        <w:pStyle w:val="BodyText"/>
        <w:spacing w:line="273" w:lineRule="auto" w:before="127"/>
        <w:ind w:right="1126" w:firstLine="420"/>
        <w:jc w:val="both"/>
      </w:pPr>
      <w:r>
        <w:rPr>
          <w:spacing w:val="-2"/>
        </w:rPr>
        <w:t>对持有至到期投资确认减值损失后，如有客观证据表明该持有至到期投资价值已恢复，且客观上与确</w:t>
      </w:r>
      <w:r>
        <w:rPr>
          <w:w w:val="100"/>
        </w:rPr>
        <w:t> </w:t>
      </w:r>
      <w:r>
        <w:rPr>
          <w:spacing w:val="-2"/>
        </w:rPr>
        <w:t>认该损失后发生的事项有关（如债务人的信用评级已提高等），原确认的减值损失予以转回，计入当期损</w:t>
      </w:r>
      <w:r>
        <w:rPr>
          <w:spacing w:val="-47"/>
        </w:rPr>
        <w:t> </w:t>
      </w:r>
      <w:r>
        <w:rPr>
          <w:spacing w:val="-47"/>
        </w:rPr>
      </w:r>
      <w:r>
        <w:rPr/>
        <w:t>益。</w:t>
      </w:r>
    </w:p>
    <w:p>
      <w:pPr>
        <w:pStyle w:val="BodyText"/>
        <w:spacing w:line="273" w:lineRule="auto" w:before="127"/>
        <w:ind w:right="1126" w:firstLine="420"/>
        <w:jc w:val="both"/>
      </w:pPr>
      <w:r>
        <w:rPr>
          <w:spacing w:val="-2"/>
        </w:rPr>
        <w:t>持有至到期投资发生减值后，利息收入按照确定减值损失时对未来现金流量进行折现采用的折现率作</w:t>
      </w:r>
      <w:r>
        <w:rPr>
          <w:w w:val="100"/>
        </w:rPr>
        <w:t> </w:t>
      </w:r>
      <w:r>
        <w:rPr/>
        <w:t>为利率计算确认。</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357" w:lineRule="auto" w:before="36"/>
        <w:ind w:left="573" w:right="1133"/>
        <w:jc w:val="left"/>
      </w:pPr>
      <w:r>
        <w:rPr>
          <w:rFonts w:ascii="Times New Roman" w:hAnsi="Times New Roman" w:cs="Times New Roman" w:eastAsia="Times New Roman" w:hint="default"/>
        </w:rPr>
        <w:t>B.</w:t>
      </w:r>
      <w:r>
        <w:rPr/>
        <w:t>可供出售金融资产减值测试</w:t>
      </w:r>
      <w:r>
        <w:rPr>
          <w:w w:val="100"/>
        </w:rPr>
        <w:t> </w:t>
      </w:r>
      <w:r>
        <w:rPr>
          <w:spacing w:val="-2"/>
        </w:rPr>
        <w:t>在资产负债表日本公司对可供出售金融资产的减值情况进行分析，判断该项金融资产公允价值是否持</w:t>
      </w:r>
    </w:p>
    <w:p>
      <w:pPr>
        <w:pStyle w:val="BodyText"/>
        <w:spacing w:line="225" w:lineRule="exact"/>
        <w:ind w:right="0"/>
        <w:jc w:val="left"/>
      </w:pPr>
      <w:r>
        <w:rPr/>
        <w:t>续下降。通常情况下，如果可供出售金融资产的期末公允价值相对于成本的下跌幅度已达到或超过</w:t>
      </w:r>
      <w:r>
        <w:rPr>
          <w:rFonts w:ascii="Times New Roman" w:hAnsi="Times New Roman" w:cs="Times New Roman" w:eastAsia="Times New Roman" w:hint="default"/>
        </w:rPr>
        <w:t>50%</w:t>
      </w:r>
      <w:r>
        <w:rPr/>
        <w:t>，</w:t>
      </w:r>
    </w:p>
    <w:p>
      <w:pPr>
        <w:pStyle w:val="BodyText"/>
        <w:spacing w:line="264" w:lineRule="auto" w:before="21"/>
        <w:ind w:right="1131"/>
        <w:jc w:val="both"/>
      </w:pPr>
      <w:r>
        <w:rPr/>
        <w:t>或者持续下跌时间已达到或超过</w:t>
      </w:r>
      <w:r>
        <w:rPr>
          <w:rFonts w:ascii="Times New Roman" w:hAnsi="Times New Roman" w:cs="Times New Roman" w:eastAsia="Times New Roman" w:hint="default"/>
        </w:rPr>
        <w:t>12</w:t>
      </w:r>
      <w:r>
        <w:rPr/>
        <w:t>个月，在综合考虑各种相关因素后，</w:t>
      </w:r>
      <w:r>
        <w:rPr>
          <w:spacing w:val="69"/>
        </w:rPr>
        <w:t> </w:t>
      </w:r>
      <w:r>
        <w:rPr/>
        <w:t>预期这种下降趋势属于非暂时性</w:t>
      </w:r>
      <w:r>
        <w:rPr>
          <w:spacing w:val="-95"/>
        </w:rPr>
        <w:t> </w:t>
      </w:r>
      <w:r>
        <w:rPr>
          <w:spacing w:val="-95"/>
        </w:rPr>
      </w:r>
      <w:r>
        <w:rPr>
          <w:spacing w:val="-2"/>
        </w:rPr>
        <w:t>的，可以认定该可供出售金融资产已发生减值，确认减值损失。可供出售金融资产发生减值的，在确认减</w:t>
      </w:r>
      <w:r>
        <w:rPr>
          <w:spacing w:val="-50"/>
        </w:rPr>
        <w:t> </w:t>
      </w:r>
      <w:r>
        <w:rPr>
          <w:spacing w:val="-50"/>
        </w:rPr>
      </w:r>
      <w:r>
        <w:rPr/>
        <w:t>值损失时，将原直接计入所有者权益的公允价值下降形成的累计损失一并转出，计入资产减值损失。</w:t>
      </w:r>
    </w:p>
    <w:p>
      <w:pPr>
        <w:pStyle w:val="BodyText"/>
        <w:spacing w:line="432" w:lineRule="exact" w:before="36"/>
        <w:ind w:left="573" w:right="1133"/>
        <w:jc w:val="left"/>
      </w:pPr>
      <w:r>
        <w:rPr/>
        <w:t>可供出售债务工具金融资产是否发生减值，可参照上述可供出售权益工具投资进行分析判断。</w:t>
      </w:r>
      <w:r>
        <w:rPr>
          <w:w w:val="100"/>
        </w:rPr>
        <w:t> </w:t>
      </w:r>
      <w:r>
        <w:rPr/>
        <w:t>可供出售权益工具投资发生的减值损失，不得通过损益转回。</w:t>
      </w:r>
      <w:r>
        <w:rPr>
          <w:w w:val="100"/>
        </w:rPr>
        <w:t> </w:t>
      </w:r>
      <w:r>
        <w:rPr>
          <w:spacing w:val="-2"/>
        </w:rPr>
        <w:t>可供出售债务工具金融资产发生减值后，利息收入按照确定减值损失时对未来现金流量进行折现采用</w:t>
      </w:r>
    </w:p>
    <w:p>
      <w:pPr>
        <w:pStyle w:val="BodyText"/>
        <w:spacing w:line="255" w:lineRule="exact"/>
        <w:ind w:right="1133"/>
        <w:jc w:val="left"/>
      </w:pPr>
      <w:r>
        <w:rPr/>
        <w:t>的折现率作为利率计算确认。</w:t>
      </w:r>
    </w:p>
    <w:p>
      <w:pPr>
        <w:pStyle w:val="BodyText"/>
        <w:spacing w:line="273" w:lineRule="auto" w:before="157"/>
        <w:ind w:right="112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本公司以主要市场的价格计量相关资产或负债的公允价值，不存在主要市场的，本公司以最有利市场</w:t>
      </w:r>
    </w:p>
    <w:p>
      <w:pPr>
        <w:pStyle w:val="BodyText"/>
        <w:spacing w:line="209" w:lineRule="exact"/>
        <w:ind w:right="1133"/>
        <w:jc w:val="left"/>
      </w:pPr>
      <w:r>
        <w:rPr/>
        <w:t>的价格计量相关资产或负债的公允价值。</w:t>
      </w:r>
    </w:p>
    <w:p>
      <w:pPr>
        <w:pStyle w:val="BodyText"/>
        <w:spacing w:line="273" w:lineRule="auto" w:before="157"/>
        <w:ind w:right="1126" w:firstLine="420"/>
        <w:jc w:val="both"/>
      </w:pPr>
      <w:r>
        <w:rPr>
          <w:spacing w:val="-2"/>
        </w:rPr>
        <w:t>主要市场，是指相关资产或负债交易量最大和交易活跃程度最高的市场；最有利市场，是指在考虑交</w:t>
      </w:r>
      <w:r>
        <w:rPr>
          <w:w w:val="100"/>
        </w:rPr>
        <w:t> </w:t>
      </w:r>
      <w:r>
        <w:rPr>
          <w:spacing w:val="-2"/>
        </w:rPr>
        <w:t>易费用和运输费用后，能够以最高金额出售相关资产或者以最低金额转移相关负债的市场。本公司采用市</w:t>
      </w:r>
      <w:r>
        <w:rPr>
          <w:spacing w:val="-43"/>
        </w:rPr>
        <w:t> </w:t>
      </w:r>
      <w:r>
        <w:rPr>
          <w:spacing w:val="-43"/>
        </w:rPr>
      </w:r>
      <w:r>
        <w:rPr/>
        <w:t>场参与者在对该资产或负债定价时为实现其经济利益最大化所使用的假设。</w:t>
      </w:r>
    </w:p>
    <w:p>
      <w:pPr>
        <w:pStyle w:val="BodyText"/>
        <w:spacing w:line="432" w:lineRule="exact" w:before="27"/>
        <w:ind w:left="573" w:right="1133"/>
        <w:jc w:val="left"/>
      </w:pPr>
      <w:r>
        <w:rPr/>
        <w:t>①估值技术</w:t>
      </w:r>
      <w:r>
        <w:rPr>
          <w:spacing w:val="-102"/>
        </w:rPr>
        <w:t> </w:t>
      </w:r>
      <w:r>
        <w:rPr>
          <w:spacing w:val="-102"/>
        </w:rPr>
      </w:r>
      <w:r>
        <w:rPr>
          <w:spacing w:val="-2"/>
        </w:rPr>
        <w:t>本公司采用在当期情况下适用并且有足够可利用数据和其他信息支持的估值技术，使用的估值技术主</w:t>
      </w:r>
    </w:p>
    <w:p>
      <w:pPr>
        <w:pStyle w:val="BodyText"/>
        <w:spacing w:line="255" w:lineRule="exact"/>
        <w:ind w:right="0"/>
        <w:jc w:val="left"/>
      </w:pPr>
      <w:r>
        <w:rPr/>
        <w:t>要包括市场法、收益法和成本法。本公司使用与其中一种或多种估值技术相一致的方法计量公允价值，使</w:t>
      </w:r>
    </w:p>
    <w:p>
      <w:pPr>
        <w:pStyle w:val="BodyText"/>
        <w:spacing w:line="273" w:lineRule="auto" w:before="37"/>
        <w:ind w:right="1126"/>
        <w:jc w:val="both"/>
      </w:pPr>
      <w:r>
        <w:rPr>
          <w:spacing w:val="-2"/>
        </w:rPr>
        <w:t>用多种估值技术计量公允价值的，考虑各估值结果的合理性，选取在当期情况下最能代表公允价值的金额</w:t>
      </w:r>
      <w:r>
        <w:rPr>
          <w:spacing w:val="-43"/>
        </w:rPr>
        <w:t> </w:t>
      </w:r>
      <w:r>
        <w:rPr>
          <w:spacing w:val="-43"/>
        </w:rPr>
      </w:r>
      <w:r>
        <w:rPr/>
        <w:t>作为公允价值。</w:t>
      </w:r>
    </w:p>
    <w:p>
      <w:pPr>
        <w:pStyle w:val="BodyText"/>
        <w:spacing w:line="273" w:lineRule="auto" w:before="127"/>
        <w:ind w:right="1126" w:firstLine="420"/>
        <w:jc w:val="both"/>
      </w:pPr>
      <w:r>
        <w:rPr>
          <w:spacing w:val="-2"/>
        </w:rPr>
        <w:t>本公司在估值技术的应用中，优先使用相关可观察输入值，只有在相关可观察输入值无法取得或取得</w:t>
      </w:r>
      <w:r>
        <w:rPr>
          <w:w w:val="100"/>
        </w:rPr>
        <w:t> </w:t>
      </w:r>
      <w:r>
        <w:rPr>
          <w:spacing w:val="-2"/>
        </w:rPr>
        <w:t>不切实可行的情况下，才使用不可观察输入值。可观察输入值，是指能够从市场数据中取得的输入值。该</w:t>
      </w:r>
      <w:r>
        <w:rPr>
          <w:spacing w:val="-47"/>
        </w:rPr>
        <w:t> </w:t>
      </w:r>
      <w:r>
        <w:rPr>
          <w:spacing w:val="-47"/>
        </w:rPr>
      </w:r>
      <w:r>
        <w:rPr>
          <w:spacing w:val="-2"/>
        </w:rPr>
        <w:t>输入值反映了市场参与者在对相关资产或负债定价时所使用的假设。不可观察输入值，是指不能从市场数</w:t>
      </w:r>
      <w:r>
        <w:rPr>
          <w:spacing w:val="-43"/>
        </w:rPr>
        <w:t> </w:t>
      </w:r>
      <w:r>
        <w:rPr>
          <w:spacing w:val="-43"/>
        </w:rPr>
      </w:r>
      <w:r>
        <w:rPr>
          <w:spacing w:val="-2"/>
        </w:rPr>
        <w:t>据中取得的输入值。该输入值根据可获得的市场参与者在对相关资产或负债定价时所使用假设的最佳信息</w:t>
      </w:r>
      <w:r>
        <w:rPr>
          <w:spacing w:val="-43"/>
        </w:rPr>
        <w:t> </w:t>
      </w:r>
      <w:r>
        <w:rPr>
          <w:spacing w:val="-43"/>
        </w:rPr>
      </w:r>
      <w:r>
        <w:rPr/>
        <w:t>取得。</w:t>
      </w:r>
    </w:p>
    <w:p>
      <w:pPr>
        <w:pStyle w:val="BodyText"/>
        <w:spacing w:line="432" w:lineRule="exact" w:before="27"/>
        <w:ind w:left="573" w:right="1133"/>
        <w:jc w:val="left"/>
      </w:pPr>
      <w:r>
        <w:rPr/>
        <w:t>②公允价值层次</w:t>
      </w:r>
      <w:r>
        <w:rPr>
          <w:spacing w:val="-103"/>
        </w:rPr>
        <w:t> </w:t>
      </w:r>
      <w:r>
        <w:rPr>
          <w:spacing w:val="-103"/>
        </w:rPr>
      </w:r>
      <w:r>
        <w:rPr>
          <w:spacing w:val="-2"/>
        </w:rPr>
        <w:t>本公司将公允价值计量所使用的输入值划分为三个层次，并首先使用第一层次输入值，其次使用第二</w:t>
      </w:r>
    </w:p>
    <w:p>
      <w:pPr>
        <w:pStyle w:val="BodyText"/>
        <w:spacing w:line="255" w:lineRule="exact"/>
        <w:ind w:right="0"/>
        <w:jc w:val="left"/>
      </w:pPr>
      <w:r>
        <w:rPr/>
        <w:t>层次输入值，最后使用第三层次输入值。第一层次输入值是在计量日能够取得的相同资产或负债在活跃市</w:t>
      </w:r>
    </w:p>
    <w:p>
      <w:pPr>
        <w:pStyle w:val="BodyText"/>
        <w:spacing w:line="273" w:lineRule="auto" w:before="37"/>
        <w:ind w:right="1136"/>
        <w:jc w:val="both"/>
      </w:pPr>
      <w:r>
        <w:rPr>
          <w:spacing w:val="2"/>
        </w:rPr>
        <w:t>场上未经调整的报价。第二层次输入值是除第一层次输入值外相关资产或负债直接或间接可观察的输入</w:t>
      </w:r>
      <w:r>
        <w:rPr>
          <w:spacing w:val="-23"/>
        </w:rPr>
        <w:t> </w:t>
      </w:r>
      <w:r>
        <w:rPr>
          <w:spacing w:val="-23"/>
        </w:rPr>
      </w:r>
      <w:r>
        <w:rPr/>
        <w:t>值。第三层次输入值是相关资产或负债的不可观察输入值。</w:t>
      </w:r>
    </w:p>
    <w:p>
      <w:pPr>
        <w:pStyle w:val="BodyText"/>
        <w:spacing w:line="590" w:lineRule="atLeast" w:before="8"/>
        <w:ind w:left="573" w:right="1133" w:hanging="420"/>
        <w:jc w:val="left"/>
      </w:pPr>
      <w:r>
        <w:rPr>
          <w:rFonts w:ascii="Times New Roman" w:hAnsi="Times New Roman" w:cs="Times New Roman" w:eastAsia="Times New Roman" w:hint="default"/>
          <w:b/>
          <w:bCs/>
        </w:rPr>
        <w:t>11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公允价值计量</w:t>
      </w:r>
      <w:r>
        <w:rPr>
          <w:rFonts w:ascii="宋体" w:hAnsi="宋体" w:cs="宋体" w:eastAsia="宋体" w:hint="default"/>
          <w:b/>
          <w:bCs/>
          <w:w w:val="100"/>
        </w:rPr>
        <w:t> </w:t>
      </w:r>
      <w:r>
        <w:rPr>
          <w:spacing w:val="-2"/>
        </w:rPr>
        <w:t>本公司以主要市场的价格计量相关资产或负债的公允价值，不存在主要市场的，本公司以最有利市场</w:t>
      </w:r>
    </w:p>
    <w:p>
      <w:pPr>
        <w:pStyle w:val="BodyText"/>
        <w:spacing w:line="376" w:lineRule="auto" w:before="37"/>
        <w:ind w:left="573" w:right="1133" w:hanging="420"/>
        <w:jc w:val="left"/>
      </w:pPr>
      <w:r>
        <w:rPr/>
        <w:t>的价格计量相关资产或负债的公允价值。</w:t>
      </w:r>
      <w:r>
        <w:rPr>
          <w:w w:val="100"/>
        </w:rPr>
        <w:t> </w:t>
      </w:r>
      <w:r>
        <w:rPr>
          <w:spacing w:val="-2"/>
        </w:rPr>
        <w:t>主要市场，是指相关资产或负债交易量最大和交易活跃程度最高的市场；最有利市场，是指在考虑交</w:t>
      </w:r>
    </w:p>
    <w:p>
      <w:pPr>
        <w:spacing w:after="0" w:line="376"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33"/>
        <w:jc w:val="left"/>
      </w:pPr>
      <w:r>
        <w:rPr>
          <w:spacing w:val="-2"/>
        </w:rPr>
        <w:t>易费用和运输费用后，能够以最高金额出售相关资产或者以最低金额转移相关负债的市场。本公司采用市</w:t>
      </w:r>
      <w:r>
        <w:rPr>
          <w:spacing w:val="-43"/>
        </w:rPr>
        <w:t> </w:t>
      </w:r>
      <w:r>
        <w:rPr>
          <w:spacing w:val="-43"/>
        </w:rPr>
      </w:r>
      <w:r>
        <w:rPr/>
        <w:t>场参与者在对该资产或负债定价时为实现其经济利益最大化所使用的假设。</w:t>
      </w:r>
    </w:p>
    <w:p>
      <w:pPr>
        <w:pStyle w:val="BodyText"/>
        <w:spacing w:line="432" w:lineRule="exact" w:before="27"/>
        <w:ind w:left="573" w:right="1133"/>
        <w:jc w:val="left"/>
      </w:pPr>
      <w:r>
        <w:rPr/>
        <w:t>①估值技术</w:t>
      </w:r>
      <w:r>
        <w:rPr>
          <w:spacing w:val="-102"/>
        </w:rPr>
        <w:t> </w:t>
      </w:r>
      <w:r>
        <w:rPr>
          <w:spacing w:val="-102"/>
        </w:rPr>
      </w:r>
      <w:r>
        <w:rPr>
          <w:spacing w:val="-2"/>
        </w:rPr>
        <w:t>本公司采用在当期情况下适用并且有足够可利用数据和其他信息支持的估值技术，使用的估值技术主</w:t>
      </w:r>
    </w:p>
    <w:p>
      <w:pPr>
        <w:pStyle w:val="BodyText"/>
        <w:spacing w:line="255" w:lineRule="exact"/>
        <w:ind w:right="0"/>
        <w:jc w:val="left"/>
      </w:pPr>
      <w:r>
        <w:rPr/>
        <w:t>要包括市场法、收益法和成本法。本公司使用与其中一种或多种估值技术相一致的方法计量公允价值，使</w:t>
      </w:r>
    </w:p>
    <w:p>
      <w:pPr>
        <w:pStyle w:val="BodyText"/>
        <w:spacing w:line="273" w:lineRule="auto" w:before="37"/>
        <w:ind w:right="1133"/>
        <w:jc w:val="left"/>
      </w:pPr>
      <w:r>
        <w:rPr>
          <w:spacing w:val="-2"/>
        </w:rPr>
        <w:t>用多种估值技术计量公允价值的，考虑各估值结果的合理性，选取在当期情况下最能代表公允价值的金额</w:t>
      </w:r>
      <w:r>
        <w:rPr>
          <w:spacing w:val="-43"/>
        </w:rPr>
        <w:t> </w:t>
      </w:r>
      <w:r>
        <w:rPr>
          <w:spacing w:val="-43"/>
        </w:rPr>
      </w:r>
      <w:r>
        <w:rPr/>
        <w:t>作为公允价值。</w:t>
      </w:r>
    </w:p>
    <w:p>
      <w:pPr>
        <w:pStyle w:val="BodyText"/>
        <w:spacing w:line="273" w:lineRule="auto" w:before="127"/>
        <w:ind w:right="1126" w:firstLine="420"/>
        <w:jc w:val="both"/>
      </w:pPr>
      <w:r>
        <w:rPr>
          <w:spacing w:val="-2"/>
        </w:rPr>
        <w:t>本公司在估值技术的应用中，优先使用相关可观察输入值，只有在相关可观察输入值无法取得或取得</w:t>
      </w:r>
      <w:r>
        <w:rPr>
          <w:w w:val="100"/>
        </w:rPr>
        <w:t> </w:t>
      </w:r>
      <w:r>
        <w:rPr>
          <w:spacing w:val="-2"/>
        </w:rPr>
        <w:t>不切实可行的情况下，才使用不可观察输入值。可观察输入值，是指能够从市场数据中取得的输入值。该</w:t>
      </w:r>
      <w:r>
        <w:rPr>
          <w:spacing w:val="-47"/>
        </w:rPr>
        <w:t> </w:t>
      </w:r>
      <w:r>
        <w:rPr>
          <w:spacing w:val="-47"/>
        </w:rPr>
      </w:r>
      <w:r>
        <w:rPr>
          <w:spacing w:val="-2"/>
        </w:rPr>
        <w:t>输入值反映了市场参与者在对相关资产或负债定价时所使用的假设。不可观察输入值，是指不能从市场数</w:t>
      </w:r>
      <w:r>
        <w:rPr>
          <w:spacing w:val="-43"/>
        </w:rPr>
        <w:t> </w:t>
      </w:r>
      <w:r>
        <w:rPr>
          <w:spacing w:val="-43"/>
        </w:rPr>
      </w:r>
      <w:r>
        <w:rPr>
          <w:spacing w:val="-2"/>
        </w:rPr>
        <w:t>据中取得的输入值。该输入值根据可获得的市场参与者在对相关资产或负债定价时所使用假设的最佳信息</w:t>
      </w:r>
      <w:r>
        <w:rPr>
          <w:spacing w:val="-43"/>
        </w:rPr>
        <w:t> </w:t>
      </w:r>
      <w:r>
        <w:rPr>
          <w:spacing w:val="-43"/>
        </w:rPr>
      </w:r>
      <w:r>
        <w:rPr/>
        <w:t>取得。</w:t>
      </w:r>
    </w:p>
    <w:p>
      <w:pPr>
        <w:pStyle w:val="BodyText"/>
        <w:spacing w:line="432" w:lineRule="exact" w:before="27"/>
        <w:ind w:left="573" w:right="1133"/>
        <w:jc w:val="left"/>
      </w:pPr>
      <w:r>
        <w:rPr/>
        <w:t>②公允价值层次</w:t>
      </w:r>
      <w:r>
        <w:rPr>
          <w:spacing w:val="-103"/>
        </w:rPr>
        <w:t> </w:t>
      </w:r>
      <w:r>
        <w:rPr>
          <w:spacing w:val="-103"/>
        </w:rPr>
      </w:r>
      <w:r>
        <w:rPr>
          <w:spacing w:val="-2"/>
        </w:rPr>
        <w:t>本公司将公允价值计量所使用的输入值划分为三个层次，并首先使用第一层次输入值，其次使用第二</w:t>
      </w:r>
    </w:p>
    <w:p>
      <w:pPr>
        <w:pStyle w:val="BodyText"/>
        <w:spacing w:line="255" w:lineRule="exact"/>
        <w:ind w:right="0"/>
        <w:jc w:val="left"/>
      </w:pPr>
      <w:r>
        <w:rPr/>
        <w:t>层次输入值，最后使用第三层次输入值。第一层次输入值是在计量日能够取得的相同资产或负债在活跃市</w:t>
      </w:r>
    </w:p>
    <w:p>
      <w:pPr>
        <w:pStyle w:val="BodyText"/>
        <w:spacing w:line="273" w:lineRule="auto" w:before="37"/>
        <w:ind w:right="1133"/>
        <w:jc w:val="left"/>
      </w:pPr>
      <w:r>
        <w:rPr>
          <w:spacing w:val="2"/>
        </w:rPr>
        <w:t>场上未经调整的报价。第二层次输入值是除第一层次输入值外相关资产或负债直接或间接可观察的输入</w:t>
      </w:r>
      <w:r>
        <w:rPr>
          <w:spacing w:val="-30"/>
        </w:rPr>
        <w:t> </w:t>
      </w:r>
      <w:r>
        <w:rPr>
          <w:spacing w:val="-30"/>
        </w:rPr>
      </w:r>
      <w:r>
        <w:rPr/>
        <w:t>值。第三层次输入值是相关资产或负债的不可观察输入值。</w:t>
      </w:r>
    </w:p>
    <w:p>
      <w:pPr>
        <w:pStyle w:val="Heading3"/>
        <w:spacing w:line="614" w:lineRule="exact" w:before="62"/>
        <w:ind w:left="575" w:right="6012" w:hanging="423"/>
        <w:jc w:val="left"/>
        <w:rPr>
          <w:b w:val="0"/>
          <w:bCs w:val="0"/>
        </w:rPr>
      </w:pPr>
      <w:r>
        <w:rPr>
          <w:rFonts w:ascii="Times New Roman" w:hAnsi="Times New Roman" w:cs="Times New Roman" w:eastAsia="Times New Roman" w:hint="default"/>
        </w:rPr>
        <w:t>12</w:t>
      </w:r>
      <w:r>
        <w:rPr/>
        <w:t>、</w:t>
      </w:r>
      <w:r>
        <w:rPr>
          <w:spacing w:val="-1"/>
        </w:rPr>
        <w:t> </w:t>
      </w:r>
      <w:r>
        <w:rPr/>
        <w:t>应收款项的减值测试方法及减值准备计提方法</w:t>
      </w:r>
      <w:r>
        <w:rPr>
          <w:w w:val="100"/>
        </w:rPr>
        <w:t> </w:t>
      </w:r>
      <w:r>
        <w:rPr/>
        <w:t>以下应收款项会计政策适用</w:t>
      </w:r>
      <w:r>
        <w:rPr>
          <w:rFonts w:ascii="Times New Roman" w:hAnsi="Times New Roman" w:cs="Times New Roman" w:eastAsia="Times New Roman" w:hint="default"/>
        </w:rPr>
        <w:t>2018</w:t>
      </w:r>
      <w:r>
        <w:rPr/>
        <w:t>年度及以前</w:t>
      </w:r>
      <w:r>
        <w:rPr>
          <w:b w:val="0"/>
          <w:bCs w:val="0"/>
        </w:rPr>
      </w:r>
    </w:p>
    <w:p>
      <w:pPr>
        <w:pStyle w:val="BodyText"/>
        <w:spacing w:line="240" w:lineRule="auto" w:before="64"/>
        <w:ind w:left="573" w:right="1133"/>
        <w:jc w:val="left"/>
      </w:pPr>
      <w:r>
        <w:rPr/>
        <w:t>在资产负债表日对应收款项的账面价值进行检查，有客观证据表明其发生减值的，计提减值准备。</w:t>
      </w:r>
    </w:p>
    <w:p>
      <w:pPr>
        <w:spacing w:line="430" w:lineRule="atLeast" w:before="1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100"/>
          <w:sz w:val="21"/>
          <w:szCs w:val="21"/>
        </w:rPr>
        <w:t> </w:t>
      </w:r>
      <w:r>
        <w:rPr>
          <w:rFonts w:ascii="宋体" w:hAnsi="宋体" w:cs="宋体" w:eastAsia="宋体" w:hint="default"/>
          <w:sz w:val="21"/>
          <w:szCs w:val="21"/>
        </w:rPr>
        <w:t>单项金额重大的判断依据或金额标准：本公司将</w:t>
      </w:r>
      <w:r>
        <w:rPr>
          <w:rFonts w:ascii="Times New Roman" w:hAnsi="Times New Roman" w:cs="Times New Roman" w:eastAsia="Times New Roman" w:hint="default"/>
          <w:sz w:val="21"/>
          <w:szCs w:val="21"/>
        </w:rPr>
        <w:t>300.00</w:t>
      </w:r>
      <w:r>
        <w:rPr>
          <w:rFonts w:ascii="宋体" w:hAnsi="宋体" w:cs="宋体" w:eastAsia="宋体" w:hint="default"/>
          <w:sz w:val="21"/>
          <w:szCs w:val="21"/>
        </w:rPr>
        <w:t>万元以上应收账款，</w:t>
      </w:r>
      <w:r>
        <w:rPr>
          <w:rFonts w:ascii="Times New Roman" w:hAnsi="Times New Roman" w:cs="Times New Roman" w:eastAsia="Times New Roman" w:hint="default"/>
          <w:sz w:val="21"/>
          <w:szCs w:val="21"/>
        </w:rPr>
        <w:t>100.00</w:t>
      </w:r>
      <w:r>
        <w:rPr>
          <w:rFonts w:ascii="宋体" w:hAnsi="宋体" w:cs="宋体" w:eastAsia="宋体" w:hint="default"/>
          <w:sz w:val="21"/>
          <w:szCs w:val="21"/>
        </w:rPr>
        <w:t>万元以上其他应收</w:t>
      </w:r>
    </w:p>
    <w:p>
      <w:pPr>
        <w:pStyle w:val="BodyText"/>
        <w:spacing w:line="240" w:lineRule="auto" w:before="21"/>
        <w:ind w:right="1133"/>
        <w:jc w:val="left"/>
      </w:pPr>
      <w:r>
        <w:rPr/>
        <w:t>款确定为单项金额重大。</w:t>
      </w:r>
    </w:p>
    <w:p>
      <w:pPr>
        <w:pStyle w:val="BodyText"/>
        <w:spacing w:line="273" w:lineRule="auto" w:before="157"/>
        <w:ind w:right="1104" w:firstLine="420"/>
        <w:jc w:val="both"/>
      </w:pPr>
      <w:r>
        <w:rPr>
          <w:spacing w:val="-2"/>
        </w:rPr>
        <w:t>单项金额重大并单项计提坏账准备的计提方法：对于单项金额重大的应收款项，单独进行减值测试。</w:t>
      </w:r>
      <w:r>
        <w:rPr>
          <w:w w:val="100"/>
        </w:rPr>
        <w:t> </w:t>
      </w:r>
      <w:r>
        <w:rPr>
          <w:spacing w:val="-2"/>
        </w:rPr>
        <w:t>有客观证据表明其发生了减值的，根据其未来现金流量现值低于其账面价值的差额，确认减值损失，并据</w:t>
      </w:r>
      <w:r>
        <w:rPr>
          <w:spacing w:val="-42"/>
        </w:rPr>
        <w:t> </w:t>
      </w:r>
      <w:r>
        <w:rPr>
          <w:spacing w:val="-42"/>
        </w:rPr>
      </w:r>
      <w:r>
        <w:rPr/>
        <w:t>此计提相应的坏账准备。</w:t>
      </w:r>
    </w:p>
    <w:p>
      <w:pPr>
        <w:pStyle w:val="BodyText"/>
        <w:spacing w:line="273" w:lineRule="auto" w:before="127"/>
        <w:ind w:right="1126" w:firstLine="420"/>
        <w:jc w:val="both"/>
      </w:pPr>
      <w:r>
        <w:rPr>
          <w:spacing w:val="-2"/>
        </w:rPr>
        <w:t>短期应收款项的预计未来现金流量与其现值相差很小的，在确定相关减值损失时，可不对其预计未来</w:t>
      </w:r>
      <w:r>
        <w:rPr>
          <w:w w:val="100"/>
        </w:rPr>
        <w:t> </w:t>
      </w:r>
      <w:r>
        <w:rPr/>
        <w:t>现金流量进行折现。</w:t>
      </w:r>
    </w:p>
    <w:p>
      <w:pPr>
        <w:spacing w:line="357" w:lineRule="auto" w:before="128"/>
        <w:ind w:left="573" w:right="4813"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）按信用风险特征组合计提坏账准备的应收款项</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确定组合的依据：</w:t>
      </w:r>
    </w:p>
    <w:p>
      <w:pPr>
        <w:pStyle w:val="BodyText"/>
        <w:spacing w:line="256" w:lineRule="auto" w:before="54"/>
        <w:ind w:right="1136" w:firstLine="420"/>
        <w:jc w:val="both"/>
      </w:pPr>
      <w:r>
        <w:rPr/>
        <w:t>组合</w:t>
      </w:r>
      <w:r>
        <w:rPr>
          <w:rFonts w:ascii="Times New Roman" w:hAnsi="Times New Roman" w:cs="Times New Roman" w:eastAsia="Times New Roman" w:hint="default"/>
        </w:rPr>
        <w:t>1</w:t>
      </w:r>
      <w:r>
        <w:rPr/>
        <w:t>：对单项金额重大单独测试未发生减值的应收款项汇同单项金额不重大的应收款项，本公司以</w:t>
      </w:r>
      <w:r>
        <w:rPr>
          <w:w w:val="100"/>
        </w:rPr>
        <w:t> </w:t>
      </w:r>
      <w:r>
        <w:rPr/>
        <w:t>账龄作为信用风险特征组合。</w:t>
      </w:r>
    </w:p>
    <w:p>
      <w:pPr>
        <w:pStyle w:val="BodyText"/>
        <w:spacing w:line="357" w:lineRule="auto" w:before="142"/>
        <w:ind w:left="573" w:right="4813"/>
        <w:jc w:val="left"/>
      </w:pPr>
      <w:r>
        <w:rPr>
          <w:spacing w:val="-2"/>
        </w:rPr>
        <w:t>组合</w:t>
      </w:r>
      <w:r>
        <w:rPr>
          <w:rFonts w:ascii="Times New Roman" w:hAnsi="Times New Roman" w:cs="Times New Roman" w:eastAsia="Times New Roman" w:hint="default"/>
          <w:spacing w:val="-2"/>
        </w:rPr>
        <w:t>2</w:t>
      </w:r>
      <w:r>
        <w:rPr>
          <w:spacing w:val="-2"/>
        </w:rPr>
        <w:t>：以合并报表范围内的关联方划分组合。</w:t>
      </w:r>
      <w:r>
        <w:rPr>
          <w:spacing w:val="-66"/>
        </w:rPr>
        <w:t> </w:t>
      </w:r>
      <w:r>
        <w:rPr>
          <w:spacing w:val="-66"/>
        </w:rPr>
      </w:r>
      <w:r>
        <w:rPr/>
        <w:t>按组合计提坏账准备的计提方法：</w:t>
      </w:r>
    </w:p>
    <w:p>
      <w:pPr>
        <w:pStyle w:val="BodyText"/>
        <w:spacing w:line="320" w:lineRule="exact" w:before="41"/>
        <w:ind w:right="1136" w:firstLine="420"/>
        <w:jc w:val="both"/>
        <w:rPr>
          <w:sz w:val="24"/>
          <w:szCs w:val="24"/>
        </w:rPr>
      </w:pPr>
      <w:r>
        <w:rPr/>
        <w:t>组合</w:t>
      </w:r>
      <w:r>
        <w:rPr>
          <w:rFonts w:ascii="Times New Roman" w:hAnsi="Times New Roman" w:cs="Times New Roman" w:eastAsia="Times New Roman" w:hint="default"/>
        </w:rPr>
        <w:t>1</w:t>
      </w:r>
      <w:r>
        <w:rPr/>
        <w:t>：根据以前年度按账龄划分的各段应收款项实际损失率作为基础，结合现时情况确定本年各账</w:t>
      </w:r>
      <w:r>
        <w:rPr>
          <w:w w:val="100"/>
        </w:rPr>
        <w:t> </w:t>
      </w:r>
      <w:r>
        <w:rPr/>
        <w:t>龄段应收款项组合计提坏账准备的比例，据此计算本年应计提的坏账准备</w:t>
      </w:r>
      <w:r>
        <w:rPr>
          <w:sz w:val="24"/>
          <w:szCs w:val="24"/>
        </w:rPr>
        <w:t>。</w:t>
      </w:r>
    </w:p>
    <w:p>
      <w:pPr>
        <w:spacing w:after="0" w:line="320" w:lineRule="exact"/>
        <w:jc w:val="both"/>
        <w:rPr>
          <w:sz w:val="24"/>
          <w:szCs w:val="24"/>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08"/>
        <w:gridCol w:w="1928"/>
        <w:gridCol w:w="2511"/>
        <w:gridCol w:w="3294"/>
      </w:tblGrid>
      <w:tr>
        <w:trPr>
          <w:trHeight w:val="34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长期应收款计提比例</w:t>
            </w:r>
          </w:p>
        </w:tc>
      </w:tr>
      <w:tr>
        <w:trPr>
          <w:trHeight w:val="34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5%</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5%</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5%</w:t>
            </w:r>
          </w:p>
        </w:tc>
      </w:tr>
      <w:tr>
        <w:trPr>
          <w:trHeight w:val="34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10%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10%</w:t>
            </w:r>
          </w:p>
        </w:tc>
      </w:tr>
      <w:tr>
        <w:trPr>
          <w:trHeight w:val="34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30%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30%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30%</w:t>
            </w:r>
          </w:p>
        </w:tc>
      </w:tr>
      <w:tr>
        <w:trPr>
          <w:trHeight w:val="34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至</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50%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50%</w:t>
            </w:r>
          </w:p>
        </w:tc>
      </w:tr>
      <w:tr>
        <w:trPr>
          <w:trHeight w:val="34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80%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80%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80%</w:t>
            </w:r>
          </w:p>
        </w:tc>
      </w:tr>
      <w:tr>
        <w:trPr>
          <w:trHeight w:val="34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100%</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6"/>
        <w:rPr>
          <w:rFonts w:ascii="宋体" w:hAnsi="宋体" w:cs="宋体" w:eastAsia="宋体" w:hint="default"/>
          <w:sz w:val="5"/>
          <w:szCs w:val="5"/>
        </w:rPr>
      </w:pPr>
    </w:p>
    <w:p>
      <w:pPr>
        <w:pStyle w:val="BodyText"/>
        <w:spacing w:line="273" w:lineRule="auto" w:before="36"/>
        <w:ind w:right="1107" w:firstLine="420"/>
        <w:jc w:val="both"/>
      </w:pPr>
      <w:r>
        <w:rPr>
          <w:spacing w:val="-2"/>
        </w:rPr>
        <w:t>注：对公司货款分期收回的长期应收款在项目实施期间以及按照合同约定的收款日前，不计提坏账准</w:t>
      </w:r>
      <w:r>
        <w:rPr>
          <w:w w:val="100"/>
        </w:rPr>
        <w:t> </w:t>
      </w:r>
      <w:r>
        <w:rPr>
          <w:spacing w:val="-2"/>
        </w:rPr>
        <w:t>备，合同约定的收款日作为账龄的起始日，按应收款项的账龄信用风险特征组合减值方法计提坏账准备。</w:t>
      </w:r>
    </w:p>
    <w:p>
      <w:pPr>
        <w:pStyle w:val="BodyText"/>
        <w:spacing w:line="240" w:lineRule="auto" w:before="127"/>
        <w:ind w:left="573" w:right="1133"/>
        <w:jc w:val="left"/>
      </w:pPr>
      <w:r>
        <w:rPr/>
        <w:t>组合</w:t>
      </w:r>
      <w:r>
        <w:rPr>
          <w:rFonts w:ascii="Times New Roman" w:hAnsi="Times New Roman" w:cs="Times New Roman" w:eastAsia="Times New Roman" w:hint="default"/>
        </w:rPr>
        <w:t>2</w:t>
      </w:r>
      <w:r>
        <w:rPr/>
        <w:t>：合并报表范围内的关联方往来不计提坏账准备。</w:t>
      </w:r>
    </w:p>
    <w:p>
      <w:pPr>
        <w:spacing w:line="357" w:lineRule="auto" w:before="142"/>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）单项金额不重大但单项计提坏账准备的应收款项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对单项金额不重大但已有客观证据表明其发生了减值的应收款项，按账龄分析法计提的坏账准备不能</w:t>
      </w:r>
    </w:p>
    <w:p>
      <w:pPr>
        <w:pStyle w:val="BodyText"/>
        <w:spacing w:line="209" w:lineRule="exact"/>
        <w:ind w:right="0"/>
        <w:jc w:val="left"/>
      </w:pPr>
      <w:r>
        <w:rPr/>
        <w:t>反映实际情况，本公司单独进行减值测试，根据其未来现金流量现值低于其账面价值的差额，确认减值损</w:t>
      </w:r>
    </w:p>
    <w:p>
      <w:pPr>
        <w:pStyle w:val="BodyText"/>
        <w:spacing w:line="240" w:lineRule="auto" w:before="37"/>
        <w:ind w:right="1133"/>
        <w:jc w:val="left"/>
      </w:pPr>
      <w:r>
        <w:rPr/>
        <w:t>失，并据此计提相应的坏账准备。</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存货是指本公司在日常活动中持有以备出售的产成品、处在生产过程中的在产品、在生产过程或提供</w:t>
      </w:r>
    </w:p>
    <w:p>
      <w:pPr>
        <w:pStyle w:val="BodyText"/>
        <w:spacing w:line="209" w:lineRule="exact"/>
        <w:ind w:right="1133"/>
        <w:jc w:val="left"/>
      </w:pPr>
      <w:r>
        <w:rPr/>
        <w:t>劳务过程中耗用的材料和外购的商品等，包括原材料、在产品、产成品等。</w:t>
      </w:r>
    </w:p>
    <w:p>
      <w:pPr>
        <w:spacing w:line="430" w:lineRule="atLeast" w:before="1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本公司存货发出时采用个别计价法计价和加权平均法计价，具体情况：</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解决方案业务的存货发出时</w:t>
      </w:r>
    </w:p>
    <w:p>
      <w:pPr>
        <w:pStyle w:val="BodyText"/>
        <w:spacing w:line="240" w:lineRule="auto" w:before="21"/>
        <w:ind w:right="1133"/>
        <w:jc w:val="left"/>
      </w:pPr>
      <w:r>
        <w:rPr/>
        <w:t>采用个别计价法；</w:t>
      </w:r>
      <w:r>
        <w:rPr>
          <w:rFonts w:ascii="Times New Roman" w:hAnsi="Times New Roman" w:cs="Times New Roman" w:eastAsia="Times New Roman" w:hint="default"/>
        </w:rPr>
        <w:t>BMS</w:t>
      </w:r>
      <w:r>
        <w:rPr/>
        <w:t>产品相关的存货发出时采用加权平均法。</w:t>
      </w:r>
    </w:p>
    <w:p>
      <w:pPr>
        <w:spacing w:line="357" w:lineRule="auto" w:before="141"/>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本公司存货采用永续盘存制，每年至少盘点一次，盘盈及盘亏金额计入当年度损益。</w:t>
      </w:r>
    </w:p>
    <w:p>
      <w:pPr>
        <w:spacing w:line="357" w:lineRule="auto" w:before="54"/>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资产负债表日按成本与可变现净值孰低计量，存货成本高于其可变现净值的，计提存货跌价准备，计</w:t>
      </w:r>
    </w:p>
    <w:p>
      <w:pPr>
        <w:pStyle w:val="BodyText"/>
        <w:spacing w:line="209" w:lineRule="exact"/>
        <w:ind w:right="1133"/>
        <w:jc w:val="left"/>
      </w:pPr>
      <w:r>
        <w:rPr/>
        <w:t>入当期损益。</w:t>
      </w:r>
    </w:p>
    <w:p>
      <w:pPr>
        <w:pStyle w:val="BodyText"/>
        <w:spacing w:line="273" w:lineRule="auto" w:before="157"/>
        <w:ind w:right="1126" w:firstLine="420"/>
        <w:jc w:val="both"/>
      </w:pPr>
      <w:r>
        <w:rPr>
          <w:spacing w:val="-2"/>
        </w:rPr>
        <w:t>在确定存货的可变现净值时，以取得的可靠证据为基础，并且考虑持有存货的目的、资产负债表日后</w:t>
      </w:r>
      <w:r>
        <w:rPr>
          <w:w w:val="100"/>
        </w:rPr>
        <w:t> </w:t>
      </w:r>
      <w:r>
        <w:rPr/>
        <w:t>事项的影响等因素。</w:t>
      </w:r>
    </w:p>
    <w:p>
      <w:pPr>
        <w:pStyle w:val="BodyText"/>
        <w:spacing w:line="273" w:lineRule="auto" w:before="127"/>
        <w:ind w:right="1126" w:firstLine="420"/>
        <w:jc w:val="both"/>
      </w:pPr>
      <w:r>
        <w:rPr>
          <w:spacing w:val="-2"/>
        </w:rPr>
        <w:t>①产成品、商品和用于出售的材料等直接用于出售的存货，在正常生产经营过程中，以该存货的估计</w:t>
      </w:r>
      <w:r>
        <w:rPr>
          <w:w w:val="100"/>
        </w:rPr>
        <w:t> </w:t>
      </w:r>
      <w:r>
        <w:rPr>
          <w:spacing w:val="-2"/>
        </w:rPr>
        <w:t>售价减去估计的销售费用和相关税费后的金额确定其可变现净值。为执行销售合同或者劳务合同而持有的</w:t>
      </w:r>
      <w:r>
        <w:rPr>
          <w:spacing w:val="-43"/>
        </w:rPr>
        <w:t> </w:t>
      </w:r>
      <w:r>
        <w:rPr>
          <w:spacing w:val="-43"/>
        </w:rPr>
      </w:r>
      <w:r>
        <w:rPr>
          <w:spacing w:val="-2"/>
        </w:rPr>
        <w:t>存货，以合同价格作为其可变现净值的计量基础；如果持有存货的数量多于销售合同订购数量，超出部分</w:t>
      </w:r>
      <w:r>
        <w:rPr>
          <w:spacing w:val="-43"/>
        </w:rPr>
        <w:t> </w:t>
      </w:r>
      <w:r>
        <w:rPr>
          <w:spacing w:val="-43"/>
        </w:rPr>
      </w:r>
      <w:r>
        <w:rPr>
          <w:spacing w:val="-2"/>
        </w:rPr>
        <w:t>的存货可变现净值以一般销售价格为计量基础。用于出售的材料等，以市场价格作为其可变现净值的计量</w:t>
      </w:r>
      <w:r>
        <w:rPr>
          <w:spacing w:val="-44"/>
        </w:rPr>
        <w:t> </w:t>
      </w:r>
      <w:r>
        <w:rPr>
          <w:spacing w:val="-44"/>
        </w:rPr>
      </w:r>
      <w:r>
        <w:rPr/>
        <w:t>基础。</w:t>
      </w:r>
    </w:p>
    <w:p>
      <w:pPr>
        <w:pStyle w:val="BodyText"/>
        <w:spacing w:line="273" w:lineRule="auto" w:before="127"/>
        <w:ind w:right="1126" w:firstLine="420"/>
        <w:jc w:val="both"/>
      </w:pPr>
      <w:r>
        <w:rPr>
          <w:spacing w:val="-2"/>
        </w:rPr>
        <w:t>②需要经过加工的材料存货，在正常生产经营过程中，以所生产的产成品的估计售价减去至完工时估</w:t>
      </w:r>
      <w:r>
        <w:rPr>
          <w:w w:val="100"/>
        </w:rPr>
        <w:t> </w:t>
      </w:r>
      <w:r>
        <w:rPr>
          <w:spacing w:val="-2"/>
        </w:rPr>
        <w:t>计将要发生的成本、估计的销售费用和相关税费后的金额确定其可变现净值。如果用其生产的产成品的可</w:t>
      </w:r>
      <w:r>
        <w:rPr>
          <w:spacing w:val="-43"/>
        </w:rPr>
        <w:t> </w:t>
      </w:r>
      <w:r>
        <w:rPr>
          <w:spacing w:val="-43"/>
        </w:rPr>
      </w:r>
      <w:r>
        <w:rPr>
          <w:spacing w:val="-2"/>
        </w:rPr>
        <w:t>变现净值高于成本，则该材料按成本计量；如果材料价格的下降表明产成品的可变现净值低于成本，则该</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0"/>
        <w:jc w:val="both"/>
      </w:pPr>
      <w:r>
        <w:rPr/>
        <w:t>材料按可变现净值计量，按其差额计提存货跌价准备。</w:t>
      </w:r>
    </w:p>
    <w:p>
      <w:pPr>
        <w:pStyle w:val="BodyText"/>
        <w:spacing w:line="240" w:lineRule="auto" w:before="157"/>
        <w:ind w:left="573" w:right="1133"/>
        <w:jc w:val="left"/>
      </w:pPr>
      <w:r>
        <w:rPr/>
        <w:t>③存货跌价准备一般按单个存货项目计提；对于数量繁多、单价较低的存货，按存货类别计提。</w:t>
      </w:r>
    </w:p>
    <w:p>
      <w:pPr>
        <w:pStyle w:val="BodyText"/>
        <w:spacing w:line="273" w:lineRule="auto" w:before="157"/>
        <w:ind w:right="1126" w:firstLine="420"/>
        <w:jc w:val="both"/>
      </w:pPr>
      <w:r>
        <w:rPr>
          <w:spacing w:val="-2"/>
        </w:rPr>
        <w:t>④资产负债表日如果以前减记存货价值的影响因素已经消失，则减记的金额予以恢复，并在原已计提</w:t>
      </w:r>
      <w:r>
        <w:rPr>
          <w:w w:val="100"/>
        </w:rPr>
        <w:t> </w:t>
      </w:r>
      <w:r>
        <w:rPr/>
        <w:t>的存货跌价准备的金额内转回，转回的金额计入当期损益。</w:t>
      </w:r>
    </w:p>
    <w:p>
      <w:pPr>
        <w:pStyle w:val="BodyText"/>
        <w:spacing w:line="600" w:lineRule="atLeast"/>
        <w:ind w:left="633" w:right="1133" w:hanging="480"/>
        <w:jc w:val="left"/>
      </w:pP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100"/>
        </w:rPr>
        <w:t> </w:t>
      </w:r>
      <w:r>
        <w:rPr>
          <w:spacing w:val="-4"/>
        </w:rPr>
        <w:t>本公司长期股权投资包括对被投资单位实施控制、重大影响的权益性投资，以及对合营企业的权益性</w:t>
      </w:r>
    </w:p>
    <w:p>
      <w:pPr>
        <w:pStyle w:val="BodyText"/>
        <w:spacing w:line="240" w:lineRule="auto" w:before="37"/>
        <w:ind w:right="0"/>
        <w:jc w:val="both"/>
      </w:pPr>
      <w:r>
        <w:rPr/>
        <w:t>投资。本公司能够对被投资单位施加重大影响的，为本公司的联营企业。</w:t>
      </w:r>
    </w:p>
    <w:p>
      <w:pPr>
        <w:spacing w:line="357" w:lineRule="auto" w:before="157"/>
        <w:ind w:left="633" w:right="1133" w:hanging="5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共同控制，是指按照相关约定对某项安排所共有的控制，并且该安排的相关活动必须经过分享控制权</w:t>
      </w:r>
    </w:p>
    <w:p>
      <w:pPr>
        <w:pStyle w:val="BodyText"/>
        <w:spacing w:line="209" w:lineRule="exact"/>
        <w:ind w:right="0"/>
        <w:jc w:val="both"/>
      </w:pPr>
      <w:r>
        <w:rPr/>
        <w:t>的参与方一致同意后才能决策。在判断是否存在共同控制时，首先判断所有参与方或参与方组合是否集体</w:t>
      </w:r>
    </w:p>
    <w:p>
      <w:pPr>
        <w:pStyle w:val="BodyText"/>
        <w:spacing w:line="273" w:lineRule="auto" w:before="37"/>
        <w:ind w:right="1126"/>
        <w:jc w:val="both"/>
      </w:pPr>
      <w:r>
        <w:rPr>
          <w:spacing w:val="-2"/>
        </w:rPr>
        <w:t>控制该安排，如果所有参与方或一组参与方必须一致行动才能决定某项安排的相关活动，则认为所有参与</w:t>
      </w:r>
      <w:r>
        <w:rPr>
          <w:spacing w:val="-44"/>
        </w:rPr>
        <w:t> </w:t>
      </w:r>
      <w:r>
        <w:rPr>
          <w:spacing w:val="-44"/>
        </w:rPr>
      </w:r>
      <w:r>
        <w:rPr>
          <w:spacing w:val="-2"/>
        </w:rPr>
        <w:t>方或一组参与方集体控制该安排。其次再判断该安排相关活动的决策是否必须经过这些集体控制该安排的</w:t>
      </w:r>
      <w:r>
        <w:rPr>
          <w:spacing w:val="-43"/>
        </w:rPr>
        <w:t> </w:t>
      </w:r>
      <w:r>
        <w:rPr>
          <w:spacing w:val="-43"/>
        </w:rPr>
      </w:r>
      <w:r>
        <w:rPr>
          <w:spacing w:val="-2"/>
        </w:rPr>
        <w:t>参与方一致同意。如果存在两个或两个以上的参与方组合能够集体控制某项安排的，不构成共同控制。判</w:t>
      </w:r>
      <w:r>
        <w:rPr>
          <w:spacing w:val="-43"/>
        </w:rPr>
        <w:t> </w:t>
      </w:r>
      <w:r>
        <w:rPr>
          <w:spacing w:val="-43"/>
        </w:rPr>
      </w:r>
      <w:r>
        <w:rPr/>
        <w:t>断是否存在共同控制时，不考虑享有的保护性权利。</w:t>
      </w:r>
    </w:p>
    <w:p>
      <w:pPr>
        <w:pStyle w:val="BodyText"/>
        <w:spacing w:line="273" w:lineRule="auto" w:before="127"/>
        <w:ind w:right="1126" w:firstLine="480"/>
        <w:jc w:val="both"/>
      </w:pPr>
      <w:r>
        <w:rPr>
          <w:spacing w:val="-4"/>
        </w:rPr>
        <w:t>重大影响，是指投资方对被投资单位的财务和经营政策有参与决策的权力，但并不能够控制或者与其</w:t>
      </w:r>
      <w:r>
        <w:rPr>
          <w:w w:val="100"/>
        </w:rPr>
        <w:t> </w:t>
      </w:r>
      <w:r>
        <w:rPr>
          <w:spacing w:val="-2"/>
        </w:rPr>
        <w:t>他方一起共同控制这些政策的制定。在确定能否对被投资单位施加重大影响时，考虑投资方直接或间接持</w:t>
      </w:r>
      <w:r>
        <w:rPr>
          <w:spacing w:val="-43"/>
        </w:rPr>
        <w:t> </w:t>
      </w:r>
      <w:r>
        <w:rPr>
          <w:spacing w:val="-43"/>
        </w:rPr>
      </w:r>
      <w:r>
        <w:rPr>
          <w:spacing w:val="2"/>
        </w:rPr>
        <w:t>有被投资单位的表决权股份以及投资方及其他方持有的当期可执行潜在表决权在假定转换为对被投资方</w:t>
      </w:r>
      <w:r>
        <w:rPr>
          <w:spacing w:val="-30"/>
        </w:rPr>
        <w:t> </w:t>
      </w:r>
      <w:r>
        <w:rPr>
          <w:spacing w:val="-30"/>
        </w:rPr>
      </w:r>
      <w:r>
        <w:rPr>
          <w:spacing w:val="-2"/>
        </w:rPr>
        <w:t>单位的股权后产生的影响，包括被投资单位发行的当期可转换的认股权证、股份期权及可转换公司债券等</w:t>
      </w:r>
      <w:r>
        <w:rPr>
          <w:spacing w:val="-43"/>
        </w:rPr>
        <w:t> </w:t>
      </w:r>
      <w:r>
        <w:rPr>
          <w:spacing w:val="-43"/>
        </w:rPr>
      </w:r>
      <w:r>
        <w:rPr/>
        <w:t>的影响。</w:t>
      </w:r>
    </w:p>
    <w:p>
      <w:pPr>
        <w:pStyle w:val="BodyText"/>
        <w:spacing w:line="264" w:lineRule="auto" w:before="128"/>
        <w:ind w:right="1128" w:firstLine="480"/>
        <w:jc w:val="both"/>
      </w:pPr>
      <w:r>
        <w:rPr>
          <w:spacing w:val="-1"/>
        </w:rPr>
        <w:t>当本公司直接或通过子公司间接拥有被投资单位</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）以上但低于</w:t>
      </w:r>
      <w:r>
        <w:rPr>
          <w:rFonts w:ascii="Times New Roman" w:hAnsi="Times New Roman" w:cs="Times New Roman" w:eastAsia="Times New Roman" w:hint="default"/>
          <w:spacing w:val="-1"/>
        </w:rPr>
        <w:t>50%</w:t>
      </w:r>
      <w:r>
        <w:rPr>
          <w:spacing w:val="-1"/>
        </w:rPr>
        <w:t>的表决权股份时，一</w:t>
      </w:r>
      <w:r>
        <w:rPr>
          <w:w w:val="100"/>
        </w:rPr>
        <w:t> </w:t>
      </w:r>
      <w:r>
        <w:rPr>
          <w:spacing w:val="2"/>
        </w:rPr>
        <w:t>般认为对被投资单位具有重大影响，除非有明确证据表明该种情况下不能参与被投资单位的生产经营决</w:t>
      </w:r>
      <w:r>
        <w:rPr>
          <w:spacing w:val="-30"/>
        </w:rPr>
        <w:t> </w:t>
      </w:r>
      <w:r>
        <w:rPr>
          <w:spacing w:val="-30"/>
        </w:rPr>
      </w:r>
      <w:r>
        <w:rPr/>
        <w:t>策，不形成重大影响。</w:t>
      </w:r>
    </w:p>
    <w:p>
      <w:pPr>
        <w:spacing w:line="357" w:lineRule="auto" w:before="136"/>
        <w:ind w:left="489" w:right="2653" w:firstLine="8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）初始投资成本确定</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企业合并形成的长期股权投资，按照下列规定确定其投资成本：</w:t>
      </w:r>
    </w:p>
    <w:p>
      <w:pPr>
        <w:pStyle w:val="BodyText"/>
        <w:spacing w:line="266" w:lineRule="auto" w:before="54"/>
        <w:ind w:right="1126" w:firstLine="424"/>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3"/>
        </w:rPr>
        <w:t> </w:t>
      </w:r>
      <w:r>
        <w:rPr>
          <w:spacing w:val="-4"/>
        </w:rPr>
        <w:t>同一控制下的企业合并，合并方以支付现金、转让非现金资产或承担债务方式作为合并对价的，在</w:t>
      </w:r>
      <w:r>
        <w:rPr>
          <w:w w:val="100"/>
        </w:rPr>
        <w:t> </w:t>
      </w:r>
      <w:r>
        <w:rPr>
          <w:spacing w:val="2"/>
        </w:rPr>
        <w:t>合并日按照被合并方所有者权益在最终控制方合并财务报表中的账面价值的份额作为长期股权投资的初</w:t>
      </w:r>
      <w:r>
        <w:rPr>
          <w:spacing w:val="-30"/>
        </w:rPr>
        <w:t> </w:t>
      </w:r>
      <w:r>
        <w:rPr>
          <w:spacing w:val="-30"/>
        </w:rPr>
      </w:r>
      <w:r>
        <w:rPr>
          <w:spacing w:val="-2"/>
        </w:rPr>
        <w:t>始投资成本。长期股权投资初始投资成本与支付的现金、转让的非现金资产以及所承担债务账面价值之间</w:t>
      </w:r>
      <w:r>
        <w:rPr>
          <w:spacing w:val="-43"/>
        </w:rPr>
        <w:t> </w:t>
      </w:r>
      <w:r>
        <w:rPr>
          <w:spacing w:val="-43"/>
        </w:rPr>
      </w:r>
      <w:r>
        <w:rPr/>
        <w:t>的差额，调整资本公积；资本公积不足冲减的，调整留存收益；</w:t>
      </w:r>
    </w:p>
    <w:p>
      <w:pPr>
        <w:pStyle w:val="BodyText"/>
        <w:spacing w:line="268" w:lineRule="auto" w:before="134"/>
        <w:ind w:right="1126" w:firstLine="424"/>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0"/>
        </w:rPr>
        <w:t> </w:t>
      </w:r>
      <w:r>
        <w:rPr>
          <w:spacing w:val="-4"/>
        </w:rPr>
        <w:t>同一控制下的企业合并，合并方以发行权益性证券作为合并对价的，在合并日按照被合并方所有者</w:t>
      </w:r>
      <w:r>
        <w:rPr>
          <w:w w:val="100"/>
        </w:rPr>
        <w:t> </w:t>
      </w:r>
      <w:r>
        <w:rPr>
          <w:spacing w:val="-2"/>
        </w:rPr>
        <w:t>权益在最终控制方合并财务报表中的账面价值的份额作为长期股权投资的初始投资成本。按照发行股份的</w:t>
      </w:r>
      <w:r>
        <w:rPr>
          <w:spacing w:val="-43"/>
        </w:rPr>
        <w:t> </w:t>
      </w:r>
      <w:r>
        <w:rPr>
          <w:spacing w:val="-43"/>
        </w:rPr>
      </w:r>
      <w:r>
        <w:rPr>
          <w:spacing w:val="-2"/>
        </w:rPr>
        <w:t>面值总额作为股本，长期股权投资初始投资成本与所发行股份面值总额之间的差额，调整资本公积；资本</w:t>
      </w:r>
      <w:r>
        <w:rPr>
          <w:spacing w:val="-42"/>
        </w:rPr>
        <w:t> </w:t>
      </w:r>
      <w:r>
        <w:rPr>
          <w:spacing w:val="-42"/>
        </w:rPr>
      </w:r>
      <w:r>
        <w:rPr/>
        <w:t>公积不足冲减的，调整留存收益；</w:t>
      </w:r>
    </w:p>
    <w:p>
      <w:pPr>
        <w:pStyle w:val="BodyText"/>
        <w:spacing w:line="264" w:lineRule="auto" w:before="132"/>
        <w:ind w:right="1126" w:firstLine="424"/>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spacing w:val="-4"/>
        </w:rPr>
        <w:t>非同一控制下的企业合并，以购买日为取得对被购买方的控制权而付出的资产、发生或承担的负债</w:t>
      </w:r>
      <w:r>
        <w:rPr>
          <w:w w:val="100"/>
        </w:rPr>
        <w:t> </w:t>
      </w:r>
      <w:r>
        <w:rPr>
          <w:spacing w:val="-2"/>
        </w:rPr>
        <w:t>以及发行的权益性证券的公允价值确定为合并成本作为长期股权投资的初始投资成本。合并方为企业合并</w:t>
      </w:r>
      <w:r>
        <w:rPr>
          <w:spacing w:val="-43"/>
        </w:rPr>
        <w:t> </w:t>
      </w:r>
      <w:r>
        <w:rPr>
          <w:spacing w:val="-43"/>
        </w:rPr>
      </w:r>
      <w:r>
        <w:rPr/>
        <w:t>发生的审计、法律服务、评估咨询等中介费用以及其他相关管理费用，于发生时计入当期损益。</w:t>
      </w:r>
    </w:p>
    <w:p>
      <w:pPr>
        <w:pStyle w:val="BodyText"/>
        <w:spacing w:line="240" w:lineRule="auto" w:before="136"/>
        <w:ind w:left="489" w:right="0"/>
        <w:jc w:val="left"/>
      </w:pPr>
      <w:r>
        <w:rPr>
          <w:spacing w:val="-3"/>
        </w:rPr>
        <w:t>除企业合并形成的长期股权投资以外，其他方式取得的长期股权投资，按照下列规定确定其投资成本：</w:t>
      </w:r>
    </w:p>
    <w:p>
      <w:pPr>
        <w:pStyle w:val="BodyText"/>
        <w:spacing w:line="240" w:lineRule="auto" w:before="157"/>
        <w:ind w:left="578"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37"/>
        </w:rPr>
        <w:t> </w:t>
      </w:r>
      <w:r>
        <w:rPr>
          <w:spacing w:val="-4"/>
        </w:rPr>
        <w:t>以支付现金取得的长期股权投资，按照实际支付的购买价款作为投资成本。初始投资成本包括与取</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得长期股权投资直接相关的费用、税金及其他必要支出；</w:t>
      </w:r>
    </w:p>
    <w:p>
      <w:pPr>
        <w:pStyle w:val="BodyText"/>
        <w:spacing w:line="240" w:lineRule="auto" w:before="157"/>
        <w:ind w:left="578" w:right="1133"/>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
        </w:rPr>
        <w:t> </w:t>
      </w:r>
      <w:r>
        <w:rPr>
          <w:spacing w:val="-2"/>
        </w:rPr>
        <w:t>以发行权益性证券取得的长期股权投资，按照发行权益性证券的公允价值作为初始投资成本；</w:t>
      </w:r>
    </w:p>
    <w:p>
      <w:pPr>
        <w:pStyle w:val="BodyText"/>
        <w:spacing w:line="266" w:lineRule="auto" w:before="141"/>
        <w:ind w:right="1126" w:firstLine="424"/>
        <w:jc w:val="both"/>
      </w:pPr>
      <w:r>
        <w:rPr>
          <w:rFonts w:ascii="Times New Roman" w:hAnsi="Times New Roman" w:cs="Times New Roman" w:eastAsia="Times New Roman" w:hint="default"/>
          <w:w w:val="100"/>
        </w:rPr>
        <w:t>C.</w:t>
      </w:r>
      <w:r>
        <w:rPr>
          <w:rFonts w:ascii="Times New Roman" w:hAnsi="Times New Roman" w:cs="Times New Roman" w:eastAsia="Times New Roman" w:hint="default"/>
          <w:spacing w:val="43"/>
          <w:w w:val="100"/>
        </w:rPr>
        <w:t> </w:t>
      </w:r>
      <w:r>
        <w:rPr>
          <w:spacing w:val="-4"/>
          <w:w w:val="100"/>
        </w:rPr>
        <w:t>通过非货币性资产交换取得的长期股权投资，如果该项交换具有商业实质且换入资产或换出资产的</w:t>
      </w:r>
      <w:r>
        <w:rPr>
          <w:w w:val="100"/>
        </w:rPr>
        <w:t> </w:t>
      </w:r>
      <w:r>
        <w:rPr>
          <w:spacing w:val="-2"/>
        </w:rPr>
        <w:t>公允价值能可靠计量，则以换出资产的公允价值和相关税费作为初始投资成本，换出资产的公允价值与账</w:t>
      </w:r>
      <w:r>
        <w:rPr>
          <w:spacing w:val="-44"/>
        </w:rPr>
        <w:t> </w:t>
      </w:r>
      <w:r>
        <w:rPr>
          <w:spacing w:val="-44"/>
        </w:rPr>
      </w:r>
      <w:r>
        <w:rPr>
          <w:spacing w:val="-2"/>
        </w:rPr>
        <w:t>面价值之间的差额计入当期损益；若非货币资产交换不同时具备上述两个条件，则按换出资产的账面价值</w:t>
      </w:r>
      <w:r>
        <w:rPr>
          <w:spacing w:val="-44"/>
        </w:rPr>
        <w:t> </w:t>
      </w:r>
      <w:r>
        <w:rPr>
          <w:spacing w:val="-44"/>
        </w:rPr>
      </w:r>
      <w:r>
        <w:rPr/>
        <w:t>和相关税费作为初始投资成本。</w:t>
      </w:r>
    </w:p>
    <w:p>
      <w:pPr>
        <w:pStyle w:val="BodyText"/>
        <w:spacing w:line="256" w:lineRule="auto" w:before="134"/>
        <w:ind w:left="578" w:right="1133"/>
        <w:jc w:val="left"/>
      </w:pPr>
      <w:r>
        <w:rPr>
          <w:rFonts w:ascii="Times New Roman" w:hAnsi="Times New Roman" w:cs="Times New Roman" w:eastAsia="Times New Roman" w:hint="default"/>
        </w:rPr>
        <w:t>D. </w:t>
      </w:r>
      <w:r>
        <w:rPr/>
        <w:t>通过债务重组取得的长期股权投资，以所放弃债权的公允价值和可直接归属于该资产的税金等其</w:t>
      </w:r>
      <w:r>
        <w:rPr>
          <w:spacing w:val="-82"/>
        </w:rPr>
        <w:t> </w:t>
      </w:r>
      <w:r>
        <w:rPr>
          <w:spacing w:val="-82"/>
        </w:rPr>
      </w:r>
      <w:r>
        <w:rPr/>
        <w:t>他成本确定其入账价值，并将所放弃债权的公允价值与账面价值之间的差额，计入当期损益。</w:t>
      </w:r>
    </w:p>
    <w:p>
      <w:pPr>
        <w:spacing w:line="357" w:lineRule="auto" w:before="142"/>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本公司能够对被投资单位实施控制的长期股权投资采用成本法核算；对联营企业和合营企业的长期股</w:t>
      </w:r>
    </w:p>
    <w:p>
      <w:pPr>
        <w:pStyle w:val="BodyText"/>
        <w:spacing w:line="210" w:lineRule="exact"/>
        <w:ind w:right="1133"/>
        <w:jc w:val="left"/>
      </w:pPr>
      <w:r>
        <w:rPr/>
        <w:t>权投资采用权益法核算。</w:t>
      </w:r>
    </w:p>
    <w:p>
      <w:pPr>
        <w:pStyle w:val="BodyText"/>
        <w:spacing w:line="430" w:lineRule="atLeast" w:before="2"/>
        <w:ind w:left="573" w:right="1133"/>
        <w:jc w:val="left"/>
      </w:pPr>
      <w:r>
        <w:rPr/>
        <w:t>①成本法</w:t>
      </w:r>
      <w:r>
        <w:rPr>
          <w:w w:val="100"/>
        </w:rPr>
        <w:t> </w:t>
      </w:r>
      <w:r>
        <w:rPr>
          <w:spacing w:val="-2"/>
        </w:rPr>
        <w:t>采用成本法核算的长期股权投资，追加或收回投资时调整长期股权投资的成本；被投资单位宣告分派</w:t>
      </w:r>
    </w:p>
    <w:p>
      <w:pPr>
        <w:pStyle w:val="BodyText"/>
        <w:spacing w:line="240" w:lineRule="auto" w:before="37"/>
        <w:ind w:right="1133"/>
        <w:jc w:val="left"/>
      </w:pPr>
      <w:r>
        <w:rPr/>
        <w:t>的现金股利或利润，确认为当期投资收益。</w:t>
      </w:r>
    </w:p>
    <w:p>
      <w:pPr>
        <w:pStyle w:val="BodyText"/>
        <w:spacing w:line="376" w:lineRule="auto" w:before="157"/>
        <w:ind w:left="573" w:right="4813"/>
        <w:jc w:val="left"/>
      </w:pPr>
      <w:r>
        <w:rPr/>
        <w:t>②权益法</w:t>
      </w:r>
      <w:r>
        <w:rPr>
          <w:w w:val="100"/>
        </w:rPr>
        <w:t> </w:t>
      </w:r>
      <w:r>
        <w:rPr>
          <w:spacing w:val="-2"/>
        </w:rPr>
        <w:t>按照权益法核算的长期股权投资，一般会计处理为：</w:t>
      </w:r>
    </w:p>
    <w:p>
      <w:pPr>
        <w:pStyle w:val="BodyText"/>
        <w:spacing w:line="273" w:lineRule="auto" w:before="37"/>
        <w:ind w:right="1126" w:firstLine="420"/>
        <w:jc w:val="both"/>
      </w:pPr>
      <w:r>
        <w:rPr>
          <w:spacing w:val="-2"/>
        </w:rPr>
        <w:t>本公司长期股权投资的投资成本大于投资时应享有被投资单位可辨认净资产公允价值份额的，不调整</w:t>
      </w:r>
      <w:r>
        <w:rPr>
          <w:w w:val="100"/>
        </w:rPr>
        <w:t> </w:t>
      </w:r>
      <w:r>
        <w:rPr>
          <w:spacing w:val="-2"/>
        </w:rPr>
        <w:t>长期股权投资的初始投资成本；长期股权投资的初始投资成本小于投资时应享有被投资单位可辨认净资产</w:t>
      </w:r>
      <w:r>
        <w:rPr>
          <w:spacing w:val="-43"/>
        </w:rPr>
        <w:t> </w:t>
      </w:r>
      <w:r>
        <w:rPr>
          <w:spacing w:val="-43"/>
        </w:rPr>
      </w:r>
      <w:r>
        <w:rPr/>
        <w:t>公允价值份额的，其差额计入当期损益，同时调整长期股权投资的成本。</w:t>
      </w:r>
    </w:p>
    <w:p>
      <w:pPr>
        <w:pStyle w:val="BodyText"/>
        <w:spacing w:line="273" w:lineRule="auto" w:before="128"/>
        <w:ind w:right="1126" w:firstLine="420"/>
        <w:jc w:val="both"/>
      </w:pPr>
      <w:r>
        <w:rPr>
          <w:spacing w:val="-2"/>
        </w:rPr>
        <w:t>本公司按照应享有或应分担的被投资单位实现的净损益和其他综合收益的份额，分别确认投资收益和</w:t>
      </w:r>
      <w:r>
        <w:rPr>
          <w:w w:val="100"/>
        </w:rPr>
        <w:t> </w:t>
      </w:r>
      <w:r>
        <w:rPr>
          <w:spacing w:val="-2"/>
        </w:rPr>
        <w:t>其他综合收益，同时调整长期股权投资的账面价值；本公司按照被投资单位宣告分派的利润或现金股利计</w:t>
      </w:r>
      <w:r>
        <w:rPr>
          <w:spacing w:val="-43"/>
        </w:rPr>
        <w:t> </w:t>
      </w:r>
      <w:r>
        <w:rPr>
          <w:spacing w:val="-43"/>
        </w:rPr>
      </w:r>
      <w:r>
        <w:rPr>
          <w:spacing w:val="-2"/>
        </w:rPr>
        <w:t>算应享有的部分，相应减少长期股权投资的账面价值；被投资单位除净损益、其他综合收益和利润分配以</w:t>
      </w:r>
      <w:r>
        <w:rPr>
          <w:spacing w:val="-44"/>
        </w:rPr>
        <w:t> </w:t>
      </w:r>
      <w:r>
        <w:rPr>
          <w:spacing w:val="-44"/>
        </w:rPr>
      </w:r>
      <w:r>
        <w:rPr>
          <w:spacing w:val="-2"/>
        </w:rPr>
        <w:t>外所有者权益的其他变动，调整长期股权投资的账面价值并计入所有者权益。在确认应享有被投资单位净</w:t>
      </w:r>
      <w:r>
        <w:rPr>
          <w:spacing w:val="-44"/>
        </w:rPr>
        <w:t> </w:t>
      </w:r>
      <w:r>
        <w:rPr>
          <w:spacing w:val="-44"/>
        </w:rPr>
      </w:r>
      <w:r>
        <w:rPr>
          <w:spacing w:val="-2"/>
        </w:rPr>
        <w:t>损益的份额时，以取得投资时被投资单位可辨认净资产的公允价值为基础，对被投资单位的净利润进行调</w:t>
      </w:r>
      <w:r>
        <w:rPr>
          <w:spacing w:val="-42"/>
        </w:rPr>
        <w:t> </w:t>
      </w:r>
      <w:r>
        <w:rPr>
          <w:spacing w:val="-42"/>
        </w:rPr>
      </w:r>
      <w:r>
        <w:rPr>
          <w:spacing w:val="-2"/>
        </w:rPr>
        <w:t>整后确认。被投资单位采用的会计政策及会计期间与本公司不一致的，应按照本公司的会计政策及会计期</w:t>
      </w:r>
      <w:r>
        <w:rPr>
          <w:spacing w:val="-42"/>
        </w:rPr>
        <w:t> </w:t>
      </w:r>
      <w:r>
        <w:rPr>
          <w:spacing w:val="-42"/>
        </w:rPr>
      </w:r>
      <w:r>
        <w:rPr>
          <w:spacing w:val="-2"/>
        </w:rPr>
        <w:t>间对被投资单位的财务报表进行调整，并据以确认投资收益和其他综合收益等。本公司与联营企业及合营</w:t>
      </w:r>
      <w:r>
        <w:rPr>
          <w:spacing w:val="-44"/>
        </w:rPr>
        <w:t> </w:t>
      </w:r>
      <w:r>
        <w:rPr>
          <w:spacing w:val="-44"/>
        </w:rPr>
      </w:r>
      <w:r>
        <w:rPr>
          <w:spacing w:val="-2"/>
        </w:rPr>
        <w:t>企业之间发生的未实现内部交易损益按照享有的比例计算归属于本公司的部分予以抵销，在此基础上确认</w:t>
      </w:r>
      <w:r>
        <w:rPr>
          <w:spacing w:val="-43"/>
        </w:rPr>
        <w:t> </w:t>
      </w:r>
      <w:r>
        <w:rPr>
          <w:spacing w:val="-43"/>
        </w:rPr>
      </w:r>
      <w:r>
        <w:rPr/>
        <w:t>投资损益。本公司与被投资单位发生的未实现内部交易损失属于资产减值损失的，应全额确认。</w:t>
      </w:r>
    </w:p>
    <w:p>
      <w:pPr>
        <w:pStyle w:val="BodyText"/>
        <w:spacing w:line="273" w:lineRule="auto" w:before="127"/>
        <w:ind w:right="1126" w:firstLine="420"/>
        <w:jc w:val="both"/>
      </w:pPr>
      <w:r>
        <w:rPr>
          <w:spacing w:val="-2"/>
        </w:rPr>
        <w:t>因追加投资等原因能够对被投资单位施加重大影响或实施共同控制但不构成控制的，按照原持有的股</w:t>
      </w:r>
      <w:r>
        <w:rPr>
          <w:w w:val="100"/>
        </w:rPr>
        <w:t> </w:t>
      </w:r>
      <w:r>
        <w:rPr>
          <w:spacing w:val="-2"/>
        </w:rPr>
        <w:t>权投资的公允价值加上新增投资成本之和，作为改按权益法核算的初始投资成本。原持有的股权投资分类</w:t>
      </w:r>
      <w:r>
        <w:rPr>
          <w:spacing w:val="-43"/>
        </w:rPr>
        <w:t> </w:t>
      </w:r>
      <w:r>
        <w:rPr>
          <w:spacing w:val="-43"/>
        </w:rPr>
      </w:r>
      <w:r>
        <w:rPr>
          <w:spacing w:val="-2"/>
        </w:rPr>
        <w:t>为可供出售金融资产的，其公允价值与账面价值之间的差额，以及原计入其他综合收益的累计公允价值变</w:t>
      </w:r>
      <w:r>
        <w:rPr>
          <w:spacing w:val="-42"/>
        </w:rPr>
        <w:t> </w:t>
      </w:r>
      <w:r>
        <w:rPr>
          <w:spacing w:val="-42"/>
        </w:rPr>
      </w:r>
      <w:r>
        <w:rPr/>
        <w:t>动应当转入改按权益法核算的当期损益。</w:t>
      </w:r>
    </w:p>
    <w:p>
      <w:pPr>
        <w:pStyle w:val="BodyText"/>
        <w:spacing w:line="273" w:lineRule="auto" w:before="127"/>
        <w:ind w:right="1126" w:firstLine="420"/>
        <w:jc w:val="both"/>
      </w:pPr>
      <w:r>
        <w:rPr>
          <w:spacing w:val="-2"/>
        </w:rPr>
        <w:t>因处置部分股权投资等原因丧失了对被投资单位的共同控制或重大影响的，处置后的剩余股权改按公</w:t>
      </w:r>
      <w:r>
        <w:rPr>
          <w:w w:val="100"/>
        </w:rPr>
        <w:t> </w:t>
      </w:r>
      <w:r>
        <w:rPr>
          <w:spacing w:val="-2"/>
        </w:rPr>
        <w:t>允价值计量，其在丧失共同控制或重大影响之日的公允价值与账面价值之间的差额计入当期损益。原股权</w:t>
      </w:r>
      <w:r>
        <w:rPr>
          <w:spacing w:val="-44"/>
        </w:rPr>
        <w:t> </w:t>
      </w:r>
      <w:r>
        <w:rPr>
          <w:spacing w:val="-44"/>
        </w:rPr>
      </w:r>
      <w:r>
        <w:rPr>
          <w:spacing w:val="-2"/>
        </w:rPr>
        <w:t>投资因采用权益法核算而确认的其他综合收益，在终止采用权益法核算时采用与被投资单位直接处置相关</w:t>
      </w:r>
      <w:r>
        <w:rPr>
          <w:spacing w:val="-43"/>
        </w:rPr>
        <w:t> </w:t>
      </w:r>
      <w:r>
        <w:rPr>
          <w:spacing w:val="-43"/>
        </w:rPr>
      </w:r>
      <w:r>
        <w:rPr/>
        <w:t>资产或负债相同的基础进行会计处理。</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3" w:right="1128" w:firstLine="0"/>
        <w:jc w:val="both"/>
        <w:rPr>
          <w:rFonts w:ascii="宋体" w:hAnsi="宋体" w:cs="宋体" w:eastAsia="宋体" w:hint="default"/>
          <w:sz w:val="18"/>
          <w:szCs w:val="18"/>
        </w:rPr>
      </w:pPr>
      <w:r>
        <w:rPr>
          <w:rFonts w:ascii="宋体" w:hAnsi="宋体" w:cs="宋体" w:eastAsia="宋体" w:hint="default"/>
          <w:spacing w:val="-2"/>
          <w:sz w:val="18"/>
          <w:szCs w:val="18"/>
        </w:rPr>
        <w:t>固定资产在同时满足下列条件时，按取得时的实际成本予以确认：①与该固定资产有关的经济利益很可能流入企业。②该固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定资产的成本能够可靠地计量。固定资产发生的后续支出，符合固定资产确认条件的计入固定资产成本；不符合固定资产确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认条件的在发生时计入当期损益。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4.75-3.17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23.75-11.88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5"/>
        <w:rPr>
          <w:rFonts w:ascii="宋体" w:hAnsi="宋体" w:cs="宋体" w:eastAsia="宋体" w:hint="default"/>
          <w:b/>
          <w:bCs/>
          <w:sz w:val="6"/>
          <w:szCs w:val="6"/>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对于已经计提减值准备的固定资产，在计提折旧时扣除已计提的固定资产减值准备。</w:t>
      </w:r>
    </w:p>
    <w:p>
      <w:pPr>
        <w:spacing w:line="240" w:lineRule="auto" w:before="0"/>
        <w:rPr>
          <w:rFonts w:ascii="宋体" w:hAnsi="宋体" w:cs="宋体" w:eastAsia="宋体" w:hint="default"/>
          <w:sz w:val="15"/>
          <w:szCs w:val="15"/>
        </w:rPr>
      </w:pPr>
    </w:p>
    <w:p>
      <w:pPr>
        <w:spacing w:line="316" w:lineRule="auto" w:before="0"/>
        <w:ind w:left="153" w:right="0" w:firstLine="360"/>
        <w:jc w:val="left"/>
        <w:rPr>
          <w:rFonts w:ascii="宋体" w:hAnsi="宋体" w:cs="宋体" w:eastAsia="宋体" w:hint="default"/>
          <w:sz w:val="18"/>
          <w:szCs w:val="18"/>
        </w:rPr>
      </w:pPr>
      <w:r>
        <w:rPr>
          <w:rFonts w:ascii="宋体" w:hAnsi="宋体" w:cs="宋体" w:eastAsia="宋体" w:hint="default"/>
          <w:spacing w:val="-4"/>
          <w:sz w:val="18"/>
          <w:szCs w:val="18"/>
        </w:rPr>
        <w:t>每年年度终了，公司对固定资产的使用寿命、预计净残值和折旧方法进行复核。使用寿命预计数与原先估计数有差异的，</w:t>
      </w:r>
      <w:r>
        <w:rPr>
          <w:rFonts w:ascii="宋体" w:hAnsi="宋体" w:cs="宋体" w:eastAsia="宋体" w:hint="default"/>
          <w:sz w:val="18"/>
          <w:szCs w:val="18"/>
        </w:rPr>
        <w:t> 调整固定资产使用寿命。</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spacing w:line="316" w:lineRule="auto" w:before="0"/>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本公司在租入的固定资产实质上转移了与资产有关的全部风险和报酬时确认该项固定资产的租赁为融资租赁。融资租赁</w:t>
      </w:r>
      <w:r>
        <w:rPr>
          <w:rFonts w:ascii="宋体" w:hAnsi="宋体" w:cs="宋体" w:eastAsia="宋体" w:hint="default"/>
          <w:sz w:val="18"/>
          <w:szCs w:val="18"/>
        </w:rPr>
        <w:t> </w:t>
      </w:r>
      <w:r>
        <w:rPr>
          <w:rFonts w:ascii="宋体" w:hAnsi="宋体" w:cs="宋体" w:eastAsia="宋体" w:hint="default"/>
          <w:spacing w:val="-2"/>
          <w:sz w:val="18"/>
          <w:szCs w:val="18"/>
        </w:rPr>
        <w:t>取得的固定资产的成本，按租赁开始日租赁资产公允价值与最低租赁付款额现值两者中较低者确定。融资租入的固定资产采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用与自有固定资产相一致的折旧政策计提租赁资产折旧。能够合理确定租赁期届满时将会取得租赁资产所有权的，在租赁资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产使用年限内计提折旧；无法合理确定租赁期届满时能够取得租赁资产所有权的，在租赁期与租赁资产使用寿命两者中较短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的期间内计提折旧。</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33"/>
        <w:jc w:val="left"/>
      </w:pPr>
      <w:r>
        <w:rPr/>
        <w:t>（</w:t>
      </w:r>
      <w:r>
        <w:rPr>
          <w:rFonts w:ascii="Times New Roman" w:hAnsi="Times New Roman" w:cs="Times New Roman" w:eastAsia="Times New Roman" w:hint="default"/>
        </w:rPr>
        <w:t>1</w:t>
      </w:r>
      <w:r>
        <w:rPr/>
        <w:t>）在建工程以立项项目分类核算。</w:t>
      </w:r>
    </w:p>
    <w:p>
      <w:pPr>
        <w:pStyle w:val="BodyText"/>
        <w:spacing w:line="357" w:lineRule="auto" w:before="141"/>
        <w:ind w:left="573" w:right="1133"/>
        <w:jc w:val="left"/>
      </w:pPr>
      <w:r>
        <w:rPr/>
        <w:t>（</w:t>
      </w:r>
      <w:r>
        <w:rPr>
          <w:rFonts w:ascii="Times New Roman" w:hAnsi="Times New Roman" w:cs="Times New Roman" w:eastAsia="Times New Roman"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pStyle w:val="BodyText"/>
        <w:spacing w:line="210" w:lineRule="exact"/>
        <w:ind w:right="0"/>
        <w:jc w:val="left"/>
      </w:pPr>
      <w:r>
        <w:rPr/>
        <w:t>包括建筑费用、机器设备原价、其他为使在建工程达到预定可使用状态所发生的必要支出以及在资产达到</w:t>
      </w:r>
    </w:p>
    <w:p>
      <w:pPr>
        <w:pStyle w:val="BodyText"/>
        <w:spacing w:line="273" w:lineRule="auto" w:before="37"/>
        <w:ind w:right="0"/>
        <w:jc w:val="left"/>
      </w:pPr>
      <w:r>
        <w:rPr>
          <w:spacing w:val="-2"/>
        </w:rPr>
        <w:t>预定可使用状态之前为该项目专门借款所发生的借款费用及占用的一般借款发生的借款费用。本公司在工</w:t>
      </w:r>
      <w:r>
        <w:rPr>
          <w:spacing w:val="-43"/>
        </w:rPr>
        <w:t> </w:t>
      </w:r>
      <w:r>
        <w:rPr>
          <w:spacing w:val="-43"/>
        </w:rPr>
      </w:r>
      <w:r>
        <w:rPr>
          <w:spacing w:val="-2"/>
        </w:rPr>
        <w:t>程安装或建设完成达到预定可使用状态时将在建工程转入固定资产。所建造的已达到预定可使用状态、但</w:t>
      </w:r>
      <w:r>
        <w:rPr>
          <w:spacing w:val="-44"/>
        </w:rPr>
        <w:t> </w:t>
      </w:r>
      <w:r>
        <w:rPr>
          <w:spacing w:val="-44"/>
        </w:rPr>
      </w:r>
      <w:r>
        <w:rPr>
          <w:spacing w:val="-5"/>
        </w:rPr>
        <w:t>尚未办理竣工决算的固定资产，自达到预定可使用状态之日起，根据工程预算、造价或者工程实际成本等， </w:t>
      </w:r>
      <w:r>
        <w:rPr>
          <w:spacing w:val="-5"/>
        </w:rPr>
      </w:r>
      <w:r>
        <w:rPr>
          <w:spacing w:val="-2"/>
        </w:rPr>
        <w:t>按估计的价值转入固定资产，并按本公司固定资产折旧政策计提固定资产的折旧，待办理竣工决算后，再</w:t>
      </w:r>
      <w:r>
        <w:rPr>
          <w:spacing w:val="-43"/>
        </w:rPr>
        <w:t> </w:t>
      </w:r>
      <w:r>
        <w:rPr>
          <w:spacing w:val="-43"/>
        </w:rPr>
      </w:r>
      <w:r>
        <w:rPr/>
        <w:t>按实际成本调整原来的暂估价值，但不调整原已计提的折旧额。</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1</w:t>
      </w:r>
      <w:r>
        <w:rPr/>
        <w:t>）借款费用资本化的确认原则和资本化期间</w:t>
      </w:r>
      <w:r>
        <w:rPr>
          <w:b w:val="0"/>
          <w:bCs w:val="0"/>
        </w:rPr>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b/>
          <w:bCs/>
          <w:sz w:val="13"/>
          <w:szCs w:val="13"/>
        </w:rPr>
      </w:pPr>
    </w:p>
    <w:p>
      <w:pPr>
        <w:pStyle w:val="BodyText"/>
        <w:spacing w:line="273" w:lineRule="auto" w:before="36"/>
        <w:ind w:right="1133" w:firstLine="420"/>
        <w:jc w:val="left"/>
      </w:pPr>
      <w:r>
        <w:rPr>
          <w:spacing w:val="2"/>
        </w:rPr>
        <w:t>本公司发生的可直接归属于符合资本化条件的资产的购建或生产的借款费用在同时满足下列条件时</w:t>
      </w:r>
      <w:r>
        <w:rPr>
          <w:w w:val="100"/>
        </w:rPr>
        <w:t> </w:t>
      </w:r>
      <w:r>
        <w:rPr/>
        <w:t>予以资本化计入相关资产成本：</w:t>
      </w:r>
    </w:p>
    <w:p>
      <w:pPr>
        <w:pStyle w:val="BodyText"/>
        <w:spacing w:line="240" w:lineRule="auto" w:before="127"/>
        <w:ind w:left="573" w:right="1133"/>
        <w:jc w:val="left"/>
      </w:pPr>
      <w:r>
        <w:rPr/>
        <w:t>①资产支出已经发生；</w:t>
      </w:r>
    </w:p>
    <w:p>
      <w:pPr>
        <w:pStyle w:val="BodyText"/>
        <w:spacing w:line="240" w:lineRule="auto" w:before="157"/>
        <w:ind w:left="573" w:right="1133"/>
        <w:jc w:val="left"/>
      </w:pPr>
      <w:r>
        <w:rPr/>
        <w:t>②借款费用已经发生；</w:t>
      </w:r>
    </w:p>
    <w:p>
      <w:pPr>
        <w:pStyle w:val="BodyText"/>
        <w:spacing w:line="432" w:lineRule="exact" w:before="57"/>
        <w:ind w:left="573" w:right="1133"/>
        <w:jc w:val="left"/>
      </w:pPr>
      <w:r>
        <w:rPr/>
        <w:t>③为使资产达到预定可使用状态所必要的购建或者生产活动已经开始。</w:t>
      </w:r>
      <w:r>
        <w:rPr>
          <w:w w:val="100"/>
        </w:rPr>
        <w:t> </w:t>
      </w:r>
      <w:r>
        <w:rPr/>
        <w:t>其他的借款利息、折价或溢价和汇兑差额，计入发生当期的损益。</w:t>
      </w:r>
      <w:r>
        <w:rPr>
          <w:w w:val="100"/>
        </w:rPr>
        <w:t> </w:t>
      </w: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p>
    <w:p>
      <w:pPr>
        <w:pStyle w:val="BodyText"/>
        <w:spacing w:line="255" w:lineRule="exact"/>
        <w:ind w:right="1133"/>
        <w:jc w:val="left"/>
      </w:pPr>
      <w:r>
        <w:rPr/>
        <w:t>借款费用的资本化。</w:t>
      </w:r>
    </w:p>
    <w:p>
      <w:pPr>
        <w:pStyle w:val="BodyText"/>
        <w:spacing w:line="273" w:lineRule="auto" w:before="157"/>
        <w:ind w:right="1133" w:firstLine="420"/>
        <w:jc w:val="left"/>
      </w:pPr>
      <w:r>
        <w:rPr>
          <w:spacing w:val="2"/>
        </w:rPr>
        <w:t>当购建或者生产符合资本化条件的资产达到预定可使用或者可销售状态时，停止其借款费用的资本</w:t>
      </w:r>
      <w:r>
        <w:rPr>
          <w:w w:val="100"/>
        </w:rPr>
        <w:t> </w:t>
      </w:r>
      <w:r>
        <w:rPr/>
        <w:t>化；以后发生的借款费用于发生当期确认为费用。</w:t>
      </w:r>
    </w:p>
    <w:p>
      <w:pPr>
        <w:spacing w:line="357" w:lineRule="auto" w:before="12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为购建或者生产符合资本化条件的资产而借入专门借款的，以专门借款当期实际发生的利息费用，减</w:t>
      </w:r>
    </w:p>
    <w:p>
      <w:pPr>
        <w:pStyle w:val="BodyText"/>
        <w:spacing w:line="209" w:lineRule="exact"/>
        <w:ind w:right="0"/>
        <w:jc w:val="left"/>
      </w:pPr>
      <w:r>
        <w:rPr/>
        <w:t>去将尚未动用的借款资金存入银行取得的利息收入或者进行暂时性投资取得的投资收益后的金额，确定为</w:t>
      </w:r>
    </w:p>
    <w:p>
      <w:pPr>
        <w:pStyle w:val="BodyText"/>
        <w:spacing w:line="283" w:lineRule="auto" w:before="37"/>
        <w:ind w:right="1133"/>
        <w:jc w:val="left"/>
      </w:pPr>
      <w:r>
        <w:rPr/>
        <w:t>专门借款利息费用的资本化金额。</w:t>
      </w:r>
      <w:r>
        <w:rPr>
          <w:w w:val="100"/>
        </w:rPr>
        <w:t> </w:t>
      </w:r>
      <w:r>
        <w:rPr>
          <w:spacing w:val="-2"/>
        </w:rPr>
        <w:t>购建或者生产符合资本化条件的资产占用了一般借款的，一般借款应予资本化的利息金额按累计资产支出</w:t>
      </w:r>
      <w:r>
        <w:rPr>
          <w:spacing w:val="-43"/>
        </w:rPr>
        <w:t> </w:t>
      </w:r>
      <w:r>
        <w:rPr>
          <w:spacing w:val="-43"/>
        </w:rPr>
      </w:r>
      <w:r>
        <w:rPr>
          <w:spacing w:val="-2"/>
        </w:rPr>
        <w:t>超过专门借款部分的资产支出加权平均数乘以所占用一般借款的资本化率，计算确定一般借款应予资本化</w:t>
      </w:r>
      <w:r>
        <w:rPr>
          <w:spacing w:val="-43"/>
        </w:rPr>
        <w:t> </w:t>
      </w:r>
      <w:r>
        <w:rPr>
          <w:spacing w:val="-43"/>
        </w:rPr>
      </w:r>
      <w:r>
        <w:rPr/>
        <w:t>的利息金额。资本化率根据一般借款加权平均利率计算确定。</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spacing w:line="376" w:lineRule="auto" w:before="0"/>
        <w:ind w:left="573" w:right="6473" w:firstLine="2"/>
        <w:jc w:val="left"/>
        <w:rPr>
          <w:rFonts w:ascii="宋体" w:hAnsi="宋体" w:cs="宋体" w:eastAsia="宋体" w:hint="default"/>
          <w:sz w:val="21"/>
          <w:szCs w:val="21"/>
        </w:rPr>
      </w:pPr>
      <w:r>
        <w:rPr>
          <w:rFonts w:ascii="宋体" w:hAnsi="宋体" w:cs="宋体" w:eastAsia="宋体" w:hint="default"/>
          <w:b/>
          <w:bCs/>
          <w:sz w:val="21"/>
          <w:szCs w:val="21"/>
        </w:rPr>
        <w:t>①无形资产的计价方法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按取得时的实际成本入账。</w:t>
      </w:r>
    </w:p>
    <w:p>
      <w:pPr>
        <w:pStyle w:val="Heading3"/>
        <w:spacing w:line="240" w:lineRule="auto" w:before="37"/>
        <w:ind w:left="575" w:right="1133"/>
        <w:jc w:val="left"/>
        <w:rPr>
          <w:b w:val="0"/>
          <w:bCs w:val="0"/>
        </w:rPr>
      </w:pPr>
      <w:r>
        <w:rPr/>
        <w:t>②无形资产使用寿命及摊销</w:t>
      </w:r>
      <w:r>
        <w:rPr>
          <w:b w:val="0"/>
          <w:bCs w:val="0"/>
        </w:rPr>
      </w:r>
    </w:p>
    <w:p>
      <w:pPr>
        <w:pStyle w:val="BodyText"/>
        <w:spacing w:line="240" w:lineRule="auto" w:before="157"/>
        <w:ind w:left="573" w:right="1133"/>
        <w:jc w:val="left"/>
      </w:pPr>
      <w:r>
        <w:rPr>
          <w:rFonts w:ascii="Times New Roman" w:hAnsi="Times New Roman" w:cs="Times New Roman" w:eastAsia="Times New Roman" w:hint="default"/>
        </w:rPr>
        <w:t>A.</w:t>
      </w:r>
      <w:r>
        <w:rPr/>
        <w:t>使用寿命有限的无形资产的使用寿命估计情况：</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35"/>
        <w:gridCol w:w="2302"/>
        <w:gridCol w:w="5103"/>
      </w:tblGrid>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r>
        <w:trPr>
          <w:trHeight w:val="349"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软件及专有技术</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宋体" w:hAnsi="宋体" w:cs="宋体" w:eastAsia="宋体" w:hint="default"/>
                <w:sz w:val="21"/>
                <w:szCs w:val="21"/>
              </w:rPr>
              <w:t>年</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spacing w:line="240" w:lineRule="auto" w:before="6"/>
        <w:rPr>
          <w:rFonts w:ascii="宋体" w:hAnsi="宋体" w:cs="宋体" w:eastAsia="宋体" w:hint="default"/>
          <w:sz w:val="5"/>
          <w:szCs w:val="5"/>
        </w:rPr>
      </w:pPr>
    </w:p>
    <w:p>
      <w:pPr>
        <w:pStyle w:val="BodyText"/>
        <w:spacing w:line="273" w:lineRule="auto" w:before="36"/>
        <w:ind w:right="1126" w:firstLine="420"/>
        <w:jc w:val="both"/>
      </w:pPr>
      <w:r>
        <w:rPr>
          <w:spacing w:val="-2"/>
        </w:rPr>
        <w:t>每年年度终了，公司对使用寿命有限的无形资产的使用寿命及摊销方法进行复核。经复核，本期末无</w:t>
      </w:r>
      <w:r>
        <w:rPr>
          <w:w w:val="100"/>
        </w:rPr>
        <w:t> </w:t>
      </w:r>
      <w:r>
        <w:rPr/>
        <w:t>形资产的使用寿命及摊销方法与以前估计未有不同。</w:t>
      </w:r>
    </w:p>
    <w:p>
      <w:pPr>
        <w:pStyle w:val="BodyText"/>
        <w:spacing w:line="264" w:lineRule="auto" w:before="127"/>
        <w:ind w:right="1126" w:firstLine="420"/>
        <w:jc w:val="both"/>
      </w:pPr>
      <w:r>
        <w:rPr>
          <w:rFonts w:ascii="Times New Roman" w:hAnsi="Times New Roman" w:cs="Times New Roman" w:eastAsia="Times New Roman" w:hint="default"/>
          <w:spacing w:val="-2"/>
        </w:rPr>
        <w:t>B.</w:t>
      </w:r>
      <w:r>
        <w:rPr>
          <w:spacing w:val="-2"/>
        </w:rPr>
        <w:t>无法预见无形资产为企业带来经济利益期限的，视为使用寿命不确定的无形资产。对于使用寿命不</w:t>
      </w:r>
      <w:r>
        <w:rPr>
          <w:w w:val="100"/>
        </w:rPr>
        <w:t> </w:t>
      </w:r>
      <w:r>
        <w:rPr>
          <w:spacing w:val="-2"/>
        </w:rPr>
        <w:t>确定的无形资产，公司在每年年度终了对使用寿命不确定的无形资产的使用寿命进行复核，如果重新复核</w:t>
      </w:r>
      <w:r>
        <w:rPr>
          <w:spacing w:val="-43"/>
        </w:rPr>
        <w:t> </w:t>
      </w:r>
      <w:r>
        <w:rPr>
          <w:spacing w:val="-43"/>
        </w:rPr>
      </w:r>
      <w:r>
        <w:rPr/>
        <w:t>后仍为不确定的，于在资产负债表日进行减值测试。</w:t>
      </w:r>
    </w:p>
    <w:p>
      <w:pPr>
        <w:pStyle w:val="BodyText"/>
        <w:spacing w:line="432" w:lineRule="exact" w:before="36"/>
        <w:ind w:left="573" w:right="1133" w:firstLine="2"/>
        <w:jc w:val="left"/>
      </w:pPr>
      <w:r>
        <w:rPr>
          <w:rFonts w:ascii="宋体" w:hAnsi="宋体" w:cs="宋体" w:eastAsia="宋体" w:hint="default"/>
          <w:b/>
          <w:bCs/>
        </w:rPr>
        <w:t>③无形资产的摊销</w:t>
      </w:r>
      <w:r>
        <w:rPr>
          <w:rFonts w:ascii="宋体" w:hAnsi="宋体" w:cs="宋体" w:eastAsia="宋体" w:hint="default"/>
          <w:b/>
          <w:bCs/>
          <w:w w:val="100"/>
        </w:rPr>
        <w:t> </w:t>
      </w:r>
      <w:r>
        <w:rPr>
          <w:spacing w:val="-2"/>
        </w:rPr>
        <w:t>对于使用寿命有限的无形资产，本公司在取得时判定其使用寿命，在使用寿命内采用直线法系统合理</w:t>
      </w:r>
    </w:p>
    <w:p>
      <w:pPr>
        <w:pStyle w:val="BodyText"/>
        <w:spacing w:line="255" w:lineRule="exact"/>
        <w:ind w:right="0"/>
        <w:jc w:val="left"/>
      </w:pPr>
      <w:r>
        <w:rPr/>
        <w:t>摊销，摊销金额按受益项目计入当期损益。具体应摊销金额为其成本扣除预计残值后的金额。已计提减值</w:t>
      </w:r>
    </w:p>
    <w:p>
      <w:pPr>
        <w:spacing w:after="0" w:line="255" w:lineRule="exact"/>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准备的无形资产，还应扣除已计提的无形资产减值准备累计金额，残值为零。但下列情况除外：有第三方</w:t>
      </w:r>
      <w:r>
        <w:rPr>
          <w:spacing w:val="-47"/>
        </w:rPr>
        <w:t> </w:t>
      </w:r>
      <w:r>
        <w:rPr>
          <w:spacing w:val="-47"/>
        </w:rPr>
      </w:r>
      <w:r>
        <w:rPr>
          <w:spacing w:val="-2"/>
        </w:rPr>
        <w:t>承诺在无形资产使用寿命结束时购买该无形资产或可以根据活跃市场得到预计残值信息，并且该市场在无</w:t>
      </w:r>
      <w:r>
        <w:rPr>
          <w:spacing w:val="-42"/>
        </w:rPr>
        <w:t> </w:t>
      </w:r>
      <w:r>
        <w:rPr>
          <w:spacing w:val="-42"/>
        </w:rPr>
      </w:r>
      <w:r>
        <w:rPr/>
        <w:t>形资产使用寿命结束时很可能存在。</w:t>
      </w:r>
    </w:p>
    <w:p>
      <w:pPr>
        <w:pStyle w:val="BodyText"/>
        <w:spacing w:line="273" w:lineRule="auto" w:before="127"/>
        <w:ind w:right="1126" w:firstLine="420"/>
        <w:jc w:val="both"/>
      </w:pPr>
      <w:r>
        <w:rPr>
          <w:spacing w:val="-2"/>
        </w:rPr>
        <w:t>对使用寿命不确定的无形资产，不予摊销。每年年度终了对使用寿命不确定的无形资产的使用寿命进</w:t>
      </w:r>
      <w:r>
        <w:rPr>
          <w:w w:val="100"/>
        </w:rPr>
        <w:t> </w:t>
      </w:r>
      <w:r>
        <w:rPr>
          <w:spacing w:val="-2"/>
        </w:rPr>
        <w:t>行复核，如果有证据表明无形资产的使用寿命是有限的，估计其使用寿命并在预计使用年限内系统合理摊</w:t>
      </w:r>
      <w:r>
        <w:rPr>
          <w:spacing w:val="-43"/>
        </w:rPr>
        <w:t> </w:t>
      </w:r>
      <w:r>
        <w:rPr>
          <w:spacing w:val="-43"/>
        </w:rPr>
      </w:r>
      <w:r>
        <w:rPr/>
        <w:t>销。</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④划分内部研究开发项目的研究阶段和开发阶段具体标准</w:t>
      </w:r>
      <w:r>
        <w:rPr>
          <w:b w:val="0"/>
          <w:bCs w:val="0"/>
        </w:rPr>
      </w:r>
    </w:p>
    <w:p>
      <w:pPr>
        <w:pStyle w:val="BodyText"/>
        <w:spacing w:line="259" w:lineRule="auto" w:before="157"/>
        <w:ind w:right="1133" w:firstLine="420"/>
        <w:jc w:val="left"/>
      </w:pPr>
      <w:r>
        <w:rPr>
          <w:rFonts w:ascii="Times New Roman" w:hAnsi="Times New Roman" w:cs="Times New Roman" w:eastAsia="Times New Roman" w:hint="default"/>
          <w:spacing w:val="-2"/>
        </w:rPr>
        <w:t>A.</w:t>
      </w:r>
      <w:r>
        <w:rPr>
          <w:spacing w:val="-2"/>
        </w:rPr>
        <w:t>本公司将为进一步开发活动进行的资料及相关方面的准备活动作为研究阶段，无形资产研究阶段的</w:t>
      </w:r>
      <w:r>
        <w:rPr>
          <w:w w:val="100"/>
        </w:rPr>
        <w:t> </w:t>
      </w:r>
      <w:r>
        <w:rPr/>
        <w:t>支出在发生时计入当期损益。</w:t>
      </w:r>
    </w:p>
    <w:p>
      <w:pPr>
        <w:pStyle w:val="BodyText"/>
        <w:spacing w:line="240" w:lineRule="auto" w:before="140"/>
        <w:ind w:left="573" w:right="1133"/>
        <w:jc w:val="left"/>
      </w:pPr>
      <w:r>
        <w:rPr>
          <w:rFonts w:ascii="Times New Roman" w:hAnsi="Times New Roman" w:cs="Times New Roman" w:eastAsia="Times New Roman" w:hint="default"/>
        </w:rPr>
        <w:t>B.</w:t>
      </w:r>
      <w:r>
        <w:rPr/>
        <w:t>在本公司已完成研究阶段的工作后再进行的开发活动作为开发阶段。</w:t>
      </w:r>
    </w:p>
    <w:p>
      <w:pPr>
        <w:pStyle w:val="BodyText"/>
        <w:spacing w:line="369" w:lineRule="auto" w:before="141"/>
        <w:ind w:left="573" w:right="2113" w:firstLine="2"/>
        <w:jc w:val="left"/>
      </w:pPr>
      <w:r>
        <w:rPr>
          <w:rFonts w:ascii="宋体" w:hAnsi="宋体" w:cs="宋体" w:eastAsia="宋体" w:hint="default"/>
          <w:b/>
          <w:bCs/>
        </w:rPr>
        <w:t>⑤开发阶段支出资本化的具体条件</w:t>
      </w:r>
      <w:r>
        <w:rPr>
          <w:rFonts w:ascii="宋体" w:hAnsi="宋体" w:cs="宋体" w:eastAsia="宋体" w:hint="default"/>
          <w:b/>
          <w:bCs/>
          <w:w w:val="100"/>
        </w:rPr>
        <w:t> </w:t>
      </w:r>
      <w:r>
        <w:rPr/>
        <w:t>开发阶段的支出同时满足下列条件时，才能确认为无形资产：</w:t>
      </w:r>
      <w:r>
        <w:rPr>
          <w:w w:val="100"/>
        </w:rPr>
        <w:t> </w:t>
      </w:r>
      <w:r>
        <w:rPr>
          <w:rFonts w:ascii="Times New Roman" w:hAnsi="Times New Roman" w:cs="Times New Roman" w:eastAsia="Times New Roman" w:hint="default"/>
          <w:spacing w:val="-2"/>
        </w:rPr>
        <w:t>A.</w:t>
      </w:r>
      <w:r>
        <w:rPr>
          <w:spacing w:val="-2"/>
        </w:rPr>
        <w:t>完成该无形资产以使其能够使用或出售在技术上具有可行性；</w:t>
      </w:r>
      <w:r>
        <w:rPr>
          <w:spacing w:val="-52"/>
        </w:rPr>
        <w:t> </w:t>
      </w:r>
      <w:r>
        <w:rPr>
          <w:spacing w:val="-52"/>
        </w:rPr>
      </w:r>
      <w:r>
        <w:rPr>
          <w:rFonts w:ascii="Times New Roman" w:hAnsi="Times New Roman" w:cs="Times New Roman" w:eastAsia="Times New Roman" w:hint="default"/>
        </w:rPr>
        <w:t>B.</w:t>
      </w:r>
      <w:r>
        <w:rPr/>
        <w:t>具有完成该无形资产并使用或出售的意图；</w:t>
      </w:r>
    </w:p>
    <w:p>
      <w:pPr>
        <w:pStyle w:val="BodyText"/>
        <w:spacing w:line="256" w:lineRule="auto" w:before="15"/>
        <w:ind w:right="1133" w:firstLine="420"/>
        <w:jc w:val="left"/>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256" w:lineRule="auto" w:before="142"/>
        <w:ind w:right="1133" w:firstLine="420"/>
        <w:jc w:val="left"/>
      </w:pPr>
      <w:r>
        <w:rPr>
          <w:rFonts w:ascii="Times New Roman" w:hAnsi="Times New Roman" w:cs="Times New Roman" w:eastAsia="Times New Roman" w:hint="default"/>
          <w:spacing w:val="-2"/>
        </w:rPr>
        <w:t>D.</w:t>
      </w:r>
      <w:r>
        <w:rPr>
          <w:spacing w:val="-2"/>
        </w:rPr>
        <w:t>有足够的技术、财务资源和其他资源支持，以完成该无形资产的开发，并有能力使用或出售该无形</w:t>
      </w:r>
      <w:r>
        <w:rPr>
          <w:w w:val="100"/>
        </w:rPr>
        <w:t> </w:t>
      </w:r>
      <w:r>
        <w:rPr/>
        <w:t>资产；</w:t>
      </w:r>
    </w:p>
    <w:p>
      <w:pPr>
        <w:pStyle w:val="BodyText"/>
        <w:spacing w:line="240" w:lineRule="auto" w:before="142"/>
        <w:ind w:left="573" w:right="1133"/>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本公司在资产负债表日对长期股权投资进行逐项检查，根据被投资单位经营政策、法律环境、市场需</w:t>
      </w:r>
    </w:p>
    <w:p>
      <w:pPr>
        <w:pStyle w:val="BodyText"/>
        <w:spacing w:line="209" w:lineRule="exact"/>
        <w:ind w:right="0"/>
        <w:jc w:val="both"/>
      </w:pPr>
      <w:r>
        <w:rPr/>
        <w:t>求、行业及盈利能力等的各种变化判断长期股权投资是否存在减值迹象。当长期股权投资可收回金额低于</w:t>
      </w:r>
    </w:p>
    <w:p>
      <w:pPr>
        <w:pStyle w:val="BodyText"/>
        <w:spacing w:line="273" w:lineRule="auto" w:before="37"/>
        <w:ind w:right="1126"/>
        <w:jc w:val="both"/>
      </w:pPr>
      <w:r>
        <w:rPr>
          <w:spacing w:val="-2"/>
        </w:rPr>
        <w:t>账面价值时，将可收回金额低于长期股权投资账面价值的差额作为长期股权投资减值准备予以计提。资产</w:t>
      </w:r>
      <w:r>
        <w:rPr>
          <w:spacing w:val="-43"/>
        </w:rPr>
        <w:t> </w:t>
      </w:r>
      <w:r>
        <w:rPr>
          <w:spacing w:val="-43"/>
        </w:rPr>
      </w:r>
      <w:r>
        <w:rPr/>
        <w:t>减值损失一经确认，在以后会计期间不再转回。</w:t>
      </w:r>
    </w:p>
    <w:p>
      <w:pPr>
        <w:spacing w:line="357" w:lineRule="auto" w:before="128"/>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）固定资产的减值测试方法及会计处理方法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本公司在资产负债表日对各项固定资产进行判断，当存在减值迹象，估计可收回金额低于其账面价值</w:t>
      </w:r>
    </w:p>
    <w:p>
      <w:pPr>
        <w:pStyle w:val="BodyText"/>
        <w:spacing w:line="209" w:lineRule="exact"/>
        <w:ind w:right="0"/>
        <w:jc w:val="both"/>
      </w:pPr>
      <w:r>
        <w:rPr/>
        <w:t>时，账面价值减记至可收回金额，减记的金额确认为资产减值损失，计入当期损益，同时计提相应的资产</w:t>
      </w:r>
    </w:p>
    <w:p>
      <w:pPr>
        <w:pStyle w:val="BodyText"/>
        <w:spacing w:line="273" w:lineRule="auto" w:before="37"/>
        <w:ind w:right="1131"/>
        <w:jc w:val="both"/>
      </w:pPr>
      <w:r>
        <w:rPr>
          <w:spacing w:val="-2"/>
        </w:rPr>
        <w:t>减值准备。资产减值损失一经确认，在以后会计期间不再转回。当存在下列迹象的，按固定资产单项项目</w:t>
      </w:r>
      <w:r>
        <w:rPr>
          <w:spacing w:val="-50"/>
        </w:rPr>
        <w:t> </w:t>
      </w:r>
      <w:r>
        <w:rPr>
          <w:spacing w:val="-50"/>
        </w:rPr>
      </w:r>
      <w:r>
        <w:rPr/>
        <w:t>全额计提减值准备：</w:t>
      </w:r>
    </w:p>
    <w:p>
      <w:pPr>
        <w:pStyle w:val="BodyText"/>
        <w:spacing w:line="240" w:lineRule="auto" w:before="127"/>
        <w:ind w:left="573" w:right="1133"/>
        <w:jc w:val="left"/>
      </w:pPr>
      <w:r>
        <w:rPr/>
        <w:t>①长期闲置不用，在可预见的未来不会再使用，且已无转让价值的固定资产；</w:t>
      </w:r>
    </w:p>
    <w:p>
      <w:pPr>
        <w:pStyle w:val="BodyText"/>
        <w:spacing w:line="240" w:lineRule="auto" w:before="157"/>
        <w:ind w:left="573" w:right="1133"/>
        <w:jc w:val="left"/>
      </w:pPr>
      <w:r>
        <w:rPr/>
        <w:t>②由于技术进步等原因，已不可使用的固定资产；</w:t>
      </w:r>
    </w:p>
    <w:p>
      <w:pPr>
        <w:pStyle w:val="BodyText"/>
        <w:spacing w:line="240" w:lineRule="auto" w:before="157"/>
        <w:ind w:left="573" w:right="1133"/>
        <w:jc w:val="left"/>
      </w:pPr>
      <w:r>
        <w:rPr/>
        <w:t>③虽然固定资产尚可使用，但使用后产生大量不合格品的固定资产；</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④已遭毁损，以至于不再具有使用价值和转让价值的固定资产；</w:t>
      </w:r>
    </w:p>
    <w:p>
      <w:pPr>
        <w:pStyle w:val="BodyText"/>
        <w:spacing w:line="240" w:lineRule="auto" w:before="157"/>
        <w:ind w:left="573" w:right="1133"/>
        <w:jc w:val="left"/>
      </w:pPr>
      <w:r>
        <w:rPr/>
        <w:t>⑤其他实质上已经不能再给公司带来经济利益的固定资产。</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本公司于资产负债表日对在建工程进行全面检查，如果有证据表明在建工程已经发生了减值，估计可</w:t>
      </w:r>
    </w:p>
    <w:p>
      <w:pPr>
        <w:pStyle w:val="BodyText"/>
        <w:spacing w:line="209" w:lineRule="exact"/>
        <w:ind w:right="0"/>
        <w:jc w:val="left"/>
      </w:pPr>
      <w:r>
        <w:rPr/>
        <w:t>收回金额低于其账面价值时，账面价值减记至可收回金额，减记的金额确认为资产减值损失，计入当期损</w:t>
      </w:r>
    </w:p>
    <w:p>
      <w:pPr>
        <w:pStyle w:val="BodyText"/>
        <w:spacing w:line="273" w:lineRule="auto" w:before="37"/>
        <w:ind w:right="1133"/>
        <w:jc w:val="left"/>
      </w:pPr>
      <w:r>
        <w:rPr>
          <w:spacing w:val="-2"/>
        </w:rPr>
        <w:t>益，同时计提相应的资产减值准备。资产减值损失一经确认，在以后会计期间不再转回。存在下列一项或</w:t>
      </w:r>
      <w:r>
        <w:rPr>
          <w:spacing w:val="-50"/>
        </w:rPr>
        <w:t> </w:t>
      </w:r>
      <w:r>
        <w:rPr>
          <w:spacing w:val="-50"/>
        </w:rPr>
      </w:r>
      <w:r>
        <w:rPr/>
        <w:t>若干项情况的，对在建工程进行减值测试：</w:t>
      </w:r>
    </w:p>
    <w:p>
      <w:pPr>
        <w:pStyle w:val="BodyText"/>
        <w:spacing w:line="240" w:lineRule="auto" w:before="127"/>
        <w:ind w:left="573" w:right="1133"/>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141"/>
        <w:ind w:left="573" w:right="0"/>
        <w:jc w:val="left"/>
      </w:pPr>
      <w:r>
        <w:rPr>
          <w:spacing w:val="-5"/>
        </w:rPr>
        <w:t>②所建项目无论在性能上，还是在技术上已经落后，并且给企业带来的经济利益具有很大的不确定性；</w:t>
      </w:r>
    </w:p>
    <w:p>
      <w:pPr>
        <w:pStyle w:val="BodyText"/>
        <w:spacing w:line="240" w:lineRule="auto" w:before="157"/>
        <w:ind w:left="573" w:right="1133"/>
        <w:jc w:val="left"/>
      </w:pPr>
      <w:r>
        <w:rPr/>
        <w:t>③其他足以证明在建工程已经发生减值的情形。</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当无形资产的可收回金额低于其账面价值时，将资产的账面价值减记至可收回金额，减记的金额确认</w:t>
      </w:r>
    </w:p>
    <w:p>
      <w:pPr>
        <w:pStyle w:val="BodyText"/>
        <w:spacing w:line="209" w:lineRule="exact"/>
        <w:ind w:right="0"/>
        <w:jc w:val="left"/>
      </w:pPr>
      <w:r>
        <w:rPr/>
        <w:t>为资产减值损失，计入当期损益，同时计提相应的无形资产减值准备。无形资产减值损失一经确认，在以</w:t>
      </w:r>
    </w:p>
    <w:p>
      <w:pPr>
        <w:pStyle w:val="BodyText"/>
        <w:spacing w:line="240" w:lineRule="auto" w:before="37"/>
        <w:ind w:right="1133"/>
        <w:jc w:val="left"/>
      </w:pPr>
      <w:r>
        <w:rPr/>
        <w:t>后会计期间不再转回。存在下列一项或多项以下情况的，对无形资产进行减值测试：</w:t>
      </w:r>
    </w:p>
    <w:p>
      <w:pPr>
        <w:pStyle w:val="BodyText"/>
        <w:spacing w:line="240" w:lineRule="auto" w:before="157"/>
        <w:ind w:left="573" w:right="1133"/>
        <w:jc w:val="left"/>
      </w:pPr>
      <w:r>
        <w:rPr/>
        <w:t>①该无形资产已被其他新技术等所替代，使其为企业创造经济利益的能力受到重大不利影响；</w:t>
      </w:r>
    </w:p>
    <w:p>
      <w:pPr>
        <w:pStyle w:val="BodyText"/>
        <w:spacing w:line="240" w:lineRule="auto" w:before="157"/>
        <w:ind w:left="573" w:right="1133"/>
        <w:jc w:val="left"/>
      </w:pPr>
      <w:r>
        <w:rPr/>
        <w:t>②该无形资产的市价在当期大幅下跌，并在剩余年限内可能不会回升；</w:t>
      </w:r>
    </w:p>
    <w:p>
      <w:pPr>
        <w:pStyle w:val="BodyText"/>
        <w:spacing w:line="240" w:lineRule="auto" w:before="157"/>
        <w:ind w:left="573" w:right="1133"/>
        <w:jc w:val="left"/>
      </w:pPr>
      <w:r>
        <w:rPr/>
        <w:t>③其他足以表明该无形资产的账面价值已超过可收回金额的情况。</w:t>
      </w:r>
    </w:p>
    <w:p>
      <w:pPr>
        <w:pStyle w:val="BodyText"/>
        <w:spacing w:line="357" w:lineRule="auto" w:before="15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）商誉减值测试</w:t>
      </w:r>
      <w:r>
        <w:rPr>
          <w:rFonts w:ascii="宋体" w:hAnsi="宋体" w:cs="宋体" w:eastAsia="宋体" w:hint="default"/>
          <w:b/>
          <w:bCs/>
          <w:w w:val="100"/>
        </w:rPr>
        <w:t> </w:t>
      </w:r>
      <w:r>
        <w:rPr>
          <w:spacing w:val="-2"/>
        </w:rPr>
        <w:t>企业合并形成的商誉，至少在每年年度终了进行减值测试。本公司在对包含商誉的相关资产组或者资</w:t>
      </w:r>
    </w:p>
    <w:p>
      <w:pPr>
        <w:pStyle w:val="BodyText"/>
        <w:spacing w:line="209" w:lineRule="exact"/>
        <w:ind w:right="1133"/>
        <w:jc w:val="left"/>
      </w:pPr>
      <w:r>
        <w:rPr/>
        <w:t>产组组合进行减值测试时，如与商誉相关的资产组或者资产组组合存在减值迹象的，按以下步骤处理：</w:t>
      </w:r>
    </w:p>
    <w:p>
      <w:pPr>
        <w:pStyle w:val="BodyText"/>
        <w:spacing w:line="273" w:lineRule="auto" w:before="157"/>
        <w:ind w:right="1126" w:firstLine="420"/>
        <w:jc w:val="both"/>
      </w:pPr>
      <w:r>
        <w:rPr>
          <w:spacing w:val="-2"/>
        </w:rPr>
        <w:t>首先对不包含商誉的资产组或者资产组组合进行减值测试，计算可收回金额，并与相关资产账面价值</w:t>
      </w:r>
      <w:r>
        <w:rPr>
          <w:w w:val="100"/>
        </w:rPr>
        <w:t> </w:t>
      </w:r>
      <w:r>
        <w:rPr>
          <w:spacing w:val="-2"/>
        </w:rPr>
        <w:t>比较，确认相应的减值损失；然后再对包含商誉的资产组或者资产组这组合进行减值测试，比较这些相关</w:t>
      </w:r>
      <w:r>
        <w:rPr>
          <w:spacing w:val="-44"/>
        </w:rPr>
        <w:t> </w:t>
      </w:r>
      <w:r>
        <w:rPr>
          <w:spacing w:val="-44"/>
        </w:rPr>
      </w:r>
      <w:r>
        <w:rPr>
          <w:spacing w:val="-2"/>
        </w:rPr>
        <w:t>资产组或者资产组组合的账面价值（包括所分摊的商誉的账面价值部分）与其可收回金额，如相关资产组</w:t>
      </w:r>
      <w:r>
        <w:rPr>
          <w:spacing w:val="-44"/>
        </w:rPr>
        <w:t> </w:t>
      </w:r>
      <w:r>
        <w:rPr>
          <w:spacing w:val="-44"/>
        </w:rPr>
      </w:r>
      <w:r>
        <w:rPr>
          <w:spacing w:val="-2"/>
        </w:rPr>
        <w:t>或者资产组组合的可收回金额低于其账面价值的，就其差额确认减值损失。减值损失金额首先抵减分摊至</w:t>
      </w:r>
      <w:r>
        <w:rPr>
          <w:spacing w:val="-42"/>
        </w:rPr>
        <w:t> </w:t>
      </w:r>
      <w:r>
        <w:rPr>
          <w:spacing w:val="-42"/>
        </w:rPr>
      </w:r>
      <w:r>
        <w:rPr>
          <w:spacing w:val="-2"/>
        </w:rPr>
        <w:t>资产组或者资产组组合中商誉的账面价值；再根据资产组或者资产组组合中除商誉之外的其他各项资产的</w:t>
      </w:r>
      <w:r>
        <w:rPr>
          <w:spacing w:val="-43"/>
        </w:rPr>
        <w:t> </w:t>
      </w:r>
      <w:r>
        <w:rPr>
          <w:spacing w:val="-43"/>
        </w:rPr>
      </w:r>
      <w:r>
        <w:rPr/>
        <w:t>账面价值所占比重，按比例抵减其他各项资产的账面价值。</w:t>
      </w:r>
    </w:p>
    <w:p>
      <w:pPr>
        <w:spacing w:line="240" w:lineRule="auto" w:before="7"/>
        <w:rPr>
          <w:rFonts w:ascii="宋体" w:hAnsi="宋体" w:cs="宋体" w:eastAsia="宋体" w:hint="default"/>
          <w:sz w:val="23"/>
          <w:szCs w:val="23"/>
        </w:rPr>
      </w:pPr>
    </w:p>
    <w:p>
      <w:pPr>
        <w:pStyle w:val="BodyText"/>
        <w:spacing w:line="508" w:lineRule="auto"/>
        <w:ind w:left="633" w:right="1133" w:hanging="480"/>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长期待摊费用核算本公司已经发生但应由本期和以后各期负担的分摊期限在一年以上的各项费用。</w:t>
      </w:r>
    </w:p>
    <w:p>
      <w:pPr>
        <w:pStyle w:val="Heading3"/>
        <w:spacing w:line="240" w:lineRule="auto" w:before="102"/>
        <w:ind w:right="1133"/>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30" w:lineRule="atLeast" w:before="168"/>
        <w:ind w:left="573" w:right="1133"/>
        <w:jc w:val="left"/>
      </w:pPr>
      <w:r>
        <w:rPr/>
        <w:t>①职工基本薪酬（工资、奖金、津贴、补贴）</w:t>
      </w:r>
      <w:r>
        <w:rPr>
          <w:w w:val="100"/>
        </w:rPr>
        <w:t> </w:t>
      </w:r>
      <w:r>
        <w:rPr>
          <w:spacing w:val="-2"/>
        </w:rPr>
        <w:t>本公司在职工为其提供服务的会计期间，将实际发生的短期薪酬确认为负债，并计入当期损益，其他</w:t>
      </w:r>
    </w:p>
    <w:p>
      <w:pPr>
        <w:pStyle w:val="BodyText"/>
        <w:spacing w:line="240" w:lineRule="auto" w:before="37"/>
        <w:ind w:right="1133"/>
        <w:jc w:val="left"/>
      </w:pPr>
      <w:r>
        <w:rPr/>
        <w:t>会计准则要求或允许计入资产成本的除外。</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②职工福利费</w:t>
      </w:r>
    </w:p>
    <w:p>
      <w:pPr>
        <w:pStyle w:val="BodyText"/>
        <w:spacing w:line="273" w:lineRule="auto" w:before="157"/>
        <w:ind w:right="1126" w:firstLine="420"/>
        <w:jc w:val="both"/>
      </w:pPr>
      <w:r>
        <w:rPr>
          <w:spacing w:val="-2"/>
        </w:rPr>
        <w:t>本公司发生的职工福利费，在实际发生时根据实际发生额计入当期损益或相关资产成本。职工福利费</w:t>
      </w:r>
      <w:r>
        <w:rPr>
          <w:w w:val="100"/>
        </w:rPr>
        <w:t> </w:t>
      </w:r>
      <w:r>
        <w:rPr/>
        <w:t>为非货币性福利的，按照公允价值计量。</w:t>
      </w:r>
    </w:p>
    <w:p>
      <w:pPr>
        <w:pStyle w:val="BodyText"/>
        <w:spacing w:line="240" w:lineRule="auto" w:before="127"/>
        <w:ind w:left="0" w:right="1126"/>
        <w:jc w:val="right"/>
      </w:pPr>
      <w:r>
        <w:rPr>
          <w:spacing w:val="-2"/>
        </w:rPr>
        <w:t>③医疗保险费、工伤保险费、生育保险费等社会保险费和住房公积金，以及工会经费和职工教育经费</w:t>
      </w:r>
    </w:p>
    <w:p>
      <w:pPr>
        <w:pStyle w:val="BodyText"/>
        <w:spacing w:line="273" w:lineRule="auto" w:before="157"/>
        <w:ind w:right="1126" w:firstLine="420"/>
        <w:jc w:val="both"/>
      </w:pPr>
      <w:r>
        <w:rPr>
          <w:spacing w:val="-2"/>
        </w:rPr>
        <w:t>本公司为职工缴纳的医疗保险费、工伤保险费、生育保险费等社会保险费和住房公积金，以及按规定</w:t>
      </w:r>
      <w:r>
        <w:rPr>
          <w:w w:val="100"/>
        </w:rPr>
        <w:t> </w:t>
      </w:r>
      <w:r>
        <w:rPr>
          <w:spacing w:val="-2"/>
        </w:rPr>
        <w:t>提取的工会经费和职工教育经费，在职工为其提供服务的会计期间，根据规定的计提基础和计提比例计算</w:t>
      </w:r>
      <w:r>
        <w:rPr>
          <w:spacing w:val="-44"/>
        </w:rPr>
        <w:t> </w:t>
      </w:r>
      <w:r>
        <w:rPr>
          <w:spacing w:val="-44"/>
        </w:rPr>
      </w:r>
      <w:r>
        <w:rPr/>
        <w:t>确定相应的职工薪酬金额，并确认相应负债，计入当期损益或相关资产成本。</w:t>
      </w:r>
    </w:p>
    <w:p>
      <w:pPr>
        <w:pStyle w:val="BodyText"/>
        <w:spacing w:line="432" w:lineRule="exact" w:before="27"/>
        <w:ind w:left="573" w:right="1133"/>
        <w:jc w:val="left"/>
      </w:pPr>
      <w:r>
        <w:rPr/>
        <w:t>④短期带薪缺勤</w:t>
      </w:r>
      <w:r>
        <w:rPr>
          <w:spacing w:val="-103"/>
        </w:rPr>
        <w:t> </w:t>
      </w:r>
      <w:r>
        <w:rPr>
          <w:spacing w:val="-103"/>
        </w:rPr>
      </w:r>
      <w:r>
        <w:rPr>
          <w:spacing w:val="-2"/>
        </w:rPr>
        <w:t>本公司在职工提供服务从而增加了其未来享有的带薪缺勤权利时，确认与累积带薪缺勤相关的职工薪</w:t>
      </w:r>
    </w:p>
    <w:p>
      <w:pPr>
        <w:pStyle w:val="BodyText"/>
        <w:spacing w:line="255" w:lineRule="exact"/>
        <w:ind w:right="0"/>
        <w:jc w:val="left"/>
      </w:pPr>
      <w:r>
        <w:rPr/>
        <w:t>酬，并以累积未行使权利而增加的预期支付金额计量。本公司在职工实际发生缺勤的会计期间确认与非累</w:t>
      </w:r>
    </w:p>
    <w:p>
      <w:pPr>
        <w:pStyle w:val="BodyText"/>
        <w:spacing w:line="240" w:lineRule="auto" w:before="37"/>
        <w:ind w:right="1133"/>
        <w:jc w:val="left"/>
      </w:pPr>
      <w:r>
        <w:rPr/>
        <w:t>积带薪缺勤相关的职工薪酬。</w:t>
      </w:r>
    </w:p>
    <w:p>
      <w:pPr>
        <w:pStyle w:val="BodyText"/>
        <w:spacing w:line="369" w:lineRule="auto" w:before="157"/>
        <w:ind w:left="573" w:right="2113"/>
        <w:jc w:val="left"/>
      </w:pPr>
      <w:r>
        <w:rPr/>
        <w:t>⑤短期利润分享计划</w:t>
      </w:r>
      <w:r>
        <w:rPr>
          <w:w w:val="100"/>
        </w:rPr>
        <w:t> </w:t>
      </w:r>
      <w:r>
        <w:rPr>
          <w:spacing w:val="-2"/>
        </w:rPr>
        <w:t>利润分享计划同时满足下列条件的，本公司确认相关的应付职工薪酬：</w:t>
      </w:r>
      <w:r>
        <w:rPr>
          <w:spacing w:val="-45"/>
        </w:rPr>
        <w:t> </w:t>
      </w:r>
      <w:r>
        <w:rPr>
          <w:spacing w:val="-45"/>
        </w:rPr>
      </w:r>
      <w:r>
        <w:rPr>
          <w:rFonts w:ascii="Times New Roman" w:hAnsi="Times New Roman" w:cs="Times New Roman" w:eastAsia="Times New Roman" w:hint="default"/>
          <w:spacing w:val="-2"/>
        </w:rPr>
        <w:t>A.</w:t>
      </w:r>
      <w:r>
        <w:rPr>
          <w:spacing w:val="-2"/>
        </w:rPr>
        <w:t>企业因过去事项导致现在具有支付职工薪酬的法定义务或推定义务；</w:t>
      </w:r>
      <w:r>
        <w:rPr>
          <w:spacing w:val="-45"/>
        </w:rPr>
        <w:t> </w:t>
      </w:r>
      <w:r>
        <w:rPr>
          <w:spacing w:val="-45"/>
        </w:rPr>
      </w:r>
      <w:r>
        <w:rPr>
          <w:rFonts w:ascii="Times New Roman" w:hAnsi="Times New Roman" w:cs="Times New Roman" w:eastAsia="Times New Roman" w:hint="default"/>
        </w:rPr>
        <w:t>B.</w:t>
      </w:r>
      <w:r>
        <w:rPr/>
        <w:t>因利润分享计划所产生的应付职工薪酬义务金额能够可靠估计。</w:t>
      </w:r>
    </w:p>
    <w:p>
      <w:pPr>
        <w:pStyle w:val="Heading3"/>
        <w:spacing w:line="240" w:lineRule="auto" w:before="195"/>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68"/>
        <w:ind w:left="573" w:right="1133"/>
        <w:jc w:val="left"/>
      </w:pPr>
      <w:r>
        <w:rPr/>
        <w:t>①设定提存计划</w:t>
      </w:r>
      <w:r>
        <w:rPr>
          <w:spacing w:val="-103"/>
        </w:rPr>
        <w:t> </w:t>
      </w:r>
      <w:r>
        <w:rPr>
          <w:spacing w:val="-103"/>
        </w:rPr>
      </w:r>
      <w:r>
        <w:rPr>
          <w:spacing w:val="-2"/>
        </w:rPr>
        <w:t>本公司在职工为其提供服务的会计期间，将根据设定提存计划计算的应缴存金额确认为负债，并计入</w:t>
      </w:r>
    </w:p>
    <w:p>
      <w:pPr>
        <w:pStyle w:val="BodyText"/>
        <w:spacing w:line="240" w:lineRule="auto" w:before="37"/>
        <w:ind w:right="1133"/>
        <w:jc w:val="left"/>
      </w:pPr>
      <w:r>
        <w:rPr/>
        <w:t>当期损益或相关资产成本。</w:t>
      </w:r>
    </w:p>
    <w:p>
      <w:pPr>
        <w:pStyle w:val="BodyText"/>
        <w:spacing w:line="273" w:lineRule="auto" w:before="157"/>
        <w:ind w:right="1126" w:firstLine="420"/>
        <w:jc w:val="both"/>
      </w:pPr>
      <w:r>
        <w:rPr>
          <w:spacing w:val="-2"/>
        </w:rPr>
        <w:t>根据设定提存计划，预期不会在职工提供相关服务的年度报告期结束后十二个月内支付全部应缴存金</w:t>
      </w:r>
      <w:r>
        <w:rPr>
          <w:w w:val="100"/>
        </w:rPr>
        <w:t> </w:t>
      </w:r>
      <w:r>
        <w:rPr>
          <w:spacing w:val="-2"/>
        </w:rPr>
        <w:t>额的，本公司参照相应的折现率（根据资产负债表日与设定受益计划义务期限和币种相匹配的国债或活跃</w:t>
      </w:r>
      <w:r>
        <w:rPr>
          <w:spacing w:val="-42"/>
        </w:rPr>
        <w:t> </w:t>
      </w:r>
      <w:r>
        <w:rPr>
          <w:spacing w:val="-42"/>
        </w:rPr>
      </w:r>
      <w:r>
        <w:rPr/>
        <w:t>市场上的高质量公司债券的市场收益率确定），将全部应缴存金额以折现后的金额计量应付职工薪酬。</w:t>
      </w:r>
    </w:p>
    <w:p>
      <w:pPr>
        <w:pStyle w:val="BodyText"/>
        <w:spacing w:line="240" w:lineRule="auto" w:before="127"/>
        <w:ind w:left="573" w:right="1133"/>
        <w:jc w:val="left"/>
      </w:pPr>
      <w:r>
        <w:rPr/>
        <w:t>②设定受益计划</w:t>
      </w:r>
    </w:p>
    <w:p>
      <w:pPr>
        <w:pStyle w:val="BodyText"/>
        <w:spacing w:line="357" w:lineRule="auto" w:before="157"/>
        <w:ind w:left="573" w:right="1133"/>
        <w:jc w:val="left"/>
      </w:pPr>
      <w:r>
        <w:rPr>
          <w:rFonts w:ascii="Times New Roman" w:hAnsi="Times New Roman" w:cs="Times New Roman" w:eastAsia="Times New Roman" w:hint="default"/>
        </w:rPr>
        <w:t>A</w:t>
      </w:r>
      <w:r>
        <w:rPr/>
        <w:t>．确定设定受益计划义务的现值和当期服务成本</w:t>
      </w:r>
      <w:r>
        <w:rPr>
          <w:w w:val="100"/>
        </w:rPr>
        <w:t> </w:t>
      </w:r>
      <w:r>
        <w:rPr>
          <w:spacing w:val="-2"/>
        </w:rPr>
        <w:t>根据预期累计福利单位法，采用无偏且相互一致的精算假设对有关人口统计变量和财务变量等做出估</w:t>
      </w:r>
    </w:p>
    <w:p>
      <w:pPr>
        <w:pStyle w:val="BodyText"/>
        <w:spacing w:line="209" w:lineRule="exact"/>
        <w:ind w:right="1133"/>
        <w:jc w:val="left"/>
      </w:pPr>
      <w:r>
        <w:rPr>
          <w:spacing w:val="-3"/>
        </w:rPr>
        <w:t>计，计量设定受益计划所产生的义务，并确定相关义务的归属期间。本公司按照相应的折现率（根据资产</w:t>
      </w:r>
    </w:p>
    <w:p>
      <w:pPr>
        <w:pStyle w:val="BodyText"/>
        <w:spacing w:line="273" w:lineRule="auto" w:before="37"/>
        <w:ind w:right="1133"/>
        <w:jc w:val="left"/>
      </w:pPr>
      <w:r>
        <w:rPr>
          <w:spacing w:val="2"/>
        </w:rPr>
        <w:t>负债表日与设定受益计划义务期限和币种相匹配的国债或活跃市场上的高质量公司债券的市场收益率确</w:t>
      </w:r>
      <w:r>
        <w:rPr>
          <w:spacing w:val="-30"/>
        </w:rPr>
        <w:t> </w:t>
      </w:r>
      <w:r>
        <w:rPr>
          <w:spacing w:val="-30"/>
        </w:rPr>
      </w:r>
      <w:r>
        <w:rPr/>
        <w:t>定）将设定受益计划所产生的义务予以折现，以确定设定受益计划义务的现值和当期服务成本。</w:t>
      </w:r>
    </w:p>
    <w:p>
      <w:pPr>
        <w:pStyle w:val="BodyText"/>
        <w:spacing w:line="357" w:lineRule="auto" w:before="127"/>
        <w:ind w:left="573" w:right="1133"/>
        <w:jc w:val="left"/>
      </w:pPr>
      <w:r>
        <w:rPr>
          <w:rFonts w:ascii="Times New Roman" w:hAnsi="Times New Roman" w:cs="Times New Roman" w:eastAsia="Times New Roman" w:hint="default"/>
        </w:rPr>
        <w:t>B.</w:t>
      </w:r>
      <w:r>
        <w:rPr/>
        <w:t>确认设定受益计划净负债或净资产</w:t>
      </w:r>
      <w:r>
        <w:rPr>
          <w:w w:val="100"/>
        </w:rPr>
        <w:t> </w:t>
      </w:r>
      <w:r>
        <w:rPr>
          <w:spacing w:val="-2"/>
        </w:rPr>
        <w:t>设定受益计划存在资产的，本公司将设定受益计划义务现值减去设定受益计划资产公允价值所形成的</w:t>
      </w:r>
    </w:p>
    <w:p>
      <w:pPr>
        <w:pStyle w:val="BodyText"/>
        <w:spacing w:line="209" w:lineRule="exact"/>
        <w:ind w:right="1133"/>
        <w:jc w:val="left"/>
      </w:pPr>
      <w:r>
        <w:rPr/>
        <w:t>赤字或盈余确认为一项设定受益计划净负债或净资产。</w:t>
      </w:r>
    </w:p>
    <w:p>
      <w:pPr>
        <w:pStyle w:val="BodyText"/>
        <w:spacing w:line="273" w:lineRule="auto" w:before="157"/>
        <w:ind w:right="1126" w:firstLine="420"/>
        <w:jc w:val="both"/>
      </w:pPr>
      <w:r>
        <w:rPr>
          <w:spacing w:val="-2"/>
        </w:rPr>
        <w:t>设定受益计划存在盈余的，本公司以设定受益计划的盈余和资产上限两项的孰低者计量设定受益计划</w:t>
      </w:r>
      <w:r>
        <w:rPr>
          <w:w w:val="100"/>
        </w:rPr>
        <w:t> </w:t>
      </w:r>
      <w:r>
        <w:rPr/>
        <w:t>净资产。</w:t>
      </w:r>
    </w:p>
    <w:p>
      <w:pPr>
        <w:pStyle w:val="BodyText"/>
        <w:spacing w:line="355" w:lineRule="auto" w:before="127"/>
        <w:ind w:left="573" w:right="1133"/>
        <w:jc w:val="left"/>
      </w:pPr>
      <w:r>
        <w:rPr>
          <w:rFonts w:ascii="Times New Roman" w:hAnsi="Times New Roman" w:cs="Times New Roman" w:eastAsia="Times New Roman" w:hint="default"/>
        </w:rPr>
        <w:t>C.</w:t>
      </w:r>
      <w:r>
        <w:rPr/>
        <w:t>确定应计入资产成本或当期损益的金额</w:t>
      </w:r>
      <w:r>
        <w:rPr>
          <w:w w:val="100"/>
        </w:rPr>
        <w:t> </w:t>
      </w:r>
      <w:r>
        <w:rPr>
          <w:spacing w:val="-2"/>
        </w:rPr>
        <w:t>服务成本，包括当期服务成本、过去服务成本和结算利得或损失。其中，除了其他会计准则要求或允</w:t>
      </w:r>
    </w:p>
    <w:p>
      <w:pPr>
        <w:spacing w:after="0" w:line="355"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许计入资产成本的当期服务成本之外，其他服务成本均计入当期损益。</w:t>
      </w:r>
    </w:p>
    <w:p>
      <w:pPr>
        <w:pStyle w:val="BodyText"/>
        <w:spacing w:line="273" w:lineRule="auto" w:before="157"/>
        <w:ind w:right="1133" w:firstLine="420"/>
        <w:jc w:val="left"/>
      </w:pPr>
      <w:r>
        <w:rPr>
          <w:spacing w:val="-2"/>
        </w:rPr>
        <w:t>设定受益计划净负债或净资产的利息净额，包括计划资产的利息收益、设定受益计划义务的利息费用</w:t>
      </w:r>
      <w:r>
        <w:rPr>
          <w:w w:val="100"/>
        </w:rPr>
        <w:t> </w:t>
      </w:r>
      <w:r>
        <w:rPr/>
        <w:t>以及资产上限影响的利息，均计入当期损益。</w:t>
      </w:r>
    </w:p>
    <w:p>
      <w:pPr>
        <w:pStyle w:val="BodyText"/>
        <w:spacing w:line="357" w:lineRule="auto" w:before="127"/>
        <w:ind w:left="573" w:right="2113"/>
        <w:jc w:val="left"/>
      </w:pPr>
      <w:r>
        <w:rPr>
          <w:rFonts w:ascii="Times New Roman" w:hAnsi="Times New Roman" w:cs="Times New Roman" w:eastAsia="Times New Roman" w:hint="default"/>
        </w:rPr>
        <w:t>D.</w:t>
      </w:r>
      <w:r>
        <w:rPr/>
        <w:t>确定应计入其他综合收益的金额</w:t>
      </w:r>
      <w:r>
        <w:rPr>
          <w:w w:val="100"/>
        </w:rPr>
        <w:t> </w:t>
      </w:r>
      <w:r>
        <w:rPr>
          <w:spacing w:val="-2"/>
        </w:rPr>
        <w:t>重新计量设定受益计划净负债或净资产所产生的变动，包括：</w:t>
      </w:r>
    </w:p>
    <w:p>
      <w:pPr>
        <w:pStyle w:val="BodyText"/>
        <w:spacing w:line="256" w:lineRule="auto" w:before="54"/>
        <w:ind w:right="1133" w:firstLine="42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w:t>
      </w:r>
      <w:r>
        <w:rPr>
          <w:w w:val="100"/>
        </w:rPr>
        <w:t> </w:t>
      </w:r>
      <w:r>
        <w:rPr/>
        <w:t>或减少；</w:t>
      </w:r>
    </w:p>
    <w:p>
      <w:pPr>
        <w:pStyle w:val="BodyText"/>
        <w:spacing w:line="240" w:lineRule="auto" w:before="142"/>
        <w:ind w:left="573"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432" w:lineRule="exact" w:before="41"/>
        <w:ind w:left="573" w:right="1112"/>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w:t>
      </w:r>
      <w:r>
        <w:rPr>
          <w:w w:val="100"/>
        </w:rPr>
        <w:t> </w:t>
      </w:r>
      <w:r>
        <w:rPr/>
        <w:t>上述重新计量设定受益计划净负债或净资产所产生的变动直接计入其他综合收益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33"/>
        </w:rPr>
        <w:t> </w:t>
      </w:r>
      <w:r>
        <w:rPr/>
        <w:t>并且在后续会计期</w:t>
      </w:r>
    </w:p>
    <w:p>
      <w:pPr>
        <w:pStyle w:val="BodyText"/>
        <w:spacing w:line="255" w:lineRule="exact"/>
        <w:ind w:right="1133"/>
        <w:jc w:val="left"/>
      </w:pPr>
      <w:r>
        <w:rPr/>
        <w:t>间不允许转回至损益，但本公司可以在权益范围内转移这些在其他综合收益中确认的金额。</w:t>
      </w:r>
    </w:p>
    <w:p>
      <w:pPr>
        <w:spacing w:line="600" w:lineRule="atLeast" w:before="28"/>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本公司向职工提供辞退福利的，在下列两者孰早日确认辞退福利产生的职工薪酬负债，并计入当期损</w:t>
      </w:r>
    </w:p>
    <w:p>
      <w:pPr>
        <w:pStyle w:val="BodyText"/>
        <w:spacing w:line="240" w:lineRule="auto" w:before="37"/>
        <w:ind w:right="1133"/>
        <w:jc w:val="left"/>
      </w:pPr>
      <w:r>
        <w:rPr/>
        <w:t>益：</w:t>
      </w:r>
    </w:p>
    <w:p>
      <w:pPr>
        <w:pStyle w:val="BodyText"/>
        <w:spacing w:line="240" w:lineRule="auto" w:before="157"/>
        <w:ind w:left="573" w:right="1133"/>
        <w:jc w:val="left"/>
      </w:pPr>
      <w:r>
        <w:rPr/>
        <w:t>①企业不能单方面撤回因解除劳动关系计划或裁减建议所提供的辞退福利时；</w:t>
      </w:r>
    </w:p>
    <w:p>
      <w:pPr>
        <w:pStyle w:val="BodyText"/>
        <w:spacing w:line="430" w:lineRule="atLeast" w:before="2"/>
        <w:ind w:left="573" w:right="1133"/>
        <w:jc w:val="left"/>
      </w:pPr>
      <w:r>
        <w:rPr/>
        <w:t>②企业确认与涉及支付辞退福利的重组相关的成本或费用时。</w:t>
      </w:r>
      <w:r>
        <w:rPr>
          <w:w w:val="100"/>
        </w:rPr>
        <w:t> </w:t>
      </w:r>
      <w:r>
        <w:rPr>
          <w:spacing w:val="-2"/>
        </w:rPr>
        <w:t>辞退福利预期在年度报告期结束后十二个月内不能完全支付的，参照相应的折现率（根据资产负债表</w:t>
      </w:r>
    </w:p>
    <w:p>
      <w:pPr>
        <w:pStyle w:val="BodyText"/>
        <w:spacing w:line="273" w:lineRule="auto" w:before="37"/>
        <w:ind w:right="1133"/>
        <w:jc w:val="left"/>
      </w:pPr>
      <w:r>
        <w:rPr>
          <w:spacing w:val="-2"/>
        </w:rPr>
        <w:t>日与设定受益计划义务期限和币种相匹配的国债或活跃市场上的高质量公司债券的市场收益率确定）将辞</w:t>
      </w:r>
      <w:r>
        <w:rPr>
          <w:spacing w:val="-43"/>
        </w:rPr>
        <w:t> </w:t>
      </w:r>
      <w:r>
        <w:rPr>
          <w:spacing w:val="-43"/>
        </w:rPr>
      </w:r>
      <w:r>
        <w:rPr/>
        <w:t>退福利金额予以折现，以折现后的金额计量应付职工薪酬。</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430" w:lineRule="atLeast" w:before="166"/>
        <w:ind w:left="573" w:right="1133"/>
        <w:jc w:val="left"/>
      </w:pPr>
      <w:r>
        <w:rPr/>
        <w:t>①符合设定提存计划条件的</w:t>
      </w:r>
      <w:r>
        <w:rPr>
          <w:w w:val="100"/>
        </w:rPr>
        <w:t> </w:t>
      </w:r>
      <w:r>
        <w:rPr>
          <w:spacing w:val="-2"/>
        </w:rPr>
        <w:t>本公司向职工提供的其他长期职工福利，符合设定提存计划条件的，将全部应缴存金额以折现后的金</w:t>
      </w:r>
    </w:p>
    <w:p>
      <w:pPr>
        <w:pStyle w:val="BodyText"/>
        <w:spacing w:line="240" w:lineRule="auto" w:before="37"/>
        <w:ind w:right="1133"/>
        <w:jc w:val="left"/>
      </w:pPr>
      <w:r>
        <w:rPr/>
        <w:t>额计量应付职工薪酬。</w:t>
      </w:r>
    </w:p>
    <w:p>
      <w:pPr>
        <w:pStyle w:val="BodyText"/>
        <w:spacing w:line="376" w:lineRule="auto" w:before="157"/>
        <w:ind w:left="573" w:right="2113"/>
        <w:jc w:val="left"/>
      </w:pPr>
      <w:r>
        <w:rPr/>
        <w:t>②符合设定受益计划条件的</w:t>
      </w:r>
      <w:r>
        <w:rPr>
          <w:w w:val="100"/>
        </w:rPr>
        <w:t> </w:t>
      </w:r>
      <w:r>
        <w:rPr>
          <w:spacing w:val="-2"/>
        </w:rPr>
        <w:t>在报告期末，本公司将其他长期职工福利产生的职工薪酬成本确认为下列组成部分：</w:t>
      </w:r>
      <w:r>
        <w:rPr>
          <w:spacing w:val="-35"/>
        </w:rPr>
        <w:t> </w:t>
      </w:r>
      <w:r>
        <w:rPr>
          <w:spacing w:val="-35"/>
        </w:rPr>
      </w:r>
      <w:r>
        <w:rPr>
          <w:rFonts w:ascii="Times New Roman" w:hAnsi="Times New Roman" w:cs="Times New Roman" w:eastAsia="Times New Roman" w:hint="default"/>
        </w:rPr>
        <w:t>A.</w:t>
      </w:r>
      <w:r>
        <w:rPr/>
        <w:t>服务成本；</w:t>
      </w:r>
    </w:p>
    <w:p>
      <w:pPr>
        <w:pStyle w:val="BodyText"/>
        <w:spacing w:line="357" w:lineRule="auto" w:before="8"/>
        <w:ind w:left="573" w:right="1133"/>
        <w:jc w:val="left"/>
      </w:pPr>
      <w:r>
        <w:rPr>
          <w:rFonts w:ascii="Times New Roman" w:hAnsi="Times New Roman" w:cs="Times New Roman" w:eastAsia="Times New Roman" w:hint="default"/>
        </w:rPr>
        <w:t>B.</w:t>
      </w:r>
      <w:r>
        <w:rPr/>
        <w:t>其他长期职工福利净负债或净资产的利息净额；</w:t>
      </w:r>
      <w:r>
        <w:rPr>
          <w:w w:val="100"/>
        </w:rPr>
        <w:t> </w:t>
      </w:r>
      <w:r>
        <w:rPr>
          <w:rFonts w:ascii="Times New Roman" w:hAnsi="Times New Roman" w:cs="Times New Roman" w:eastAsia="Times New Roman" w:hint="default"/>
        </w:rPr>
        <w:t>C.</w:t>
      </w:r>
      <w:r>
        <w:rPr/>
        <w:t>重新计量其他长期职工福利净负债或净资产所产生的变动。</w:t>
      </w:r>
      <w:r>
        <w:rPr>
          <w:w w:val="100"/>
        </w:rPr>
        <w:t> </w:t>
      </w:r>
      <w:r>
        <w:rPr>
          <w:spacing w:val="-2"/>
        </w:rPr>
        <w:t>为简化相关会计处理，上述项目的总净额计入当期损益或相关资产成本。</w:t>
      </w:r>
    </w:p>
    <w:p>
      <w:pPr>
        <w:spacing w:line="240" w:lineRule="auto" w:before="12"/>
        <w:rPr>
          <w:rFonts w:ascii="宋体" w:hAnsi="宋体" w:cs="宋体" w:eastAsia="宋体" w:hint="default"/>
          <w:sz w:val="17"/>
          <w:szCs w:val="17"/>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spacing w:after="0" w:line="357" w:lineRule="auto"/>
        <w:jc w:val="left"/>
        <w:rPr>
          <w:rFonts w:ascii="宋体" w:hAnsi="宋体" w:cs="宋体" w:eastAsia="宋体" w:hint="default"/>
          <w:sz w:val="21"/>
          <w:szCs w:val="21"/>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①该义务是本公司承担的现时义务；</w:t>
      </w:r>
    </w:p>
    <w:p>
      <w:pPr>
        <w:pStyle w:val="BodyText"/>
        <w:spacing w:line="240" w:lineRule="auto" w:before="157"/>
        <w:ind w:left="573" w:right="1133"/>
        <w:jc w:val="left"/>
      </w:pPr>
      <w:r>
        <w:rPr/>
        <w:t>②该义务的履行很可能导致经济利益流出本公司；</w:t>
      </w:r>
    </w:p>
    <w:p>
      <w:pPr>
        <w:pStyle w:val="BodyText"/>
        <w:spacing w:line="240" w:lineRule="auto" w:before="157"/>
        <w:ind w:left="573" w:right="1133"/>
        <w:jc w:val="left"/>
      </w:pPr>
      <w:r>
        <w:rPr/>
        <w:t>③该义务的金额能够可靠地计量。</w:t>
      </w:r>
    </w:p>
    <w:p>
      <w:pPr>
        <w:spacing w:line="357" w:lineRule="auto" w:before="157"/>
        <w:ind w:left="575"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预计负债按照履行相关现时义务所需支出的最佳估计数进行初始计量，并综合考虑与或事项有关的风</w:t>
      </w:r>
    </w:p>
    <w:p>
      <w:pPr>
        <w:pStyle w:val="BodyText"/>
        <w:spacing w:line="209" w:lineRule="exact"/>
        <w:ind w:right="0"/>
        <w:jc w:val="both"/>
      </w:pPr>
      <w:r>
        <w:rPr/>
        <w:t>险、不确定性和货币时间价值等因素。每个资产负债表日对预计负债的账面价值进行复核。有确凿证据表</w:t>
      </w:r>
    </w:p>
    <w:p>
      <w:pPr>
        <w:pStyle w:val="BodyText"/>
        <w:spacing w:line="240" w:lineRule="auto" w:before="37"/>
        <w:ind w:right="0"/>
        <w:jc w:val="both"/>
      </w:pPr>
      <w:r>
        <w:rPr/>
        <w:t>明该账面价值不能反映当前最佳估计数的，按照当前最佳估计数对该账面价值进行调整。</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211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本公司股份支付包括以现金结算的股份支付和以权益结算的股份支付。</w:t>
      </w:r>
    </w:p>
    <w:p>
      <w:pPr>
        <w:pStyle w:val="Heading3"/>
        <w:spacing w:line="240" w:lineRule="auto" w:before="54"/>
        <w:ind w:left="575" w:right="113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273" w:lineRule="auto" w:before="141"/>
        <w:ind w:right="1126" w:firstLine="420"/>
        <w:jc w:val="both"/>
      </w:pPr>
      <w:r>
        <w:rPr>
          <w:spacing w:val="-2"/>
        </w:rPr>
        <w:t>①对于授予职工的股份，其公允价值按公司股份的市场价格计量，同时考虑授予股份所依据的条款和</w:t>
      </w:r>
      <w:r>
        <w:rPr>
          <w:w w:val="100"/>
        </w:rPr>
        <w:t> </w:t>
      </w:r>
      <w:r>
        <w:rPr/>
        <w:t>条件（不包括市场条件之外的可行权条件）进行调整。</w:t>
      </w:r>
    </w:p>
    <w:p>
      <w:pPr>
        <w:pStyle w:val="BodyText"/>
        <w:spacing w:line="273" w:lineRule="auto" w:before="127"/>
        <w:ind w:right="1126" w:firstLine="420"/>
        <w:jc w:val="both"/>
      </w:pPr>
      <w:r>
        <w:rPr>
          <w:spacing w:val="-2"/>
        </w:rPr>
        <w:t>②对于授予职工的股票期权，在许多情况下难以获得其市场价格。如果不存在条款和条件相似的交易</w:t>
      </w:r>
      <w:r>
        <w:rPr>
          <w:w w:val="100"/>
        </w:rPr>
        <w:t> </w:t>
      </w:r>
      <w:r>
        <w:rPr/>
        <w:t>期权，公司选择适用的期权定价模型估计所授予的期权的公允价值。</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在等待期内每个资产负债表日，公司根据最新取得的可行权职工人数变动等后续信息作出最佳估计，</w:t>
      </w:r>
    </w:p>
    <w:p>
      <w:pPr>
        <w:pStyle w:val="BodyText"/>
        <w:spacing w:line="221" w:lineRule="exact"/>
        <w:ind w:right="0"/>
        <w:jc w:val="both"/>
        <w:rPr>
          <w:sz w:val="24"/>
          <w:szCs w:val="24"/>
        </w:rPr>
      </w:pPr>
      <w:r>
        <w:rPr/>
        <w:t>修正预计可行权的权益工具数量，以作出可行权权益工具的最佳估计</w:t>
      </w:r>
      <w:r>
        <w:rPr>
          <w:sz w:val="24"/>
          <w:szCs w:val="24"/>
        </w:rPr>
        <w:t>。</w:t>
      </w:r>
    </w:p>
    <w:p>
      <w:pPr>
        <w:pStyle w:val="Heading3"/>
        <w:spacing w:line="240" w:lineRule="auto" w:before="145"/>
        <w:ind w:left="575" w:right="1133"/>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pStyle w:val="BodyText"/>
        <w:spacing w:line="273" w:lineRule="auto" w:before="141"/>
        <w:ind w:right="1126" w:firstLine="420"/>
        <w:jc w:val="both"/>
      </w:pPr>
      <w:r>
        <w:rPr>
          <w:spacing w:val="-2"/>
        </w:rPr>
        <w:t>①授予后立即可行权的以现金结算的股份支付，在授予日以本公司承担负债的公允价值计入相关成本</w:t>
      </w:r>
      <w:r>
        <w:rPr>
          <w:w w:val="100"/>
        </w:rPr>
        <w:t> </w:t>
      </w:r>
      <w:r>
        <w:rPr>
          <w:spacing w:val="-2"/>
        </w:rPr>
        <w:t>或费用，相应增加负债。并在结算前的每个资产负债表日和结算日对负债的公允价值重新计量，将其变动</w:t>
      </w:r>
      <w:r>
        <w:rPr>
          <w:spacing w:val="-42"/>
        </w:rPr>
        <w:t> </w:t>
      </w:r>
      <w:r>
        <w:rPr>
          <w:spacing w:val="-42"/>
        </w:rPr>
      </w:r>
      <w:r>
        <w:rPr/>
        <w:t>计入损益。</w:t>
      </w:r>
    </w:p>
    <w:p>
      <w:pPr>
        <w:pStyle w:val="BodyText"/>
        <w:spacing w:line="273" w:lineRule="auto" w:before="127"/>
        <w:ind w:right="1126" w:firstLine="420"/>
        <w:jc w:val="both"/>
      </w:pPr>
      <w:r>
        <w:rPr>
          <w:spacing w:val="-2"/>
        </w:rPr>
        <w:t>②完成等待期内的服务或达到规定业绩条件以后才可行权的以现金结算的股份支付，在等待期内的每</w:t>
      </w:r>
      <w:r>
        <w:rPr>
          <w:w w:val="100"/>
        </w:rPr>
        <w:t> </w:t>
      </w:r>
      <w:r>
        <w:rPr>
          <w:spacing w:val="-2"/>
        </w:rPr>
        <w:t>个资产负债表日以对可行权情况的最佳估计为基础，按本公司承担负债的公允价值金额，将当期取得的服</w:t>
      </w:r>
      <w:r>
        <w:rPr>
          <w:spacing w:val="-44"/>
        </w:rPr>
        <w:t> </w:t>
      </w:r>
      <w:r>
        <w:rPr>
          <w:spacing w:val="-44"/>
        </w:rPr>
      </w:r>
      <w:r>
        <w:rPr/>
        <w:t>务计入成本或费用和相应的负债。</w:t>
      </w:r>
    </w:p>
    <w:p>
      <w:pPr>
        <w:pStyle w:val="BodyText"/>
        <w:spacing w:line="273" w:lineRule="auto" w:before="127"/>
        <w:ind w:right="1126" w:firstLine="420"/>
        <w:jc w:val="both"/>
      </w:pPr>
      <w:r>
        <w:rPr>
          <w:spacing w:val="-2"/>
        </w:rPr>
        <w:t>③授予后立即可行权的换取职工服务的以权益结算的股份支付，在授予日以权益工具的公允价值计入</w:t>
      </w:r>
      <w:r>
        <w:rPr>
          <w:w w:val="100"/>
        </w:rPr>
        <w:t> </w:t>
      </w:r>
      <w:r>
        <w:rPr/>
        <w:t>相关成本或费用，相应增加资本公积。</w:t>
      </w:r>
    </w:p>
    <w:p>
      <w:pPr>
        <w:pStyle w:val="BodyText"/>
        <w:spacing w:line="273" w:lineRule="auto" w:before="128"/>
        <w:ind w:right="1126" w:firstLine="420"/>
        <w:jc w:val="both"/>
      </w:pPr>
      <w:r>
        <w:rPr>
          <w:spacing w:val="-2"/>
        </w:rPr>
        <w:t>④完成等待期内的服务或达到规定业绩条件以后才可行权换取职工服务的以权益结算的股份支付，在</w:t>
      </w:r>
      <w:r>
        <w:rPr>
          <w:w w:val="100"/>
        </w:rPr>
        <w:t> </w:t>
      </w:r>
      <w:r>
        <w:rPr>
          <w:spacing w:val="-2"/>
        </w:rPr>
        <w:t>等待期内的每个资产负债表日，以对可行权权益工具数量的最佳估计为基础，按权益工具授予日的公允价</w:t>
      </w:r>
      <w:r>
        <w:rPr>
          <w:spacing w:val="-43"/>
        </w:rPr>
        <w:t> </w:t>
      </w:r>
      <w:r>
        <w:rPr>
          <w:spacing w:val="-43"/>
        </w:rPr>
      </w:r>
      <w:r>
        <w:rPr/>
        <w:t>值，将当期取得的服务计入成本或费用和资本公积。</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）股份支付计划修改的会计处理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本公司对股份支付计划进行修改时，若修改增加了所授予权益工具的公允价值，按照权益工具公允价</w:t>
      </w:r>
    </w:p>
    <w:p>
      <w:pPr>
        <w:pStyle w:val="BodyText"/>
        <w:spacing w:line="209" w:lineRule="exact"/>
        <w:ind w:right="0"/>
        <w:jc w:val="both"/>
      </w:pPr>
      <w:r>
        <w:rPr/>
        <w:t>值的增加相应地确认取得服务的增加；若修改增加了所授予权益工具的数量，则将增加的权益工具的公允</w:t>
      </w:r>
    </w:p>
    <w:p>
      <w:pPr>
        <w:pStyle w:val="BodyText"/>
        <w:spacing w:line="271" w:lineRule="auto" w:before="37"/>
        <w:ind w:right="1126"/>
        <w:jc w:val="both"/>
      </w:pPr>
      <w:r>
        <w:rPr>
          <w:spacing w:val="-2"/>
        </w:rPr>
        <w:t>价值相应地确认为取得服务的增加。权益工具公允价值的增加是指修改前后的权益工具在修改日的公允价</w:t>
      </w:r>
      <w:r>
        <w:rPr>
          <w:spacing w:val="-43"/>
        </w:rPr>
        <w:t> </w:t>
      </w:r>
      <w:r>
        <w:rPr>
          <w:spacing w:val="-43"/>
        </w:rPr>
      </w:r>
      <w:r>
        <w:rPr>
          <w:spacing w:val="-2"/>
        </w:rPr>
        <w:t>值之间的差额。若修改减少了股份支付公允价值总额或采用了其他不利于职工的方式修改股份支付计划的</w:t>
      </w:r>
      <w:r>
        <w:rPr>
          <w:spacing w:val="-43"/>
        </w:rPr>
        <w:t> </w:t>
      </w:r>
      <w:r>
        <w:rPr>
          <w:spacing w:val="-43"/>
        </w:rPr>
      </w:r>
      <w:r>
        <w:rPr>
          <w:spacing w:val="-2"/>
        </w:rPr>
        <w:t>条款和条件，则仍继续对取得的服务进行会计处理，视同该变更从未发生，除非本公司取消了部分或全部</w:t>
      </w:r>
    </w:p>
    <w:p>
      <w:pPr>
        <w:spacing w:after="0" w:line="271"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已授予的权益工具。</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）股份支付计划终止的会计处理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如果在等待期内取消了所授予的权益工具或结算了所授予的权益工具（因未满足可行权条件而被取消</w:t>
      </w:r>
    </w:p>
    <w:p>
      <w:pPr>
        <w:pStyle w:val="BodyText"/>
        <w:spacing w:line="209" w:lineRule="exact"/>
        <w:ind w:right="1133"/>
        <w:jc w:val="left"/>
      </w:pPr>
      <w:r>
        <w:rPr/>
        <w:t>的除外），本公司：</w:t>
      </w:r>
    </w:p>
    <w:p>
      <w:pPr>
        <w:pStyle w:val="BodyText"/>
        <w:spacing w:line="240" w:lineRule="auto" w:before="157"/>
        <w:ind w:left="573" w:right="1133"/>
        <w:jc w:val="left"/>
      </w:pPr>
      <w:r>
        <w:rPr/>
        <w:t>①将取消或结算作为加速可行权处理，立即确认原本应在剩余等待期内确认的金额；</w:t>
      </w:r>
    </w:p>
    <w:p>
      <w:pPr>
        <w:pStyle w:val="BodyText"/>
        <w:spacing w:line="273" w:lineRule="auto" w:before="157"/>
        <w:ind w:right="1126" w:firstLine="420"/>
        <w:jc w:val="both"/>
      </w:pPr>
      <w:r>
        <w:rPr>
          <w:spacing w:val="-2"/>
        </w:rPr>
        <w:t>②在取消或结算时支付给职工的所有款项均作为权益的回购处理，回购支付的金额高于该权益工具在</w:t>
      </w:r>
      <w:r>
        <w:rPr>
          <w:w w:val="100"/>
        </w:rPr>
        <w:t> </w:t>
      </w:r>
      <w:r>
        <w:rPr/>
        <w:t>回购日公允价值的部分，计入当期费用。</w:t>
      </w:r>
    </w:p>
    <w:p>
      <w:pPr>
        <w:pStyle w:val="BodyText"/>
        <w:spacing w:line="273" w:lineRule="auto" w:before="127"/>
        <w:ind w:right="1126" w:firstLine="420"/>
        <w:jc w:val="both"/>
      </w:pPr>
      <w:r>
        <w:rPr>
          <w:spacing w:val="-2"/>
        </w:rPr>
        <w:t>本公司如果回购其职工已可行权的权益工具，冲减企业的所有者权益；回购支付的款项高于该权益工</w:t>
      </w:r>
      <w:r>
        <w:rPr>
          <w:w w:val="100"/>
        </w:rPr>
        <w:t> </w:t>
      </w:r>
      <w:r>
        <w:rPr/>
        <w:t>具在回购日公允价值的部分，计入当期损益。</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5"/>
        <w:rPr>
          <w:rFonts w:ascii="宋体" w:hAnsi="宋体" w:cs="宋体" w:eastAsia="宋体" w:hint="default"/>
          <w:sz w:val="12"/>
          <w:szCs w:val="12"/>
        </w:rPr>
      </w:pPr>
    </w:p>
    <w:p>
      <w:pPr>
        <w:pStyle w:val="BodyText"/>
        <w:spacing w:line="357" w:lineRule="auto"/>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100"/>
        </w:rPr>
        <w:t> </w:t>
      </w:r>
      <w:r>
        <w:rPr>
          <w:spacing w:val="-2"/>
        </w:rPr>
        <w:t>公司已将商品所有权上的主要风险和报酬转移给购买方；公司既没有保留与所有权相联系的继续管理</w:t>
      </w:r>
    </w:p>
    <w:p>
      <w:pPr>
        <w:pStyle w:val="BodyText"/>
        <w:spacing w:line="209" w:lineRule="exact"/>
        <w:ind w:right="0"/>
        <w:jc w:val="left"/>
      </w:pPr>
      <w:r>
        <w:rPr>
          <w:spacing w:val="-5"/>
        </w:rPr>
        <w:t>权，也没有对已售出的商品实施有效控制；收入的金额能够可靠地计量；相关的经济利益很可能流入企业；</w:t>
      </w:r>
    </w:p>
    <w:p>
      <w:pPr>
        <w:pStyle w:val="BodyText"/>
        <w:spacing w:line="240" w:lineRule="auto" w:before="37"/>
        <w:ind w:right="1133"/>
        <w:jc w:val="left"/>
      </w:pPr>
      <w:r>
        <w:rPr/>
        <w:t>相关的已发生或将发生的成本能够可靠地计量时，确认商品销售收入实现。</w:t>
      </w:r>
    </w:p>
    <w:p>
      <w:pPr>
        <w:pStyle w:val="BodyText"/>
        <w:spacing w:line="256" w:lineRule="auto" w:before="157"/>
        <w:ind w:right="1129" w:firstLine="420"/>
        <w:jc w:val="both"/>
      </w:pPr>
      <w:r>
        <w:rPr/>
        <w:t>本公司软件产品和</w:t>
      </w:r>
      <w:r>
        <w:rPr>
          <w:rFonts w:ascii="Times New Roman" w:hAnsi="Times New Roman" w:cs="Times New Roman" w:eastAsia="Times New Roman" w:hint="default"/>
        </w:rPr>
        <w:t>IT</w:t>
      </w:r>
      <w:r>
        <w:rPr/>
        <w:t>解决方案具体收入确认方法：软件产品和</w:t>
      </w:r>
      <w:r>
        <w:rPr>
          <w:rFonts w:ascii="Times New Roman" w:hAnsi="Times New Roman" w:cs="Times New Roman" w:eastAsia="Times New Roman" w:hint="default"/>
        </w:rPr>
        <w:t>IT</w:t>
      </w:r>
      <w:r>
        <w:rPr/>
        <w:t>解决方案业务在取得客户对账单据</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验收单据时确认收入。</w:t>
      </w:r>
    </w:p>
    <w:p>
      <w:pPr>
        <w:pStyle w:val="BodyText"/>
        <w:spacing w:line="256" w:lineRule="auto" w:before="142"/>
        <w:ind w:right="1128" w:firstLine="420"/>
        <w:jc w:val="both"/>
      </w:pPr>
      <w:r>
        <w:rPr>
          <w:spacing w:val="-3"/>
        </w:rPr>
        <w:t>本公司销售智能</w:t>
      </w:r>
      <w:r>
        <w:rPr>
          <w:rFonts w:ascii="Times New Roman" w:hAnsi="Times New Roman" w:cs="Times New Roman" w:eastAsia="Times New Roman" w:hint="default"/>
          <w:spacing w:val="-3"/>
        </w:rPr>
        <w:t>BMS</w:t>
      </w:r>
      <w:r>
        <w:rPr>
          <w:spacing w:val="-3"/>
        </w:rPr>
        <w:t>具体收入确认方法：按照与客户签订的销售合同或订单发货，经客户验收合格并</w:t>
      </w:r>
      <w:r>
        <w:rPr>
          <w:w w:val="100"/>
        </w:rPr>
        <w:t> </w:t>
      </w:r>
      <w:r>
        <w:rPr/>
        <w:t>与客户对账后确认收入。</w:t>
      </w:r>
    </w:p>
    <w:p>
      <w:pPr>
        <w:pStyle w:val="BodyText"/>
        <w:spacing w:line="357" w:lineRule="auto" w:before="142"/>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）提供劳务收入</w:t>
      </w:r>
      <w:r>
        <w:rPr>
          <w:rFonts w:ascii="宋体" w:hAnsi="宋体" w:cs="宋体" w:eastAsia="宋体" w:hint="default"/>
          <w:b/>
          <w:bCs/>
          <w:w w:val="100"/>
        </w:rPr>
        <w:t> </w:t>
      </w:r>
      <w:r>
        <w:rPr>
          <w:spacing w:val="-2"/>
        </w:rPr>
        <w:t>在资产负债表日提供劳务交易的结果能够可靠估计的，采用完工百分比法确认提供劳务收入。提供劳</w:t>
      </w:r>
    </w:p>
    <w:p>
      <w:pPr>
        <w:pStyle w:val="BodyText"/>
        <w:spacing w:line="209" w:lineRule="exact"/>
        <w:ind w:right="1133"/>
        <w:jc w:val="left"/>
      </w:pPr>
      <w:r>
        <w:rPr/>
        <w:t>务交易的完工进度，依据客户确认的项目完工进度确定。</w:t>
      </w:r>
    </w:p>
    <w:p>
      <w:pPr>
        <w:pStyle w:val="BodyText"/>
        <w:spacing w:line="256" w:lineRule="auto" w:before="157"/>
        <w:ind w:right="1126" w:firstLine="420"/>
        <w:jc w:val="both"/>
      </w:pPr>
      <w:r>
        <w:rPr>
          <w:spacing w:val="-4"/>
        </w:rPr>
        <w:t>提供劳务交易的结果能够可靠估计是指同时满足：</w:t>
      </w:r>
      <w:r>
        <w:rPr>
          <w:rFonts w:ascii="Times New Roman" w:hAnsi="Times New Roman" w:cs="Times New Roman" w:eastAsia="Times New Roman" w:hint="default"/>
          <w:spacing w:val="-4"/>
        </w:rPr>
        <w:t>A</w:t>
      </w:r>
      <w:r>
        <w:rPr>
          <w:spacing w:val="-4"/>
        </w:rPr>
        <w:t>、收入的金额能够可靠地计量；</w:t>
      </w:r>
      <w:r>
        <w:rPr>
          <w:rFonts w:ascii="Times New Roman" w:hAnsi="Times New Roman" w:cs="Times New Roman" w:eastAsia="Times New Roman" w:hint="default"/>
          <w:spacing w:val="-4"/>
        </w:rPr>
        <w:t>B</w:t>
      </w:r>
      <w:r>
        <w:rPr>
          <w:spacing w:val="-4"/>
        </w:rPr>
        <w:t>、相关的经济利</w:t>
      </w:r>
      <w:r>
        <w:rPr>
          <w:w w:val="100"/>
        </w:rPr>
        <w:t> </w:t>
      </w:r>
      <w:r>
        <w:rPr>
          <w:spacing w:val="-4"/>
        </w:rPr>
        <w:t>益很可能流入企业；</w:t>
      </w:r>
      <w:r>
        <w:rPr>
          <w:rFonts w:ascii="Times New Roman" w:hAnsi="Times New Roman" w:cs="Times New Roman" w:eastAsia="Times New Roman" w:hint="default"/>
          <w:spacing w:val="-4"/>
        </w:rPr>
        <w:t>C</w:t>
      </w:r>
      <w:r>
        <w:rPr>
          <w:spacing w:val="-4"/>
        </w:rPr>
        <w:t>、交易的完工程度能够可靠地确定；</w:t>
      </w:r>
      <w:r>
        <w:rPr>
          <w:rFonts w:ascii="Times New Roman" w:hAnsi="Times New Roman" w:cs="Times New Roman" w:eastAsia="Times New Roman" w:hint="default"/>
          <w:spacing w:val="-4"/>
        </w:rPr>
        <w:t>D</w:t>
      </w:r>
      <w:r>
        <w:rPr>
          <w:spacing w:val="-4"/>
        </w:rPr>
        <w:t>、交易中已发生和将发生的成本能够可靠地计</w:t>
      </w:r>
      <w:r>
        <w:rPr>
          <w:spacing w:val="-32"/>
        </w:rPr>
        <w:t> </w:t>
      </w:r>
      <w:r>
        <w:rPr>
          <w:spacing w:val="-32"/>
        </w:rPr>
      </w:r>
      <w:r>
        <w:rPr/>
        <w:t>量。</w:t>
      </w:r>
    </w:p>
    <w:p>
      <w:pPr>
        <w:pStyle w:val="BodyText"/>
        <w:spacing w:line="273" w:lineRule="auto" w:before="142"/>
        <w:ind w:right="1126" w:firstLine="420"/>
        <w:jc w:val="both"/>
      </w:pPr>
      <w:r>
        <w:rPr>
          <w:spacing w:val="-2"/>
        </w:rPr>
        <w:t>本公司按照已收或应收的合同或协议价款确定提供劳务收入总额，但已收或应收的合同或协议价款不</w:t>
      </w:r>
      <w:r>
        <w:rPr>
          <w:w w:val="100"/>
        </w:rPr>
        <w:t> </w:t>
      </w:r>
      <w:r>
        <w:rPr>
          <w:spacing w:val="-2"/>
        </w:rPr>
        <w:t>公允的除外。资产负债表日按照提供劳务收入总额乘以完工进度扣除以前会计期间累计已确认提供劳务收</w:t>
      </w:r>
      <w:r>
        <w:rPr>
          <w:spacing w:val="-43"/>
        </w:rPr>
        <w:t> </w:t>
      </w:r>
      <w:r>
        <w:rPr>
          <w:spacing w:val="-43"/>
        </w:rPr>
      </w:r>
      <w:r>
        <w:rPr/>
        <w:t>入后的金额，确认当期提供劳务收入。</w:t>
      </w:r>
    </w:p>
    <w:p>
      <w:pPr>
        <w:pStyle w:val="BodyText"/>
        <w:spacing w:line="240" w:lineRule="auto" w:before="127"/>
        <w:ind w:left="573" w:right="1133"/>
        <w:jc w:val="left"/>
      </w:pPr>
      <w:r>
        <w:rPr/>
        <w:t>在资产负债表日提供劳务交易结果不能够可靠估计的，分别下列情况处理：</w:t>
      </w:r>
    </w:p>
    <w:p>
      <w:pPr>
        <w:pStyle w:val="BodyText"/>
        <w:spacing w:line="256" w:lineRule="auto" w:before="157"/>
        <w:ind w:right="1127" w:firstLine="420"/>
        <w:jc w:val="both"/>
      </w:pPr>
      <w:r>
        <w:rPr>
          <w:rFonts w:ascii="Times New Roman" w:hAnsi="Times New Roman" w:cs="Times New Roman" w:eastAsia="Times New Roman" w:hint="default"/>
          <w:spacing w:val="-1"/>
        </w:rPr>
        <w:t>1.</w:t>
      </w:r>
      <w:r>
        <w:rPr>
          <w:spacing w:val="-1"/>
        </w:rPr>
        <w:t>已经发生的劳务成本预计能够得到补偿的，按照已经发生的劳务成本金额确认提供劳务收入，并按</w:t>
      </w:r>
      <w:r>
        <w:rPr>
          <w:w w:val="100"/>
        </w:rPr>
        <w:t> </w:t>
      </w:r>
      <w:r>
        <w:rPr/>
        <w:t>相同金额结转劳务成本。</w:t>
      </w:r>
    </w:p>
    <w:p>
      <w:pPr>
        <w:pStyle w:val="BodyText"/>
        <w:spacing w:line="256" w:lineRule="auto" w:before="142"/>
        <w:ind w:right="1127" w:firstLine="420"/>
        <w:jc w:val="both"/>
      </w:pPr>
      <w:r>
        <w:rPr>
          <w:rFonts w:ascii="Times New Roman" w:hAnsi="Times New Roman" w:cs="Times New Roman" w:eastAsia="Times New Roman" w:hint="default"/>
          <w:spacing w:val="-1"/>
        </w:rPr>
        <w:t>2.</w:t>
      </w:r>
      <w:r>
        <w:rPr>
          <w:spacing w:val="-1"/>
        </w:rPr>
        <w:t>已经发生的劳务成本预计不能够得到补偿的，将已经发生的劳务成本计入当期损益，不确认提供劳</w:t>
      </w:r>
      <w:r>
        <w:rPr>
          <w:w w:val="100"/>
        </w:rPr>
        <w:t> </w:t>
      </w:r>
      <w:r>
        <w:rPr/>
        <w:t>务收入。</w:t>
      </w:r>
    </w:p>
    <w:p>
      <w:pPr>
        <w:pStyle w:val="BodyText"/>
        <w:spacing w:line="271" w:lineRule="auto" w:before="142"/>
        <w:ind w:right="1126" w:firstLine="420"/>
        <w:jc w:val="both"/>
      </w:pPr>
      <w:r>
        <w:rPr>
          <w:spacing w:val="-2"/>
        </w:rPr>
        <w:t>本公司行业软件开发具体收入确认方法：根据公司行业软件开发业务定价方式的不同，公司行业软件</w:t>
      </w:r>
      <w:r>
        <w:rPr>
          <w:w w:val="100"/>
        </w:rPr>
        <w:t> </w:t>
      </w:r>
      <w:r>
        <w:rPr>
          <w:spacing w:val="-2"/>
        </w:rPr>
        <w:t>开发业务收入确认主要有以下两种方式：①按已经完成的工作量占总工作量的比例确认完工进度：公司根</w:t>
      </w:r>
      <w:r>
        <w:rPr>
          <w:spacing w:val="-43"/>
        </w:rPr>
        <w:t> </w:t>
      </w:r>
      <w:r>
        <w:rPr>
          <w:spacing w:val="-43"/>
        </w:rPr>
      </w:r>
      <w:r>
        <w:rPr>
          <w:spacing w:val="2"/>
        </w:rPr>
        <w:t>据项目已经完成的工作量占总工作量的比例并经客户确认后确定完工进度；②按实际结算工作量确认收</w:t>
      </w:r>
    </w:p>
    <w:p>
      <w:pPr>
        <w:spacing w:after="0" w:line="271"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26"/>
        <w:jc w:val="both"/>
      </w:pPr>
      <w:r>
        <w:rPr/>
        <w:t>入：公司根据合同按季度或月的实际工作量（人</w:t>
      </w:r>
      <w:r>
        <w:rPr>
          <w:rFonts w:ascii="Times New Roman" w:hAnsi="Times New Roman" w:cs="Times New Roman" w:eastAsia="Times New Roman" w:hint="default"/>
        </w:rPr>
        <w:t>/</w:t>
      </w:r>
      <w:r>
        <w:rPr/>
        <w:t>日或人</w:t>
      </w:r>
      <w:r>
        <w:rPr>
          <w:rFonts w:ascii="Times New Roman" w:hAnsi="Times New Roman" w:cs="Times New Roman" w:eastAsia="Times New Roman" w:hint="default"/>
        </w:rPr>
        <w:t>/</w:t>
      </w:r>
      <w:r>
        <w:rPr/>
        <w:t>月数）并经客户确认后确认收入。对于</w:t>
      </w:r>
      <w:r>
        <w:rPr>
          <w:rFonts w:ascii="Times New Roman" w:hAnsi="Times New Roman" w:cs="Times New Roman" w:eastAsia="Times New Roman" w:hint="default"/>
        </w:rPr>
        <w:t>IT</w:t>
      </w:r>
      <w:r>
        <w:rPr/>
        <w:t>解决方</w:t>
      </w:r>
      <w:r>
        <w:rPr>
          <w:spacing w:val="-23"/>
        </w:rPr>
        <w:t> </w:t>
      </w:r>
      <w:r>
        <w:rPr>
          <w:spacing w:val="-2"/>
        </w:rPr>
        <w:t>案业务中包含自行开发行业软件不能合理区分的，该部分行业软件按上述</w:t>
      </w:r>
      <w:r>
        <w:rPr>
          <w:rFonts w:ascii="Times New Roman" w:hAnsi="Times New Roman" w:cs="Times New Roman" w:eastAsia="Times New Roman" w:hint="default"/>
          <w:spacing w:val="-2"/>
        </w:rPr>
        <w:t>IT</w:t>
      </w:r>
      <w:r>
        <w:rPr>
          <w:spacing w:val="-2"/>
        </w:rPr>
        <w:t>解决方案的收入确认原则确认</w:t>
      </w:r>
      <w:r>
        <w:rPr>
          <w:spacing w:val="-30"/>
        </w:rPr>
        <w:t> </w:t>
      </w:r>
      <w:r>
        <w:rPr>
          <w:spacing w:val="-30"/>
        </w:rPr>
      </w:r>
      <w:r>
        <w:rPr/>
        <w:t>为</w:t>
      </w:r>
      <w:r>
        <w:rPr>
          <w:rFonts w:ascii="Times New Roman" w:hAnsi="Times New Roman" w:cs="Times New Roman" w:eastAsia="Times New Roman" w:hint="default"/>
        </w:rPr>
        <w:t>IT</w:t>
      </w:r>
      <w:r>
        <w:rPr/>
        <w:t>解决方案收入。</w:t>
      </w:r>
    </w:p>
    <w:p>
      <w:pPr>
        <w:pStyle w:val="BodyText"/>
        <w:spacing w:line="273" w:lineRule="auto" w:before="125"/>
        <w:ind w:right="1133" w:firstLine="420"/>
        <w:jc w:val="left"/>
      </w:pPr>
      <w:r>
        <w:rPr>
          <w:spacing w:val="-2"/>
        </w:rPr>
        <w:t>本公司技术服务收入具体确认方法：技术服务业务根据合同额和已提供服务期间占合同约定服务期间</w:t>
      </w:r>
      <w:r>
        <w:rPr>
          <w:w w:val="100"/>
        </w:rPr>
        <w:t> </w:t>
      </w:r>
      <w:r>
        <w:rPr/>
        <w:t>的比例或已提供服务次数占合同约定服务总次数的比例确认收入。</w:t>
      </w:r>
    </w:p>
    <w:p>
      <w:pPr>
        <w:pStyle w:val="BodyText"/>
        <w:spacing w:line="240" w:lineRule="auto" w:before="127"/>
        <w:ind w:left="573" w:right="1133"/>
        <w:jc w:val="left"/>
      </w:pPr>
      <w:r>
        <w:rPr/>
        <w:t>本公司智慧物流云平台具体确认方法：按照劳务完成后一次性确认收入。</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）让渡资产使用权收入</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09" w:lineRule="exact"/>
        <w:ind w:right="0"/>
        <w:jc w:val="both"/>
      </w:pPr>
      <w:r>
        <w:rPr/>
        <w:t>使用权收入金额：</w:t>
      </w:r>
    </w:p>
    <w:p>
      <w:pPr>
        <w:pStyle w:val="BodyText"/>
        <w:spacing w:line="240" w:lineRule="auto" w:before="157"/>
        <w:ind w:left="573" w:right="1133"/>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42"/>
        <w:ind w:left="573" w:right="1133"/>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10"/>
        <w:rPr>
          <w:rFonts w:ascii="宋体" w:hAnsi="宋体" w:cs="宋体" w:eastAsia="宋体" w:hint="default"/>
          <w:b/>
          <w:bCs/>
          <w:sz w:val="24"/>
          <w:szCs w:val="24"/>
        </w:rPr>
      </w:pPr>
    </w:p>
    <w:p>
      <w:pPr>
        <w:spacing w:line="357" w:lineRule="auto" w:before="0"/>
        <w:ind w:left="573" w:right="481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政府补助同时满足下列条件的，才能予以确认：</w:t>
      </w:r>
    </w:p>
    <w:p>
      <w:pPr>
        <w:pStyle w:val="BodyText"/>
        <w:spacing w:line="240" w:lineRule="auto" w:before="54"/>
        <w:ind w:left="573" w:right="1133"/>
        <w:jc w:val="left"/>
      </w:pPr>
      <w:r>
        <w:rPr/>
        <w:t>①本公司能够满足政府补助所附条件；</w:t>
      </w:r>
    </w:p>
    <w:p>
      <w:pPr>
        <w:pStyle w:val="BodyText"/>
        <w:spacing w:line="240" w:lineRule="auto" w:before="157"/>
        <w:ind w:left="573" w:right="1133"/>
        <w:jc w:val="left"/>
      </w:pPr>
      <w:r>
        <w:rPr/>
        <w:t>②本公司能够收到政府补助。</w:t>
      </w:r>
    </w:p>
    <w:p>
      <w:pPr>
        <w:pStyle w:val="BodyText"/>
        <w:spacing w:line="357" w:lineRule="auto" w:before="157"/>
        <w:ind w:left="573" w:right="113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）政府补助的计量</w:t>
      </w:r>
      <w:r>
        <w:rPr>
          <w:rFonts w:ascii="宋体" w:hAnsi="宋体" w:cs="宋体" w:eastAsia="宋体" w:hint="default"/>
          <w:b/>
          <w:bCs/>
          <w:w w:val="100"/>
        </w:rPr>
        <w:t> </w:t>
      </w:r>
      <w:r>
        <w:rPr>
          <w:spacing w:val="-2"/>
        </w:rPr>
        <w:t>政府补助为货币性资产的，按照收到或应收的金额计量。政府补助为非货币性资产的，按照公允价值</w:t>
      </w:r>
    </w:p>
    <w:p>
      <w:pPr>
        <w:pStyle w:val="BodyText"/>
        <w:spacing w:line="209" w:lineRule="exact"/>
        <w:ind w:right="0"/>
        <w:jc w:val="both"/>
      </w:pPr>
      <w:r>
        <w:rPr/>
        <w:t>计量；公允价值不能可靠取得的，按照名义金额计量。</w:t>
      </w:r>
    </w:p>
    <w:p>
      <w:pPr>
        <w:pStyle w:val="Heading3"/>
        <w:spacing w:line="240" w:lineRule="auto" w:before="157"/>
        <w:ind w:left="575" w:right="1133"/>
        <w:jc w:val="left"/>
        <w:rPr>
          <w:b w:val="0"/>
          <w:bCs w:val="0"/>
        </w:rPr>
      </w:pPr>
      <w:r>
        <w:rPr/>
        <w:t>（</w:t>
      </w:r>
      <w:r>
        <w:rPr>
          <w:rFonts w:ascii="Times New Roman" w:hAnsi="Times New Roman" w:cs="Times New Roman" w:eastAsia="Times New Roman" w:hint="default"/>
        </w:rPr>
        <w:t>3</w:t>
      </w:r>
      <w:r>
        <w:rPr/>
        <w:t>）政府补助的会计处理</w:t>
      </w:r>
      <w:r>
        <w:rPr>
          <w:b w:val="0"/>
          <w:bCs w:val="0"/>
        </w:rPr>
      </w:r>
    </w:p>
    <w:p>
      <w:pPr>
        <w:pStyle w:val="BodyText"/>
        <w:spacing w:line="432" w:lineRule="exact" w:before="41"/>
        <w:ind w:left="573" w:right="1133"/>
        <w:jc w:val="left"/>
      </w:pPr>
      <w:r>
        <w:rPr/>
        <w:t>①与资产相关的政府补助</w:t>
      </w:r>
      <w:r>
        <w:rPr>
          <w:w w:val="100"/>
        </w:rPr>
        <w:t> </w:t>
      </w:r>
      <w:r>
        <w:rPr>
          <w:spacing w:val="-2"/>
        </w:rPr>
        <w:t>公司取得的、用于购建或以其他方式形成长期资产的政府补助划分为与资产相关的政府补助。与资产</w:t>
      </w:r>
    </w:p>
    <w:p>
      <w:pPr>
        <w:pStyle w:val="BodyText"/>
        <w:spacing w:line="255" w:lineRule="exact"/>
        <w:ind w:right="0"/>
        <w:jc w:val="both"/>
      </w:pPr>
      <w:r>
        <w:rPr/>
        <w:t>相关的政府补助确认为递延收益，在相关资产使用期限内按照合理、系统的方法分期计入损益。按照名义</w:t>
      </w:r>
    </w:p>
    <w:p>
      <w:pPr>
        <w:pStyle w:val="BodyText"/>
        <w:spacing w:line="273" w:lineRule="auto" w:before="37"/>
        <w:ind w:right="0"/>
        <w:jc w:val="left"/>
      </w:pPr>
      <w:r>
        <w:rPr>
          <w:spacing w:val="-5"/>
        </w:rPr>
        <w:t>金额计量的政府补助，直接计入当期损益。相关资产在使用寿命结束前被出售、转让、报废或发生毁损的，</w:t>
      </w:r>
      <w:r>
        <w:rPr>
          <w:spacing w:val="-8"/>
        </w:rPr>
        <w:t> </w:t>
      </w:r>
      <w:r>
        <w:rPr>
          <w:spacing w:val="-8"/>
        </w:rPr>
      </w:r>
      <w:r>
        <w:rPr/>
        <w:t>将尚未分配的相关递延收益余额转入资产处置当期的损益。</w:t>
      </w:r>
    </w:p>
    <w:p>
      <w:pPr>
        <w:pStyle w:val="BodyText"/>
        <w:spacing w:line="432" w:lineRule="exact" w:before="27"/>
        <w:ind w:left="573" w:right="1133"/>
        <w:jc w:val="left"/>
      </w:pPr>
      <w:r>
        <w:rPr/>
        <w:t>②与收益相关的政府补助</w:t>
      </w:r>
      <w:r>
        <w:rPr>
          <w:w w:val="100"/>
        </w:rPr>
        <w:t> </w:t>
      </w:r>
      <w:r>
        <w:rPr>
          <w:spacing w:val="-2"/>
        </w:rPr>
        <w:t>除与资产相关的政府补助之外的政府补助划分为与收益相关的政府补助。与收益相关的政府补助，分</w:t>
      </w:r>
    </w:p>
    <w:p>
      <w:pPr>
        <w:pStyle w:val="BodyText"/>
        <w:spacing w:line="255" w:lineRule="exact"/>
        <w:ind w:right="0"/>
        <w:jc w:val="both"/>
      </w:pPr>
      <w:r>
        <w:rPr/>
        <w:t>情况按照以下规定进行会计处理：</w:t>
      </w:r>
    </w:p>
    <w:p>
      <w:pPr>
        <w:pStyle w:val="BodyText"/>
        <w:spacing w:line="273" w:lineRule="auto" w:before="157"/>
        <w:ind w:right="1133" w:firstLine="420"/>
        <w:jc w:val="left"/>
      </w:pPr>
      <w:r>
        <w:rPr>
          <w:spacing w:val="-2"/>
        </w:rPr>
        <w:t>用于补偿本公司以后期间的相关成本费用或损失的，确认为递延收益，并在确认相关成本费用或损失</w:t>
      </w:r>
      <w:r>
        <w:rPr>
          <w:w w:val="100"/>
        </w:rPr>
        <w:t> </w:t>
      </w:r>
      <w:r>
        <w:rPr/>
        <w:t>的期间，计入当期损益；</w:t>
      </w:r>
    </w:p>
    <w:p>
      <w:pPr>
        <w:pStyle w:val="BodyText"/>
        <w:spacing w:line="432" w:lineRule="exact" w:before="27"/>
        <w:ind w:left="573" w:right="1133"/>
        <w:jc w:val="left"/>
      </w:pPr>
      <w:r>
        <w:rPr/>
        <w:t>用于补偿本公司已发生的相关成本费用或损失的，直接计入当期损益。</w:t>
      </w:r>
      <w:r>
        <w:rPr>
          <w:w w:val="100"/>
        </w:rPr>
        <w:t> </w:t>
      </w:r>
      <w:r>
        <w:rPr>
          <w:spacing w:val="-2"/>
        </w:rPr>
        <w:t>对于同时包含与资产相关部分和与收益相关部分的政府补助，区分不同部分分别进行会计处理；难以</w:t>
      </w:r>
    </w:p>
    <w:p>
      <w:pPr>
        <w:pStyle w:val="BodyText"/>
        <w:spacing w:line="255" w:lineRule="exact"/>
        <w:ind w:right="0"/>
        <w:jc w:val="both"/>
      </w:pPr>
      <w:r>
        <w:rPr/>
        <w:t>区分的，整体归类为与收益相关的政府补助。</w:t>
      </w:r>
    </w:p>
    <w:p>
      <w:pPr>
        <w:pStyle w:val="BodyText"/>
        <w:spacing w:line="271" w:lineRule="auto" w:before="157"/>
        <w:ind w:right="1133" w:firstLine="420"/>
        <w:jc w:val="left"/>
      </w:pPr>
      <w:r>
        <w:rPr>
          <w:spacing w:val="-2"/>
        </w:rPr>
        <w:t>与本公司日常活动相关的政府补助，按照经济业务实质，计入其他收益。与本公司日常活动无关的政</w:t>
      </w:r>
      <w:r>
        <w:rPr>
          <w:w w:val="100"/>
        </w:rPr>
        <w:t> </w:t>
      </w:r>
      <w:r>
        <w:rPr/>
        <w:t>府补助，计入营业外收支。</w:t>
      </w:r>
    </w:p>
    <w:p>
      <w:pPr>
        <w:spacing w:after="0" w:line="271"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left="573" w:right="1133"/>
        <w:jc w:val="left"/>
      </w:pPr>
      <w:r>
        <w:rPr/>
        <w:t>③政策性优惠贷款贴息</w:t>
      </w:r>
    </w:p>
    <w:p>
      <w:pPr>
        <w:pStyle w:val="BodyText"/>
        <w:spacing w:line="273" w:lineRule="auto" w:before="157"/>
        <w:ind w:right="1133" w:firstLine="420"/>
        <w:jc w:val="left"/>
      </w:pPr>
      <w:r>
        <w:rPr>
          <w:spacing w:val="-2"/>
        </w:rPr>
        <w:t>财政将贴息资金拨付给贷款银行，由贷款银行以政策性优惠利率向本公司提供贷款的，以实际收到的</w:t>
      </w:r>
      <w:r>
        <w:rPr>
          <w:w w:val="100"/>
        </w:rPr>
        <w:t> </w:t>
      </w:r>
      <w:r>
        <w:rPr/>
        <w:t>借款金额作为借款的入账价值，按照借款本金和该政策性优惠利率计算相关借款费用。</w:t>
      </w:r>
    </w:p>
    <w:p>
      <w:pPr>
        <w:pStyle w:val="BodyText"/>
        <w:spacing w:line="240" w:lineRule="auto" w:before="127"/>
        <w:ind w:left="573" w:right="1133"/>
        <w:jc w:val="left"/>
      </w:pPr>
      <w:r>
        <w:rPr/>
        <w:t>财政将贴息资金直接拨付给本公司，本公司将对应的贴息冲减相关借款费用。</w:t>
      </w:r>
    </w:p>
    <w:p>
      <w:pPr>
        <w:pStyle w:val="BodyText"/>
        <w:spacing w:line="430" w:lineRule="atLeast" w:before="2"/>
        <w:ind w:left="573" w:right="1133"/>
        <w:jc w:val="left"/>
      </w:pPr>
      <w:r>
        <w:rPr/>
        <w:t>④政府补助退回</w:t>
      </w:r>
      <w:r>
        <w:rPr>
          <w:spacing w:val="-103"/>
        </w:rPr>
        <w:t> </w:t>
      </w:r>
      <w:r>
        <w:rPr>
          <w:spacing w:val="-103"/>
        </w:rPr>
      </w:r>
      <w:r>
        <w:rPr>
          <w:spacing w:val="-2"/>
        </w:rPr>
        <w:t>已确认的政府补助需要返还时，初始确认时冲减相关资产账面价值的，调整资产账面价值；存在相关</w:t>
      </w:r>
    </w:p>
    <w:p>
      <w:pPr>
        <w:pStyle w:val="BodyText"/>
        <w:spacing w:line="273" w:lineRule="auto" w:before="37"/>
        <w:ind w:right="1133"/>
        <w:jc w:val="left"/>
      </w:pPr>
      <w:r>
        <w:rPr>
          <w:spacing w:val="-2"/>
        </w:rPr>
        <w:t>递延收益余额的，冲减相关递延收益账面余额，超出部分计入当期损益；属于其他情况的，直接计入当期</w:t>
      </w:r>
      <w:r>
        <w:rPr>
          <w:spacing w:val="-50"/>
        </w:rPr>
        <w:t> </w:t>
      </w:r>
      <w:r>
        <w:rPr>
          <w:spacing w:val="-50"/>
        </w:rPr>
      </w:r>
      <w:r>
        <w:rPr/>
        <w:t>损益。</w:t>
      </w:r>
    </w:p>
    <w:p>
      <w:pPr>
        <w:spacing w:line="616" w:lineRule="exact" w:before="60"/>
        <w:ind w:left="573" w:right="11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本公司通常根据资产与负债在资产负债表日的账面价值与计税基础之间的暂时性差异，采用资产负债</w:t>
      </w:r>
    </w:p>
    <w:p>
      <w:pPr>
        <w:pStyle w:val="BodyText"/>
        <w:spacing w:line="218" w:lineRule="exact"/>
        <w:ind w:right="1133"/>
        <w:jc w:val="left"/>
      </w:pPr>
      <w:r>
        <w:rPr>
          <w:spacing w:val="2"/>
        </w:rPr>
        <w:t>表债务法将应纳税暂时性差异或可抵扣暂时性差异对所得税的影响额确认和计量递延所得税负债或递延</w:t>
      </w:r>
    </w:p>
    <w:p>
      <w:pPr>
        <w:pStyle w:val="BodyText"/>
        <w:spacing w:line="240" w:lineRule="auto" w:before="37"/>
        <w:ind w:right="1133"/>
        <w:jc w:val="left"/>
      </w:pPr>
      <w:r>
        <w:rPr/>
        <w:t>所得税资产。本公司不对递延所得税资产和递延所得税负债进行折现。</w:t>
      </w:r>
    </w:p>
    <w:p>
      <w:pPr>
        <w:spacing w:line="357" w:lineRule="auto" w:before="15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对于可抵扣暂时性差异，其对所得税的影响额按预计转回期间的所得税税率计算，并将该影响额确认</w:t>
      </w:r>
    </w:p>
    <w:p>
      <w:pPr>
        <w:pStyle w:val="BodyText"/>
        <w:spacing w:line="209" w:lineRule="exact"/>
        <w:ind w:right="0"/>
        <w:jc w:val="left"/>
      </w:pPr>
      <w:r>
        <w:rPr/>
        <w:t>为递延所得税资产，但是以本公司很可能取得用来抵扣可抵扣暂时性差异、可抵扣亏损和税款抵减的未来</w:t>
      </w:r>
    </w:p>
    <w:p>
      <w:pPr>
        <w:pStyle w:val="BodyText"/>
        <w:spacing w:line="240" w:lineRule="auto" w:before="37"/>
        <w:ind w:right="1133"/>
        <w:jc w:val="left"/>
      </w:pPr>
      <w:r>
        <w:rPr/>
        <w:t>应纳税所得额为限。</w:t>
      </w:r>
    </w:p>
    <w:p>
      <w:pPr>
        <w:pStyle w:val="BodyText"/>
        <w:spacing w:line="273" w:lineRule="auto" w:before="157"/>
        <w:ind w:right="1133" w:firstLine="420"/>
        <w:jc w:val="left"/>
      </w:pPr>
      <w:r>
        <w:rPr>
          <w:spacing w:val="2"/>
        </w:rPr>
        <w:t>同时具有下列特征的交易或事项中因资产或负债的初始确认所产生的可抵扣暂时性差异对所得税的</w:t>
      </w:r>
      <w:r>
        <w:rPr>
          <w:w w:val="100"/>
        </w:rPr>
        <w:t> </w:t>
      </w:r>
      <w:r>
        <w:rPr/>
        <w:t>影响额不确认为递延所得税资产：</w:t>
      </w:r>
    </w:p>
    <w:p>
      <w:pPr>
        <w:pStyle w:val="BodyText"/>
        <w:spacing w:line="240" w:lineRule="auto" w:before="128"/>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该项交易不是企业合并；</w:t>
      </w:r>
    </w:p>
    <w:p>
      <w:pPr>
        <w:pStyle w:val="BodyText"/>
        <w:spacing w:line="357" w:lineRule="auto" w:before="141"/>
        <w:ind w:left="57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交易发生时既不影响会计利润也不影响应纳税所得额（或可抵扣亏损）。</w:t>
      </w:r>
      <w:r>
        <w:rPr>
          <w:w w:val="100"/>
        </w:rPr>
        <w:t> </w:t>
      </w:r>
      <w:r>
        <w:rPr>
          <w:spacing w:val="-2"/>
        </w:rPr>
        <w:t>本公司对与子公司、联营公司及合营企业投资相关的可抵扣暂时性差异，同时满足下列两项条件的，</w:t>
      </w:r>
    </w:p>
    <w:p>
      <w:pPr>
        <w:pStyle w:val="BodyText"/>
        <w:spacing w:line="209" w:lineRule="exact"/>
        <w:ind w:left="573" w:right="1133" w:hanging="420"/>
        <w:jc w:val="left"/>
      </w:pPr>
      <w:r>
        <w:rPr/>
        <w:t>其对所得税的影响额（才能）确认为递延所得税资产：</w:t>
      </w:r>
    </w:p>
    <w:p>
      <w:pPr>
        <w:pStyle w:val="BodyText"/>
        <w:spacing w:line="240" w:lineRule="auto" w:before="157"/>
        <w:ind w:left="57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暂时性差异在可预见的未来很可能转回；</w:t>
      </w:r>
    </w:p>
    <w:p>
      <w:pPr>
        <w:pStyle w:val="BodyText"/>
        <w:spacing w:line="357" w:lineRule="auto" w:before="141"/>
        <w:ind w:left="57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未来很可能获得用来抵扣可抵扣暂时性差异的应纳税所得额；</w:t>
      </w:r>
      <w:r>
        <w:rPr>
          <w:w w:val="100"/>
        </w:rPr>
        <w:t> </w:t>
      </w:r>
      <w:r>
        <w:rPr>
          <w:spacing w:val="-2"/>
        </w:rPr>
        <w:t>资产负债表日，有确凿证据表明未来期间很可能获得足够的应纳税所得额用来抵扣可抵扣暂时性差异</w:t>
      </w:r>
    </w:p>
    <w:p>
      <w:pPr>
        <w:pStyle w:val="BodyText"/>
        <w:spacing w:line="209" w:lineRule="exact"/>
        <w:ind w:right="1133"/>
        <w:jc w:val="left"/>
      </w:pPr>
      <w:r>
        <w:rPr/>
        <w:t>的，确认以前期间未确认的递延所得税资产。</w:t>
      </w:r>
    </w:p>
    <w:p>
      <w:pPr>
        <w:pStyle w:val="BodyText"/>
        <w:spacing w:line="273" w:lineRule="auto" w:before="157"/>
        <w:ind w:right="1126" w:firstLine="420"/>
        <w:jc w:val="both"/>
      </w:pPr>
      <w:r>
        <w:rPr>
          <w:spacing w:val="-2"/>
        </w:rPr>
        <w:t>在资产负债表日，本公司对递延所得税资产的账面价值进行复核。如果未来期间很可能无法获得足够</w:t>
      </w:r>
      <w:r>
        <w:rPr>
          <w:w w:val="100"/>
        </w:rPr>
        <w:t> </w:t>
      </w:r>
      <w:r>
        <w:rPr>
          <w:spacing w:val="-2"/>
        </w:rPr>
        <w:t>的应纳税所得额用以抵扣递延所得税资产的利益，减记递延所得税资产的账面价值。在很可能获得足够的</w:t>
      </w:r>
      <w:r>
        <w:rPr>
          <w:spacing w:val="-43"/>
        </w:rPr>
        <w:t> </w:t>
      </w:r>
      <w:r>
        <w:rPr>
          <w:spacing w:val="-43"/>
        </w:rPr>
      </w:r>
      <w:r>
        <w:rPr/>
        <w:t>应纳税所得额时，减记的金额予以转回。</w:t>
      </w:r>
    </w:p>
    <w:p>
      <w:pPr>
        <w:spacing w:line="357" w:lineRule="auto" w:before="1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本公司所有应纳税暂时性差异均按预计转回期间的所得税税率计量对所得税的影响，并将该影响额确</w:t>
      </w:r>
    </w:p>
    <w:p>
      <w:pPr>
        <w:pStyle w:val="BodyText"/>
        <w:spacing w:line="209" w:lineRule="exact"/>
        <w:ind w:right="1133"/>
        <w:jc w:val="left"/>
      </w:pPr>
      <w:r>
        <w:rPr/>
        <w:t>认为递延所得税负债，但下列情况的除外：</w:t>
      </w:r>
    </w:p>
    <w:p>
      <w:pPr>
        <w:pStyle w:val="BodyText"/>
        <w:spacing w:line="364" w:lineRule="auto" w:before="157"/>
        <w:ind w:left="573" w:right="1133"/>
        <w:jc w:val="left"/>
      </w:pPr>
      <w:r>
        <w:rPr/>
        <w:t>①因下列交易或事项中产生的应纳税暂时性差异对所得税的影响不确认为递延所得税负债：</w:t>
      </w:r>
      <w:r>
        <w:rPr>
          <w:w w:val="100"/>
        </w:rPr>
        <w:t> </w:t>
      </w: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w:t>
      </w:r>
    </w:p>
    <w:p>
      <w:pPr>
        <w:spacing w:after="0" w:line="364"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0"/>
        <w:jc w:val="both"/>
      </w:pPr>
      <w:r>
        <w:rPr/>
        <w:t>影响会计利润也不影响应纳税所得额或可抵扣亏损。</w:t>
      </w:r>
    </w:p>
    <w:p>
      <w:pPr>
        <w:pStyle w:val="BodyText"/>
        <w:spacing w:line="273" w:lineRule="auto" w:before="157"/>
        <w:ind w:right="1133" w:firstLine="420"/>
        <w:jc w:val="left"/>
      </w:pPr>
      <w:r>
        <w:rPr>
          <w:spacing w:val="-2"/>
        </w:rPr>
        <w:t>②本公司对与子公司、合营企业及联营企业投资相关的应纳税暂时性差异，其对所得税的影响额一般</w:t>
      </w:r>
      <w:r>
        <w:rPr>
          <w:w w:val="100"/>
        </w:rPr>
        <w:t> </w:t>
      </w:r>
      <w:r>
        <w:rPr/>
        <w:t>确认为递延所得税负债，但同时满足以下两项条件的除外：</w:t>
      </w:r>
    </w:p>
    <w:p>
      <w:pPr>
        <w:pStyle w:val="BodyText"/>
        <w:spacing w:line="357" w:lineRule="auto" w:before="127"/>
        <w:ind w:left="573" w:right="2113"/>
        <w:jc w:val="left"/>
      </w:pPr>
      <w:r>
        <w:rPr>
          <w:rFonts w:ascii="Times New Roman" w:hAnsi="Times New Roman" w:cs="Times New Roman" w:eastAsia="Times New Roman" w:hint="default"/>
        </w:rPr>
        <w:t>A.</w:t>
      </w:r>
      <w:r>
        <w:rPr/>
        <w:t>本公司能够控制暂时性差异转回的时间；</w:t>
      </w:r>
      <w:r>
        <w:rPr>
          <w:w w:val="100"/>
        </w:rPr>
        <w:t> </w:t>
      </w:r>
      <w:r>
        <w:rPr>
          <w:rFonts w:ascii="Times New Roman" w:hAnsi="Times New Roman" w:cs="Times New Roman" w:eastAsia="Times New Roman" w:hint="default"/>
          <w:spacing w:val="-2"/>
        </w:rPr>
        <w:t>B.</w:t>
      </w:r>
      <w:r>
        <w:rPr>
          <w:spacing w:val="-2"/>
        </w:rPr>
        <w:t>该暂时性差异在可预见的未来很可能不会转回。</w:t>
      </w:r>
    </w:p>
    <w:p>
      <w:pPr>
        <w:pStyle w:val="Heading3"/>
        <w:spacing w:line="240" w:lineRule="auto" w:before="27"/>
        <w:ind w:left="575" w:right="1133"/>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432" w:lineRule="exact" w:before="41"/>
        <w:ind w:left="573" w:right="1133"/>
        <w:jc w:val="left"/>
      </w:pPr>
      <w:r>
        <w:rPr/>
        <w:t>①与企业合并相关的递延所得税负债或资产</w:t>
      </w:r>
      <w:r>
        <w:rPr>
          <w:w w:val="100"/>
        </w:rPr>
        <w:t> </w:t>
      </w:r>
      <w:r>
        <w:rPr>
          <w:spacing w:val="-2"/>
        </w:rPr>
        <w:t>非同一控制下企业合并产生的应纳税暂时性差异或可抵扣暂时性差异，在确认递延所得税负债或递延</w:t>
      </w:r>
    </w:p>
    <w:p>
      <w:pPr>
        <w:pStyle w:val="BodyText"/>
        <w:spacing w:line="255" w:lineRule="exact"/>
        <w:ind w:right="0"/>
        <w:jc w:val="both"/>
      </w:pPr>
      <w:r>
        <w:rPr/>
        <w:t>所得税资产的同时，相关的递延所得税费用（或收益），通常调整企业合并中所确认的商誉。</w:t>
      </w:r>
    </w:p>
    <w:p>
      <w:pPr>
        <w:pStyle w:val="BodyText"/>
        <w:spacing w:line="430" w:lineRule="atLeast" w:before="2"/>
        <w:ind w:left="573" w:right="1133"/>
        <w:jc w:val="left"/>
      </w:pPr>
      <w:r>
        <w:rPr/>
        <w:t>②直接计入所有者权益的项目</w:t>
      </w:r>
      <w:r>
        <w:rPr>
          <w:w w:val="100"/>
        </w:rPr>
        <w:t> </w:t>
      </w:r>
      <w:r>
        <w:rPr>
          <w:spacing w:val="-2"/>
        </w:rPr>
        <w:t>与直接计入所有者权益的交易或者事项相关的当期所得税和递延所得税，计入所有者权益。暂时性差</w:t>
      </w:r>
    </w:p>
    <w:p>
      <w:pPr>
        <w:pStyle w:val="BodyText"/>
        <w:spacing w:line="273" w:lineRule="auto" w:before="37"/>
        <w:ind w:right="1104"/>
        <w:jc w:val="both"/>
      </w:pPr>
      <w:r>
        <w:rPr>
          <w:spacing w:val="-2"/>
        </w:rPr>
        <w:t>异对所得税的影响计入所有者权益的交易或事项包括：可供出售金融资产公允价值变动等形成的其他综合</w:t>
      </w:r>
      <w:r>
        <w:rPr>
          <w:spacing w:val="-43"/>
        </w:rPr>
        <w:t> </w:t>
      </w:r>
      <w:r>
        <w:rPr>
          <w:spacing w:val="-43"/>
        </w:rPr>
      </w:r>
      <w:r>
        <w:rPr>
          <w:spacing w:val="-2"/>
        </w:rPr>
        <w:t>收益、会计政策变更采用追溯调整法或对前期（重要）会计差错更正差异追溯重述法调整期初留存收益、</w:t>
      </w:r>
      <w:r>
        <w:rPr>
          <w:spacing w:val="-21"/>
        </w:rPr>
        <w:t> </w:t>
      </w:r>
      <w:r>
        <w:rPr>
          <w:spacing w:val="-21"/>
        </w:rPr>
      </w:r>
      <w:r>
        <w:rPr/>
        <w:t>同时包含负债成份及权益成份的混合金融工具在初始确认时计入所有者权益等。</w:t>
      </w:r>
    </w:p>
    <w:p>
      <w:pPr>
        <w:pStyle w:val="BodyText"/>
        <w:spacing w:line="240" w:lineRule="auto" w:before="127"/>
        <w:ind w:left="573" w:right="1133"/>
        <w:jc w:val="left"/>
      </w:pPr>
      <w:r>
        <w:rPr/>
        <w:t>③可弥补亏损和税款抵减</w:t>
      </w:r>
    </w:p>
    <w:p>
      <w:pPr>
        <w:pStyle w:val="BodyText"/>
        <w:spacing w:line="357" w:lineRule="auto" w:before="157"/>
        <w:ind w:left="573" w:right="1113"/>
        <w:jc w:val="left"/>
      </w:pPr>
      <w:r>
        <w:rPr>
          <w:rFonts w:ascii="Times New Roman" w:hAnsi="Times New Roman" w:cs="Times New Roman" w:eastAsia="Times New Roman" w:hint="default"/>
        </w:rPr>
        <w:t>A.</w:t>
      </w:r>
      <w:r>
        <w:rPr/>
        <w:t>本公司自身经营产生的可弥补亏损以及税款抵减</w:t>
      </w:r>
      <w:r>
        <w:rPr>
          <w:w w:val="100"/>
        </w:rPr>
        <w:t> </w:t>
      </w:r>
      <w:r>
        <w:rPr/>
        <w:t>可抵扣亏损是指按照税法规定计算确定的准予用以后年度的应纳税所得额弥补的亏损。</w:t>
      </w:r>
      <w:r>
        <w:rPr>
          <w:spacing w:val="85"/>
        </w:rPr>
        <w:t> </w:t>
      </w:r>
      <w:r>
        <w:rPr/>
        <w:t>对于按照税</w:t>
      </w:r>
    </w:p>
    <w:p>
      <w:pPr>
        <w:pStyle w:val="BodyText"/>
        <w:spacing w:line="209" w:lineRule="exact"/>
        <w:ind w:right="0"/>
        <w:jc w:val="both"/>
      </w:pPr>
      <w:r>
        <w:rPr/>
        <w:t>法规定可以结转以后年度的未弥补亏损（可抵扣亏损）和税款抵减，视同可抵扣暂时性差异处理。在预计</w:t>
      </w:r>
    </w:p>
    <w:p>
      <w:pPr>
        <w:pStyle w:val="BodyText"/>
        <w:spacing w:line="273" w:lineRule="auto" w:before="37"/>
        <w:ind w:right="1126"/>
        <w:jc w:val="both"/>
      </w:pPr>
      <w:r>
        <w:rPr>
          <w:spacing w:val="-2"/>
        </w:rPr>
        <w:t>可利用可弥补亏损或税款抵减的未来期间内很可能取得足够的应纳税所得额时，以很可能取得的应纳税所</w:t>
      </w:r>
      <w:r>
        <w:rPr>
          <w:spacing w:val="-43"/>
        </w:rPr>
        <w:t> </w:t>
      </w:r>
      <w:r>
        <w:rPr>
          <w:spacing w:val="-43"/>
        </w:rPr>
      </w:r>
      <w:r>
        <w:rPr/>
        <w:t>得额为限，确认相应的递延所得税资产，同时减少当期利润表中的所得税费用。</w:t>
      </w:r>
    </w:p>
    <w:p>
      <w:pPr>
        <w:pStyle w:val="BodyText"/>
        <w:spacing w:line="357" w:lineRule="auto" w:before="127"/>
        <w:ind w:left="573" w:right="1133"/>
        <w:jc w:val="left"/>
      </w:pPr>
      <w:r>
        <w:rPr>
          <w:rFonts w:ascii="Times New Roman" w:hAnsi="Times New Roman" w:cs="Times New Roman" w:eastAsia="Times New Roman" w:hint="default"/>
        </w:rPr>
        <w:t>B.</w:t>
      </w:r>
      <w:r>
        <w:rPr/>
        <w:t>因企业合并而形成的可弥补的被合并企业的未弥补亏损</w:t>
      </w:r>
      <w:r>
        <w:rPr>
          <w:w w:val="100"/>
        </w:rPr>
        <w:t> </w:t>
      </w:r>
      <w:r>
        <w:rPr>
          <w:spacing w:val="-2"/>
        </w:rPr>
        <w:t>在企业合并中，本公司取得被购买方的可抵扣暂时性差异，在购买日不符合递延所得税资产确认条件</w:t>
      </w:r>
    </w:p>
    <w:p>
      <w:pPr>
        <w:pStyle w:val="BodyText"/>
        <w:spacing w:line="225" w:lineRule="exact"/>
        <w:ind w:right="0"/>
        <w:jc w:val="both"/>
      </w:pPr>
      <w:r>
        <w:rPr/>
        <w:t>的，不予以确认。购买日后</w:t>
      </w:r>
      <w:r>
        <w:rPr>
          <w:rFonts w:ascii="Times New Roman" w:hAnsi="Times New Roman" w:cs="Times New Roman" w:eastAsia="Times New Roman" w:hint="default"/>
        </w:rPr>
        <w:t>12</w:t>
      </w:r>
      <w:r>
        <w:rPr/>
        <w:t>个月内，如取得新的或进一步的信息表明购买日的相关情况已经存在，预期</w:t>
      </w:r>
    </w:p>
    <w:p>
      <w:pPr>
        <w:pStyle w:val="BodyText"/>
        <w:spacing w:line="273" w:lineRule="auto" w:before="21"/>
        <w:ind w:right="1126"/>
        <w:jc w:val="both"/>
      </w:pP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432" w:lineRule="exact" w:before="27"/>
        <w:ind w:left="573" w:right="1133"/>
        <w:jc w:val="left"/>
      </w:pPr>
      <w:r>
        <w:rPr/>
        <w:t>④合并抵销形成的暂时性差异</w:t>
      </w:r>
      <w:r>
        <w:rPr>
          <w:w w:val="100"/>
        </w:rPr>
        <w:t> </w:t>
      </w:r>
      <w:r>
        <w:rPr>
          <w:spacing w:val="-2"/>
        </w:rPr>
        <w:t>本公司在编制合并财务报表时，因抵销未实现内部销售损益导致合并资产负债表中资产、负债的账面</w:t>
      </w:r>
    </w:p>
    <w:p>
      <w:pPr>
        <w:pStyle w:val="BodyText"/>
        <w:spacing w:line="255" w:lineRule="exact"/>
        <w:ind w:right="0"/>
        <w:jc w:val="both"/>
      </w:pPr>
      <w:r>
        <w:rPr/>
        <w:t>价值与其在所属纳税主体的计税基础之间产生暂时性差异的，在合并资产负债表中确认递延所得税资产或</w:t>
      </w:r>
    </w:p>
    <w:p>
      <w:pPr>
        <w:pStyle w:val="BodyText"/>
        <w:spacing w:line="273" w:lineRule="auto" w:before="37"/>
        <w:ind w:right="1126"/>
        <w:jc w:val="both"/>
      </w:pPr>
      <w:r>
        <w:rPr>
          <w:spacing w:val="-2"/>
        </w:rPr>
        <w:t>递延所得税负债，同时调整合并利润表中的所得税费用，但与直接计入所有者权益的交易或事项及企业合</w:t>
      </w:r>
      <w:r>
        <w:rPr>
          <w:spacing w:val="-43"/>
        </w:rPr>
        <w:t> </w:t>
      </w:r>
      <w:r>
        <w:rPr>
          <w:spacing w:val="-43"/>
        </w:rPr>
      </w:r>
      <w:r>
        <w:rPr/>
        <w:t>并相关的递延所得税除外。</w:t>
      </w:r>
    </w:p>
    <w:p>
      <w:pPr>
        <w:pStyle w:val="BodyText"/>
        <w:spacing w:line="432" w:lineRule="exact" w:before="27"/>
        <w:ind w:left="573" w:right="1133"/>
        <w:jc w:val="left"/>
      </w:pPr>
      <w:r>
        <w:rPr/>
        <w:t>⑤以权益结算的股份支付</w:t>
      </w:r>
      <w:r>
        <w:rPr>
          <w:w w:val="100"/>
        </w:rPr>
        <w:t> </w:t>
      </w:r>
      <w:r>
        <w:rPr>
          <w:spacing w:val="-2"/>
        </w:rPr>
        <w:t>如果税法规定与股份支付相关的支出允许税前扣除，在按照会计准则规定确认成本费用的期间内，本</w:t>
      </w:r>
    </w:p>
    <w:p>
      <w:pPr>
        <w:pStyle w:val="BodyText"/>
        <w:spacing w:line="255" w:lineRule="exact"/>
        <w:ind w:right="0"/>
        <w:jc w:val="both"/>
      </w:pPr>
      <w:r>
        <w:rPr/>
        <w:t>公司根据会计期末取得信息估计可税前扣除的金额计算确定其计税基础及由此产生的暂时性差异，符合确</w:t>
      </w:r>
    </w:p>
    <w:p>
      <w:pPr>
        <w:pStyle w:val="BodyText"/>
        <w:spacing w:line="273" w:lineRule="auto" w:before="37"/>
        <w:ind w:right="1126"/>
        <w:jc w:val="both"/>
      </w:pPr>
      <w:r>
        <w:rPr>
          <w:spacing w:val="-2"/>
        </w:rPr>
        <w:t>认条件的情况下确认相关的递延所得税。其中预计未来期间可税前扣除的金额超过按照会计准则规定确认</w:t>
      </w:r>
      <w:r>
        <w:rPr>
          <w:spacing w:val="-44"/>
        </w:rPr>
        <w:t> </w:t>
      </w:r>
      <w:r>
        <w:rPr>
          <w:spacing w:val="-44"/>
        </w:rPr>
      </w:r>
      <w:r>
        <w:rPr/>
        <w:t>的与股份支付相关的成本费用，超过部分的所得税影响应直接计入所得税权益。</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w:t>
      </w:r>
      <w:r>
        <w:rPr>
          <w:spacing w:val="-1"/>
        </w:rPr>
        <w:t> </w:t>
      </w:r>
      <w:r>
        <w:rPr/>
        <w:t>回购公司股份</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right="1128" w:firstLine="420"/>
        <w:jc w:val="both"/>
      </w:pPr>
      <w:r>
        <w:rPr/>
        <w:t>（</w:t>
      </w:r>
      <w:r>
        <w:rPr>
          <w:rFonts w:ascii="Times New Roman" w:hAnsi="Times New Roman" w:cs="Times New Roman" w:eastAsia="Times New Roman" w:hint="default"/>
        </w:rPr>
        <w:t>1</w:t>
      </w:r>
      <w:r>
        <w:rPr/>
        <w:t>）本公司按法定程序报经批准采用收购本公司股票方式减资的，按注销股票面值总额减少股本，</w:t>
      </w:r>
      <w:r>
        <w:rPr>
          <w:w w:val="100"/>
        </w:rPr>
        <w:t> </w:t>
      </w:r>
      <w:r>
        <w:rPr>
          <w:spacing w:val="-2"/>
        </w:rPr>
        <w:t>购回股票支付的价款（含交易费用）与股票面值的差额调整所有者权益，超过面值总额的部分，依次冲减</w:t>
      </w:r>
      <w:r>
        <w:rPr>
          <w:spacing w:val="-50"/>
        </w:rPr>
        <w:t> </w:t>
      </w:r>
      <w:r>
        <w:rPr>
          <w:spacing w:val="-50"/>
        </w:rPr>
      </w:r>
      <w:r>
        <w:rPr>
          <w:spacing w:val="-7"/>
        </w:rPr>
        <w:t>资本公积（股本溢价）、盈余公积和未分配利润；低于面值总额的，低于面值总额的部分增加资本公积（股</w:t>
      </w:r>
      <w:r>
        <w:rPr>
          <w:spacing w:val="-19"/>
        </w:rPr>
        <w:t> </w:t>
      </w:r>
      <w:r>
        <w:rPr>
          <w:spacing w:val="-19"/>
        </w:rPr>
      </w:r>
      <w:r>
        <w:rPr/>
        <w:t>本溢价）。</w:t>
      </w:r>
    </w:p>
    <w:p>
      <w:pPr>
        <w:pStyle w:val="BodyText"/>
        <w:spacing w:line="240" w:lineRule="auto" w:before="134"/>
        <w:ind w:left="573" w:right="0"/>
        <w:jc w:val="left"/>
      </w:pPr>
      <w:r>
        <w:rPr/>
        <w:t>（</w:t>
      </w:r>
      <w:r>
        <w:rPr>
          <w:rFonts w:ascii="Times New Roman" w:hAnsi="Times New Roman" w:cs="Times New Roman" w:eastAsia="Times New Roman" w:hint="default"/>
        </w:rPr>
        <w:t>2</w:t>
      </w:r>
      <w:r>
        <w:rPr/>
        <w:t>）公司回购的股份在注销或者转让之前，作为库存股管理，回购股份的全部支出转作库存股成本。</w:t>
      </w:r>
    </w:p>
    <w:p>
      <w:pPr>
        <w:pStyle w:val="BodyText"/>
        <w:spacing w:line="256" w:lineRule="auto" w:before="141"/>
        <w:ind w:right="1136" w:firstLine="420"/>
        <w:jc w:val="both"/>
      </w:pPr>
      <w:r>
        <w:rPr/>
        <w:t>（</w:t>
      </w:r>
      <w:r>
        <w:rPr>
          <w:rFonts w:ascii="Times New Roman" w:hAnsi="Times New Roman" w:cs="Times New Roman" w:eastAsia="Times New Roman" w:hint="default"/>
        </w:rPr>
        <w:t>3</w:t>
      </w:r>
      <w:r>
        <w:rPr/>
        <w:t>）库存股转让时，转让收入高于库存股成本的部分，增加资本公积（股本溢价）；低于库存股成</w:t>
      </w:r>
      <w:r>
        <w:rPr>
          <w:w w:val="100"/>
        </w:rPr>
        <w:t> </w:t>
      </w:r>
      <w:r>
        <w:rPr/>
        <w:t>本的部分，依次冲减资本公积（股本溢价）、盈余公积、未分配利润。</w:t>
      </w:r>
    </w:p>
    <w:p>
      <w:pPr>
        <w:spacing w:line="240" w:lineRule="auto" w:before="8"/>
        <w:rPr>
          <w:rFonts w:ascii="宋体" w:hAnsi="宋体" w:cs="宋体" w:eastAsia="宋体" w:hint="default"/>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r>
        <w:rPr/>
        <w:t>①本公司作为经营租赁承租人时，将经营租赁的租金支出，在租赁期内各个期间按照直线法或根据租</w:t>
      </w:r>
      <w:r>
        <w:rPr>
          <w:w w:val="100"/>
        </w:rPr>
        <w:t> </w:t>
      </w:r>
      <w:r>
        <w:rPr>
          <w:spacing w:val="-5"/>
        </w:rPr>
        <w:t>赁资产的使用量计入当期损益。出租人提供免租期的，本公司将租金总额在不扣除免租期的整个租赁期内， </w:t>
      </w:r>
      <w:r>
        <w:rPr>
          <w:spacing w:val="-5"/>
        </w:rPr>
      </w:r>
      <w:r>
        <w:rPr>
          <w:spacing w:val="-2"/>
        </w:rPr>
        <w:t>按直线法或其他合理的方法进行分摊，免租期内确认租金费用及相应的负债。出租人承担了承租人某些费</w:t>
      </w:r>
      <w:r>
        <w:rPr>
          <w:spacing w:val="-44"/>
        </w:rPr>
        <w:t> </w:t>
      </w:r>
      <w:r>
        <w:rPr>
          <w:spacing w:val="-44"/>
        </w:rPr>
      </w:r>
      <w:r>
        <w:rPr/>
        <w:t>用的，本公司按该费用从租金费用总额中扣除后的租金费用余额在租赁期内进行分摊。</w:t>
      </w:r>
    </w:p>
    <w:p>
      <w:pPr>
        <w:pStyle w:val="BodyText"/>
        <w:spacing w:line="240" w:lineRule="auto" w:before="127"/>
        <w:ind w:left="573" w:right="1133"/>
        <w:jc w:val="left"/>
      </w:pPr>
      <w:r>
        <w:rPr/>
        <w:t>初始直接费用，计入当期损益。如协议约定或有租金的在实际发生时计入当期损益。</w:t>
      </w:r>
    </w:p>
    <w:p>
      <w:pPr>
        <w:pStyle w:val="BodyText"/>
        <w:spacing w:line="273" w:lineRule="auto" w:before="157"/>
        <w:ind w:right="1126" w:firstLine="420"/>
        <w:jc w:val="both"/>
      </w:pPr>
      <w:r>
        <w:rPr>
          <w:spacing w:val="-2"/>
        </w:rPr>
        <w:t>②本公司作为经营租赁出租人时，采用直线法将收到的租金在租赁期内确认为收益。出租人提供免租</w:t>
      </w:r>
      <w:r>
        <w:rPr>
          <w:w w:val="100"/>
        </w:rPr>
        <w:t> </w:t>
      </w:r>
      <w:r>
        <w:rPr>
          <w:spacing w:val="-2"/>
        </w:rPr>
        <w:t>期的，出租人将租金总额在不扣除免租期的整个租赁期内，按直线法或其他合理的方法进行分配，免租期</w:t>
      </w:r>
      <w:r>
        <w:rPr>
          <w:spacing w:val="-44"/>
        </w:rPr>
        <w:t> </w:t>
      </w:r>
      <w:r>
        <w:rPr>
          <w:spacing w:val="-44"/>
        </w:rPr>
      </w:r>
      <w:r>
        <w:rPr>
          <w:spacing w:val="-2"/>
        </w:rPr>
        <w:t>内出租人也确认租金收入。承担了承租人某些费用的，本公司按该费用自租金收入总额中扣除后的租金收</w:t>
      </w:r>
      <w:r>
        <w:rPr>
          <w:spacing w:val="-44"/>
        </w:rPr>
        <w:t> </w:t>
      </w:r>
      <w:r>
        <w:rPr>
          <w:spacing w:val="-44"/>
        </w:rPr>
      </w:r>
      <w:r>
        <w:rPr/>
        <w:t>入余额在租赁期内进行分配。</w:t>
      </w:r>
    </w:p>
    <w:p>
      <w:pPr>
        <w:pStyle w:val="BodyText"/>
        <w:spacing w:line="273" w:lineRule="auto" w:before="127"/>
        <w:ind w:right="1125" w:firstLine="420"/>
        <w:jc w:val="both"/>
      </w:pPr>
      <w:r>
        <w:rPr>
          <w:spacing w:val="-2"/>
        </w:rPr>
        <w:t>初始直接费用，计入当期损益。金额较大的予以资本化，在整个经营租赁期内按照与确认租金收入相</w:t>
      </w:r>
      <w:r>
        <w:rPr>
          <w:w w:val="100"/>
        </w:rPr>
        <w:t> </w:t>
      </w:r>
      <w:r>
        <w:rPr/>
        <w:t>同的基础分期计入当期损益。如协议约定或有租金的在实际发生时计入当期收益。</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3" w:firstLine="420"/>
        <w:jc w:val="both"/>
      </w:pPr>
      <w:r>
        <w:rPr>
          <w:spacing w:val="-2"/>
        </w:rPr>
        <w:t>①本公司作为融资租赁承租人时，在租赁期开始日，将租赁开始日租赁资产公允价值与最低租赁付款</w:t>
      </w:r>
      <w:r>
        <w:rPr>
          <w:w w:val="100"/>
        </w:rPr>
        <w:t> </w:t>
      </w:r>
      <w:r>
        <w:rPr>
          <w:spacing w:val="-2"/>
        </w:rPr>
        <w:t>额现值两者中较低者作为租入资产的入账价值，将最低租赁付款额作为长期应付款的入账价值，其差额作</w:t>
      </w:r>
      <w:r>
        <w:rPr>
          <w:spacing w:val="-43"/>
        </w:rPr>
        <w:t> </w:t>
      </w:r>
      <w:r>
        <w:rPr>
          <w:spacing w:val="-43"/>
        </w:rPr>
      </w:r>
      <w:r>
        <w:rPr>
          <w:spacing w:val="-5"/>
        </w:rPr>
        <w:t>为未确认融资费用。在租赁期内各个期间采用实际利率法进行分摊，确认为当期融资费用，计入财务费用。</w:t>
      </w:r>
    </w:p>
    <w:p>
      <w:pPr>
        <w:pStyle w:val="BodyText"/>
        <w:spacing w:line="432" w:lineRule="exact" w:before="27"/>
        <w:ind w:left="573" w:right="1133"/>
        <w:jc w:val="left"/>
      </w:pPr>
      <w:r>
        <w:rPr/>
        <w:t>发生的初始直接费用，计入租入资产价值。</w:t>
      </w:r>
      <w:r>
        <w:rPr>
          <w:w w:val="100"/>
        </w:rPr>
        <w:t> </w:t>
      </w:r>
      <w:r>
        <w:rPr>
          <w:spacing w:val="-2"/>
        </w:rPr>
        <w:t>在计提融资租赁资产折旧时，本公司采用与自有应折旧资产相一致的折旧政策，折旧期间以租赁合同</w:t>
      </w:r>
    </w:p>
    <w:p>
      <w:pPr>
        <w:pStyle w:val="BodyText"/>
        <w:spacing w:line="255" w:lineRule="exact"/>
        <w:ind w:right="0"/>
        <w:jc w:val="left"/>
      </w:pPr>
      <w:r>
        <w:rPr/>
        <w:t>而定。如果能够合理确定租赁期届满时本公司将会取得租赁资产所有权，以租赁期开始日租赁资产的寿命</w:t>
      </w:r>
    </w:p>
    <w:p>
      <w:pPr>
        <w:pStyle w:val="BodyText"/>
        <w:spacing w:line="273" w:lineRule="auto" w:before="37"/>
        <w:ind w:right="1133"/>
        <w:jc w:val="left"/>
      </w:pPr>
      <w:r>
        <w:rPr>
          <w:spacing w:val="-2"/>
        </w:rPr>
        <w:t>作为折旧期间；如果无法合理确定租赁期届满后本公司是否能够取得租赁资产的所有权，以租赁期与租赁</w:t>
      </w:r>
      <w:r>
        <w:rPr>
          <w:spacing w:val="-43"/>
        </w:rPr>
        <w:t> </w:t>
      </w:r>
      <w:r>
        <w:rPr>
          <w:spacing w:val="-43"/>
        </w:rPr>
      </w:r>
      <w:r>
        <w:rPr/>
        <w:t>资产寿命两者中较短者作为折旧期间。</w:t>
      </w:r>
    </w:p>
    <w:p>
      <w:pPr>
        <w:pStyle w:val="BodyText"/>
        <w:spacing w:line="273" w:lineRule="auto" w:before="127"/>
        <w:ind w:right="1126" w:firstLine="420"/>
        <w:jc w:val="both"/>
      </w:pPr>
      <w:r>
        <w:rPr>
          <w:spacing w:val="-2"/>
        </w:rPr>
        <w:t>②本公司作为融资租赁出租人时，于租赁期开始日将租赁开始日最低租赁应收款额与初始直接费用之</w:t>
      </w:r>
      <w:r>
        <w:rPr>
          <w:w w:val="100"/>
        </w:rPr>
        <w:t> </w:t>
      </w:r>
      <w:r>
        <w:rPr>
          <w:spacing w:val="-2"/>
        </w:rPr>
        <w:t>和作为应收融资租赁款的入账价值，计入资产负债表的长期应收款，同时记录未担保余值；将最低租赁应</w:t>
      </w:r>
      <w:r>
        <w:rPr>
          <w:spacing w:val="-45"/>
        </w:rPr>
        <w:t> </w:t>
      </w:r>
      <w:r>
        <w:rPr>
          <w:spacing w:val="-45"/>
        </w:rPr>
      </w:r>
      <w:r>
        <w:rPr>
          <w:spacing w:val="-2"/>
        </w:rPr>
        <w:t>收款额、初始直接费用及未担保余值之和与其现值之和的差额作为未实现融资收益，在租赁期内各个期间</w:t>
      </w:r>
      <w:r>
        <w:rPr>
          <w:spacing w:val="-44"/>
        </w:rPr>
        <w:t> </w:t>
      </w:r>
      <w:r>
        <w:rPr>
          <w:spacing w:val="-44"/>
        </w:rPr>
      </w:r>
      <w:r>
        <w:rPr/>
        <w:t>采用实际利率法确认为租赁收入。</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w:t>
      </w:r>
      <w:r>
        <w:rPr>
          <w:spacing w:val="-1"/>
        </w:rPr>
        <w:t> </w:t>
      </w:r>
      <w:r>
        <w:rPr/>
        <w:t>回购公司股份</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right="1128" w:firstLine="480"/>
        <w:jc w:val="both"/>
      </w:pPr>
      <w:r>
        <w:rPr>
          <w:spacing w:val="-1"/>
        </w:rPr>
        <w:t>（</w:t>
      </w:r>
      <w:r>
        <w:rPr>
          <w:rFonts w:ascii="Times New Roman" w:hAnsi="Times New Roman" w:cs="Times New Roman" w:eastAsia="Times New Roman" w:hint="default"/>
          <w:spacing w:val="-1"/>
        </w:rPr>
        <w:t>1</w:t>
      </w:r>
      <w:r>
        <w:rPr>
          <w:spacing w:val="-1"/>
        </w:rPr>
        <w:t>）本公司按法定程序报经批准采用收购本公司股票方式减资的，按注销股票面值总额减少股本，</w:t>
      </w:r>
      <w:r>
        <w:rPr>
          <w:w w:val="100"/>
        </w:rPr>
        <w:t> </w:t>
      </w:r>
      <w:r>
        <w:rPr>
          <w:spacing w:val="-2"/>
        </w:rPr>
        <w:t>购回股票支付的价款（含交易费用）与股票面值的差额调整所有者权益，超过面值总额的部分，依次冲减</w:t>
      </w:r>
      <w:r>
        <w:rPr>
          <w:spacing w:val="-50"/>
        </w:rPr>
        <w:t> </w:t>
      </w:r>
      <w:r>
        <w:rPr>
          <w:spacing w:val="-50"/>
        </w:rPr>
      </w:r>
      <w:r>
        <w:rPr>
          <w:spacing w:val="-7"/>
        </w:rPr>
        <w:t>资本公积（股本溢价）、盈余公积和未分配利润；低于面值总额的，低于面值总额的部分增加资本公积（股</w:t>
      </w:r>
      <w:r>
        <w:rPr>
          <w:spacing w:val="-19"/>
        </w:rPr>
        <w:t> </w:t>
      </w:r>
      <w:r>
        <w:rPr>
          <w:spacing w:val="-19"/>
        </w:rPr>
      </w:r>
      <w:r>
        <w:rPr/>
        <w:t>本溢价）。</w:t>
      </w:r>
    </w:p>
    <w:p>
      <w:pPr>
        <w:pStyle w:val="BodyText"/>
        <w:spacing w:line="240" w:lineRule="auto" w:before="134"/>
        <w:ind w:left="633" w:right="0"/>
        <w:jc w:val="left"/>
      </w:pPr>
      <w:r>
        <w:rPr>
          <w:spacing w:val="-4"/>
        </w:rPr>
        <w:t>（</w:t>
      </w:r>
      <w:r>
        <w:rPr>
          <w:rFonts w:ascii="Times New Roman" w:hAnsi="Times New Roman" w:cs="Times New Roman" w:eastAsia="Times New Roman" w:hint="default"/>
          <w:spacing w:val="-4"/>
        </w:rPr>
        <w:t>2</w:t>
      </w:r>
      <w:r>
        <w:rPr>
          <w:spacing w:val="-4"/>
        </w:rPr>
        <w:t>）公司回购的股份在注销或者转让之前，作为库存股管理，回购股份的全部支出转作库存股成本。</w:t>
      </w:r>
    </w:p>
    <w:p>
      <w:pPr>
        <w:pStyle w:val="BodyText"/>
        <w:spacing w:line="256" w:lineRule="auto" w:before="141"/>
        <w:ind w:right="1128" w:firstLine="480"/>
        <w:jc w:val="both"/>
      </w:pPr>
      <w:r>
        <w:rPr>
          <w:spacing w:val="-1"/>
        </w:rPr>
        <w:t>（</w:t>
      </w:r>
      <w:r>
        <w:rPr>
          <w:rFonts w:ascii="Times New Roman" w:hAnsi="Times New Roman" w:cs="Times New Roman" w:eastAsia="Times New Roman" w:hint="default"/>
          <w:spacing w:val="-1"/>
        </w:rPr>
        <w:t>3</w:t>
      </w:r>
      <w:r>
        <w:rPr>
          <w:spacing w:val="-1"/>
        </w:rPr>
        <w:t>）库存股转让时，转让收入高于库存股成本的部分，增加资本公积（股本溢价）；低于库存股成</w:t>
      </w:r>
      <w:r>
        <w:rPr>
          <w:w w:val="100"/>
        </w:rPr>
        <w:t> </w:t>
      </w:r>
      <w:r>
        <w:rPr/>
        <w:t>本的部分，依次冲减资本公积（股本溢价）、盈余公积、未分配利润。</w:t>
      </w:r>
    </w:p>
    <w:p>
      <w:pPr>
        <w:spacing w:line="240" w:lineRule="auto" w:before="8"/>
        <w:rPr>
          <w:rFonts w:ascii="宋体" w:hAnsi="宋体" w:cs="宋体" w:eastAsia="宋体" w:hint="default"/>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1"/>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日发布了《关</w:t>
            </w:r>
          </w:p>
          <w:p>
            <w:pPr>
              <w:pStyle w:val="TableParagraph"/>
              <w:spacing w:line="309"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6"/>
                <w:sz w:val="18"/>
                <w:szCs w:val="18"/>
              </w:rPr>
              <w:t>格式的通知》（财会</w:t>
            </w:r>
            <w:r>
              <w:rPr>
                <w:rFonts w:ascii="Times New Roman" w:hAnsi="Times New Roman" w:cs="Times New Roman" w:eastAsia="Times New Roman" w:hint="default"/>
                <w:spacing w:val="-6"/>
                <w:sz w:val="18"/>
                <w:szCs w:val="18"/>
              </w:rPr>
              <w:t>[2019]6</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号），要求对</w:t>
            </w:r>
            <w:r>
              <w:rPr>
                <w:rFonts w:ascii="宋体" w:hAnsi="宋体" w:cs="宋体" w:eastAsia="宋体" w:hint="default"/>
                <w:sz w:val="18"/>
                <w:szCs w:val="18"/>
              </w:rPr>
              <w:t> 已执行新金融准则但未执行新收入准则 和新租赁准则的企业应当按照企业会计 准则和通知要求编制财务报表。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日，公司第三届董事会第</w:t>
            </w:r>
            <w:r>
              <w:rPr>
                <w:rFonts w:ascii="宋体" w:hAnsi="宋体" w:cs="宋体" w:eastAsia="宋体" w:hint="default"/>
                <w:sz w:val="18"/>
                <w:szCs w:val="18"/>
              </w:rPr>
              <w:t> 六次会议、第三届监事会第五次会议审 </w:t>
            </w:r>
            <w:r>
              <w:rPr>
                <w:rFonts w:ascii="宋体" w:hAnsi="宋体" w:cs="宋体" w:eastAsia="宋体" w:hint="default"/>
                <w:spacing w:val="-6"/>
                <w:sz w:val="18"/>
                <w:szCs w:val="18"/>
              </w:rPr>
              <w:t>议通过了《关于会计政策变更的议案》，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同意公司相关会计政策的变更。公司独 立董事发表了同意的独立意见。详见公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日在巨潮资讯网</w:t>
            </w:r>
          </w:p>
          <w:p>
            <w:pPr>
              <w:pStyle w:val="TableParagraph"/>
              <w:spacing w:line="300" w:lineRule="auto" w:before="1"/>
              <w:ind w:left="23" w:right="79"/>
              <w:jc w:val="left"/>
              <w:rPr>
                <w:rFonts w:ascii="宋体" w:hAnsi="宋体" w:cs="宋体" w:eastAsia="宋体" w:hint="default"/>
                <w:sz w:val="18"/>
                <w:szCs w:val="18"/>
              </w:rPr>
            </w:pPr>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）上披露的《关于</w:t>
            </w:r>
            <w:r>
              <w:rPr>
                <w:rFonts w:ascii="宋体" w:hAnsi="宋体" w:cs="宋体" w:eastAsia="宋体" w:hint="default"/>
                <w:spacing w:val="-83"/>
                <w:sz w:val="18"/>
                <w:szCs w:val="18"/>
              </w:rPr>
              <w:t> </w:t>
            </w:r>
            <w:r>
              <w:rPr>
                <w:rFonts w:ascii="宋体" w:hAnsi="宋体" w:cs="宋体" w:eastAsia="宋体" w:hint="default"/>
                <w:spacing w:val="-9"/>
                <w:sz w:val="18"/>
                <w:szCs w:val="18"/>
              </w:rPr>
              <w:t>会计政策变更的公告》。</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年度陆续修订并发布了</w:t>
            </w:r>
          </w:p>
          <w:p>
            <w:pPr>
              <w:pStyle w:val="TableParagraph"/>
              <w:spacing w:line="300" w:lineRule="auto" w:before="63"/>
              <w:ind w:left="24" w:right="-41"/>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 </w:t>
            </w:r>
            <w:r>
              <w:rPr>
                <w:rFonts w:ascii="宋体" w:hAnsi="宋体" w:cs="宋体" w:eastAsia="宋体" w:hint="default"/>
                <w:spacing w:val="-10"/>
                <w:sz w:val="18"/>
                <w:szCs w:val="18"/>
              </w:rPr>
              <w:t>和计量》（财会</w:t>
            </w:r>
            <w:r>
              <w:rPr>
                <w:rFonts w:ascii="Times New Roman" w:hAnsi="Times New Roman" w:cs="Times New Roman" w:eastAsia="Times New Roman" w:hint="default"/>
                <w:spacing w:val="-10"/>
                <w:sz w:val="18"/>
                <w:szCs w:val="18"/>
              </w:rPr>
              <w:t>[2017]7</w:t>
            </w:r>
            <w:r>
              <w:rPr>
                <w:rFonts w:ascii="Times New Roman" w:hAnsi="Times New Roman" w:cs="Times New Roman" w:eastAsia="Times New Roman" w:hint="default"/>
                <w:sz w:val="18"/>
                <w:szCs w:val="18"/>
              </w:rPr>
              <w:t> </w:t>
            </w:r>
            <w:r>
              <w:rPr>
                <w:rFonts w:ascii="宋体" w:hAnsi="宋体" w:cs="宋体" w:eastAsia="宋体" w:hint="default"/>
                <w:spacing w:val="-26"/>
                <w:sz w:val="18"/>
                <w:szCs w:val="18"/>
              </w:rPr>
              <w:t>号）、《企业会计准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则第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2"/>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金融资产转移（》财会</w:t>
            </w:r>
            <w:r>
              <w:rPr>
                <w:rFonts w:ascii="Times New Roman" w:hAnsi="Times New Roman" w:cs="Times New Roman" w:eastAsia="Times New Roman" w:hint="default"/>
                <w:spacing w:val="-10"/>
                <w:sz w:val="18"/>
                <w:szCs w:val="18"/>
              </w:rPr>
              <w:t>[2017]8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11"/>
                <w:sz w:val="18"/>
                <w:szCs w:val="18"/>
              </w:rPr>
              <w:t>号）、企业会计准则第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套期会计》</w:t>
            </w:r>
            <w:r>
              <w:rPr>
                <w:rFonts w:ascii="宋体" w:hAnsi="宋体" w:cs="宋体" w:eastAsia="宋体" w:hint="default"/>
                <w:sz w:val="18"/>
                <w:szCs w:val="18"/>
              </w:rPr>
            </w:r>
          </w:p>
          <w:p>
            <w:pPr>
              <w:pStyle w:val="TableParagraph"/>
              <w:spacing w:line="307" w:lineRule="auto" w:before="13"/>
              <w:ind w:left="24" w:right="11"/>
              <w:jc w:val="left"/>
              <w:rPr>
                <w:rFonts w:ascii="宋体" w:hAnsi="宋体" w:cs="宋体" w:eastAsia="宋体" w:hint="default"/>
                <w:sz w:val="18"/>
                <w:szCs w:val="18"/>
              </w:rPr>
            </w:pP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[2017]9</w:t>
            </w:r>
            <w:r>
              <w:rPr>
                <w:rFonts w:ascii="Times New Roman" w:hAnsi="Times New Roman" w:cs="Times New Roman" w:eastAsia="Times New Roman" w:hint="default"/>
                <w:spacing w:val="6"/>
                <w:sz w:val="18"/>
                <w:szCs w:val="18"/>
              </w:rPr>
              <w:t> </w:t>
            </w:r>
            <w:r>
              <w:rPr>
                <w:rFonts w:ascii="宋体" w:hAnsi="宋体" w:cs="宋体" w:eastAsia="宋体" w:hint="default"/>
                <w:spacing w:val="-21"/>
                <w:sz w:val="18"/>
                <w:szCs w:val="18"/>
              </w:rPr>
              <w:t>号）、《企业会计准则第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43"/>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金融工具列报》（财会</w:t>
            </w:r>
            <w:r>
              <w:rPr>
                <w:rFonts w:ascii="Times New Roman" w:hAnsi="Times New Roman" w:cs="Times New Roman" w:eastAsia="Times New Roman" w:hint="default"/>
                <w:spacing w:val="-5"/>
                <w:sz w:val="18"/>
                <w:szCs w:val="18"/>
              </w:rPr>
              <w:t>[2017]14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等四项金融工具相关会计准则，要求境 内上市企业自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日起执行新</w:t>
            </w:r>
          </w:p>
          <w:p>
            <w:pPr>
              <w:pStyle w:val="TableParagraph"/>
              <w:spacing w:line="309" w:lineRule="auto" w:before="7"/>
              <w:ind w:left="24" w:right="42"/>
              <w:jc w:val="both"/>
              <w:rPr>
                <w:rFonts w:ascii="宋体" w:hAnsi="宋体" w:cs="宋体" w:eastAsia="宋体" w:hint="default"/>
                <w:sz w:val="18"/>
                <w:szCs w:val="18"/>
              </w:rPr>
            </w:pPr>
            <w:r>
              <w:rPr>
                <w:rFonts w:ascii="宋体" w:hAnsi="宋体" w:cs="宋体" w:eastAsia="宋体" w:hint="default"/>
                <w:sz w:val="18"/>
                <w:szCs w:val="18"/>
              </w:rPr>
              <w:t>金融工具准则。本公司于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日执行上述新金融工具准则，对会计政 策的相关内容进行调整。</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6"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日，公司第三届董事会第</w:t>
            </w:r>
            <w:r>
              <w:rPr>
                <w:rFonts w:ascii="宋体" w:hAnsi="宋体" w:cs="宋体" w:eastAsia="宋体" w:hint="default"/>
                <w:sz w:val="18"/>
                <w:szCs w:val="18"/>
              </w:rPr>
              <w:t> 二次会议、第三届监事会第二次会议审 </w:t>
            </w:r>
            <w:r>
              <w:rPr>
                <w:rFonts w:ascii="宋体" w:hAnsi="宋体" w:cs="宋体" w:eastAsia="宋体" w:hint="default"/>
                <w:spacing w:val="-6"/>
                <w:sz w:val="18"/>
                <w:szCs w:val="18"/>
              </w:rPr>
              <w:t>议通过了《关于会计政策变更的议案》，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同意公司相关会计政策的变更。公司独 立董事发表了同意的独立意见。详见公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日在巨潮资讯网</w:t>
            </w:r>
          </w:p>
          <w:p>
            <w:pPr>
              <w:pStyle w:val="TableParagraph"/>
              <w:spacing w:line="300" w:lineRule="auto" w:before="1"/>
              <w:ind w:left="16" w:right="79"/>
              <w:jc w:val="left"/>
              <w:rPr>
                <w:rFonts w:ascii="宋体" w:hAnsi="宋体" w:cs="宋体" w:eastAsia="宋体" w:hint="default"/>
                <w:sz w:val="18"/>
                <w:szCs w:val="18"/>
              </w:rPr>
            </w:pPr>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）上披露的《关于</w:t>
            </w:r>
            <w:r>
              <w:rPr>
                <w:rFonts w:ascii="宋体" w:hAnsi="宋体" w:cs="宋体" w:eastAsia="宋体" w:hint="default"/>
                <w:spacing w:val="-83"/>
                <w:sz w:val="18"/>
                <w:szCs w:val="18"/>
              </w:rPr>
              <w:t> </w:t>
            </w:r>
            <w:r>
              <w:rPr>
                <w:rFonts w:ascii="宋体" w:hAnsi="宋体" w:cs="宋体" w:eastAsia="宋体" w:hint="default"/>
                <w:spacing w:val="-9"/>
                <w:sz w:val="18"/>
                <w:szCs w:val="18"/>
              </w:rPr>
              <w:t>会计政策变更的公告》。</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2" w:lineRule="exact"/>
              <w:ind w:left="16" w:right="-29"/>
              <w:jc w:val="left"/>
              <w:rPr>
                <w:rFonts w:ascii="宋体" w:hAnsi="宋体" w:cs="宋体" w:eastAsia="宋体" w:hint="default"/>
                <w:sz w:val="20"/>
                <w:szCs w:val="20"/>
              </w:rPr>
            </w:pPr>
            <w:r>
              <w:rPr>
                <w:rFonts w:ascii="宋体" w:hAnsi="宋体" w:cs="宋体" w:eastAsia="宋体" w:hint="default"/>
                <w:position w:val="-5"/>
                <w:sz w:val="20"/>
                <w:szCs w:val="20"/>
              </w:rPr>
              <w:pict>
                <v:group style="width:156.65pt;height:15.6pt;mso-position-horizontal-relative:char;mso-position-vertical-relative:line" coordorigin="0,0" coordsize="3133,312">
                  <v:group style="position:absolute;left:0;top:0;width:3133;height:312" coordorigin="0,0" coordsize="3133,312">
                    <v:shape style="position:absolute;left:0;top:0;width:3133;height:312" coordorigin="0,0" coordsize="3133,312" path="m0,312l3132,312,313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日发布了《关于</w:t>
            </w:r>
          </w:p>
          <w:p>
            <w:pPr>
              <w:pStyle w:val="TableParagraph"/>
              <w:spacing w:line="307" w:lineRule="auto" w:before="6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 </w:t>
            </w:r>
            <w:r>
              <w:rPr>
                <w:rFonts w:ascii="宋体" w:hAnsi="宋体" w:cs="宋体" w:eastAsia="宋体" w:hint="default"/>
                <w:spacing w:val="-5"/>
                <w:sz w:val="18"/>
                <w:szCs w:val="18"/>
              </w:rPr>
              <w:t>币性资产交换</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[2019]8</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pacing w:val="-6"/>
                <w:sz w:val="18"/>
                <w:szCs w:val="18"/>
              </w:rPr>
              <w:t>号），要求所有执行企业会计准则的企业</w:t>
            </w:r>
            <w:r>
              <w:rPr>
                <w:rFonts w:ascii="宋体" w:hAnsi="宋体" w:cs="宋体" w:eastAsia="宋体" w:hint="default"/>
                <w:sz w:val="18"/>
                <w:szCs w:val="18"/>
              </w:rPr>
              <w:t> </w:t>
            </w:r>
            <w:r>
              <w:rPr>
                <w:rFonts w:ascii="宋体" w:hAnsi="宋体" w:cs="宋体" w:eastAsia="宋体" w:hint="default"/>
                <w:spacing w:val="-7"/>
                <w:sz w:val="18"/>
                <w:szCs w:val="18"/>
              </w:rPr>
              <w:t>施行修订后的《企业会计准则第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日，公司第三届董事会 第八次会议、第三届监事会第七次会议 审议通过了《关于会计政策变更的议 </w:t>
            </w:r>
            <w:r>
              <w:rPr>
                <w:rFonts w:ascii="宋体" w:hAnsi="宋体" w:cs="宋体" w:eastAsia="宋体" w:hint="default"/>
                <w:spacing w:val="-7"/>
                <w:sz w:val="18"/>
                <w:szCs w:val="18"/>
              </w:rPr>
              <w:t>案》，同意公司相关会计政策的变更。公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司独立董事发表了同意的独立意见。详 见公司于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日在巨潮资讯</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5"/>
        <w:gridCol w:w="3188"/>
        <w:gridCol w:w="3191"/>
      </w:tblGrid>
      <w:tr>
        <w:trPr>
          <w:trHeight w:val="473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6"/>
              <w:jc w:val="left"/>
              <w:rPr>
                <w:rFonts w:ascii="宋体" w:hAnsi="宋体" w:cs="宋体" w:eastAsia="宋体" w:hint="default"/>
                <w:sz w:val="18"/>
                <w:szCs w:val="18"/>
              </w:rPr>
            </w:pPr>
            <w:r>
              <w:rPr>
                <w:rFonts w:ascii="宋体" w:hAnsi="宋体" w:cs="宋体" w:eastAsia="宋体" w:hint="default"/>
                <w:spacing w:val="-2"/>
                <w:sz w:val="18"/>
                <w:szCs w:val="18"/>
              </w:rPr>
              <w:t>日发布了《关于印发修订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w:t>
            </w:r>
            <w:r>
              <w:rPr>
                <w:rFonts w:ascii="宋体" w:hAnsi="宋体" w:cs="宋体" w:eastAsia="宋体" w:hint="default"/>
                <w:spacing w:val="-83"/>
                <w:sz w:val="18"/>
                <w:szCs w:val="18"/>
              </w:rPr>
              <w:t> </w:t>
            </w:r>
            <w:r>
              <w:rPr>
                <w:rFonts w:ascii="宋体" w:hAnsi="宋体" w:cs="宋体" w:eastAsia="宋体" w:hint="default"/>
                <w:sz w:val="18"/>
                <w:szCs w:val="18"/>
              </w:rPr>
              <w:t>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债务重组</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的通知》（财会</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9</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号</w:t>
            </w:r>
            <w:r>
              <w:rPr>
                <w:rFonts w:ascii="宋体" w:hAnsi="宋体" w:cs="宋体" w:eastAsia="宋体" w:hint="default"/>
                <w:spacing w:val="-92"/>
                <w:w w:val="99"/>
                <w:sz w:val="18"/>
                <w:szCs w:val="18"/>
              </w:rPr>
              <w:t>）</w:t>
            </w:r>
            <w:r>
              <w:rPr>
                <w:rFonts w:ascii="宋体" w:hAnsi="宋体" w:cs="宋体" w:eastAsia="宋体" w:hint="default"/>
                <w:spacing w:val="-89"/>
                <w:w w:val="99"/>
                <w:sz w:val="18"/>
                <w:szCs w:val="18"/>
              </w:rPr>
              <w:t>，</w:t>
            </w:r>
            <w:r>
              <w:rPr>
                <w:rFonts w:ascii="宋体" w:hAnsi="宋体" w:cs="宋体" w:eastAsia="宋体" w:hint="default"/>
                <w:w w:val="99"/>
                <w:sz w:val="18"/>
                <w:szCs w:val="18"/>
              </w:rPr>
              <w:t>要求所有执行企</w:t>
            </w:r>
            <w:r>
              <w:rPr>
                <w:rFonts w:ascii="宋体" w:hAnsi="宋体" w:cs="宋体" w:eastAsia="宋体" w:hint="default"/>
                <w:spacing w:val="-3"/>
                <w:w w:val="99"/>
                <w:sz w:val="18"/>
                <w:szCs w:val="18"/>
              </w:rPr>
              <w:t>业</w:t>
            </w:r>
            <w:r>
              <w:rPr>
                <w:rFonts w:ascii="宋体" w:hAnsi="宋体" w:cs="宋体" w:eastAsia="宋体" w:hint="default"/>
                <w:w w:val="99"/>
                <w:sz w:val="18"/>
                <w:szCs w:val="18"/>
              </w:rPr>
              <w:t>会计准则</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的企业施行修订后的《企业会计准则第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307" w:lineRule="auto" w:before="63"/>
              <w:ind w:left="24" w:right="19"/>
              <w:jc w:val="left"/>
              <w:rPr>
                <w:rFonts w:ascii="宋体" w:hAnsi="宋体" w:cs="宋体" w:eastAsia="宋体" w:hint="default"/>
                <w:sz w:val="18"/>
                <w:szCs w:val="18"/>
              </w:rPr>
            </w:pP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债务重组》；于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发布了《关于修订印发合并财务报表格 式（</w:t>
            </w:r>
            <w:r>
              <w:rPr>
                <w:rFonts w:ascii="Times New Roman" w:hAnsi="Times New Roman" w:cs="Times New Roman" w:eastAsia="Times New Roman" w:hint="default"/>
                <w:sz w:val="18"/>
                <w:szCs w:val="18"/>
              </w:rPr>
              <w:t>2019 </w:t>
            </w:r>
            <w:r>
              <w:rPr>
                <w:rFonts w:ascii="宋体" w:hAnsi="宋体" w:cs="宋体" w:eastAsia="宋体" w:hint="default"/>
                <w:spacing w:val="-6"/>
                <w:sz w:val="18"/>
                <w:szCs w:val="18"/>
              </w:rPr>
              <w:t>版）的通知》（财会</w:t>
            </w:r>
            <w:r>
              <w:rPr>
                <w:rFonts w:ascii="Times New Roman" w:hAnsi="Times New Roman" w:cs="Times New Roman" w:eastAsia="Times New Roman" w:hint="default"/>
                <w:spacing w:val="-6"/>
                <w:sz w:val="18"/>
                <w:szCs w:val="18"/>
              </w:rPr>
              <w:t>[2019]16</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pacing w:val="-6"/>
                <w:w w:val="100"/>
                <w:sz w:val="18"/>
                <w:szCs w:val="18"/>
              </w:rPr>
              <w:t>号）（以下简称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财会</w:t>
            </w:r>
            <w:r>
              <w:rPr>
                <w:rFonts w:ascii="Times New Roman" w:hAnsi="Times New Roman" w:cs="Times New Roman" w:eastAsia="Times New Roman" w:hint="default"/>
                <w:spacing w:val="-6"/>
                <w:w w:val="100"/>
                <w:sz w:val="18"/>
                <w:szCs w:val="18"/>
              </w:rPr>
              <w:t>[2019]16</w:t>
            </w:r>
            <w:r>
              <w:rPr>
                <w:rFonts w:ascii="Times New Roman" w:hAnsi="Times New Roman" w:cs="Times New Roman" w:eastAsia="Times New Roman" w:hint="default"/>
                <w:spacing w:val="7"/>
                <w:w w:val="100"/>
                <w:sz w:val="18"/>
                <w:szCs w:val="18"/>
              </w:rPr>
              <w:t> </w:t>
            </w:r>
            <w:r>
              <w:rPr>
                <w:rFonts w:ascii="宋体" w:hAnsi="宋体" w:cs="宋体" w:eastAsia="宋体" w:hint="default"/>
                <w:spacing w:val="-31"/>
                <w:w w:val="100"/>
                <w:sz w:val="18"/>
                <w:szCs w:val="18"/>
              </w:rPr>
              <w:t>号文件</w:t>
            </w:r>
            <w:r>
              <w:rPr>
                <w:rFonts w:ascii="Times New Roman" w:hAnsi="Times New Roman" w:cs="Times New Roman" w:eastAsia="Times New Roman" w:hint="default"/>
                <w:spacing w:val="-31"/>
                <w:w w:val="100"/>
                <w:sz w:val="18"/>
                <w:szCs w:val="18"/>
              </w:rPr>
              <w:t>”</w:t>
            </w:r>
            <w:r>
              <w:rPr>
                <w:rFonts w:ascii="宋体" w:hAnsi="宋体" w:cs="宋体" w:eastAsia="宋体" w:hint="default"/>
                <w:spacing w:val="-31"/>
                <w:w w:val="100"/>
                <w:sz w:val="18"/>
                <w:szCs w:val="18"/>
              </w:rPr>
              <w:t>），</w:t>
            </w:r>
            <w:r>
              <w:rPr>
                <w:rFonts w:ascii="宋体" w:hAnsi="宋体" w:cs="宋体" w:eastAsia="宋体" w:hint="default"/>
                <w:spacing w:val="-82"/>
                <w:w w:val="100"/>
                <w:sz w:val="18"/>
                <w:szCs w:val="18"/>
              </w:rPr>
              <w:t> </w:t>
            </w:r>
            <w:r>
              <w:rPr>
                <w:rFonts w:ascii="宋体" w:hAnsi="宋体" w:cs="宋体" w:eastAsia="宋体" w:hint="default"/>
                <w:sz w:val="18"/>
                <w:szCs w:val="18"/>
              </w:rPr>
              <w:t>要求执行企业会计准则的企业按照企业</w:t>
            </w:r>
            <w:r>
              <w:rPr>
                <w:rFonts w:ascii="宋体" w:hAnsi="宋体" w:cs="宋体" w:eastAsia="宋体" w:hint="default"/>
                <w:sz w:val="18"/>
                <w:szCs w:val="18"/>
              </w:rPr>
              <w:t> 会计准则和财会</w:t>
            </w: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号文件的规定 编制的规定编制财务报表，企业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度合并财务报表及以后期间的合并财务 报表均按财会</w:t>
            </w: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号文件的规定编 制执行。公司按照上述文件规定的起始 日开始执行上述会计准则。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79"/>
              <w:jc w:val="left"/>
              <w:rPr>
                <w:rFonts w:ascii="宋体" w:hAnsi="宋体" w:cs="宋体" w:eastAsia="宋体" w:hint="default"/>
                <w:sz w:val="18"/>
                <w:szCs w:val="18"/>
              </w:rPr>
            </w:pPr>
            <w:r>
              <w:rPr>
                <w:rFonts w:ascii="宋体" w:hAnsi="宋体" w:cs="宋体" w:eastAsia="宋体" w:hint="default"/>
                <w:spacing w:val="-1"/>
                <w:sz w:val="18"/>
                <w:szCs w:val="18"/>
              </w:rPr>
              <w:t>网（</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）上披露的《关</w:t>
            </w:r>
            <w:r>
              <w:rPr>
                <w:rFonts w:ascii="宋体" w:hAnsi="宋体" w:cs="宋体" w:eastAsia="宋体" w:hint="default"/>
                <w:spacing w:val="-83"/>
                <w:sz w:val="18"/>
                <w:szCs w:val="18"/>
              </w:rPr>
              <w:t> </w:t>
            </w:r>
            <w:r>
              <w:rPr>
                <w:rFonts w:ascii="宋体" w:hAnsi="宋体" w:cs="宋体" w:eastAsia="宋体" w:hint="default"/>
                <w:spacing w:val="-8"/>
                <w:sz w:val="18"/>
                <w:szCs w:val="18"/>
              </w:rPr>
              <w:t>于会计政策变更的公告》。</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line="300" w:lineRule="auto" w:before="44"/>
        <w:ind w:left="153" w:right="1132" w:firstLine="420"/>
        <w:jc w:val="both"/>
        <w:rPr>
          <w:rFonts w:ascii="宋体" w:hAnsi="宋体" w:cs="宋体" w:eastAsia="宋体" w:hint="default"/>
          <w:sz w:val="18"/>
          <w:szCs w:val="18"/>
        </w:rPr>
      </w:pPr>
      <w:r>
        <w:rPr>
          <w:rFonts w:ascii="宋体" w:hAnsi="宋体" w:cs="宋体" w:eastAsia="宋体" w:hint="default"/>
          <w:sz w:val="18"/>
          <w:szCs w:val="18"/>
        </w:rPr>
        <w:t>公司按照《关于修订印发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年度一般企业财务报表格式的通知》（财会</w:t>
      </w:r>
      <w:r>
        <w:rPr>
          <w:rFonts w:ascii="Times New Roman" w:hAnsi="Times New Roman" w:cs="Times New Roman" w:eastAsia="Times New Roman" w:hint="default"/>
          <w:sz w:val="18"/>
          <w:szCs w:val="18"/>
        </w:rPr>
        <w:t>[2019]6</w:t>
      </w:r>
      <w:r>
        <w:rPr>
          <w:rFonts w:ascii="宋体" w:hAnsi="宋体" w:cs="宋体" w:eastAsia="宋体" w:hint="default"/>
          <w:sz w:val="18"/>
          <w:szCs w:val="18"/>
        </w:rPr>
        <w:t>号）、《关于修订印发《合并财务报 </w:t>
      </w:r>
      <w:r>
        <w:rPr>
          <w:rFonts w:ascii="宋体" w:hAnsi="宋体" w:cs="宋体" w:eastAsia="宋体" w:hint="default"/>
          <w:spacing w:val="-1"/>
          <w:sz w:val="18"/>
          <w:szCs w:val="18"/>
        </w:rPr>
        <w:t>表格式（</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版）》的通知》（财会</w:t>
      </w:r>
      <w:r>
        <w:rPr>
          <w:rFonts w:ascii="Times New Roman" w:hAnsi="Times New Roman" w:cs="Times New Roman" w:eastAsia="Times New Roman" w:hint="default"/>
          <w:spacing w:val="-1"/>
          <w:sz w:val="18"/>
          <w:szCs w:val="18"/>
        </w:rPr>
        <w:t>[2019]16</w:t>
      </w:r>
      <w:r>
        <w:rPr>
          <w:rFonts w:ascii="宋体" w:hAnsi="宋体" w:cs="宋体" w:eastAsia="宋体" w:hint="default"/>
          <w:spacing w:val="-1"/>
          <w:sz w:val="18"/>
          <w:szCs w:val="18"/>
        </w:rPr>
        <w:t>号）规定的财务报表格式编制比较报表，并采用追溯调整法变更了相关财务报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表列报。</w:t>
      </w:r>
    </w:p>
    <w:p>
      <w:pPr>
        <w:spacing w:line="300" w:lineRule="auto" w:before="151"/>
        <w:ind w:left="153" w:right="1128" w:firstLine="480"/>
        <w:jc w:val="both"/>
        <w:rPr>
          <w:rFonts w:ascii="宋体" w:hAnsi="宋体" w:cs="宋体" w:eastAsia="宋体" w:hint="default"/>
          <w:sz w:val="18"/>
          <w:szCs w:val="18"/>
        </w:rPr>
      </w:pP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日执行新金融工具准则，对会计政策的相关内容进行调整，详见附注五、</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。公司按照新金融工具</w:t>
      </w:r>
      <w:r>
        <w:rPr>
          <w:rFonts w:ascii="宋体" w:hAnsi="宋体" w:cs="宋体" w:eastAsia="宋体" w:hint="default"/>
          <w:sz w:val="18"/>
          <w:szCs w:val="18"/>
        </w:rPr>
        <w:t> </w:t>
      </w:r>
      <w:r>
        <w:rPr>
          <w:rFonts w:ascii="宋体" w:hAnsi="宋体" w:cs="宋体" w:eastAsia="宋体" w:hint="default"/>
          <w:spacing w:val="-2"/>
          <w:sz w:val="18"/>
          <w:szCs w:val="18"/>
        </w:rPr>
        <w:t>准则的规定，于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日之前的金融工具确认和计量与新金融工具准则要求不一致的，对金融工具的分类和计量（含减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值）进行追溯调整，将金融工具原账面价值和在新金融工具准则施行日（即</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日）的新账面价值之间的差额计入</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4"/>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日的留存收益或其他综合收益。同时，本公司未对比较财务报表数据进行调整。</w:t>
      </w:r>
    </w:p>
    <w:p>
      <w:pPr>
        <w:spacing w:line="300" w:lineRule="auto" w:before="133"/>
        <w:ind w:left="153" w:right="1130" w:firstLine="480"/>
        <w:jc w:val="both"/>
        <w:rPr>
          <w:rFonts w:ascii="宋体" w:hAnsi="宋体" w:cs="宋体" w:eastAsia="宋体" w:hint="default"/>
          <w:sz w:val="18"/>
          <w:szCs w:val="18"/>
        </w:rPr>
      </w:pPr>
      <w:r>
        <w:rPr>
          <w:rFonts w:ascii="宋体" w:hAnsi="宋体" w:cs="宋体" w:eastAsia="宋体" w:hint="default"/>
          <w:sz w:val="18"/>
          <w:szCs w:val="18"/>
        </w:rPr>
        <w:t>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日起执行《企业会计准则第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非货币性资产交换》（财会</w:t>
      </w:r>
      <w:r>
        <w:rPr>
          <w:rFonts w:ascii="Times New Roman" w:hAnsi="Times New Roman" w:cs="Times New Roman" w:eastAsia="Times New Roman" w:hint="default"/>
          <w:sz w:val="18"/>
          <w:szCs w:val="18"/>
        </w:rPr>
        <w:t>[2019]8</w:t>
      </w:r>
      <w:r>
        <w:rPr>
          <w:rFonts w:ascii="宋体" w:hAnsi="宋体" w:cs="宋体" w:eastAsia="宋体" w:hint="default"/>
          <w:sz w:val="18"/>
          <w:szCs w:val="18"/>
        </w:rPr>
        <w:t>号），自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日起执 行《企业会计准则第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债务重组》（财会</w:t>
      </w:r>
      <w:r>
        <w:rPr>
          <w:rFonts w:ascii="Times New Roman" w:hAnsi="Times New Roman" w:cs="Times New Roman" w:eastAsia="Times New Roman" w:hint="default"/>
          <w:sz w:val="18"/>
          <w:szCs w:val="18"/>
        </w:rPr>
        <w:t>[2019]9</w:t>
      </w:r>
      <w:r>
        <w:rPr>
          <w:rFonts w:ascii="宋体" w:hAnsi="宋体" w:cs="宋体" w:eastAsia="宋体" w:hint="default"/>
          <w:sz w:val="18"/>
          <w:szCs w:val="18"/>
        </w:rPr>
        <w:t>号）。根据准则的规定对于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日至准则实施日之间发生的非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货币性资产交换和债务重组进行调整。公司首次执行该准则对财务报表无影响。</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line="340" w:lineRule="auto"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99" w:right="0"/>
              <w:jc w:val="left"/>
              <w:rPr>
                <w:rFonts w:ascii="Times New Roman" w:hAnsi="Times New Roman" w:cs="Times New Roman" w:eastAsia="Times New Roman" w:hint="default"/>
                <w:sz w:val="18"/>
                <w:szCs w:val="18"/>
              </w:rPr>
            </w:pPr>
            <w:r>
              <w:rPr>
                <w:rFonts w:ascii="Times New Roman"/>
                <w:sz w:val="18"/>
              </w:rPr>
              <w:t>466,171,723.91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5" w:right="0"/>
              <w:jc w:val="left"/>
              <w:rPr>
                <w:rFonts w:ascii="Times New Roman" w:hAnsi="Times New Roman" w:cs="Times New Roman" w:eastAsia="Times New Roman" w:hint="default"/>
                <w:sz w:val="18"/>
                <w:szCs w:val="18"/>
              </w:rPr>
            </w:pPr>
            <w:r>
              <w:rPr>
                <w:rFonts w:ascii="Times New Roman"/>
                <w:sz w:val="18"/>
              </w:rPr>
              <w:t>466,171,723.91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40,613,240.66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2,729,805.66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-37,883,435.00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426,833,898.16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426,833,898.16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37,883,435.00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37,883,435.00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18,770,894.22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18,770,894.22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28,794,785.48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28,794,785.48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146,855,492.89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146,855,492.89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25,865,295.87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25,865,295.87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1,153,905,331.19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1,153,905,331.19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112,887,112.00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112,887,112.00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10,255,812.13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10,255,812.13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59,348,070.30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59,348,070.30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109,747,033.36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109,747,033.36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49,656,638.64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49,656,638.64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578,814,214.02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691,154.56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691,154.56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17,143,727.29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17,143,727.29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10,497,004.46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10,497,004.46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971,540,766.76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971,540,766.76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2,125,446,097.95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2,125,446,097.95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77,479,122.51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77,479,122.51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171,260,417.26</w:t>
            </w:r>
            <w:r>
              <w:rPr>
                <w:rFonts w:ascii="Times New Roman"/>
                <w:sz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171,260,417.26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49,954,982.22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49,954,982.22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33,399,872.75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33,399,872.75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18,434,009.28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18,434,009.28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216,260,538.20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216,260,538.20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191,900.00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756,588,942.22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756,588,942.22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8,418,918.92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8,418,918.92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4,118,431.88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4,118,431.88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39,533,390.63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39,533,390.63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4,422,099.91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4,422,099.91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60,992,841.34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60,992,841.34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817,581,783.56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817,581,783.56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239,233,684.00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239,233,684.00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814,555,640.08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814,555,640.08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391,851.61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391,851.61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18,497,595.22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18,497,595.22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221,467,246.59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221,467,246.59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1,294,146,017.50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1,294,146,017.50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13,718,296.89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13,718,296.89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2194"/>
        <w:gridCol w:w="2464"/>
        <w:gridCol w:w="2456"/>
        <w:gridCol w:w="2453"/>
      </w:tblGrid>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1,307,864,314.39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1,307,864,314.39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2,125,446,097.95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2,125,446,097.95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357"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594" w:space="732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185,980,019.83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185,980,019.83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7,838,780.66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2,729,805.66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-5,108,975.00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329,768,202.75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329,768,202.75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5,108,975.00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5,108,975.00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7,615,144.57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7,615,144.57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20,647,969.72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20,647,969.72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120,560,711.34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120,560,711.34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16,517,792.51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16,517,792.51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688,928,621.38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688,928,621.38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112,887,112.00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112,887,112.00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861,522,545.74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861,522,545.74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43,430,905.06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43,430,905.06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109,055,044.57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109,055,044.57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7,984,847.40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7,984,847.40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12,586,604.74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12,586,604.74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9,827,772.18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9,827,772.18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1,179,794,831.69</w:t>
            </w:r>
            <w:r>
              <w:rPr>
                <w:rFonts w:ascii="Times New Roman"/>
                <w:sz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1,179,794,831.69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1,868,723,453.07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1,868,723,453.07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34,566,862.51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34,566,862.51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372,495,548.68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372,495,548.68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48,597,981.66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48,597,981.66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5,940,446.30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5,940,446.30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4,474,749.55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4,474,749.55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14,700,995.59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14,700,995.59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191,900.00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629,776,584.29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629,776,584.29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8,418,918.92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8,418,918.92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31,513,390.63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31,513,390.63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44,432,309.55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44,432,309.55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674,208,893.84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674,208,893.84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239,233,684.00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239,233,684.00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818,322,612.02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818,322,612.02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18,497,595.22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18,497,595.22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118,460,667.99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118,460,667.99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1,194,514,559.23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1,194,514,559.23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1,868,723,453.07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1,868,723,453.07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2"/>
          <w:szCs w:val="12"/>
        </w:rPr>
      </w:pPr>
    </w:p>
    <w:p>
      <w:pPr>
        <w:pStyle w:val="BodyText"/>
        <w:spacing w:line="240" w:lineRule="auto"/>
        <w:ind w:left="633" w:right="1133"/>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139"/>
        <w:ind w:left="633" w:right="1133"/>
        <w:jc w:val="left"/>
      </w:pPr>
      <w:r>
        <w:rPr>
          <w:rFonts w:ascii="Times New Roman" w:hAnsi="Times New Roman" w:cs="Times New Roman" w:eastAsia="Times New Roman" w:hint="default"/>
        </w:rPr>
        <w:t>A</w:t>
      </w:r>
      <w:r>
        <w:rPr/>
        <w:t>．合并财务报表</w:t>
      </w:r>
    </w:p>
    <w:p>
      <w:pPr>
        <w:spacing w:after="0" w:line="240" w:lineRule="auto"/>
        <w:jc w:val="left"/>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1937"/>
        <w:gridCol w:w="1717"/>
        <w:gridCol w:w="1455"/>
        <w:gridCol w:w="1414"/>
        <w:gridCol w:w="1520"/>
        <w:gridCol w:w="1618"/>
      </w:tblGrid>
      <w:tr>
        <w:trPr>
          <w:trHeight w:val="344" w:hRule="exact"/>
        </w:trPr>
        <w:tc>
          <w:tcPr>
            <w:tcW w:w="5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8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日（原金融工具准则）</w:t>
            </w:r>
          </w:p>
        </w:tc>
        <w:tc>
          <w:tcPr>
            <w:tcW w:w="4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日（新金融工具准则）</w:t>
            </w:r>
          </w:p>
        </w:tc>
      </w:tr>
      <w:tr>
        <w:trPr>
          <w:trHeight w:val="34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4"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98"/>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6"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3" w:hRule="exact"/>
        </w:trPr>
        <w:tc>
          <w:tcPr>
            <w:tcW w:w="1937" w:type="dxa"/>
            <w:vMerge w:val="restart"/>
            <w:tcBorders>
              <w:top w:val="single" w:sz="4" w:space="0" w:color="000000"/>
              <w:left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7" w:type="dxa"/>
            <w:vMerge w:val="restart"/>
            <w:tcBorders>
              <w:top w:val="single" w:sz="4" w:space="0" w:color="000000"/>
              <w:left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44"/>
              <w:ind w:left="119" w:right="0"/>
              <w:jc w:val="left"/>
              <w:rPr>
                <w:rFonts w:ascii="Times New Roman" w:hAnsi="Times New Roman" w:cs="Times New Roman" w:eastAsia="Times New Roman" w:hint="default"/>
                <w:sz w:val="21"/>
                <w:szCs w:val="21"/>
              </w:rPr>
            </w:pPr>
            <w:r>
              <w:rPr>
                <w:rFonts w:ascii="Times New Roman"/>
                <w:sz w:val="21"/>
              </w:rPr>
              <w:t>40,613,240.66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2,729,805.66</w:t>
            </w:r>
          </w:p>
        </w:tc>
      </w:tr>
      <w:tr>
        <w:trPr>
          <w:trHeight w:val="965" w:hRule="exact"/>
        </w:trPr>
        <w:tc>
          <w:tcPr>
            <w:tcW w:w="1937"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38"/>
              <w:jc w:val="both"/>
              <w:rPr>
                <w:rFonts w:ascii="宋体" w:hAnsi="宋体" w:cs="宋体" w:eastAsia="宋体" w:hint="default"/>
                <w:sz w:val="21"/>
                <w:szCs w:val="21"/>
              </w:rPr>
            </w:pPr>
            <w:r>
              <w:rPr>
                <w:rFonts w:ascii="宋体" w:hAnsi="宋体" w:cs="宋体" w:eastAsia="宋体" w:hint="default"/>
                <w:sz w:val="21"/>
                <w:szCs w:val="21"/>
              </w:rPr>
              <w:t>以公允价值计</w:t>
            </w:r>
            <w:r>
              <w:rPr>
                <w:rFonts w:ascii="宋体" w:hAnsi="宋体" w:cs="宋体" w:eastAsia="宋体" w:hint="default"/>
                <w:w w:val="100"/>
                <w:sz w:val="21"/>
                <w:szCs w:val="21"/>
              </w:rPr>
              <w:t> </w:t>
            </w:r>
            <w:r>
              <w:rPr>
                <w:rFonts w:ascii="宋体" w:hAnsi="宋体" w:cs="宋体" w:eastAsia="宋体" w:hint="default"/>
                <w:sz w:val="21"/>
                <w:szCs w:val="21"/>
              </w:rPr>
              <w:t>量且变动计入</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37,883,435.00</w:t>
            </w:r>
          </w:p>
        </w:tc>
      </w:tr>
      <w:tr>
        <w:trPr>
          <w:trHeight w:val="967"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5"/>
              <w:jc w:val="left"/>
              <w:rPr>
                <w:rFonts w:ascii="宋体" w:hAnsi="宋体" w:cs="宋体" w:eastAsia="宋体" w:hint="default"/>
                <w:sz w:val="21"/>
                <w:szCs w:val="21"/>
              </w:rPr>
            </w:pPr>
            <w:r>
              <w:rPr>
                <w:rFonts w:ascii="宋体" w:hAnsi="宋体" w:cs="宋体" w:eastAsia="宋体" w:hint="default"/>
                <w:sz w:val="21"/>
                <w:szCs w:val="21"/>
              </w:rPr>
              <w:t>以成本计量（权益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6"/>
              <w:jc w:val="right"/>
              <w:rPr>
                <w:rFonts w:ascii="Times New Roman" w:hAnsi="Times New Roman" w:cs="Times New Roman" w:eastAsia="Times New Roman" w:hint="default"/>
                <w:sz w:val="21"/>
                <w:szCs w:val="21"/>
              </w:rPr>
            </w:pPr>
            <w:r>
              <w:rPr>
                <w:rFonts w:ascii="Times New Roman"/>
                <w:spacing w:val="-1"/>
                <w:sz w:val="21"/>
              </w:rPr>
              <w:t>22,500,000.00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spacing w:val="-78"/>
                <w:sz w:val="21"/>
                <w:szCs w:val="21"/>
              </w:rPr>
              <w:t> </w:t>
            </w:r>
            <w:r>
              <w:rPr>
                <w:rFonts w:ascii="宋体" w:hAnsi="宋体" w:cs="宋体" w:eastAsia="宋体" w:hint="default"/>
                <w:spacing w:val="11"/>
                <w:sz w:val="21"/>
                <w:szCs w:val="21"/>
              </w:rPr>
              <w:t>益工</w:t>
            </w:r>
            <w:r>
              <w:rPr>
                <w:rFonts w:ascii="宋体" w:hAnsi="宋体" w:cs="宋体" w:eastAsia="宋体" w:hint="default"/>
                <w:spacing w:val="-78"/>
                <w:sz w:val="21"/>
                <w:szCs w:val="21"/>
              </w:rPr>
              <w:t> </w:t>
            </w:r>
            <w:r>
              <w:rPr>
                <w:rFonts w:ascii="宋体" w:hAnsi="宋体" w:cs="宋体" w:eastAsia="宋体" w:hint="default"/>
                <w:sz w:val="21"/>
                <w:szCs w:val="21"/>
              </w:rPr>
              <w:t>具</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7"/>
              <w:jc w:val="both"/>
              <w:rPr>
                <w:rFonts w:ascii="宋体" w:hAnsi="宋体" w:cs="宋体" w:eastAsia="宋体" w:hint="default"/>
                <w:sz w:val="21"/>
                <w:szCs w:val="21"/>
              </w:rPr>
            </w:pPr>
            <w:r>
              <w:rPr>
                <w:rFonts w:ascii="宋体" w:hAnsi="宋体" w:cs="宋体" w:eastAsia="宋体" w:hint="default"/>
                <w:sz w:val="21"/>
                <w:szCs w:val="21"/>
              </w:rPr>
              <w:t>以公允价值计量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且变动计入其他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综合收益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22,500,000.00</w:t>
            </w:r>
          </w:p>
        </w:tc>
      </w:tr>
    </w:tbl>
    <w:p>
      <w:pPr>
        <w:spacing w:line="240" w:lineRule="auto" w:before="6"/>
        <w:rPr>
          <w:rFonts w:ascii="宋体" w:hAnsi="宋体" w:cs="宋体" w:eastAsia="宋体" w:hint="default"/>
          <w:sz w:val="5"/>
          <w:szCs w:val="5"/>
        </w:rPr>
      </w:pPr>
    </w:p>
    <w:p>
      <w:pPr>
        <w:pStyle w:val="BodyText"/>
        <w:spacing w:line="240" w:lineRule="auto" w:before="36"/>
        <w:ind w:left="633" w:right="1133"/>
        <w:jc w:val="left"/>
      </w:pPr>
      <w:r>
        <w:rPr>
          <w:rFonts w:ascii="Times New Roman" w:hAnsi="Times New Roman" w:cs="Times New Roman" w:eastAsia="Times New Roman" w:hint="default"/>
        </w:rPr>
        <w:t>B</w:t>
      </w:r>
      <w:r>
        <w:rPr/>
        <w:t>．母公司财务报表</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937"/>
        <w:gridCol w:w="1717"/>
        <w:gridCol w:w="1455"/>
        <w:gridCol w:w="1414"/>
        <w:gridCol w:w="1520"/>
        <w:gridCol w:w="1618"/>
      </w:tblGrid>
      <w:tr>
        <w:trPr>
          <w:trHeight w:val="341" w:hRule="exact"/>
        </w:trPr>
        <w:tc>
          <w:tcPr>
            <w:tcW w:w="5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8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日（原金融工具准则）</w:t>
            </w:r>
          </w:p>
        </w:tc>
        <w:tc>
          <w:tcPr>
            <w:tcW w:w="4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日（新金融工具准则）</w:t>
            </w:r>
          </w:p>
        </w:tc>
      </w:tr>
      <w:tr>
        <w:trPr>
          <w:trHeight w:val="34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98"/>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36"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1" w:hRule="exact"/>
        </w:trPr>
        <w:tc>
          <w:tcPr>
            <w:tcW w:w="1937" w:type="dxa"/>
            <w:vMerge w:val="restart"/>
            <w:tcBorders>
              <w:top w:val="single" w:sz="4" w:space="0" w:color="000000"/>
              <w:left w:val="single" w:sz="4" w:space="0" w:color="000000"/>
              <w:right w:val="single" w:sz="4" w:space="0" w:color="000000"/>
            </w:tcBorders>
          </w:tcPr>
          <w:p>
            <w:pPr>
              <w:pStyle w:val="TableParagraph"/>
              <w:spacing w:line="272" w:lineRule="exact"/>
              <w:ind w:left="54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7" w:type="dxa"/>
            <w:vMerge w:val="restart"/>
            <w:tcBorders>
              <w:top w:val="single" w:sz="4" w:space="0" w:color="000000"/>
              <w:left w:val="single" w:sz="4" w:space="0" w:color="000000"/>
              <w:right w:val="single" w:sz="4" w:space="0" w:color="000000"/>
            </w:tcBorders>
          </w:tcPr>
          <w:p>
            <w:pPr>
              <w:pStyle w:val="TableParagraph"/>
              <w:spacing w:line="272" w:lineRule="exact"/>
              <w:ind w:left="43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44"/>
              <w:ind w:left="338" w:right="0"/>
              <w:jc w:val="left"/>
              <w:rPr>
                <w:rFonts w:ascii="Times New Roman" w:hAnsi="Times New Roman" w:cs="Times New Roman" w:eastAsia="Times New Roman" w:hint="default"/>
                <w:sz w:val="21"/>
                <w:szCs w:val="21"/>
              </w:rPr>
            </w:pPr>
            <w:r>
              <w:rPr>
                <w:rFonts w:ascii="Times New Roman"/>
                <w:sz w:val="21"/>
              </w:rPr>
              <w:t>7,838,780.66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2,729,805.66</w:t>
            </w:r>
          </w:p>
        </w:tc>
      </w:tr>
      <w:tr>
        <w:trPr>
          <w:trHeight w:val="967" w:hRule="exact"/>
        </w:trPr>
        <w:tc>
          <w:tcPr>
            <w:tcW w:w="1937"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17"/>
              <w:jc w:val="both"/>
              <w:rPr>
                <w:rFonts w:ascii="宋体" w:hAnsi="宋体" w:cs="宋体" w:eastAsia="宋体" w:hint="default"/>
                <w:sz w:val="21"/>
                <w:szCs w:val="21"/>
              </w:rPr>
            </w:pPr>
            <w:r>
              <w:rPr>
                <w:rFonts w:ascii="宋体" w:hAnsi="宋体" w:cs="宋体" w:eastAsia="宋体" w:hint="default"/>
                <w:sz w:val="21"/>
                <w:szCs w:val="21"/>
              </w:rPr>
              <w:t>以公允价值计</w:t>
            </w:r>
            <w:r>
              <w:rPr>
                <w:rFonts w:ascii="宋体" w:hAnsi="宋体" w:cs="宋体" w:eastAsia="宋体" w:hint="default"/>
                <w:w w:val="100"/>
                <w:sz w:val="21"/>
                <w:szCs w:val="21"/>
              </w:rPr>
              <w:t> </w:t>
            </w:r>
            <w:r>
              <w:rPr>
                <w:rFonts w:ascii="宋体" w:hAnsi="宋体" w:cs="宋体" w:eastAsia="宋体" w:hint="default"/>
                <w:sz w:val="21"/>
                <w:szCs w:val="21"/>
              </w:rPr>
              <w:t>量且变动计入</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5,108,975.00</w:t>
            </w:r>
          </w:p>
        </w:tc>
      </w:tr>
      <w:tr>
        <w:trPr>
          <w:trHeight w:val="65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5"/>
              <w:jc w:val="left"/>
              <w:rPr>
                <w:rFonts w:ascii="宋体" w:hAnsi="宋体" w:cs="宋体" w:eastAsia="宋体" w:hint="default"/>
                <w:sz w:val="21"/>
                <w:szCs w:val="21"/>
              </w:rPr>
            </w:pPr>
            <w:r>
              <w:rPr>
                <w:rFonts w:ascii="宋体" w:hAnsi="宋体" w:cs="宋体" w:eastAsia="宋体" w:hint="default"/>
                <w:sz w:val="21"/>
                <w:szCs w:val="21"/>
              </w:rPr>
              <w:t>以成本计量（权益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6"/>
              <w:jc w:val="right"/>
              <w:rPr>
                <w:rFonts w:ascii="Times New Roman" w:hAnsi="Times New Roman" w:cs="Times New Roman" w:eastAsia="Times New Roman" w:hint="default"/>
                <w:sz w:val="21"/>
                <w:szCs w:val="21"/>
              </w:rPr>
            </w:pPr>
            <w:r>
              <w:rPr>
                <w:rFonts w:ascii="Times New Roman"/>
                <w:spacing w:val="-1"/>
                <w:sz w:val="21"/>
              </w:rPr>
              <w:t>22,500,000.00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34"/>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7"/>
              <w:jc w:val="left"/>
              <w:rPr>
                <w:rFonts w:ascii="宋体" w:hAnsi="宋体" w:cs="宋体" w:eastAsia="宋体" w:hint="default"/>
                <w:sz w:val="21"/>
                <w:szCs w:val="21"/>
              </w:rPr>
            </w:pPr>
            <w:r>
              <w:rPr>
                <w:rFonts w:ascii="宋体" w:hAnsi="宋体" w:cs="宋体" w:eastAsia="宋体" w:hint="default"/>
                <w:sz w:val="21"/>
                <w:szCs w:val="21"/>
              </w:rPr>
              <w:t>以公允价值计量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且变动计入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22,500,000.00</w:t>
            </w:r>
          </w:p>
        </w:tc>
      </w:tr>
    </w:tbl>
    <w:p>
      <w:pPr>
        <w:spacing w:line="240" w:lineRule="auto" w:before="6"/>
        <w:rPr>
          <w:rFonts w:ascii="宋体" w:hAnsi="宋体" w:cs="宋体" w:eastAsia="宋体" w:hint="default"/>
          <w:sz w:val="5"/>
          <w:szCs w:val="5"/>
        </w:rPr>
      </w:pPr>
    </w:p>
    <w:p>
      <w:pPr>
        <w:pStyle w:val="BodyText"/>
        <w:spacing w:line="240" w:lineRule="auto" w:before="36"/>
        <w:ind w:left="633" w:right="1133"/>
        <w:jc w:val="left"/>
      </w:pPr>
      <w:r>
        <w:rPr>
          <w:spacing w:val="-4"/>
        </w:rPr>
        <w:t>②于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日，按新金融工具准则将原金融资产账面价值调整为新金融工具准则账面价值的调节</w:t>
      </w:r>
    </w:p>
    <w:p>
      <w:pPr>
        <w:pStyle w:val="BodyText"/>
        <w:spacing w:line="240" w:lineRule="auto" w:before="21"/>
        <w:ind w:right="1133"/>
        <w:jc w:val="left"/>
      </w:pPr>
      <w:r>
        <w:rPr>
          <w:w w:val="100"/>
        </w:rPr>
        <w:t>表</w:t>
      </w:r>
    </w:p>
    <w:p>
      <w:pPr>
        <w:pStyle w:val="BodyText"/>
        <w:spacing w:line="240" w:lineRule="auto" w:before="157"/>
        <w:ind w:left="633" w:right="1133"/>
        <w:jc w:val="left"/>
      </w:pPr>
      <w:r>
        <w:rPr>
          <w:rFonts w:ascii="Times New Roman" w:hAnsi="Times New Roman" w:cs="Times New Roman" w:eastAsia="Times New Roman" w:hint="default"/>
        </w:rPr>
        <w:t>A</w:t>
      </w:r>
      <w:r>
        <w:rPr/>
        <w:t>．合并财务报表</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806"/>
        <w:gridCol w:w="2024"/>
        <w:gridCol w:w="1558"/>
        <w:gridCol w:w="1246"/>
        <w:gridCol w:w="2024"/>
      </w:tblGrid>
      <w:tr>
        <w:trPr>
          <w:trHeight w:val="9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7" w:right="0" w:hanging="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日的账</w:t>
            </w:r>
            <w:r>
              <w:rPr>
                <w:rFonts w:ascii="宋体" w:hAnsi="宋体" w:cs="宋体" w:eastAsia="宋体" w:hint="default"/>
                <w:w w:val="100"/>
                <w:sz w:val="21"/>
                <w:szCs w:val="21"/>
              </w:rPr>
              <w:t> </w:t>
            </w:r>
            <w:r>
              <w:rPr>
                <w:rFonts w:ascii="宋体" w:hAnsi="宋体" w:cs="宋体" w:eastAsia="宋体" w:hint="default"/>
                <w:spacing w:val="-11"/>
                <w:w w:val="100"/>
                <w:sz w:val="21"/>
                <w:szCs w:val="21"/>
              </w:rPr>
              <w:t>面价值（按原金融工具</w:t>
            </w:r>
            <w:r>
              <w:rPr>
                <w:rFonts w:ascii="宋体" w:hAnsi="宋体" w:cs="宋体" w:eastAsia="宋体" w:hint="default"/>
                <w:w w:val="100"/>
                <w:sz w:val="21"/>
                <w:szCs w:val="21"/>
              </w:rPr>
              <w:t> </w:t>
            </w:r>
            <w:r>
              <w:rPr>
                <w:rFonts w:ascii="宋体" w:hAnsi="宋体" w:cs="宋体" w:eastAsia="宋体" w:hint="default"/>
                <w:sz w:val="21"/>
                <w:szCs w:val="21"/>
              </w:rPr>
              <w:t>准则）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7" w:right="0" w:hanging="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日的账面</w:t>
            </w:r>
            <w:r>
              <w:rPr>
                <w:rFonts w:ascii="宋体" w:hAnsi="宋体" w:cs="宋体" w:eastAsia="宋体" w:hint="default"/>
                <w:w w:val="100"/>
                <w:sz w:val="21"/>
                <w:szCs w:val="21"/>
              </w:rPr>
              <w:t> </w:t>
            </w:r>
            <w:r>
              <w:rPr>
                <w:rFonts w:ascii="宋体" w:hAnsi="宋体" w:cs="宋体" w:eastAsia="宋体" w:hint="default"/>
                <w:spacing w:val="-11"/>
                <w:w w:val="100"/>
                <w:sz w:val="21"/>
                <w:szCs w:val="21"/>
              </w:rPr>
              <w:t>价值（按新金融工具准</w:t>
            </w:r>
            <w:r>
              <w:rPr>
                <w:rFonts w:ascii="宋体" w:hAnsi="宋体" w:cs="宋体" w:eastAsia="宋体" w:hint="default"/>
                <w:w w:val="100"/>
                <w:sz w:val="21"/>
                <w:szCs w:val="21"/>
              </w:rPr>
              <w:t> </w:t>
            </w:r>
            <w:r>
              <w:rPr>
                <w:rFonts w:ascii="宋体" w:hAnsi="宋体" w:cs="宋体" w:eastAsia="宋体" w:hint="default"/>
                <w:sz w:val="21"/>
                <w:szCs w:val="21"/>
              </w:rPr>
              <w:t>则）</w:t>
            </w:r>
          </w:p>
        </w:tc>
      </w:tr>
      <w:tr>
        <w:trPr>
          <w:trHeight w:val="341" w:hRule="exact"/>
        </w:trPr>
        <w:tc>
          <w:tcPr>
            <w:tcW w:w="96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一、新金融工具准则下以摊余成本计量的金融资产</w:t>
            </w:r>
          </w:p>
        </w:tc>
      </w:tr>
      <w:tr>
        <w:trPr>
          <w:trHeight w:val="6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left"/>
              <w:rPr>
                <w:rFonts w:ascii="宋体" w:hAnsi="宋体" w:cs="宋体" w:eastAsia="宋体" w:hint="default"/>
                <w:sz w:val="21"/>
                <w:szCs w:val="21"/>
              </w:rPr>
            </w:pPr>
            <w:r>
              <w:rPr>
                <w:rFonts w:ascii="宋体" w:hAnsi="宋体" w:cs="宋体" w:eastAsia="宋体" w:hint="default"/>
                <w:spacing w:val="-2"/>
                <w:sz w:val="21"/>
                <w:szCs w:val="21"/>
              </w:rPr>
              <w:t>应收票据（按原金融工具准则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列示金额）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40,613,240.66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37,883,435.00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left"/>
              <w:rPr>
                <w:rFonts w:ascii="宋体" w:hAnsi="宋体" w:cs="宋体" w:eastAsia="宋体" w:hint="default"/>
                <w:sz w:val="21"/>
                <w:szCs w:val="21"/>
              </w:rPr>
            </w:pPr>
            <w:r>
              <w:rPr>
                <w:rFonts w:ascii="宋体" w:hAnsi="宋体" w:cs="宋体" w:eastAsia="宋体" w:hint="default"/>
                <w:spacing w:val="-2"/>
                <w:sz w:val="21"/>
                <w:szCs w:val="21"/>
              </w:rPr>
              <w:t>应收票据（按新金融工具准则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列示金额）</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2,729,805.66</w:t>
            </w:r>
          </w:p>
        </w:tc>
      </w:tr>
      <w:tr>
        <w:trPr>
          <w:trHeight w:val="344" w:hRule="exact"/>
        </w:trPr>
        <w:tc>
          <w:tcPr>
            <w:tcW w:w="96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二、新金融工具准则下以公允价值计量且其变动计入其他综合收益的金融资产</w:t>
            </w:r>
          </w:p>
        </w:tc>
      </w:tr>
      <w:tr>
        <w:trPr>
          <w:trHeight w:val="96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both"/>
              <w:rPr>
                <w:rFonts w:ascii="宋体" w:hAnsi="宋体" w:cs="宋体" w:eastAsia="宋体" w:hint="default"/>
                <w:sz w:val="21"/>
                <w:szCs w:val="21"/>
              </w:rPr>
            </w:pPr>
            <w:r>
              <w:rPr>
                <w:rFonts w:ascii="宋体" w:hAnsi="宋体" w:cs="宋体" w:eastAsia="宋体" w:hint="default"/>
                <w:spacing w:val="-2"/>
                <w:sz w:val="21"/>
                <w:szCs w:val="21"/>
              </w:rPr>
              <w:t>公允价值计量且其变动计入当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期损益的金融资产（按原金融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工具准则列示金额）</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加：从可供出售金融资产转入</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22,500,000.00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22,500,000.00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加：公允价值重新计量</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left"/>
              <w:rPr>
                <w:rFonts w:ascii="宋体" w:hAnsi="宋体" w:cs="宋体" w:eastAsia="宋体" w:hint="default"/>
                <w:sz w:val="21"/>
                <w:szCs w:val="21"/>
              </w:rPr>
            </w:pPr>
            <w:r>
              <w:rPr>
                <w:rFonts w:ascii="宋体" w:hAnsi="宋体" w:cs="宋体" w:eastAsia="宋体" w:hint="default"/>
                <w:spacing w:val="-2"/>
                <w:sz w:val="21"/>
                <w:szCs w:val="21"/>
              </w:rPr>
              <w:t>其他权益工具投资（按新融工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具准则列示金额）</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22,500,000.00</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rFonts w:ascii="Times New Roman" w:hAnsi="Times New Roman" w:cs="Times New Roman" w:eastAsia="Times New Roman" w:hint="default"/>
        </w:rPr>
        <w:t>B</w:t>
      </w:r>
      <w:r>
        <w:rPr/>
        <w:t>．母公司财务报表</w:t>
      </w:r>
    </w:p>
    <w:p>
      <w:pPr>
        <w:spacing w:after="0" w:line="240" w:lineRule="auto"/>
        <w:jc w:val="left"/>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2806"/>
        <w:gridCol w:w="2024"/>
        <w:gridCol w:w="1558"/>
        <w:gridCol w:w="1189"/>
        <w:gridCol w:w="2084"/>
      </w:tblGrid>
      <w:tr>
        <w:trPr>
          <w:trHeight w:val="96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 w:right="0" w:hanging="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日的账</w:t>
            </w:r>
            <w:r>
              <w:rPr>
                <w:rFonts w:ascii="宋体" w:hAnsi="宋体" w:cs="宋体" w:eastAsia="宋体" w:hint="default"/>
                <w:w w:val="100"/>
                <w:sz w:val="21"/>
                <w:szCs w:val="21"/>
              </w:rPr>
              <w:t> </w:t>
            </w:r>
            <w:r>
              <w:rPr>
                <w:rFonts w:ascii="宋体" w:hAnsi="宋体" w:cs="宋体" w:eastAsia="宋体" w:hint="default"/>
                <w:spacing w:val="-11"/>
                <w:w w:val="100"/>
                <w:sz w:val="21"/>
                <w:szCs w:val="21"/>
              </w:rPr>
              <w:t>面价值（按原金融工具</w:t>
            </w:r>
            <w:r>
              <w:rPr>
                <w:rFonts w:ascii="宋体" w:hAnsi="宋体" w:cs="宋体" w:eastAsia="宋体" w:hint="default"/>
                <w:w w:val="100"/>
                <w:sz w:val="21"/>
                <w:szCs w:val="21"/>
              </w:rPr>
              <w:t> </w:t>
            </w:r>
            <w:r>
              <w:rPr>
                <w:rFonts w:ascii="宋体" w:hAnsi="宋体" w:cs="宋体" w:eastAsia="宋体" w:hint="default"/>
                <w:sz w:val="21"/>
                <w:szCs w:val="21"/>
              </w:rPr>
              <w:t>准则）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58"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68"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 w:right="0" w:hanging="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日的账面</w:t>
            </w:r>
            <w:r>
              <w:rPr>
                <w:rFonts w:ascii="宋体" w:hAnsi="宋体" w:cs="宋体" w:eastAsia="宋体" w:hint="default"/>
                <w:w w:val="100"/>
                <w:sz w:val="21"/>
                <w:szCs w:val="21"/>
              </w:rPr>
              <w:t> </w:t>
            </w:r>
            <w:r>
              <w:rPr>
                <w:rFonts w:ascii="宋体" w:hAnsi="宋体" w:cs="宋体" w:eastAsia="宋体" w:hint="default"/>
                <w:spacing w:val="-5"/>
                <w:sz w:val="21"/>
                <w:szCs w:val="21"/>
              </w:rPr>
              <w:t>价值（按新金融工具准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则）</w:t>
            </w:r>
          </w:p>
        </w:tc>
      </w:tr>
      <w:tr>
        <w:trPr>
          <w:trHeight w:val="343" w:hRule="exact"/>
        </w:trPr>
        <w:tc>
          <w:tcPr>
            <w:tcW w:w="96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一、新金融工具准则下以摊余成本计量的金融资产</w:t>
            </w:r>
          </w:p>
        </w:tc>
      </w:tr>
      <w:tr>
        <w:trPr>
          <w:trHeight w:val="65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6"/>
              <w:jc w:val="left"/>
              <w:rPr>
                <w:rFonts w:ascii="宋体" w:hAnsi="宋体" w:cs="宋体" w:eastAsia="宋体" w:hint="default"/>
                <w:sz w:val="21"/>
                <w:szCs w:val="21"/>
              </w:rPr>
            </w:pPr>
            <w:r>
              <w:rPr>
                <w:rFonts w:ascii="宋体" w:hAnsi="宋体" w:cs="宋体" w:eastAsia="宋体" w:hint="default"/>
                <w:spacing w:val="-2"/>
                <w:sz w:val="21"/>
                <w:szCs w:val="21"/>
              </w:rPr>
              <w:t>应收票据（按原金融工具准则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列示金额）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7,838,780.66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5,108,975.00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left"/>
              <w:rPr>
                <w:rFonts w:ascii="宋体" w:hAnsi="宋体" w:cs="宋体" w:eastAsia="宋体" w:hint="default"/>
                <w:sz w:val="21"/>
                <w:szCs w:val="21"/>
              </w:rPr>
            </w:pPr>
            <w:r>
              <w:rPr>
                <w:rFonts w:ascii="宋体" w:hAnsi="宋体" w:cs="宋体" w:eastAsia="宋体" w:hint="default"/>
                <w:spacing w:val="-2"/>
                <w:sz w:val="21"/>
                <w:szCs w:val="21"/>
              </w:rPr>
              <w:t>应收票据（按新金融工具准则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列示金额）</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2,729,805.66</w:t>
            </w:r>
          </w:p>
        </w:tc>
      </w:tr>
      <w:tr>
        <w:trPr>
          <w:trHeight w:val="341" w:hRule="exact"/>
        </w:trPr>
        <w:tc>
          <w:tcPr>
            <w:tcW w:w="96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二、新金融工具准则下以公允价值计量且其变动计入其他综合收益的金融资产</w:t>
            </w:r>
          </w:p>
        </w:tc>
      </w:tr>
      <w:tr>
        <w:trPr>
          <w:trHeight w:val="96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both"/>
              <w:rPr>
                <w:rFonts w:ascii="宋体" w:hAnsi="宋体" w:cs="宋体" w:eastAsia="宋体" w:hint="default"/>
                <w:sz w:val="21"/>
                <w:szCs w:val="21"/>
              </w:rPr>
            </w:pPr>
            <w:r>
              <w:rPr>
                <w:rFonts w:ascii="宋体" w:hAnsi="宋体" w:cs="宋体" w:eastAsia="宋体" w:hint="default"/>
                <w:spacing w:val="-2"/>
                <w:sz w:val="21"/>
                <w:szCs w:val="21"/>
              </w:rPr>
              <w:t>公允价值计量且其变动计入当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期损益的金融资产（按原金融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工具准则列示金额）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22,500,000.00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加：从可供出售金融资产转入</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22,500,000.00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加：公允价值重新计量</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5"/>
              <w:jc w:val="left"/>
              <w:rPr>
                <w:rFonts w:ascii="宋体" w:hAnsi="宋体" w:cs="宋体" w:eastAsia="宋体" w:hint="default"/>
                <w:sz w:val="21"/>
                <w:szCs w:val="21"/>
              </w:rPr>
            </w:pPr>
            <w:r>
              <w:rPr>
                <w:rFonts w:ascii="宋体" w:hAnsi="宋体" w:cs="宋体" w:eastAsia="宋体" w:hint="default"/>
                <w:spacing w:val="-2"/>
                <w:sz w:val="21"/>
                <w:szCs w:val="21"/>
              </w:rPr>
              <w:t>其他权益工具投资（按新融工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具准则列示金额）</w:t>
            </w:r>
          </w:p>
        </w:tc>
        <w:tc>
          <w:tcPr>
            <w:tcW w:w="20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22,500,000.00</w:t>
            </w:r>
          </w:p>
        </w:tc>
      </w:tr>
    </w:tbl>
    <w:p>
      <w:pPr>
        <w:spacing w:line="240" w:lineRule="auto" w:before="6"/>
        <w:rPr>
          <w:rFonts w:ascii="宋体" w:hAnsi="宋体" w:cs="宋体" w:eastAsia="宋体" w:hint="default"/>
          <w:sz w:val="5"/>
          <w:szCs w:val="5"/>
        </w:rPr>
      </w:pPr>
    </w:p>
    <w:p>
      <w:pPr>
        <w:pStyle w:val="BodyText"/>
        <w:spacing w:line="256" w:lineRule="auto" w:before="36"/>
        <w:ind w:right="1133" w:firstLine="420"/>
        <w:jc w:val="left"/>
      </w:pPr>
      <w:r>
        <w:rPr>
          <w:spacing w:val="-2"/>
        </w:rPr>
        <w:t>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日，执行新金融工具准则将原金融资产减值准备调整到新金融工具准则金融资产减值</w:t>
      </w:r>
      <w:r>
        <w:rPr>
          <w:w w:val="100"/>
        </w:rPr>
        <w:t> </w:t>
      </w:r>
      <w:r>
        <w:rPr/>
        <w:t>准备的调节表</w:t>
      </w:r>
    </w:p>
    <w:p>
      <w:pPr>
        <w:pStyle w:val="BodyText"/>
        <w:spacing w:line="240" w:lineRule="auto" w:before="142"/>
        <w:ind w:left="573" w:right="1133"/>
        <w:jc w:val="left"/>
      </w:pPr>
      <w:r>
        <w:rPr>
          <w:rFonts w:ascii="Times New Roman" w:hAnsi="Times New Roman" w:cs="Times New Roman" w:eastAsia="Times New Roman" w:hint="default"/>
        </w:rPr>
        <w:t>A</w:t>
      </w:r>
      <w:r>
        <w:rPr/>
        <w:t>．合并财务报表</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720"/>
        <w:gridCol w:w="2194"/>
        <w:gridCol w:w="1250"/>
        <w:gridCol w:w="1313"/>
        <w:gridCol w:w="2182"/>
      </w:tblGrid>
      <w:tr>
        <w:trPr>
          <w:trHeight w:val="96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计量类别</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3" w:right="36" w:hanging="1"/>
              <w:jc w:val="center"/>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日计提的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减值准备（按原金融工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具准则）</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2"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36" w:right="31" w:hanging="1"/>
              <w:jc w:val="center"/>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日计提的减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值准备（按新金融工具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准则）</w:t>
            </w:r>
          </w:p>
        </w:tc>
      </w:tr>
      <w:tr>
        <w:trPr>
          <w:trHeight w:val="65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4"/>
                <w:sz w:val="21"/>
                <w:szCs w:val="21"/>
              </w:rPr>
              <w:t>（一）以摊余成本计量的金融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46,584,097.39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46,584,097.39</w:t>
            </w:r>
          </w:p>
        </w:tc>
      </w:tr>
      <w:tr>
        <w:trPr>
          <w:trHeight w:val="34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其中：应收票据减值准备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404,200.30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404,200.30</w:t>
            </w:r>
          </w:p>
        </w:tc>
      </w:tr>
      <w:tr>
        <w:trPr>
          <w:trHeight w:val="34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42,984,589.80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42,984,589.80</w:t>
            </w:r>
          </w:p>
        </w:tc>
      </w:tr>
      <w:tr>
        <w:trPr>
          <w:trHeight w:val="34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3,195,307.29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3,195,307.29</w:t>
            </w:r>
          </w:p>
        </w:tc>
      </w:tr>
    </w:tbl>
    <w:p>
      <w:pPr>
        <w:spacing w:line="240" w:lineRule="auto" w:before="6"/>
        <w:rPr>
          <w:rFonts w:ascii="宋体" w:hAnsi="宋体" w:cs="宋体" w:eastAsia="宋体" w:hint="default"/>
          <w:sz w:val="5"/>
          <w:szCs w:val="5"/>
        </w:rPr>
      </w:pPr>
    </w:p>
    <w:p>
      <w:pPr>
        <w:pStyle w:val="BodyText"/>
        <w:spacing w:line="240" w:lineRule="auto" w:before="36"/>
        <w:ind w:left="633" w:right="1133"/>
        <w:jc w:val="left"/>
      </w:pPr>
      <w:r>
        <w:rPr>
          <w:rFonts w:ascii="Times New Roman" w:hAnsi="Times New Roman" w:cs="Times New Roman" w:eastAsia="Times New Roman" w:hint="default"/>
        </w:rPr>
        <w:t>B</w:t>
      </w:r>
      <w:r>
        <w:rPr/>
        <w:t>．母公司财务报表</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720"/>
        <w:gridCol w:w="2194"/>
        <w:gridCol w:w="1250"/>
        <w:gridCol w:w="1325"/>
        <w:gridCol w:w="2170"/>
      </w:tblGrid>
      <w:tr>
        <w:trPr>
          <w:trHeight w:val="968"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计量类别</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3" w:right="36" w:hanging="1"/>
              <w:jc w:val="center"/>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日计提的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减值准备（按原金融工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具准则）</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4"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0"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31" w:right="24" w:hanging="1"/>
              <w:jc w:val="center"/>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日计提的减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值准备（按新金融工具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准则）</w:t>
            </w:r>
          </w:p>
        </w:tc>
      </w:tr>
      <w:tr>
        <w:trPr>
          <w:trHeight w:val="65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4"/>
                <w:sz w:val="21"/>
                <w:szCs w:val="21"/>
              </w:rPr>
              <w:t>（一）以摊余成本计量的金融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40,068,932.58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40,068,932.58</w:t>
            </w:r>
          </w:p>
        </w:tc>
      </w:tr>
      <w:tr>
        <w:trPr>
          <w:trHeight w:val="34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其中：应收票据减值准备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404,200.30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404,200.30</w:t>
            </w:r>
          </w:p>
        </w:tc>
      </w:tr>
      <w:tr>
        <w:trPr>
          <w:trHeight w:val="34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37,252,437.23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37,252,437.23</w:t>
            </w:r>
          </w:p>
        </w:tc>
      </w:tr>
      <w:tr>
        <w:trPr>
          <w:trHeight w:val="34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2,412,295.05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2,412,295.05</w:t>
            </w:r>
          </w:p>
        </w:tc>
      </w:tr>
    </w:tbl>
    <w:p>
      <w:pPr>
        <w:spacing w:after="0" w:line="240" w:lineRule="auto"/>
        <w:jc w:val="right"/>
        <w:rPr>
          <w:rFonts w:ascii="Times New Roman" w:hAnsi="Times New Roman" w:cs="Times New Roman" w:eastAsia="Times New Roman" w:hint="default"/>
          <w:sz w:val="21"/>
          <w:szCs w:val="21"/>
        </w:rPr>
        <w:sectPr>
          <w:pgSz w:w="11910" w:h="16840"/>
          <w:pgMar w:header="887" w:footer="979" w:top="1200" w:bottom="1160" w:left="980" w:right="0"/>
        </w:sectPr>
      </w:pPr>
    </w:p>
    <w:p>
      <w:pPr>
        <w:spacing w:line="240" w:lineRule="auto" w:before="10"/>
        <w:rPr>
          <w:rFonts w:ascii="宋体" w:hAnsi="宋体" w:cs="宋体" w:eastAsia="宋体" w:hint="default"/>
          <w:sz w:val="12"/>
          <w:szCs w:val="12"/>
        </w:rPr>
      </w:pPr>
    </w:p>
    <w:p>
      <w:pPr>
        <w:pStyle w:val="Heading2"/>
        <w:spacing w:line="240" w:lineRule="auto" w:before="26"/>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before="44"/>
        <w:ind w:left="0" w:right="1138" w:firstLine="0"/>
        <w:jc w:val="right"/>
        <w:rPr>
          <w:rFonts w:ascii="宋体" w:hAnsi="宋体" w:cs="宋体" w:eastAsia="宋体" w:hint="default"/>
          <w:sz w:val="18"/>
          <w:szCs w:val="18"/>
        </w:rPr>
      </w:pPr>
      <w:r>
        <w:rPr/>
        <w:pict>
          <v:shape style="position:absolute;margin-left:56.424pt;margin-top:-20.888311pt;width:479.3pt;height:136.7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商品销售收入、增值税应税劳务</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按国家或地方政府相关规定执行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国创数字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82"/>
        <w:ind w:left="633"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）增值税</w:t>
      </w:r>
      <w:r>
        <w:rPr>
          <w:w w:val="100"/>
        </w:rPr>
        <w:t> </w:t>
      </w:r>
      <w:r>
        <w:rPr>
          <w:spacing w:val="-3"/>
        </w:rPr>
        <w:t>根据《国务院关于印发进一步鼓励软件产业和集成电路产业发展的若干政策的通知》</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4</w:t>
      </w:r>
    </w:p>
    <w:p>
      <w:pPr>
        <w:pStyle w:val="BodyText"/>
        <w:spacing w:line="256" w:lineRule="auto" w:before="21"/>
        <w:ind w:right="1128"/>
        <w:jc w:val="both"/>
      </w:pPr>
      <w:r>
        <w:rPr/>
        <w:t>号</w:t>
      </w:r>
      <w:r>
        <w:rPr>
          <w:rFonts w:ascii="Times New Roman" w:hAnsi="Times New Roman" w:cs="Times New Roman" w:eastAsia="Times New Roman" w:hint="default"/>
        </w:rPr>
        <w:t>)</w:t>
      </w:r>
      <w:r>
        <w:rPr/>
        <w:t>和财政部、国家税务总局《关于软件产品增值税政策的通知》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w:t>
      </w:r>
      <w:r>
        <w:rPr>
          <w:rFonts w:ascii="Times New Roman" w:hAnsi="Times New Roman" w:cs="Times New Roman" w:eastAsia="Times New Roman" w:hint="default"/>
        </w:rPr>
        <w:t>)</w:t>
      </w:r>
      <w:r>
        <w:rPr/>
        <w:t>的规定，本公司及</w:t>
      </w:r>
      <w:r>
        <w:rPr>
          <w:spacing w:val="-27"/>
        </w:rPr>
        <w:t> </w:t>
      </w:r>
      <w:r>
        <w:rPr>
          <w:spacing w:val="-27"/>
        </w:rPr>
      </w:r>
      <w:r>
        <w:rPr>
          <w:spacing w:val="-4"/>
        </w:rPr>
        <w:t>境内子公司销售其自行开发生产的软件产品，按法定税率征收增值税，对其实际税负超过</w:t>
      </w:r>
      <w:r>
        <w:rPr>
          <w:rFonts w:ascii="Times New Roman" w:hAnsi="Times New Roman" w:cs="Times New Roman" w:eastAsia="Times New Roman" w:hint="default"/>
          <w:spacing w:val="-4"/>
        </w:rPr>
        <w:t>3%</w:t>
      </w:r>
      <w:r>
        <w:rPr>
          <w:spacing w:val="-4"/>
        </w:rPr>
        <w:t>的部分实行即</w:t>
      </w:r>
      <w:r>
        <w:rPr>
          <w:spacing w:val="-21"/>
        </w:rPr>
        <w:t> </w:t>
      </w:r>
      <w:r>
        <w:rPr>
          <w:spacing w:val="-21"/>
        </w:rPr>
      </w:r>
      <w:r>
        <w:rPr/>
        <w:t>征即退。</w:t>
      </w:r>
    </w:p>
    <w:p>
      <w:pPr>
        <w:pStyle w:val="BodyText"/>
        <w:spacing w:line="256" w:lineRule="auto" w:before="142"/>
        <w:ind w:right="1126" w:firstLine="480"/>
        <w:jc w:val="both"/>
      </w:pPr>
      <w:r>
        <w:rPr>
          <w:spacing w:val="-2"/>
        </w:rPr>
        <w:t>根据财政部、国家税务总局《关于全面推开营业税改征增值税试点的通知》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36</w:t>
      </w:r>
      <w:r>
        <w:rPr>
          <w:spacing w:val="-2"/>
        </w:rPr>
        <w:t>号</w:t>
      </w:r>
      <w:r>
        <w:rPr>
          <w:rFonts w:ascii="Times New Roman" w:hAnsi="Times New Roman" w:cs="Times New Roman" w:eastAsia="Times New Roman" w:hint="default"/>
          <w:spacing w:val="-2"/>
        </w:rPr>
        <w:t>)</w:t>
      </w:r>
      <w:r>
        <w:rPr>
          <w:spacing w:val="-2"/>
        </w:rPr>
        <w:t>，本</w:t>
      </w:r>
      <w:r>
        <w:rPr>
          <w:spacing w:val="-3"/>
          <w:w w:val="100"/>
        </w:rPr>
        <w:t> </w:t>
      </w:r>
      <w:r>
        <w:rPr>
          <w:spacing w:val="-2"/>
        </w:rPr>
        <w:t>公司及境内子公司自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日起，全面实行营业税改征增值税，营业税改征增值税后，本公司及境内</w:t>
      </w:r>
      <w:r>
        <w:rPr>
          <w:spacing w:val="-37"/>
        </w:rPr>
        <w:t> </w:t>
      </w:r>
      <w:r>
        <w:rPr>
          <w:spacing w:val="-37"/>
        </w:rPr>
      </w:r>
      <w:r>
        <w:rPr/>
        <w:t>子公司从事技术开发和技术转让业务免征增值税。</w:t>
      </w:r>
    </w:p>
    <w:p>
      <w:pPr>
        <w:spacing w:after="0" w:line="256"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66" w:lineRule="auto" w:before="36"/>
        <w:ind w:right="1126" w:firstLine="480"/>
        <w:jc w:val="both"/>
      </w:pPr>
      <w:r>
        <w:rPr>
          <w:spacing w:val="-3"/>
        </w:rPr>
        <w:t>按照《财政部、税务总局、海关总署关于深化增值税改革有关政策的公告》（财政部 </w:t>
      </w:r>
      <w:r>
        <w:rPr/>
        <w:t>税务总局</w:t>
      </w:r>
      <w:r>
        <w:rPr>
          <w:spacing w:val="13"/>
        </w:rPr>
        <w:t> </w:t>
      </w:r>
      <w:r>
        <w:rPr/>
        <w:t>海关</w:t>
      </w:r>
      <w:r>
        <w:rPr>
          <w:w w:val="100"/>
        </w:rPr>
        <w:t> </w:t>
      </w:r>
      <w:r>
        <w:rPr/>
        <w:t>总 </w:t>
      </w:r>
      <w:r>
        <w:rPr>
          <w:spacing w:val="-3"/>
        </w:rPr>
        <w:t>署公告</w:t>
      </w:r>
      <w:r>
        <w:rPr>
          <w:rFonts w:ascii="Times New Roman" w:hAnsi="Times New Roman" w:cs="Times New Roman" w:eastAsia="Times New Roman" w:hint="default"/>
          <w:spacing w:val="-3"/>
        </w:rPr>
        <w:t>2019</w:t>
      </w:r>
      <w:r>
        <w:rPr>
          <w:spacing w:val="-3"/>
        </w:rPr>
        <w:t>年第</w:t>
      </w:r>
      <w:r>
        <w:rPr>
          <w:rFonts w:ascii="Times New Roman" w:hAnsi="Times New Roman" w:cs="Times New Roman" w:eastAsia="Times New Roman" w:hint="default"/>
          <w:spacing w:val="-3"/>
        </w:rPr>
        <w:t>39</w:t>
      </w:r>
      <w:r>
        <w:rPr>
          <w:spacing w:val="-3"/>
        </w:rPr>
        <w:t>号）的规定，提供生活服务的销售额占全部销售额的比重超过</w:t>
      </w:r>
      <w:r>
        <w:rPr>
          <w:rFonts w:ascii="Times New Roman" w:hAnsi="Times New Roman" w:cs="Times New Roman" w:eastAsia="Times New Roman" w:hint="default"/>
          <w:spacing w:val="-3"/>
        </w:rPr>
        <w:t>50%</w:t>
      </w:r>
      <w:r>
        <w:rPr>
          <w:spacing w:val="-3"/>
        </w:rPr>
        <w:t>的纳税人，可以适</w:t>
      </w:r>
      <w:r>
        <w:rPr>
          <w:spacing w:val="-59"/>
        </w:rPr>
        <w:t> </w:t>
      </w:r>
      <w:r>
        <w:rPr>
          <w:spacing w:val="-59"/>
        </w:rPr>
      </w:r>
      <w:r>
        <w:rPr/>
        <w:t>用加计抵减政策。增值税加计抵减政策执行期限是</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57" w:lineRule="auto" w:before="115"/>
        <w:ind w:left="633" w:right="9124"/>
        <w:jc w:val="left"/>
      </w:pPr>
      <w:r>
        <w:rPr>
          <w:spacing w:val="-1"/>
        </w:rPr>
        <w:t>（</w:t>
      </w:r>
      <w:r>
        <w:rPr>
          <w:rFonts w:ascii="Times New Roman" w:hAnsi="Times New Roman" w:cs="Times New Roman" w:eastAsia="Times New Roman" w:hint="default"/>
          <w:spacing w:val="-1"/>
        </w:rPr>
        <w:t>2</w:t>
      </w:r>
      <w:r>
        <w:rPr>
          <w:spacing w:val="-1"/>
        </w:rPr>
        <w:t>）所得税</w:t>
      </w:r>
      <w:r>
        <w:rPr>
          <w:spacing w:val="-99"/>
        </w:rPr>
        <w:t> </w:t>
      </w:r>
      <w:r>
        <w:rPr>
          <w:spacing w:val="-99"/>
        </w:rPr>
      </w:r>
      <w:r>
        <w:rPr/>
        <w:t>本公司：</w:t>
      </w:r>
    </w:p>
    <w:p>
      <w:pPr>
        <w:pStyle w:val="BodyText"/>
        <w:spacing w:line="256" w:lineRule="auto" w:before="54"/>
        <w:ind w:right="1019" w:firstLine="480"/>
        <w:jc w:val="left"/>
      </w:pPr>
      <w:r>
        <w:rPr>
          <w:spacing w:val="-5"/>
          <w:w w:val="100"/>
        </w:rPr>
        <w:t>本公司</w:t>
      </w:r>
      <w:r>
        <w:rPr>
          <w:rFonts w:ascii="Times New Roman" w:hAnsi="Times New Roman" w:cs="Times New Roman" w:eastAsia="Times New Roman" w:hint="default"/>
          <w:spacing w:val="-5"/>
          <w:w w:val="100"/>
        </w:rPr>
        <w:t>2017</w:t>
      </w:r>
      <w:r>
        <w:rPr>
          <w:spacing w:val="-5"/>
          <w:w w:val="100"/>
        </w:rPr>
        <w:t>年度已通过高新技术企业复审，并于</w:t>
      </w:r>
      <w:r>
        <w:rPr>
          <w:rFonts w:ascii="Times New Roman" w:hAnsi="Times New Roman" w:cs="Times New Roman" w:eastAsia="Times New Roman" w:hint="default"/>
          <w:spacing w:val="-5"/>
          <w:w w:val="100"/>
        </w:rPr>
        <w:t>2017</w:t>
      </w:r>
      <w:r>
        <w:rPr>
          <w:spacing w:val="-5"/>
          <w:w w:val="100"/>
        </w:rPr>
        <w:t>年</w:t>
      </w:r>
      <w:r>
        <w:rPr>
          <w:rFonts w:ascii="Times New Roman" w:hAnsi="Times New Roman" w:cs="Times New Roman" w:eastAsia="Times New Roman" w:hint="default"/>
          <w:spacing w:val="-5"/>
          <w:w w:val="100"/>
        </w:rPr>
        <w:t>11</w:t>
      </w:r>
      <w:r>
        <w:rPr>
          <w:spacing w:val="-5"/>
          <w:w w:val="100"/>
        </w:rPr>
        <w:t>月获得了安徽省科学技术厅、安徽省财政厅、</w:t>
      </w:r>
      <w:r>
        <w:rPr>
          <w:w w:val="100"/>
        </w:rPr>
        <w:t> </w:t>
      </w:r>
      <w:r>
        <w:rPr>
          <w:spacing w:val="-4"/>
        </w:rPr>
        <w:t>安徽省国家税务局、安徽省地方税务局联合颁发的编号</w:t>
      </w:r>
      <w:r>
        <w:rPr>
          <w:rFonts w:ascii="Times New Roman" w:hAnsi="Times New Roman" w:cs="Times New Roman" w:eastAsia="Times New Roman" w:hint="default"/>
          <w:spacing w:val="-4"/>
        </w:rPr>
        <w:t>GR201734001260</w:t>
      </w:r>
      <w:r>
        <w:rPr>
          <w:spacing w:val="-4"/>
        </w:rPr>
        <w:t>号《高新技术企业证书》。本公司</w:t>
      </w:r>
      <w:r>
        <w:rPr>
          <w:spacing w:val="-6"/>
        </w:rPr>
        <w:t> </w:t>
      </w:r>
      <w:r>
        <w:rPr>
          <w:spacing w:val="-6"/>
        </w:rPr>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40" w:lineRule="auto" w:before="125"/>
        <w:ind w:left="633" w:right="1133"/>
        <w:jc w:val="left"/>
      </w:pPr>
      <w:r>
        <w:rPr/>
        <w:t>子公司：</w:t>
      </w:r>
    </w:p>
    <w:p>
      <w:pPr>
        <w:pStyle w:val="BodyText"/>
        <w:spacing w:line="256" w:lineRule="auto" w:before="157"/>
        <w:ind w:right="1128" w:firstLine="480"/>
        <w:jc w:val="both"/>
      </w:pPr>
      <w:r>
        <w:rPr>
          <w:spacing w:val="-1"/>
        </w:rPr>
        <w:t>①子公司云网科技于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日取得安徽省软件行业协会颁发的编号为皖</w:t>
      </w:r>
      <w:r>
        <w:rPr>
          <w:rFonts w:ascii="Times New Roman" w:hAnsi="Times New Roman" w:cs="Times New Roman" w:eastAsia="Times New Roman" w:hint="default"/>
          <w:spacing w:val="-1"/>
        </w:rPr>
        <w:t>RQ-2016-0045</w:t>
      </w:r>
      <w:r>
        <w:rPr>
          <w:spacing w:val="-1"/>
        </w:rPr>
        <w:t>的《软件</w:t>
      </w:r>
      <w:r>
        <w:rPr>
          <w:w w:val="100"/>
        </w:rPr>
        <w:t> </w:t>
      </w:r>
      <w:r>
        <w:rPr/>
        <w:t>企业认定证书》，自</w:t>
      </w:r>
      <w:r>
        <w:rPr>
          <w:rFonts w:ascii="Times New Roman" w:hAnsi="Times New Roman" w:cs="Times New Roman" w:eastAsia="Times New Roman" w:hint="default"/>
        </w:rPr>
        <w:t>2016</w:t>
      </w:r>
      <w:r>
        <w:rPr/>
        <w:t>年起享受</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优惠政策，云网科技</w:t>
      </w:r>
      <w:r>
        <w:rPr>
          <w:rFonts w:ascii="Times New Roman" w:hAnsi="Times New Roman" w:cs="Times New Roman" w:eastAsia="Times New Roman" w:hint="default"/>
        </w:rPr>
        <w:t>2019</w:t>
      </w:r>
      <w:r>
        <w:rPr/>
        <w:t>年度执行</w:t>
      </w:r>
      <w:r>
        <w:rPr>
          <w:rFonts w:ascii="Times New Roman" w:hAnsi="Times New Roman" w:cs="Times New Roman" w:eastAsia="Times New Roman" w:hint="default"/>
        </w:rPr>
        <w:t>12.5%</w:t>
      </w:r>
      <w:r>
        <w:rPr/>
        <w:t>的企业所得税税</w:t>
      </w:r>
      <w:r>
        <w:rPr>
          <w:spacing w:val="-25"/>
        </w:rPr>
        <w:t> </w:t>
      </w:r>
      <w:r>
        <w:rPr>
          <w:spacing w:val="-25"/>
        </w:rPr>
      </w:r>
      <w:r>
        <w:rPr/>
        <w:t>率。</w:t>
      </w:r>
    </w:p>
    <w:p>
      <w:pPr>
        <w:spacing w:line="240" w:lineRule="auto" w:before="2"/>
        <w:rPr>
          <w:rFonts w:ascii="宋体" w:hAnsi="宋体" w:cs="宋体" w:eastAsia="宋体" w:hint="default"/>
          <w:sz w:val="8"/>
          <w:szCs w:val="8"/>
        </w:rPr>
      </w:pPr>
    </w:p>
    <w:p>
      <w:pPr>
        <w:pStyle w:val="BodyText"/>
        <w:spacing w:line="256" w:lineRule="auto" w:before="36"/>
        <w:ind w:right="1128" w:firstLine="480"/>
        <w:jc w:val="both"/>
      </w:pPr>
      <w:r>
        <w:rPr>
          <w:spacing w:val="-3"/>
        </w:rPr>
        <w:t>②子公司苏州国创</w:t>
      </w:r>
      <w:r>
        <w:rPr>
          <w:rFonts w:ascii="Times New Roman" w:hAnsi="Times New Roman" w:cs="Times New Roman" w:eastAsia="Times New Roman" w:hint="default"/>
          <w:spacing w:val="-3"/>
        </w:rPr>
        <w:t>2017</w:t>
      </w:r>
      <w:r>
        <w:rPr>
          <w:spacing w:val="-3"/>
        </w:rPr>
        <w:t>年度已通过高新技术企业复审，并于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月获得了江苏省科学技术厅、江</w:t>
      </w:r>
      <w:r>
        <w:rPr>
          <w:w w:val="100"/>
        </w:rPr>
        <w:t> </w:t>
      </w:r>
      <w:r>
        <w:rPr>
          <w:spacing w:val="-4"/>
        </w:rPr>
        <w:t>苏省财政厅、江苏省国家税务局、江苏省地方税务局联合颁发的编号</w:t>
      </w:r>
      <w:r>
        <w:rPr>
          <w:rFonts w:ascii="Times New Roman" w:hAnsi="Times New Roman" w:cs="Times New Roman" w:eastAsia="Times New Roman" w:hint="default"/>
          <w:spacing w:val="-4"/>
        </w:rPr>
        <w:t>GR201732000115</w:t>
      </w:r>
      <w:r>
        <w:rPr>
          <w:spacing w:val="-4"/>
        </w:rPr>
        <w:t>号《高新技术企业证</w:t>
      </w:r>
      <w:r>
        <w:rPr>
          <w:spacing w:val="-8"/>
        </w:rPr>
        <w:t> </w:t>
      </w:r>
      <w:r>
        <w:rPr>
          <w:spacing w:val="-8"/>
        </w:rPr>
      </w:r>
      <w:r>
        <w:rPr/>
        <w:t>书》。苏州国创</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56" w:lineRule="auto" w:before="125"/>
        <w:ind w:right="1128" w:firstLine="480"/>
        <w:jc w:val="both"/>
      </w:pPr>
      <w:r>
        <w:rPr>
          <w:spacing w:val="-1"/>
        </w:rPr>
        <w:t>③子公司慧联运</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月获得了安徽省科学技术厅、安徽省财政厅、安徽省国家税务局、安徽省地</w:t>
      </w:r>
      <w:r>
        <w:rPr>
          <w:w w:val="100"/>
        </w:rPr>
        <w:t> </w:t>
      </w:r>
      <w:r>
        <w:rPr>
          <w:spacing w:val="-4"/>
        </w:rPr>
        <w:t>方税务局联合颁发的编号</w:t>
      </w:r>
      <w:r>
        <w:rPr>
          <w:rFonts w:ascii="Times New Roman" w:hAnsi="Times New Roman" w:cs="Times New Roman" w:eastAsia="Times New Roman" w:hint="default"/>
          <w:spacing w:val="-4"/>
        </w:rPr>
        <w:t>GR201734000654</w:t>
      </w:r>
      <w:r>
        <w:rPr>
          <w:spacing w:val="-4"/>
        </w:rPr>
        <w:t>号《高新技术企业证书》。慧联运</w:t>
      </w:r>
      <w:r>
        <w:rPr>
          <w:rFonts w:ascii="Times New Roman" w:hAnsi="Times New Roman" w:cs="Times New Roman" w:eastAsia="Times New Roman" w:hint="default"/>
          <w:spacing w:val="-4"/>
        </w:rPr>
        <w:t>2017</w:t>
      </w:r>
      <w:r>
        <w:rPr>
          <w:spacing w:val="-4"/>
        </w:rPr>
        <w:t>年度至</w:t>
      </w:r>
      <w:r>
        <w:rPr>
          <w:rFonts w:ascii="Times New Roman" w:hAnsi="Times New Roman" w:cs="Times New Roman" w:eastAsia="Times New Roman" w:hint="default"/>
          <w:spacing w:val="-4"/>
        </w:rPr>
        <w:t>2019</w:t>
      </w:r>
      <w:r>
        <w:rPr>
          <w:spacing w:val="-4"/>
        </w:rPr>
        <w:t>年度，享受高</w:t>
      </w:r>
      <w:r>
        <w:rPr>
          <w:spacing w:val="5"/>
        </w:rPr>
        <w:t> </w:t>
      </w:r>
      <w:r>
        <w:rPr>
          <w:spacing w:val="5"/>
        </w:rPr>
      </w:r>
      <w:r>
        <w:rPr/>
        <w:t>新技术企业</w:t>
      </w:r>
      <w:r>
        <w:rPr>
          <w:rFonts w:ascii="Times New Roman" w:hAnsi="Times New Roman" w:cs="Times New Roman" w:eastAsia="Times New Roman" w:hint="default"/>
        </w:rPr>
        <w:t>15%</w:t>
      </w:r>
      <w:r>
        <w:rPr/>
        <w:t>的优惠企业所得税税率。</w:t>
      </w:r>
    </w:p>
    <w:p>
      <w:pPr>
        <w:pStyle w:val="BodyText"/>
        <w:spacing w:line="256" w:lineRule="auto" w:before="125"/>
        <w:ind w:right="1128" w:firstLine="480"/>
        <w:jc w:val="both"/>
      </w:pPr>
      <w:r>
        <w:rPr>
          <w:spacing w:val="-3"/>
        </w:rPr>
        <w:t>④子公司贵博新能</w:t>
      </w:r>
      <w:r>
        <w:rPr>
          <w:rFonts w:ascii="Times New Roman" w:hAnsi="Times New Roman" w:cs="Times New Roman" w:eastAsia="Times New Roman" w:hint="default"/>
          <w:spacing w:val="-3"/>
        </w:rPr>
        <w:t>2017</w:t>
      </w:r>
      <w:r>
        <w:rPr>
          <w:spacing w:val="-3"/>
        </w:rPr>
        <w:t>年度已通过高新技术企业复审，并于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月获得子安徽省科学技术厅、安</w:t>
      </w:r>
      <w:r>
        <w:rPr>
          <w:w w:val="100"/>
        </w:rPr>
        <w:t> </w:t>
      </w:r>
      <w:r>
        <w:rPr>
          <w:spacing w:val="-4"/>
        </w:rPr>
        <w:t>徽省财政厅、安徽省国家税务局、安徽省地方税务局联合颁发的编号</w:t>
      </w:r>
      <w:r>
        <w:rPr>
          <w:rFonts w:ascii="Times New Roman" w:hAnsi="Times New Roman" w:cs="Times New Roman" w:eastAsia="Times New Roman" w:hint="default"/>
          <w:spacing w:val="-4"/>
        </w:rPr>
        <w:t>GR201734001441</w:t>
      </w:r>
      <w:r>
        <w:rPr>
          <w:spacing w:val="-4"/>
        </w:rPr>
        <w:t>号《高新技术企业证</w:t>
      </w:r>
      <w:r>
        <w:rPr>
          <w:spacing w:val="-8"/>
        </w:rPr>
        <w:t> </w:t>
      </w:r>
      <w:r>
        <w:rPr>
          <w:spacing w:val="-8"/>
        </w:rPr>
      </w:r>
      <w:r>
        <w:rPr/>
        <w:t>书》。贵博新能</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年度，享受高新技术企业</w:t>
      </w:r>
      <w:r>
        <w:rPr>
          <w:rFonts w:ascii="Times New Roman" w:hAnsi="Times New Roman" w:cs="Times New Roman" w:eastAsia="Times New Roman" w:hint="default"/>
        </w:rPr>
        <w:t>15%</w:t>
      </w:r>
      <w:r>
        <w:rPr/>
        <w:t>的优惠企业所得税税率。</w:t>
      </w:r>
    </w:p>
    <w:p>
      <w:pPr>
        <w:pStyle w:val="BodyText"/>
        <w:spacing w:line="261" w:lineRule="auto" w:before="125"/>
        <w:ind w:right="1126" w:firstLine="480"/>
        <w:jc w:val="both"/>
      </w:pPr>
      <w:r>
        <w:rPr>
          <w:spacing w:val="-4"/>
        </w:rPr>
        <w:t>⑤孙公司慧通物流符合小型微利企业标准，根据财政部、税务总局《关于实施小微企业普惠性税收减</w:t>
      </w:r>
      <w:r>
        <w:rPr>
          <w:w w:val="100"/>
        </w:rPr>
        <w:t> </w:t>
      </w:r>
      <w:r>
        <w:rPr>
          <w:spacing w:val="-2"/>
        </w:rPr>
        <w:t>免政策的通知》（财税〔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号）的规定，企业所得税执行小型微利企业相关税率。对小型微利企业</w:t>
      </w:r>
      <w:r>
        <w:rPr>
          <w:spacing w:val="-46"/>
        </w:rPr>
        <w:t> </w:t>
      </w:r>
      <w:r>
        <w:rPr>
          <w:spacing w:val="-46"/>
        </w:rPr>
      </w:r>
      <w:r>
        <w:rPr>
          <w:spacing w:val="-3"/>
        </w:rPr>
        <w:t>年应纳税所得额不超过</w:t>
      </w:r>
      <w:r>
        <w:rPr>
          <w:rFonts w:ascii="Times New Roman" w:hAnsi="Times New Roman" w:cs="Times New Roman" w:eastAsia="Times New Roman" w:hint="default"/>
          <w:spacing w:val="-3"/>
        </w:rPr>
        <w:t>100</w:t>
      </w:r>
      <w:r>
        <w:rPr>
          <w:spacing w:val="-3"/>
        </w:rPr>
        <w:t>万元的部分，减按</w:t>
      </w:r>
      <w:r>
        <w:rPr>
          <w:rFonts w:ascii="Times New Roman" w:hAnsi="Times New Roman" w:cs="Times New Roman" w:eastAsia="Times New Roman" w:hint="default"/>
          <w:spacing w:val="-3"/>
        </w:rPr>
        <w:t>25%</w:t>
      </w:r>
      <w:r>
        <w:rPr>
          <w:spacing w:val="-3"/>
        </w:rPr>
        <w:t>计入应纳税所得额，按</w:t>
      </w:r>
      <w:r>
        <w:rPr>
          <w:rFonts w:ascii="Times New Roman" w:hAnsi="Times New Roman" w:cs="Times New Roman" w:eastAsia="Times New Roman" w:hint="default"/>
          <w:spacing w:val="-3"/>
        </w:rPr>
        <w:t>20%</w:t>
      </w:r>
      <w:r>
        <w:rPr>
          <w:spacing w:val="-3"/>
        </w:rPr>
        <w:t>的税率缴纳企业所得税；对年</w:t>
      </w:r>
      <w:r>
        <w:rPr>
          <w:spacing w:val="-23"/>
        </w:rPr>
        <w:t> </w:t>
      </w:r>
      <w:r>
        <w:rPr>
          <w:spacing w:val="-23"/>
        </w:rPr>
      </w:r>
      <w:r>
        <w:rPr/>
        <w:t>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w:t>
      </w:r>
      <w:r>
        <w:rPr>
          <w:spacing w:val="-57"/>
        </w:rPr>
        <w:t> </w:t>
      </w:r>
      <w:r>
        <w:rPr>
          <w:spacing w:val="-57"/>
        </w:rPr>
      </w:r>
      <w:r>
        <w:rPr/>
        <w:t>所得税。</w:t>
      </w:r>
    </w:p>
    <w:p>
      <w:pPr>
        <w:pStyle w:val="BodyText"/>
        <w:spacing w:line="256" w:lineRule="auto" w:before="138"/>
        <w:ind w:right="1128" w:firstLine="480"/>
        <w:jc w:val="both"/>
      </w:pPr>
      <w:r>
        <w:rPr>
          <w:spacing w:val="-1"/>
        </w:rPr>
        <w:t>⑥子公司国创软件于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日取得安徽省软件行业协会颁发的编号为皖</w:t>
      </w:r>
      <w:r>
        <w:rPr>
          <w:rFonts w:ascii="Times New Roman" w:hAnsi="Times New Roman" w:cs="Times New Roman" w:eastAsia="Times New Roman" w:hint="default"/>
          <w:spacing w:val="-1"/>
        </w:rPr>
        <w:t>RQ-2019-0244</w:t>
      </w:r>
      <w:r>
        <w:rPr>
          <w:spacing w:val="-1"/>
        </w:rPr>
        <w:t>的《软件</w:t>
      </w:r>
      <w:r>
        <w:rPr>
          <w:w w:val="100"/>
        </w:rPr>
        <w:t> </w:t>
      </w:r>
      <w:r>
        <w:rPr/>
        <w:t>企业认定证书》，自</w:t>
      </w:r>
      <w:r>
        <w:rPr>
          <w:rFonts w:ascii="Times New Roman" w:hAnsi="Times New Roman" w:cs="Times New Roman" w:eastAsia="Times New Roman" w:hint="default"/>
        </w:rPr>
        <w:t>2019</w:t>
      </w:r>
      <w:r>
        <w:rPr/>
        <w:t>年起享受</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w:t>
      </w:r>
      <w:r>
        <w:rPr>
          <w:spacing w:val="-26"/>
        </w:rPr>
        <w:t> </w:t>
      </w:r>
      <w:r>
        <w:rPr>
          <w:rFonts w:ascii="Times New Roman" w:hAnsi="Times New Roman" w:cs="Times New Roman" w:eastAsia="Times New Roman" w:hint="default"/>
        </w:rPr>
        <w:t>2019</w:t>
      </w:r>
      <w:r>
        <w:rPr/>
        <w:t>年度执行免交企业所得税。</w:t>
      </w:r>
    </w:p>
    <w:p>
      <w:pPr>
        <w:pStyle w:val="BodyText"/>
        <w:spacing w:line="256" w:lineRule="auto" w:before="125"/>
        <w:ind w:right="1130" w:firstLine="480"/>
        <w:jc w:val="both"/>
      </w:pPr>
      <w:r>
        <w:rPr/>
        <w:t>⑦孙公司贵州大数据于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日取得贵州省信息技术服务业协会颁发的编号为</w:t>
      </w:r>
      <w:r>
        <w:rPr>
          <w:rFonts w:ascii="Times New Roman" w:hAnsi="Times New Roman" w:cs="Times New Roman" w:eastAsia="Times New Roman" w:hint="default"/>
        </w:rPr>
        <w:t>RQ-2019-0104</w:t>
      </w:r>
      <w:r>
        <w:rPr>
          <w:rFonts w:ascii="Times New Roman" w:hAnsi="Times New Roman" w:cs="Times New Roman" w:eastAsia="Times New Roman" w:hint="default"/>
          <w:w w:val="100"/>
        </w:rPr>
        <w:t> </w:t>
      </w:r>
      <w:r>
        <w:rPr/>
        <w:t>的《软件企业证书》，自盈利第一年开始起享受</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w:t>
      </w:r>
    </w:p>
    <w:p>
      <w:pPr>
        <w:spacing w:before="67"/>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4"/>
          <w:szCs w:val="24"/>
        </w:rPr>
      </w:pPr>
    </w:p>
    <w:p>
      <w:pPr>
        <w:spacing w:line="376" w:lineRule="auto" w:before="0"/>
        <w:ind w:left="573" w:right="2113" w:firstLine="2"/>
        <w:jc w:val="left"/>
        <w:rPr>
          <w:rFonts w:ascii="宋体" w:hAnsi="宋体" w:cs="宋体" w:eastAsia="宋体" w:hint="default"/>
          <w:sz w:val="21"/>
          <w:szCs w:val="21"/>
        </w:rPr>
      </w:pPr>
      <w:r>
        <w:rPr/>
        <w:pict>
          <v:shape style="position:absolute;margin-left:56.304001pt;margin-top:37.823704pt;width:483.1pt;height:35.5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8"/>
                    <w:gridCol w:w="1963"/>
                    <w:gridCol w:w="2595"/>
                    <w:gridCol w:w="2804"/>
                  </w:tblGrid>
                  <w:tr>
                    <w:trPr>
                      <w:trHeight w:val="34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85"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消费税</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23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bl>
                <w:p>
                  <w:pPr/>
                </w:p>
              </w:txbxContent>
            </v:textbox>
            <w10:wrap type="none"/>
          </v:shape>
        </w:pict>
      </w:r>
      <w:r>
        <w:rPr>
          <w:rFonts w:ascii="宋体" w:hAnsi="宋体" w:cs="宋体" w:eastAsia="宋体" w:hint="default"/>
          <w:b/>
          <w:bCs/>
          <w:sz w:val="21"/>
          <w:szCs w:val="21"/>
        </w:rPr>
        <w:t>境外公司主要税种及税率</w:t>
      </w:r>
      <w:r>
        <w:rPr>
          <w:rFonts w:ascii="宋体" w:hAnsi="宋体" w:cs="宋体" w:eastAsia="宋体" w:hint="default"/>
          <w:b/>
          <w:bCs/>
          <w:w w:val="100"/>
          <w:sz w:val="21"/>
          <w:szCs w:val="21"/>
        </w:rPr>
        <w:t> </w:t>
      </w:r>
      <w:r>
        <w:rPr>
          <w:rFonts w:ascii="宋体" w:hAnsi="宋体" w:cs="宋体" w:eastAsia="宋体" w:hint="default"/>
          <w:spacing w:val="-2"/>
          <w:sz w:val="21"/>
          <w:szCs w:val="21"/>
        </w:rPr>
        <w:t>日本国创于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年注册于日本东京，报告期内主要税种、税率如下：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5"/>
        <w:ind w:left="573" w:right="1133"/>
        <w:jc w:val="left"/>
      </w:pPr>
      <w:r>
        <w:rPr>
          <w:spacing w:val="-4"/>
        </w:rPr>
        <w:t>注</w:t>
      </w:r>
      <w:r>
        <w:rPr>
          <w:rFonts w:ascii="Times New Roman" w:hAnsi="Times New Roman" w:cs="Times New Roman" w:eastAsia="Times New Roman" w:hint="default"/>
          <w:spacing w:val="-4"/>
        </w:rPr>
        <w:t>1</w:t>
      </w:r>
      <w:r>
        <w:rPr>
          <w:spacing w:val="-4"/>
        </w:rPr>
        <w:t>：消费税是对商品和劳务的增值额课征的一种税，征收实行单一比例税率，税率为</w:t>
      </w:r>
      <w:r>
        <w:rPr>
          <w:rFonts w:ascii="Times New Roman" w:hAnsi="Times New Roman" w:cs="Times New Roman" w:eastAsia="Times New Roman" w:hint="default"/>
          <w:spacing w:val="-4"/>
        </w:rPr>
        <w:t>10%</w:t>
      </w:r>
      <w:r>
        <w:rPr>
          <w:spacing w:val="-4"/>
        </w:rPr>
        <w:t>，以纳税人</w:t>
      </w:r>
    </w:p>
    <w:p>
      <w:pPr>
        <w:spacing w:after="0" w:line="240"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40" w:lineRule="auto" w:before="36"/>
        <w:ind w:right="1133"/>
        <w:jc w:val="left"/>
      </w:pPr>
      <w:r>
        <w:rPr/>
        <w:t>的总销货额与总进货额的差额为计税依据，类似于国内的增值税。</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248,814.16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380,728.06</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678,649,701.73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445,288,376.19</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29,582,430.83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20,502,619.66</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708,480,946.72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466,171,723.91</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8,535,902.09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8,239,765.89</w:t>
            </w:r>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29,582,430.83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21,602,619.66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spacing w:line="297" w:lineRule="auto" w:before="0"/>
        <w:ind w:left="153" w:right="1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）其他货币资金期末余额主要系本公司为开具银行保函和银行承兑汇票存入的保证金。除此之外，货币资金期末余 额中无其他因抵押或冻结等对使用有限制、有潜在回收风险的款项。</w:t>
      </w:r>
    </w:p>
    <w:p>
      <w:pPr>
        <w:spacing w:line="300" w:lineRule="auto" w:before="153"/>
        <w:ind w:left="153" w:right="1133"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）货币资金期末余额较期初增长</w:t>
      </w:r>
      <w:r>
        <w:rPr>
          <w:rFonts w:ascii="Times New Roman" w:hAnsi="Times New Roman" w:cs="Times New Roman" w:eastAsia="Times New Roman" w:hint="default"/>
          <w:spacing w:val="-1"/>
          <w:sz w:val="18"/>
          <w:szCs w:val="18"/>
        </w:rPr>
        <w:t>51.98%</w:t>
      </w:r>
      <w:r>
        <w:rPr>
          <w:rFonts w:ascii="宋体" w:hAnsi="宋体" w:cs="宋体" w:eastAsia="宋体" w:hint="default"/>
          <w:spacing w:val="-1"/>
          <w:sz w:val="18"/>
          <w:szCs w:val="18"/>
        </w:rPr>
        <w:t>，主要系本期收到募集配套资金款、对外筹资规模增长以及公司经营性资金</w:t>
      </w:r>
      <w:r>
        <w:rPr>
          <w:rFonts w:ascii="宋体" w:hAnsi="宋体" w:cs="宋体" w:eastAsia="宋体" w:hint="default"/>
          <w:sz w:val="18"/>
          <w:szCs w:val="18"/>
        </w:rPr>
        <w:t> 净增长所致。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w:t>
      </w:r>
      <w:r>
        <w:rPr>
          <w:spacing w:val="-4"/>
        </w:rPr>
        <w:t> </w:t>
      </w:r>
      <w:r>
        <w:rPr/>
        <w:t>以公允价值计量且其变动计入当期损益的金融资产</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095"/>
        <w:gridCol w:w="2252"/>
        <w:gridCol w:w="1625"/>
        <w:gridCol w:w="1601"/>
        <w:gridCol w:w="2086"/>
      </w:tblGrid>
      <w:tr>
        <w:trPr>
          <w:trHeight w:val="346"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1" w:right="-1"/>
              <w:jc w:val="left"/>
              <w:rPr>
                <w:rFonts w:ascii="Times New Roman" w:hAnsi="Times New Roman" w:cs="Times New Roman" w:eastAsia="Times New Roman" w:hint="default"/>
                <w:sz w:val="21"/>
                <w:szCs w:val="21"/>
              </w:rPr>
            </w:pPr>
            <w:r>
              <w:rPr>
                <w:rFonts w:ascii="Times New Roman"/>
                <w:sz w:val="21"/>
              </w:rPr>
              <w:t>16,063,303.59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79" w:right="-2"/>
              <w:jc w:val="left"/>
              <w:rPr>
                <w:rFonts w:ascii="Times New Roman" w:hAnsi="Times New Roman" w:cs="Times New Roman" w:eastAsia="Times New Roman" w:hint="default"/>
                <w:sz w:val="21"/>
                <w:szCs w:val="21"/>
              </w:rPr>
            </w:pPr>
            <w:r>
              <w:rPr>
                <w:rFonts w:ascii="Times New Roman"/>
                <w:sz w:val="21"/>
              </w:rPr>
              <w:t>16,063,303.59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1" w:right="-1"/>
              <w:jc w:val="left"/>
              <w:rPr>
                <w:rFonts w:ascii="Times New Roman" w:hAnsi="Times New Roman" w:cs="Times New Roman" w:eastAsia="Times New Roman" w:hint="default"/>
                <w:sz w:val="21"/>
                <w:szCs w:val="21"/>
              </w:rPr>
            </w:pPr>
            <w:r>
              <w:rPr>
                <w:rFonts w:ascii="Times New Roman"/>
                <w:sz w:val="21"/>
              </w:rPr>
              <w:t>16,063,303.59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9" w:right="-2"/>
              <w:jc w:val="left"/>
              <w:rPr>
                <w:rFonts w:ascii="Times New Roman" w:hAnsi="Times New Roman" w:cs="Times New Roman" w:eastAsia="Times New Roman" w:hint="default"/>
                <w:sz w:val="21"/>
                <w:szCs w:val="21"/>
              </w:rPr>
            </w:pPr>
            <w:r>
              <w:rPr>
                <w:rFonts w:ascii="Times New Roman"/>
                <w:sz w:val="21"/>
              </w:rPr>
              <w:t>16,063,303.59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1" w:right="-1"/>
              <w:jc w:val="left"/>
              <w:rPr>
                <w:rFonts w:ascii="Times New Roman" w:hAnsi="Times New Roman" w:cs="Times New Roman" w:eastAsia="Times New Roman" w:hint="default"/>
                <w:sz w:val="21"/>
                <w:szCs w:val="21"/>
              </w:rPr>
            </w:pPr>
            <w:r>
              <w:rPr>
                <w:rFonts w:ascii="Times New Roman"/>
                <w:sz w:val="21"/>
              </w:rPr>
              <w:t>16,063,303.59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79" w:right="-2"/>
              <w:jc w:val="left"/>
              <w:rPr>
                <w:rFonts w:ascii="Times New Roman" w:hAnsi="Times New Roman" w:cs="Times New Roman" w:eastAsia="Times New Roman" w:hint="default"/>
                <w:sz w:val="21"/>
                <w:szCs w:val="21"/>
              </w:rPr>
            </w:pPr>
            <w:r>
              <w:rPr>
                <w:rFonts w:ascii="Times New Roman"/>
                <w:sz w:val="21"/>
              </w:rPr>
              <w:t>16,063,303.59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line="240" w:lineRule="auto" w:before="5"/>
        <w:rPr>
          <w:rFonts w:ascii="宋体" w:hAnsi="宋体" w:cs="宋体" w:eastAsia="宋体" w:hint="default"/>
          <w:b/>
          <w:bCs/>
          <w:sz w:val="6"/>
          <w:szCs w:val="6"/>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以公允价值计量且其变动计入当期损益的金融资产系依据贵博新能</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年度业绩承诺完成情况形成的盈利补偿。</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1,239,757.91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2,729,805.66</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1,239,757.91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2,729,805.66</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41"/>
        <w:gridCol w:w="4093"/>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624"/>
        <w:gridCol w:w="775"/>
        <w:gridCol w:w="763"/>
        <w:gridCol w:w="761"/>
        <w:gridCol w:w="764"/>
        <w:gridCol w:w="790"/>
        <w:gridCol w:w="775"/>
        <w:gridCol w:w="797"/>
        <w:gridCol w:w="931"/>
        <w:gridCol w:w="797"/>
        <w:gridCol w:w="792"/>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1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24"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按单项计提坏账准 备的应收票据</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1,305,00</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8.64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1,239,757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404,200.30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2,729,805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1,305,00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8.64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404,200.30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2,729,805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1,305,00</w:t>
            </w:r>
          </w:p>
          <w:p>
            <w:pPr>
              <w:pStyle w:val="TableParagraph"/>
              <w:spacing w:line="240" w:lineRule="auto" w:before="102"/>
              <w:ind w:left="428" w:right="0"/>
              <w:jc w:val="left"/>
              <w:rPr>
                <w:rFonts w:ascii="Times New Roman" w:hAnsi="Times New Roman" w:cs="Times New Roman" w:eastAsia="Times New Roman" w:hint="default"/>
                <w:sz w:val="18"/>
                <w:szCs w:val="18"/>
              </w:rPr>
            </w:pPr>
            <w:r>
              <w:rPr>
                <w:rFonts w:ascii="Times New Roman"/>
                <w:sz w:val="18"/>
              </w:rPr>
              <w:t>8.64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65,250.7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1,239,757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3,134,005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404,200.30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2,729,805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r>
    </w:tbl>
    <w:p>
      <w:pPr>
        <w:spacing w:before="49"/>
        <w:ind w:left="153"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0</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3"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65,250.73</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1,305,008.64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65,250.73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1,305,008.64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65,250.73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7" w:footer="979" w:top="1200" w:bottom="1160" w:left="980" w:right="0"/>
        </w:sectPr>
      </w:pPr>
    </w:p>
    <w:p>
      <w:pPr>
        <w:spacing w:line="338"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按组合计提坏账准备的确认标准及说明见附注五、</w:t>
      </w:r>
      <w:r>
        <w:rPr>
          <w:rFonts w:ascii="Times New Roman" w:hAnsi="Times New Roman" w:cs="Times New Roman" w:eastAsia="Times New Roman" w:hint="default"/>
          <w:sz w:val="18"/>
          <w:szCs w:val="18"/>
        </w:rPr>
        <w:t>10</w:t>
      </w:r>
      <w:r>
        <w:rPr>
          <w:rFonts w:ascii="宋体" w:hAnsi="宋体" w:cs="宋体" w:eastAsia="宋体" w:hint="default"/>
          <w:sz w:val="18"/>
          <w:szCs w:val="18"/>
        </w:rPr>
        <w:t>。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4477" w:space="4352"/>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404,200.30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-338,949.57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65,250.73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404,200.30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3" w:right="0"/>
              <w:jc w:val="left"/>
              <w:rPr>
                <w:rFonts w:ascii="Times New Roman" w:hAnsi="Times New Roman" w:cs="Times New Roman" w:eastAsia="Times New Roman" w:hint="default"/>
                <w:sz w:val="18"/>
                <w:szCs w:val="18"/>
              </w:rPr>
            </w:pPr>
            <w:r>
              <w:rPr>
                <w:rFonts w:ascii="Times New Roman"/>
                <w:sz w:val="18"/>
              </w:rPr>
              <w:t>-338,949.57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65,250.73</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3"/>
        <w:gridCol w:w="761"/>
        <w:gridCol w:w="764"/>
        <w:gridCol w:w="790"/>
        <w:gridCol w:w="775"/>
        <w:gridCol w:w="797"/>
        <w:gridCol w:w="799"/>
        <w:gridCol w:w="790"/>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3"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7,044,38</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7.56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7,044,38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2,393,250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2,393,250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525,677,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090.50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44,775,8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46.30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480,901,2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467,425,2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37.25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40,591,33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426,833,89</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8.16</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525,677,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090.50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44,775,8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46.30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480,901,2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467,425,2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37.25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40,591,33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426,833,89</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8.16</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532,721,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478.06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51,820,2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33.86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480,901,2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469,818,4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87.96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42,984,58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426,833,89</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8.16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7,044,387.56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1,567,562.76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1,567,562.76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1,080,824.80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1,080,824.80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7,044,387.56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7,044,387.56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44,775,846.30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413,316,816.11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20,665,840.82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70,418,126.84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7,041,812.69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23,358,873.65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7,007,662.10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16,080,294.65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8,040,147.33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2,412,979.45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1,930,383.56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89,999.80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525,677,090.50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44,775,846.30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7" w:footer="979" w:top="1200" w:bottom="1160" w:left="980" w:right="0"/>
        </w:sectPr>
      </w:pPr>
    </w:p>
    <w:p>
      <w:pPr>
        <w:spacing w:line="34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注：组合</w:t>
      </w:r>
      <w:r>
        <w:rPr>
          <w:rFonts w:ascii="Times New Roman" w:hAnsi="Times New Roman" w:cs="Times New Roman" w:eastAsia="Times New Roman" w:hint="default"/>
          <w:sz w:val="18"/>
          <w:szCs w:val="18"/>
        </w:rPr>
        <w:t>1</w:t>
      </w:r>
      <w:r>
        <w:rPr>
          <w:rFonts w:ascii="宋体" w:hAnsi="宋体" w:cs="宋体" w:eastAsia="宋体" w:hint="default"/>
          <w:sz w:val="18"/>
          <w:szCs w:val="18"/>
        </w:rPr>
        <w:t>为应收客户款。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2225" w:space="660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413,683,896.11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70,605,626.84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26,544,761.69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21,887,193.42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17,993,689.45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3,803,504.17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89,999.80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532,721,478.06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42,984,589.80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9,051,644.06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216,000.00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51,820,233.86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42,984,589.80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9,051,644.06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216,000.00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51,820,233.86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4"/>
          <w:szCs w:val="1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pgSz w:w="11910" w:h="16840"/>
          <w:pgMar w:header="887" w:footer="979" w:top="1200" w:bottom="1160" w:left="980" w:right="0"/>
        </w:sectPr>
      </w:pPr>
    </w:p>
    <w:p>
      <w:pPr>
        <w:spacing w:before="49"/>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5"/>
        <w:ind w:left="225" w:right="-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4457" w:space="4372"/>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9"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38,679,027.99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1,933,951.40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23,883,195.67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1,194,159.78</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20,567,396.57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1,028,369.83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14,548,638.64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727,431.93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13,994,583.13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1,399,458.31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111,672,842.00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44,708,875.00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37,883,435.00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44,708,875.00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37,883,435.00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4"/>
          <w:szCs w:val="14"/>
        </w:rPr>
      </w:pPr>
    </w:p>
    <w:p>
      <w:pPr>
        <w:spacing w:line="340" w:lineRule="auto" w:before="44"/>
        <w:ind w:left="153" w:right="1393" w:firstLine="0"/>
        <w:jc w:val="left"/>
        <w:rPr>
          <w:rFonts w:ascii="宋体" w:hAnsi="宋体" w:cs="宋体" w:eastAsia="宋体" w:hint="default"/>
          <w:sz w:val="18"/>
          <w:szCs w:val="18"/>
        </w:rPr>
      </w:pPr>
      <w:r>
        <w:rPr>
          <w:rFonts w:ascii="宋体" w:hAnsi="宋体" w:cs="宋体" w:eastAsia="宋体" w:hint="default"/>
          <w:sz w:val="18"/>
          <w:szCs w:val="18"/>
        </w:rPr>
        <w:t>应收款项融资余额期末较期初增长</w:t>
      </w:r>
      <w:r>
        <w:rPr>
          <w:rFonts w:ascii="Times New Roman" w:hAnsi="Times New Roman" w:cs="Times New Roman" w:eastAsia="Times New Roman" w:hint="default"/>
          <w:sz w:val="18"/>
          <w:szCs w:val="18"/>
        </w:rPr>
        <w:t>18.02%</w:t>
      </w:r>
      <w:r>
        <w:rPr>
          <w:rFonts w:ascii="宋体" w:hAnsi="宋体" w:cs="宋体" w:eastAsia="宋体" w:hint="default"/>
          <w:sz w:val="18"/>
          <w:szCs w:val="18"/>
        </w:rPr>
        <w:t>，主要系期末收到的未兑付银行承兑汇票余额增加所致。 如是按照预期信用损失一般模型计提应收款项融资减值准备，请参照其他应收款的披露方式披露减值准备的相关信息：</w:t>
      </w:r>
    </w:p>
    <w:p>
      <w:pPr>
        <w:spacing w:line="340" w:lineRule="auto" w:before="39"/>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123"/>
        <w:ind w:left="15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）期末公司已质押的应收款项融资</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190"/>
        <w:gridCol w:w="6381"/>
      </w:tblGrid>
      <w:tr>
        <w:trPr>
          <w:trHeight w:val="342"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日质押金额</w:t>
            </w:r>
          </w:p>
        </w:tc>
      </w:tr>
      <w:tr>
        <w:trPr>
          <w:trHeight w:val="352" w:hRule="exact"/>
        </w:trPr>
        <w:tc>
          <w:tcPr>
            <w:tcW w:w="319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38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32,000,000.00</w:t>
            </w:r>
          </w:p>
        </w:tc>
      </w:tr>
    </w:tbl>
    <w:p>
      <w:pPr>
        <w:spacing w:line="240" w:lineRule="auto" w:before="5"/>
        <w:rPr>
          <w:rFonts w:ascii="宋体" w:hAnsi="宋体" w:cs="宋体" w:eastAsia="宋体" w:hint="default"/>
          <w:sz w:val="6"/>
          <w:szCs w:val="6"/>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）公司已背书或贴现且在期末尚未到期的应收款项融资</w:t>
      </w:r>
    </w:p>
    <w:p>
      <w:pPr>
        <w:spacing w:line="240" w:lineRule="auto" w:before="2"/>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190"/>
        <w:gridCol w:w="3190"/>
        <w:gridCol w:w="3191"/>
      </w:tblGrid>
      <w:tr>
        <w:trPr>
          <w:trHeight w:val="335"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1046"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960" w:right="0"/>
              <w:jc w:val="left"/>
              <w:rPr>
                <w:rFonts w:ascii="宋体" w:hAnsi="宋体" w:cs="宋体" w:eastAsia="宋体" w:hint="default"/>
                <w:sz w:val="18"/>
                <w:szCs w:val="18"/>
              </w:rPr>
            </w:pPr>
            <w:r>
              <w:rPr>
                <w:rFonts w:ascii="宋体" w:hAnsi="宋体" w:cs="宋体" w:eastAsia="宋体" w:hint="default"/>
                <w:sz w:val="18"/>
                <w:szCs w:val="18"/>
              </w:rPr>
              <w:t>未终止确认金额</w:t>
            </w:r>
          </w:p>
        </w:tc>
      </w:tr>
      <w:tr>
        <w:trPr>
          <w:trHeight w:val="348" w:hRule="exact"/>
        </w:trPr>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32,850,483.55</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13,375,620.53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18,208,641.36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231,208.60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249,306.00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122,244.98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293,791.69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13,764,686.62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18,770,894.22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92" w:lineRule="auto" w:before="49"/>
        <w:ind w:left="153" w:right="5896" w:firstLine="0"/>
        <w:jc w:val="left"/>
        <w:rPr>
          <w:rFonts w:ascii="宋体" w:hAnsi="宋体" w:cs="宋体" w:eastAsia="宋体" w:hint="default"/>
          <w:sz w:val="24"/>
          <w:szCs w:val="24"/>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本公司无账龄超过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年且金额重要的预付款项</w:t>
      </w:r>
      <w:r>
        <w:rPr>
          <w:rFonts w:ascii="宋体" w:hAnsi="宋体" w:cs="宋体" w:eastAsia="宋体" w:hint="default"/>
          <w:sz w:val="24"/>
          <w:szCs w:val="24"/>
        </w:rPr>
        <w:t>。</w:t>
      </w:r>
    </w:p>
    <w:p>
      <w:pPr>
        <w:spacing w:line="240" w:lineRule="auto" w:before="5"/>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439"/>
        <w:gridCol w:w="3152"/>
        <w:gridCol w:w="4067"/>
      </w:tblGrid>
      <w:tr>
        <w:trPr>
          <w:trHeight w:val="335"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5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6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422" w:right="0"/>
              <w:jc w:val="left"/>
              <w:rPr>
                <w:rFonts w:ascii="宋体" w:hAnsi="宋体" w:cs="宋体" w:eastAsia="宋体" w:hint="default"/>
                <w:sz w:val="18"/>
                <w:szCs w:val="18"/>
              </w:rPr>
            </w:pPr>
            <w:r>
              <w:rPr>
                <w:rFonts w:ascii="宋体" w:hAnsi="宋体" w:cs="宋体" w:eastAsia="宋体" w:hint="default"/>
                <w:sz w:val="18"/>
                <w:szCs w:val="18"/>
              </w:rPr>
              <w:t>占预付账款期末余额合计数的比例（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52"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8,135,948.45</w:t>
            </w:r>
          </w:p>
        </w:tc>
        <w:tc>
          <w:tcPr>
            <w:tcW w:w="40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59.11</w:t>
            </w:r>
          </w:p>
        </w:tc>
      </w:tr>
      <w:tr>
        <w:trPr>
          <w:trHeight w:val="349"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1,126,702.80</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8.19</w:t>
            </w: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301,550.41</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2.19</w:t>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294,000.00</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2.14</w:t>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192,614.85</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1.40</w:t>
            </w: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10,050,816.51</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73.03</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27,379,574.30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28,794,785.48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27,379,574.30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28,794,785.48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26,886,764.68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24,156,070.33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8,775,730.72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7,834,022.44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35,662,495.40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31,990,092.77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63"/>
        <w:gridCol w:w="2098"/>
        <w:gridCol w:w="2101"/>
        <w:gridCol w:w="1805"/>
      </w:tblGrid>
      <w:tr>
        <w:trPr>
          <w:trHeight w:val="403"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3,195,307.29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3,195,307.29</w:t>
            </w:r>
          </w:p>
        </w:tc>
      </w:tr>
      <w:tr>
        <w:trPr>
          <w:trHeight w:val="161" w:hRule="exact"/>
        </w:trPr>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2"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2"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1,896,264.94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3,391,348.87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5,287,613.81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4,891,572.23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3,391,348.87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8,282,921.10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3" w:right="1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20,370,835.47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7,038,535.45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5,868,356.13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2,384,768.35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1,223,208.40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974,633.25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186,926.70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35,662,495.40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3,195,307.29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5,287,613.81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200,000.00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8,282,921.10</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3,195,307.29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5,287,613.81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9" w:right="0"/>
              <w:jc w:val="left"/>
              <w:rPr>
                <w:rFonts w:ascii="Times New Roman" w:hAnsi="Times New Roman" w:cs="Times New Roman" w:eastAsia="Times New Roman" w:hint="default"/>
                <w:sz w:val="18"/>
                <w:szCs w:val="18"/>
              </w:rPr>
            </w:pPr>
            <w:r>
              <w:rPr>
                <w:rFonts w:ascii="Times New Roman"/>
                <w:sz w:val="18"/>
              </w:rPr>
              <w:t>200,000.00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8,282,921.10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5,388,455.00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777,601.75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2,891,348.87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2,891,348.87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259,863.40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885,499.00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88,549.90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11,435,180.87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4,107,363.92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11,256,039.16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11,256,039.16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4,332,794.27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4,332,794.27</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99,750,617.70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2,004,846.21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97,745,771.49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122,333,082.88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122,333,082.88</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6,239,019.65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6,239,019.65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19,229,196.15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19,229,196.15</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689,956.38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689,956.38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960,419.59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960,419.59</w:t>
            </w:r>
          </w:p>
        </w:tc>
      </w:tr>
      <w:tr>
        <w:trPr>
          <w:trHeight w:val="1027"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117,935,632.89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2,004,846.21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115,930,786.68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146,855,492.89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146,855,492.89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4"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2,004,846.21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2,004,846.21</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2,004,846.21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2,004,846.21</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73"/>
        <w:gridCol w:w="4785"/>
      </w:tblGrid>
      <w:tr>
        <w:trPr>
          <w:trHeight w:val="401"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一年内到期的债权投资</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66,620,985.08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66,620,985.08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439" w:lineRule="auto" w:before="49"/>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其他说明： 一年内到期的非流动资产</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年末增长较大，主要系长期应收款重分类所致。</w:t>
      </w:r>
    </w:p>
    <w:p>
      <w:pPr>
        <w:spacing w:line="240" w:lineRule="auto" w:before="7"/>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954" w:space="687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22,022,679.48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15,773,004.12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预提增值税销项税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12,026,620.31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6,111,515.69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1,364,711.25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3,738,276.06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149,931.22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35,563,942.26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25,865,295.87</w:t>
            </w:r>
          </w:p>
        </w:tc>
      </w:tr>
    </w:tbl>
    <w:p>
      <w:pPr>
        <w:spacing w:line="441" w:lineRule="auto" w:before="49"/>
        <w:ind w:left="153" w:right="4078" w:firstLine="0"/>
        <w:jc w:val="left"/>
        <w:rPr>
          <w:rFonts w:ascii="宋体" w:hAnsi="宋体" w:cs="宋体" w:eastAsia="宋体" w:hint="default"/>
          <w:sz w:val="18"/>
          <w:szCs w:val="18"/>
        </w:rPr>
      </w:pPr>
      <w:r>
        <w:rPr>
          <w:rFonts w:ascii="宋体" w:hAnsi="宋体" w:cs="宋体" w:eastAsia="宋体" w:hint="default"/>
          <w:sz w:val="18"/>
          <w:szCs w:val="18"/>
        </w:rPr>
        <w:t>其他说明： 其他流动资产期末余额较期初增长</w:t>
      </w:r>
      <w:r>
        <w:rPr>
          <w:rFonts w:ascii="Times New Roman" w:hAnsi="Times New Roman" w:cs="Times New Roman" w:eastAsia="Times New Roman" w:hint="default"/>
          <w:sz w:val="18"/>
          <w:szCs w:val="18"/>
        </w:rPr>
        <w:t>37.50%</w:t>
      </w:r>
      <w:r>
        <w:rPr>
          <w:rFonts w:ascii="宋体" w:hAnsi="宋体" w:cs="宋体" w:eastAsia="宋体" w:hint="default"/>
          <w:sz w:val="18"/>
          <w:szCs w:val="18"/>
        </w:rPr>
        <w:t>，主要系本期待抵扣进项税增长较大所致。</w:t>
      </w:r>
    </w:p>
    <w:p>
      <w:pPr>
        <w:spacing w:after="0" w:line="441" w:lineRule="auto"/>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w:t>
      </w:r>
      <w:r>
        <w:rPr>
          <w:spacing w:val="1"/>
        </w:rPr>
        <w:t> </w:t>
      </w:r>
      <w:r>
        <w:rPr/>
        <w:t>可供出售的金融资产</w:t>
      </w:r>
      <w:r>
        <w:rPr>
          <w:b w:val="0"/>
          <w:bCs w:val="0"/>
        </w:rPr>
      </w:r>
    </w:p>
    <w:p>
      <w:pPr>
        <w:spacing w:line="240" w:lineRule="auto" w:before="5"/>
        <w:rPr>
          <w:rFonts w:ascii="宋体" w:hAnsi="宋体" w:cs="宋体" w:eastAsia="宋体" w:hint="default"/>
          <w:b/>
          <w:bCs/>
          <w:sz w:val="26"/>
          <w:szCs w:val="26"/>
        </w:rPr>
      </w:pPr>
    </w:p>
    <w:p>
      <w:pPr>
        <w:spacing w:line="300" w:lineRule="auto" w:before="0"/>
        <w:ind w:left="153" w:right="0"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日执行新金融工具准则，将原在可供出售金额资产中列报并按成本计量的上述投资，调整至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 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列报。</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7"/>
        <w:gridCol w:w="1166"/>
        <w:gridCol w:w="1167"/>
        <w:gridCol w:w="1169"/>
        <w:gridCol w:w="1167"/>
        <w:gridCol w:w="1166"/>
        <w:gridCol w:w="1164"/>
      </w:tblGrid>
      <w:tr>
        <w:trPr>
          <w:trHeight w:val="403"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具有融资性质的 分期收款项目款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174,015,209.9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6,220,824.56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167,794,385.4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131,231,267.7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131,231,267.7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4.75%-6.5%</w:t>
            </w: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其中：未实现融 资收益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-16,242,679.52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-16,242,679.52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-18,344,155.70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-18,344,155.70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7" w:firstLine="902"/>
              <w:jc w:val="both"/>
              <w:rPr>
                <w:rFonts w:ascii="宋体" w:hAnsi="宋体" w:cs="宋体" w:eastAsia="宋体" w:hint="default"/>
                <w:sz w:val="18"/>
                <w:szCs w:val="18"/>
              </w:rPr>
            </w:pPr>
            <w:r>
              <w:rPr>
                <w:rFonts w:ascii="宋体" w:hAnsi="宋体" w:cs="宋体" w:eastAsia="宋体" w:hint="default"/>
                <w:sz w:val="18"/>
                <w:szCs w:val="18"/>
              </w:rPr>
              <w:t>重分 类至一年内到期 的长期应收款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-69,808,046.07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-3,187,060.99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-66,620,985.08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87,964,484.38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3,033,763.57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84,930,720.81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112,887,112.0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112,887,112.0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663"/>
        <w:gridCol w:w="2098"/>
        <w:gridCol w:w="2101"/>
        <w:gridCol w:w="1805"/>
      </w:tblGrid>
      <w:tr>
        <w:trPr>
          <w:trHeight w:val="40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4"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6,220,824.56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6,220,824.56</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-3,187,060.99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-3,187,060.99</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3,033,763.57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3,033,763.57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line="300" w:lineRule="auto" w:before="44"/>
        <w:ind w:left="153" w:right="1123" w:firstLine="0"/>
        <w:jc w:val="left"/>
        <w:rPr>
          <w:rFonts w:ascii="宋体" w:hAnsi="宋体" w:cs="宋体" w:eastAsia="宋体" w:hint="default"/>
          <w:sz w:val="18"/>
          <w:szCs w:val="18"/>
        </w:rPr>
      </w:pPr>
      <w:r>
        <w:rPr>
          <w:rFonts w:ascii="宋体" w:hAnsi="宋体" w:cs="宋体" w:eastAsia="宋体" w:hint="default"/>
          <w:sz w:val="18"/>
          <w:szCs w:val="18"/>
        </w:rPr>
        <w:t>公司融资承建的</w:t>
      </w:r>
      <w:r>
        <w:rPr>
          <w:rFonts w:ascii="Times New Roman" w:hAnsi="Times New Roman" w:cs="Times New Roman" w:eastAsia="Times New Roman" w:hint="default"/>
          <w:sz w:val="18"/>
          <w:szCs w:val="18"/>
        </w:rPr>
        <w:t>“</w:t>
      </w:r>
      <w:r>
        <w:rPr>
          <w:rFonts w:ascii="宋体" w:hAnsi="宋体" w:cs="宋体" w:eastAsia="宋体" w:hint="default"/>
          <w:sz w:val="18"/>
          <w:szCs w:val="18"/>
        </w:rPr>
        <w:t>六盘水市高中教育城智慧教育项目设计与施工总承包项目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月竣工验收，审计决算金额为 </w:t>
      </w:r>
      <w:r>
        <w:rPr>
          <w:rFonts w:ascii="Times New Roman" w:hAnsi="Times New Roman" w:cs="Times New Roman" w:eastAsia="Times New Roman" w:hint="default"/>
          <w:sz w:val="18"/>
          <w:szCs w:val="18"/>
        </w:rPr>
        <w:t>116,014,579.10</w:t>
      </w:r>
      <w:r>
        <w:rPr>
          <w:rFonts w:ascii="宋体" w:hAnsi="宋体" w:cs="宋体" w:eastAsia="宋体" w:hint="default"/>
          <w:sz w:val="18"/>
          <w:szCs w:val="18"/>
        </w:rPr>
        <w:t>元。依据与建设单位签订的相关合同约定该项目融资建设资金利息按照年化利率</w:t>
      </w:r>
      <w:r>
        <w:rPr>
          <w:rFonts w:ascii="Times New Roman" w:hAnsi="Times New Roman" w:cs="Times New Roman" w:eastAsia="Times New Roman" w:hint="default"/>
          <w:sz w:val="18"/>
          <w:szCs w:val="18"/>
        </w:rPr>
        <w:t>6.5%</w:t>
      </w:r>
      <w:r>
        <w:rPr>
          <w:rFonts w:ascii="宋体" w:hAnsi="宋体" w:cs="宋体" w:eastAsia="宋体" w:hint="default"/>
          <w:sz w:val="18"/>
          <w:szCs w:val="18"/>
        </w:rPr>
        <w:t>计算，项目建成后在四 </w:t>
      </w:r>
      <w:r>
        <w:rPr>
          <w:rFonts w:ascii="宋体" w:hAnsi="宋体" w:cs="宋体" w:eastAsia="宋体" w:hint="default"/>
          <w:spacing w:val="-5"/>
          <w:sz w:val="18"/>
          <w:szCs w:val="18"/>
        </w:rPr>
        <w:t>年内分期完成项目本息付款。截止本报告期末，该项目形成公司长期应收款（含一年内到期的非流动资产）余额</w:t>
      </w:r>
      <w:r>
        <w:rPr>
          <w:rFonts w:ascii="Times New Roman" w:hAnsi="Times New Roman" w:cs="Times New Roman" w:eastAsia="Times New Roman" w:hint="default"/>
          <w:spacing w:val="-5"/>
          <w:sz w:val="18"/>
          <w:szCs w:val="18"/>
        </w:rPr>
        <w:t>134,866,948.20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元，未实现融资收益（含一年内到期的非流动资产）余额</w:t>
      </w:r>
      <w:r>
        <w:rPr>
          <w:rFonts w:ascii="Times New Roman" w:hAnsi="Times New Roman" w:cs="Times New Roman" w:eastAsia="Times New Roman" w:hint="default"/>
          <w:sz w:val="18"/>
          <w:szCs w:val="18"/>
        </w:rPr>
        <w:t>11,311,421.46</w:t>
      </w:r>
      <w:r>
        <w:rPr>
          <w:rFonts w:ascii="宋体" w:hAnsi="宋体" w:cs="宋体" w:eastAsia="宋体" w:hint="default"/>
          <w:sz w:val="18"/>
          <w:szCs w:val="18"/>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中电科公 共设施运 营管理有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1,854,811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285,541.1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11,715,65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云上神州 浪潮国创 大数据产 业发展有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11,715,65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11,715,65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非上市权益工具投资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188,019,662.92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188,019,662.92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50"/>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7" w:right="47"/>
              <w:jc w:val="both"/>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after="0" w:line="316" w:lineRule="auto"/>
        <w:jc w:val="center"/>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546"/>
        <w:gridCol w:w="822"/>
        <w:gridCol w:w="1368"/>
        <w:gridCol w:w="1366"/>
        <w:gridCol w:w="1369"/>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pacing w:val="-6"/>
                <w:sz w:val="18"/>
                <w:szCs w:val="18"/>
              </w:rPr>
              <w:t>国仪量子（合肥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技术有限公司</w:t>
            </w:r>
          </w:p>
        </w:tc>
        <w:tc>
          <w:tcPr>
            <w:tcW w:w="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15,522,893.72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重庆誉存大数据 科技有限公司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奇瑞新能源汽车 股份有限公司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441" w:lineRule="auto" w:before="49"/>
        <w:ind w:left="153" w:right="3733" w:firstLine="0"/>
        <w:jc w:val="left"/>
        <w:rPr>
          <w:rFonts w:ascii="宋体" w:hAnsi="宋体" w:cs="宋体" w:eastAsia="宋体" w:hint="default"/>
          <w:sz w:val="18"/>
          <w:szCs w:val="18"/>
        </w:rPr>
      </w:pPr>
      <w:r>
        <w:rPr/>
        <w:pict>
          <v:group style="position:absolute;margin-left:125.419998pt;margin-top:-107.038292pt;width:67.850pt;height:28pt;mso-position-horizontal-relative:page;mso-position-vertical-relative:paragraph;z-index:-1157632" coordorigin="2508,-2141" coordsize="1357,560">
            <v:group style="position:absolute;left:2508;top:-2141;width:1357;height:156" coordorigin="2508,-2141" coordsize="1357,156">
              <v:shape style="position:absolute;left:2508;top:-2141;width:1357;height:156" coordorigin="2508,-2141" coordsize="1357,156" path="m2508,-1985l3865,-1985,3865,-2141,2508,-2141,2508,-1985xe" filled="true" fillcolor="#ffffff" stroked="false">
                <v:path arrowok="t"/>
                <v:fill type="solid"/>
              </v:shape>
            </v:group>
            <v:group style="position:absolute;left:2520;top:-1985;width:2;height:392" coordorigin="2520,-1985" coordsize="2,392">
              <v:shape style="position:absolute;left:2520;top:-1985;width:2;height:392" coordorigin="2520,-1985" coordsize="0,392" path="m2520,-1985l2520,-1594e" filled="false" stroked="true" strokeweight="1.2pt" strokecolor="#ffffff">
                <v:path arrowok="t"/>
              </v:shape>
            </v:group>
            <v:group style="position:absolute;left:2532;top:-1985;width:1311;height:392" coordorigin="2532,-1985" coordsize="1311,392">
              <v:shape style="position:absolute;left:2532;top:-1985;width:1311;height:392" coordorigin="2532,-1985" coordsize="1311,392" path="m2532,-1594l3843,-1594,3843,-1985,2532,-1985,2532,-1594xe" filled="true" fillcolor="#ffffff" stroked="false">
                <v:path arrowok="t"/>
                <v:fill type="solid"/>
              </v:shape>
            </v:group>
            <w10:wrap type="none"/>
          </v:group>
        </w:pict>
      </w:r>
      <w:r>
        <w:rPr>
          <w:rFonts w:ascii="宋体" w:hAnsi="宋体" w:cs="宋体" w:eastAsia="宋体" w:hint="default"/>
          <w:sz w:val="18"/>
          <w:szCs w:val="18"/>
        </w:rPr>
        <w:t>其他说明： 其他权益工具投资期末余额较期初增长较大，主要系公司新增投资及公允价值变动所致。</w:t>
      </w:r>
    </w:p>
    <w:p>
      <w:pPr>
        <w:spacing w:line="240" w:lineRule="auto" w:before="7"/>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70,503,792.37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59,348,070.30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70,503,792.37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59,348,070.30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41,526,889.72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9,944,522.15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5,281,751.82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30,852,649.43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87,605,813.12</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93,654.54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6,762,985.29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12,930,580.40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20,082,682.62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93,654.54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6,762,985.29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12,930,580.40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20,082,682.62</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494,515.32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577,532.42</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494,515.32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577,532.42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41,620,544.26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16,707,507.44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5,494,197.11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43,288,714.51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107,110,963.32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4,617,087.34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1,900,042.35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2,831,686.72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18,908,926.41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28,257,742.82</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1,286,249.84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2,150,660.79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572,160.59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4,563,400.90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8,572,472.12</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1,286,249.84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2,150,660.79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572,160.59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4,563,400.90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8,572,472.12</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51,263.16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171,780.83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223,043.99</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51,263.16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171,780.83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223,043.99</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5,903,337.18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4,050,703.14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3,352,584.15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23,300,546.48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36,607,170.95</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35,717,207.08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12,656,804.30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2,141,612.96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19,988,168.03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70,503,792.37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36,909,802.38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8,044,479.80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2,450,065.10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11,943,723.02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59,348,070.30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206,200,724.07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109,747,033.36</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206,200,724.07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109,747,033.36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软件研发生产楼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137,652,421.99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137,652,421.99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109,055,044.57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109,055,044.57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贵博新能生产基 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67,990,682.62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67,990,682.62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691,988.79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691,988.79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贵博新能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BMS</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产线升级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557,619.46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557,619.46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206,200,724.07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206,200,724.07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109,747,033.36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109,747,033.36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708"/>
        <w:gridCol w:w="709"/>
        <w:gridCol w:w="852"/>
        <w:gridCol w:w="708"/>
        <w:gridCol w:w="584"/>
        <w:gridCol w:w="737"/>
        <w:gridCol w:w="737"/>
        <w:gridCol w:w="735"/>
        <w:gridCol w:w="737"/>
        <w:gridCol w:w="737"/>
        <w:gridCol w:w="735"/>
        <w:gridCol w:w="737"/>
      </w:tblGrid>
      <w:tr>
        <w:trPr>
          <w:trHeight w:val="133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9" w:right="7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0" w:right="60"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5"/>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软件研发 生产楼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109,055,</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044.57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28,597,37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7.42</w:t>
            </w:r>
          </w:p>
        </w:tc>
        <w:tc>
          <w:tcPr>
            <w:tcW w:w="708"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137,652,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421.99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67.81%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4,089,96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2,635,59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852"/>
        <w:gridCol w:w="708"/>
        <w:gridCol w:w="709"/>
        <w:gridCol w:w="852"/>
        <w:gridCol w:w="708"/>
        <w:gridCol w:w="584"/>
        <w:gridCol w:w="737"/>
        <w:gridCol w:w="737"/>
        <w:gridCol w:w="735"/>
        <w:gridCol w:w="737"/>
        <w:gridCol w:w="737"/>
        <w:gridCol w:w="735"/>
        <w:gridCol w:w="737"/>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贵博新能 生产基地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67,298,69</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3.83</w:t>
            </w:r>
          </w:p>
        </w:tc>
        <w:tc>
          <w:tcPr>
            <w:tcW w:w="708"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67,990,6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32.38%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413,000,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109,747,</w:t>
            </w:r>
          </w:p>
          <w:p>
            <w:pPr>
              <w:pStyle w:val="TableParagraph"/>
              <w:spacing w:line="240" w:lineRule="auto" w:before="102"/>
              <w:ind w:left="160" w:right="0"/>
              <w:jc w:val="center"/>
              <w:rPr>
                <w:rFonts w:ascii="Times New Roman" w:hAnsi="Times New Roman" w:cs="Times New Roman" w:eastAsia="Times New Roman" w:hint="default"/>
                <w:sz w:val="18"/>
                <w:szCs w:val="18"/>
              </w:rPr>
            </w:pPr>
            <w:r>
              <w:rPr>
                <w:rFonts w:ascii="Times New Roman"/>
                <w:sz w:val="18"/>
              </w:rPr>
              <w:t>033.36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95,896,07</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1.25</w:t>
            </w:r>
          </w:p>
        </w:tc>
        <w:tc>
          <w:tcPr>
            <w:tcW w:w="708"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205,643,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104.61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4,337,55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2,883,19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1.92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8"/>
        <w:gridCol w:w="1198"/>
        <w:gridCol w:w="1196"/>
        <w:gridCol w:w="1195"/>
        <w:gridCol w:w="1196"/>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软件及专有技术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20,423,330.19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9,657,202.94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54,616,533.13</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3,556,304.86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3,556,304.86</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1,008,755.65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1,008,755.65</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2,547,549.21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2,547,549.21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20,423,330.19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13,213,507.80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58,172,837.99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1,053,766.66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3,906,127.83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4,959,894.49</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408,466.65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2,453,600.00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1,349,715.76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4,211,782.41</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408,466.65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2,453,600.00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4,211,782.41</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1,462,233.31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2,453,600.00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5,255,843.59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9,171,676.90</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18,961,096.88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22,082,400.00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7,957,664.21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49,001,161.09</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19,369,563.53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5,751,075.11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49,656,638.64</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7.87%</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57" w:lineRule="auto" w:before="49"/>
        <w:ind w:left="153" w:right="8413" w:firstLine="0"/>
        <w:jc w:val="left"/>
        <w:rPr>
          <w:rFonts w:ascii="宋体" w:hAnsi="宋体" w:cs="宋体" w:eastAsia="宋体" w:hint="default"/>
          <w:sz w:val="18"/>
          <w:szCs w:val="18"/>
        </w:rPr>
      </w:pPr>
      <w:r>
        <w:rPr>
          <w:rFonts w:ascii="宋体" w:hAnsi="宋体" w:cs="宋体" w:eastAsia="宋体" w:hint="default"/>
          <w:sz w:val="18"/>
          <w:szCs w:val="18"/>
        </w:rPr>
        <w:t>其他说明： 使用权受限的无形资产情况</w:t>
      </w:r>
      <w:r>
        <w:rPr>
          <w:rFonts w:ascii="宋体" w:hAnsi="宋体" w:cs="宋体" w:eastAsia="宋体" w:hint="default"/>
          <w:sz w:val="18"/>
          <w:szCs w:val="18"/>
        </w:rPr>
        <w:t> </w:t>
      </w:r>
    </w:p>
    <w:tbl>
      <w:tblPr>
        <w:tblW w:w="0" w:type="auto"/>
        <w:jc w:val="left"/>
        <w:tblInd w:w="119" w:type="dxa"/>
        <w:tblLayout w:type="fixed"/>
        <w:tblCellMar>
          <w:top w:w="0" w:type="dxa"/>
          <w:left w:w="0" w:type="dxa"/>
          <w:bottom w:w="0" w:type="dxa"/>
          <w:right w:w="0" w:type="dxa"/>
        </w:tblCellMar>
        <w:tblLook w:val="01E0"/>
      </w:tblPr>
      <w:tblGrid>
        <w:gridCol w:w="3234"/>
        <w:gridCol w:w="3233"/>
        <w:gridCol w:w="3231"/>
      </w:tblGrid>
      <w:tr>
        <w:trPr>
          <w:trHeight w:val="32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67" w:val="left" w:leader="none"/>
              </w:tabs>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日账面价值</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18,961,096.88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抵押用于取得银行贷款</w:t>
            </w:r>
          </w:p>
        </w:tc>
      </w:tr>
    </w:tbl>
    <w:p>
      <w:pPr>
        <w:spacing w:before="69"/>
        <w:ind w:left="153"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0"/>
        <w:gridCol w:w="1074"/>
        <w:gridCol w:w="1064"/>
        <w:gridCol w:w="1063"/>
        <w:gridCol w:w="1064"/>
        <w:gridCol w:w="1063"/>
        <w:gridCol w:w="1061"/>
        <w:gridCol w:w="1063"/>
        <w:gridCol w:w="1064"/>
      </w:tblGrid>
      <w:tr>
        <w:trPr>
          <w:trHeight w:val="403"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4"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40"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0" w:type="dxa"/>
            <w:vMerge w:val="restart"/>
            <w:tcBorders>
              <w:top w:val="nil" w:sz="6" w:space="0" w:color="auto"/>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40"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BMS&amp;BDU(</w:t>
            </w:r>
          </w:p>
          <w:p>
            <w:pPr>
              <w:pStyle w:val="TableParagraph"/>
              <w:spacing w:line="300" w:lineRule="auto" w:before="63"/>
              <w:ind w:left="12" w:right="56"/>
              <w:jc w:val="left"/>
              <w:rPr>
                <w:rFonts w:ascii="宋体" w:hAnsi="宋体" w:cs="宋体" w:eastAsia="宋体" w:hint="default"/>
                <w:sz w:val="18"/>
                <w:szCs w:val="18"/>
              </w:rPr>
            </w:pPr>
            <w:r>
              <w:rPr>
                <w:rFonts w:ascii="宋体" w:hAnsi="宋体" w:cs="宋体" w:eastAsia="宋体" w:hint="default"/>
                <w:sz w:val="18"/>
                <w:szCs w:val="18"/>
              </w:rPr>
              <w:t>三合一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 机研发项目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2,169,023.39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31,765.58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2,137,257.81</w:t>
            </w:r>
          </w:p>
        </w:tc>
      </w:tr>
      <w:tr>
        <w:trPr>
          <w:trHeight w:val="102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BMS&amp;BDU(</w:t>
            </w:r>
          </w:p>
          <w:p>
            <w:pPr>
              <w:pStyle w:val="TableParagraph"/>
              <w:spacing w:line="300" w:lineRule="auto" w:before="63"/>
              <w:ind w:left="12" w:right="56"/>
              <w:jc w:val="left"/>
              <w:rPr>
                <w:rFonts w:ascii="宋体" w:hAnsi="宋体" w:cs="宋体" w:eastAsia="宋体" w:hint="default"/>
                <w:sz w:val="18"/>
                <w:szCs w:val="18"/>
              </w:rPr>
            </w:pPr>
            <w:r>
              <w:rPr>
                <w:rFonts w:ascii="宋体" w:hAnsi="宋体" w:cs="宋体" w:eastAsia="宋体" w:hint="default"/>
                <w:sz w:val="18"/>
                <w:szCs w:val="18"/>
              </w:rPr>
              <w:t>二合一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 机研发项目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1,242,036.29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1,080,758.61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161,277.68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储能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统研发项目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1,588,844.42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1,466,790.60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122,053.82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4,999,904.10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2,547,549.21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315,097.08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2,137,257.81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spacing w:line="314" w:lineRule="auto" w:before="0"/>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公司研发按照项目管理，在进行充分的调查研究、项目可行性分析报告审批后研发项目进入开发阶段。项目可行性分析</w:t>
      </w:r>
      <w:r>
        <w:rPr>
          <w:rFonts w:ascii="宋体" w:hAnsi="宋体" w:cs="宋体" w:eastAsia="宋体" w:hint="default"/>
          <w:sz w:val="18"/>
          <w:szCs w:val="18"/>
        </w:rPr>
        <w:t> 报告审批通过为研发项目资本化时点。</w:t>
      </w:r>
    </w:p>
    <w:p>
      <w:pPr>
        <w:spacing w:before="20"/>
        <w:ind w:left="525" w:right="1133" w:firstLine="0"/>
        <w:jc w:val="left"/>
        <w:rPr>
          <w:rFonts w:ascii="Times New Roman" w:hAnsi="Times New Roman" w:cs="Times New Roman" w:eastAsia="Times New Roman" w:hint="default"/>
          <w:sz w:val="18"/>
          <w:szCs w:val="18"/>
        </w:rPr>
      </w:pPr>
      <w:r>
        <w:rPr/>
        <w:pict>
          <v:shape style="position:absolute;margin-left:441.650024pt;margin-top:74.05172pt;width:97.8pt;height:78.5pt;mso-position-horizontal-relative:page;mso-position-vertical-relative:paragraph;z-index:-1157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46.380005pt;margin-top:74.05172pt;width:93.55pt;height:78.5pt;mso-position-horizontal-relative:page;mso-position-vertical-relative:paragraph;z-index:-1157584" coordorigin="8928,1481" coordsize="1871,1570">
            <v:group style="position:absolute;left:8940;top:1481;width:1849;height:1570" coordorigin="8940,1481" coordsize="1849,1570">
              <v:shape style="position:absolute;left:8940;top:1481;width:1849;height:1570" coordorigin="8940,1481" coordsize="1849,1570" path="m8940,3051l10788,3051,10788,1481,8940,1481,8940,3051xe" filled="true" fillcolor="#ffffff" stroked="false">
                <v:path arrowok="t"/>
                <v:fill type="solid"/>
              </v:shape>
            </v:group>
            <v:group style="position:absolute;left:8932;top:3046;width:1861;height:2" coordorigin="8932,3046" coordsize="1861,2">
              <v:shape style="position:absolute;left:8932;top:3046;width:1861;height:2" coordorigin="8932,3046" coordsize="1861,0" path="m8932,3046l10793,3046e" filled="false" stroked="true" strokeweight=".47998pt" strokecolor="#ffffff">
                <v:path arrowok="t"/>
              </v:shape>
            </v:group>
            <w10:wrap type="none"/>
          </v:group>
        </w:pict>
      </w:r>
      <w:r>
        <w:rPr>
          <w:rFonts w:ascii="宋体" w:hAnsi="宋体" w:cs="宋体" w:eastAsia="宋体" w:hint="default"/>
          <w:sz w:val="18"/>
          <w:szCs w:val="18"/>
        </w:rPr>
        <w:t>各项目截止期末的具体研发进度如下</w:t>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85"/>
        <w:gridCol w:w="1277"/>
        <w:gridCol w:w="4537"/>
        <w:gridCol w:w="1860"/>
      </w:tblGrid>
      <w:tr>
        <w:trPr>
          <w:trHeight w:val="735"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4"/>
              <w:ind w:left="543" w:right="89" w:hanging="452"/>
              <w:jc w:val="left"/>
              <w:rPr>
                <w:rFonts w:ascii="宋体" w:hAnsi="宋体" w:cs="宋体" w:eastAsia="宋体" w:hint="default"/>
                <w:sz w:val="18"/>
                <w:szCs w:val="18"/>
              </w:rPr>
            </w:pPr>
            <w:r>
              <w:rPr>
                <w:rFonts w:ascii="宋体" w:hAnsi="宋体" w:cs="宋体" w:eastAsia="宋体" w:hint="default"/>
                <w:sz w:val="18"/>
                <w:szCs w:val="18"/>
              </w:rPr>
              <w:t>研发资本化金 额</w:t>
            </w:r>
          </w:p>
        </w:tc>
        <w:tc>
          <w:tcPr>
            <w:tcW w:w="45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45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198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二合一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w:t>
            </w:r>
            <w:r>
              <w:rPr>
                <w:rFonts w:ascii="宋体" w:hAnsi="宋体" w:cs="宋体" w:eastAsia="宋体" w:hint="default"/>
                <w:w w:val="99"/>
                <w:sz w:val="18"/>
                <w:szCs w:val="18"/>
              </w:rPr>
              <w:t> </w:t>
            </w:r>
            <w:r>
              <w:rPr>
                <w:rFonts w:ascii="宋体" w:hAnsi="宋体" w:cs="宋体" w:eastAsia="宋体" w:hint="default"/>
                <w:sz w:val="18"/>
                <w:szCs w:val="18"/>
              </w:rPr>
              <w:t>机研发项目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1,080,758.61</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8"/>
              <w:ind w:left="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是新能源汽车动力电池系统的核心部件，该产 品基于</w:t>
            </w:r>
            <w:r>
              <w:rPr>
                <w:rFonts w:ascii="Times New Roman" w:hAnsi="Times New Roman" w:cs="Times New Roman" w:eastAsia="Times New Roman" w:hint="default"/>
                <w:sz w:val="18"/>
                <w:szCs w:val="18"/>
              </w:rPr>
              <w:t>ISO26262</w:t>
            </w:r>
            <w:r>
              <w:rPr>
                <w:rFonts w:ascii="宋体" w:hAnsi="宋体" w:cs="宋体" w:eastAsia="宋体" w:hint="default"/>
                <w:sz w:val="18"/>
                <w:szCs w:val="18"/>
              </w:rPr>
              <w:t>功能安全的新一代电池管理系统技术平 </w:t>
            </w:r>
            <w:r>
              <w:rPr>
                <w:rFonts w:ascii="宋体" w:hAnsi="宋体" w:cs="宋体" w:eastAsia="宋体" w:hint="default"/>
                <w:spacing w:val="-2"/>
                <w:sz w:val="18"/>
                <w:szCs w:val="18"/>
              </w:rPr>
              <w:t>台，把</w:t>
            </w:r>
            <w:r>
              <w:rPr>
                <w:rFonts w:ascii="Times New Roman" w:hAnsi="Times New Roman" w:cs="Times New Roman" w:eastAsia="Times New Roman" w:hint="default"/>
                <w:spacing w:val="-2"/>
                <w:sz w:val="18"/>
                <w:szCs w:val="18"/>
              </w:rPr>
              <w:t>BMS</w:t>
            </w:r>
            <w:r>
              <w:rPr>
                <w:rFonts w:ascii="宋体" w:hAnsi="宋体" w:cs="宋体" w:eastAsia="宋体" w:hint="default"/>
                <w:spacing w:val="-2"/>
                <w:sz w:val="18"/>
                <w:szCs w:val="18"/>
              </w:rPr>
              <w:t>主机和</w:t>
            </w:r>
            <w:r>
              <w:rPr>
                <w:rFonts w:ascii="Times New Roman" w:hAnsi="Times New Roman" w:cs="Times New Roman" w:eastAsia="Times New Roman" w:hint="default"/>
                <w:spacing w:val="-2"/>
                <w:sz w:val="18"/>
                <w:szCs w:val="18"/>
              </w:rPr>
              <w:t>BDU</w:t>
            </w:r>
            <w:r>
              <w:rPr>
                <w:rFonts w:ascii="宋体" w:hAnsi="宋体" w:cs="宋体" w:eastAsia="宋体" w:hint="default"/>
                <w:spacing w:val="-2"/>
                <w:sz w:val="18"/>
                <w:szCs w:val="18"/>
              </w:rPr>
              <w:t>一体化（二合一）设计，集成化开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发，可以大幅度减少线束及结构件成本，优化空间利用率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并具有安全可靠性高、性价比高和轻量化等特点，系行业 中首次应用。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9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三合一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w:t>
            </w:r>
            <w:r>
              <w:rPr>
                <w:rFonts w:ascii="宋体" w:hAnsi="宋体" w:cs="宋体" w:eastAsia="宋体" w:hint="default"/>
                <w:w w:val="99"/>
                <w:sz w:val="18"/>
                <w:szCs w:val="18"/>
              </w:rPr>
              <w:t> </w:t>
            </w:r>
            <w:r>
              <w:rPr>
                <w:rFonts w:ascii="宋体" w:hAnsi="宋体" w:cs="宋体" w:eastAsia="宋体" w:hint="default"/>
                <w:sz w:val="18"/>
                <w:szCs w:val="18"/>
              </w:rPr>
              <w:t>机研发项目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2,137,257.81</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8"/>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BMS&amp;BDU(</w:t>
            </w:r>
            <w:r>
              <w:rPr>
                <w:rFonts w:ascii="宋体" w:hAnsi="宋体" w:cs="宋体" w:eastAsia="宋体" w:hint="default"/>
                <w:sz w:val="18"/>
                <w:szCs w:val="18"/>
              </w:rPr>
              <w:t>三合一</w:t>
            </w:r>
            <w:r>
              <w:rPr>
                <w:rFonts w:ascii="Times New Roman" w:hAnsi="Times New Roman" w:cs="Times New Roman" w:eastAsia="Times New Roman" w:hint="default"/>
                <w:sz w:val="18"/>
                <w:szCs w:val="18"/>
              </w:rPr>
              <w:t>)</w:t>
            </w:r>
            <w:r>
              <w:rPr>
                <w:rFonts w:ascii="宋体" w:hAnsi="宋体" w:cs="宋体" w:eastAsia="宋体" w:hint="default"/>
                <w:sz w:val="18"/>
                <w:szCs w:val="18"/>
              </w:rPr>
              <w:t>一体机是基于二合一的基础，将</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主机、从机与</w:t>
            </w:r>
            <w:r>
              <w:rPr>
                <w:rFonts w:ascii="Times New Roman" w:hAnsi="Times New Roman" w:cs="Times New Roman" w:eastAsia="Times New Roman" w:hint="default"/>
                <w:spacing w:val="-2"/>
                <w:sz w:val="18"/>
                <w:szCs w:val="18"/>
              </w:rPr>
              <w:t>BDU</w:t>
            </w:r>
            <w:r>
              <w:rPr>
                <w:rFonts w:ascii="宋体" w:hAnsi="宋体" w:cs="宋体" w:eastAsia="宋体" w:hint="default"/>
                <w:spacing w:val="-2"/>
                <w:sz w:val="18"/>
                <w:szCs w:val="18"/>
              </w:rPr>
              <w:t>进一步集成化，遵照</w:t>
            </w:r>
            <w:r>
              <w:rPr>
                <w:rFonts w:ascii="Times New Roman" w:hAnsi="Times New Roman" w:cs="Times New Roman" w:eastAsia="Times New Roman" w:hint="default"/>
                <w:spacing w:val="-2"/>
                <w:sz w:val="18"/>
                <w:szCs w:val="18"/>
              </w:rPr>
              <w:t>VDA</w:t>
            </w:r>
            <w:r>
              <w:rPr>
                <w:rFonts w:ascii="宋体" w:hAnsi="宋体" w:cs="宋体" w:eastAsia="宋体" w:hint="default"/>
                <w:spacing w:val="-2"/>
                <w:sz w:val="18"/>
                <w:szCs w:val="18"/>
              </w:rPr>
              <w:t>标准电池模组</w:t>
            </w:r>
            <w:r>
              <w:rPr>
                <w:rFonts w:ascii="宋体" w:hAnsi="宋体" w:cs="宋体" w:eastAsia="宋体" w:hint="default"/>
                <w:spacing w:val="-76"/>
                <w:sz w:val="18"/>
                <w:szCs w:val="18"/>
              </w:rPr>
              <w:t> </w:t>
            </w:r>
            <w:r>
              <w:rPr>
                <w:rFonts w:ascii="宋体" w:hAnsi="宋体" w:cs="宋体" w:eastAsia="宋体" w:hint="default"/>
                <w:sz w:val="18"/>
                <w:szCs w:val="18"/>
              </w:rPr>
              <w:t>尺寸设计，更利于</w:t>
            </w:r>
            <w:r>
              <w:rPr>
                <w:rFonts w:ascii="Times New Roman" w:hAnsi="Times New Roman" w:cs="Times New Roman" w:eastAsia="Times New Roman" w:hint="default"/>
                <w:sz w:val="18"/>
                <w:szCs w:val="18"/>
              </w:rPr>
              <w:t>PACK</w:t>
            </w:r>
            <w:r>
              <w:rPr>
                <w:rFonts w:ascii="宋体" w:hAnsi="宋体" w:cs="宋体" w:eastAsia="宋体" w:hint="default"/>
                <w:sz w:val="18"/>
                <w:szCs w:val="18"/>
              </w:rPr>
              <w:t>系统内部结构的布局，优化空间 利用率，提升电池系统的能量质量比。新产品可以大量减 少线束及结构件成本，并具有安全可靠性高、性价比高和 轻量化等优势，属行业创新应用。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研发中</w:t>
            </w:r>
          </w:p>
        </w:tc>
      </w:tr>
      <w:tr>
        <w:trPr>
          <w:trHeight w:val="229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储能</w:t>
            </w:r>
            <w:r>
              <w:rPr>
                <w:rFonts w:ascii="Times New Roman" w:hAnsi="Times New Roman" w:cs="Times New Roman" w:eastAsia="Times New Roman" w:hint="default"/>
                <w:sz w:val="18"/>
                <w:szCs w:val="18"/>
              </w:rPr>
              <w:t>BMS</w:t>
            </w:r>
            <w:r>
              <w:rPr>
                <w:rFonts w:ascii="宋体" w:hAnsi="宋体" w:cs="宋体" w:eastAsia="宋体" w:hint="default"/>
                <w:sz w:val="18"/>
                <w:szCs w:val="18"/>
              </w:rPr>
              <w:t>系统研发项目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1,466,790.60</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58"/>
              <w:ind w:left="2" w:right="18"/>
              <w:jc w:val="left"/>
              <w:rPr>
                <w:rFonts w:ascii="宋体" w:hAnsi="宋体" w:cs="宋体" w:eastAsia="宋体" w:hint="default"/>
                <w:sz w:val="18"/>
                <w:szCs w:val="18"/>
              </w:rPr>
            </w:pPr>
            <w:r>
              <w:rPr>
                <w:rFonts w:ascii="宋体" w:hAnsi="宋体" w:cs="宋体" w:eastAsia="宋体" w:hint="default"/>
                <w:sz w:val="18"/>
                <w:szCs w:val="18"/>
              </w:rPr>
              <w:t>该项目基于</w:t>
            </w:r>
            <w:r>
              <w:rPr>
                <w:rFonts w:ascii="Times New Roman" w:hAnsi="Times New Roman" w:cs="Times New Roman" w:eastAsia="Times New Roman" w:hint="default"/>
                <w:sz w:val="18"/>
                <w:szCs w:val="18"/>
              </w:rPr>
              <w:t>ISO26262</w:t>
            </w:r>
            <w:r>
              <w:rPr>
                <w:rFonts w:ascii="宋体" w:hAnsi="宋体" w:cs="宋体" w:eastAsia="宋体" w:hint="default"/>
                <w:sz w:val="18"/>
                <w:szCs w:val="18"/>
              </w:rPr>
              <w:t>功能安全的新一代电池管理系统技 术平台，面向电网储能系统和军工大型装备研发的电池管 理系统。该产品可以精密检测电池电压并通过光通信接口 将实时数据上传到上位机，上位机软件可以实时分析存储 电池管理系统的数据；该产品具有采集和估算精度高、数 据存储量大、同时具备</w:t>
            </w:r>
            <w:r>
              <w:rPr>
                <w:rFonts w:ascii="Times New Roman" w:hAnsi="Times New Roman" w:cs="Times New Roman" w:eastAsia="Times New Roman" w:hint="default"/>
                <w:sz w:val="18"/>
                <w:szCs w:val="18"/>
              </w:rPr>
              <w:t>CAN</w:t>
            </w:r>
            <w:r>
              <w:rPr>
                <w:rFonts w:ascii="宋体" w:hAnsi="宋体" w:cs="宋体" w:eastAsia="宋体" w:hint="default"/>
                <w:sz w:val="18"/>
                <w:szCs w:val="18"/>
              </w:rPr>
              <w:t>、</w:t>
            </w:r>
            <w:r>
              <w:rPr>
                <w:rFonts w:ascii="Times New Roman" w:hAnsi="Times New Roman" w:cs="Times New Roman" w:eastAsia="Times New Roman" w:hint="default"/>
                <w:sz w:val="18"/>
                <w:szCs w:val="18"/>
              </w:rPr>
              <w:t>RS485</w:t>
            </w:r>
            <w:r>
              <w:rPr>
                <w:rFonts w:ascii="宋体" w:hAnsi="宋体" w:cs="宋体" w:eastAsia="宋体" w:hint="default"/>
                <w:sz w:val="18"/>
                <w:szCs w:val="18"/>
              </w:rPr>
              <w:t>、光接口等多种通讯 功能特点。该产品已应用于军工大型装备。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0"/>
        <w:rPr>
          <w:rFonts w:ascii="Times New Roman" w:hAnsi="Times New Roman" w:cs="Times New Roman" w:eastAsia="Times New Roman" w:hint="default"/>
          <w:sz w:val="15"/>
          <w:szCs w:val="15"/>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9"/>
        <w:gridCol w:w="1368"/>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578,814,214.02</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578,814,214.02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9"/>
        <w:gridCol w:w="1368"/>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4"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FFFFFF"/>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7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8" w:space="0" w:color="D2D2D2"/>
              <w:left w:val="single" w:sz="4" w:space="0" w:color="FFFFFF"/>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3"/>
        <w:rPr>
          <w:rFonts w:ascii="宋体" w:hAnsi="宋体" w:cs="宋体" w:eastAsia="宋体" w:hint="default"/>
          <w:sz w:val="15"/>
          <w:szCs w:val="15"/>
        </w:rPr>
      </w:pPr>
    </w:p>
    <w:p>
      <w:pPr>
        <w:spacing w:line="304" w:lineRule="auto" w:before="0"/>
        <w:ind w:left="153" w:right="1030" w:firstLine="36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资产减值》的相关规定，与商誉减值测试相关的资产组或资产组组合，应当是能够从企业 合并的协同效应中受益的资产组或者资产组组合。资产负债表日的测试范围为与商誉相关的最小资产组所涉及的资产及负</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债，该资产组与购买日及以前年度商誉减值测试时所确定的资产组或资产组组合一致，未发生变化。截至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日止，</w:t>
      </w:r>
      <w:r>
        <w:rPr>
          <w:rFonts w:ascii="宋体" w:hAnsi="宋体" w:cs="宋体" w:eastAsia="宋体" w:hint="default"/>
          <w:sz w:val="18"/>
          <w:szCs w:val="18"/>
        </w:rPr>
        <w:t> 该资产组不含商誉的账面价值为</w:t>
      </w:r>
      <w:r>
        <w:rPr>
          <w:rFonts w:ascii="Times New Roman" w:hAnsi="Times New Roman" w:cs="Times New Roman" w:eastAsia="Times New Roman" w:hint="default"/>
          <w:sz w:val="18"/>
          <w:szCs w:val="18"/>
        </w:rPr>
        <w:t>188,733,672.01</w:t>
      </w:r>
      <w:r>
        <w:rPr>
          <w:rFonts w:ascii="宋体" w:hAnsi="宋体" w:cs="宋体" w:eastAsia="宋体" w:hint="default"/>
          <w:sz w:val="18"/>
          <w:szCs w:val="18"/>
        </w:rPr>
        <w:t>元。</w:t>
      </w:r>
    </w:p>
    <w:p>
      <w:pPr>
        <w:spacing w:line="316" w:lineRule="auto" w:before="50"/>
        <w:ind w:left="153" w:right="1133"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00" w:lineRule="auto" w:before="139"/>
        <w:ind w:left="153" w:right="1123" w:firstLine="360"/>
        <w:jc w:val="left"/>
        <w:rPr>
          <w:rFonts w:ascii="宋体" w:hAnsi="宋体" w:cs="宋体" w:eastAsia="宋体" w:hint="default"/>
          <w:sz w:val="18"/>
          <w:szCs w:val="18"/>
        </w:rPr>
      </w:pPr>
      <w:r>
        <w:rPr>
          <w:rFonts w:ascii="宋体" w:hAnsi="宋体" w:cs="宋体" w:eastAsia="宋体" w:hint="default"/>
          <w:sz w:val="18"/>
          <w:szCs w:val="18"/>
        </w:rPr>
        <w:t>商誉的可收回金额按照预计未来现金流量的现值计算，其预计现金流量根据公司批准的</w:t>
      </w:r>
      <w:r>
        <w:rPr>
          <w:rFonts w:ascii="Times New Roman" w:hAnsi="Times New Roman" w:cs="Times New Roman" w:eastAsia="Times New Roman" w:hint="default"/>
          <w:sz w:val="18"/>
          <w:szCs w:val="18"/>
        </w:rPr>
        <w:t>5</w:t>
      </w:r>
      <w:r>
        <w:rPr>
          <w:rFonts w:ascii="宋体" w:hAnsi="宋体" w:cs="宋体" w:eastAsia="宋体" w:hint="default"/>
          <w:sz w:val="18"/>
          <w:szCs w:val="18"/>
        </w:rPr>
        <w:t>年期现金流量预测为基础，现 金流量预测使用的折现率</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13.21%</w:t>
      </w:r>
      <w:r>
        <w:rPr>
          <w:rFonts w:ascii="宋体" w:hAnsi="宋体" w:cs="宋体" w:eastAsia="宋体" w:hint="default"/>
          <w:sz w:val="18"/>
          <w:szCs w:val="18"/>
        </w:rPr>
        <w:t>，预测期以后的现金流量保持稳定为基础计算得出。</w:t>
      </w:r>
    </w:p>
    <w:p>
      <w:pPr>
        <w:spacing w:before="53"/>
        <w:ind w:left="153" w:right="1133"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300" w:lineRule="auto" w:before="115"/>
        <w:ind w:left="153" w:right="0" w:firstLine="360"/>
        <w:jc w:val="left"/>
        <w:rPr>
          <w:rFonts w:ascii="宋体" w:hAnsi="宋体" w:cs="宋体" w:eastAsia="宋体" w:hint="default"/>
          <w:sz w:val="18"/>
          <w:szCs w:val="18"/>
        </w:rPr>
      </w:pPr>
      <w:r>
        <w:rPr>
          <w:rFonts w:ascii="宋体" w:hAnsi="宋体" w:cs="宋体" w:eastAsia="宋体" w:hint="default"/>
          <w:spacing w:val="-3"/>
          <w:sz w:val="18"/>
          <w:szCs w:val="18"/>
        </w:rPr>
        <w:t>公司收购贵博新能的业绩承诺期为</w:t>
      </w:r>
      <w:r>
        <w:rPr>
          <w:rFonts w:ascii="Times New Roman" w:hAnsi="Times New Roman" w:cs="Times New Roman" w:eastAsia="Times New Roman" w:hint="default"/>
          <w:spacing w:val="-3"/>
          <w:sz w:val="18"/>
          <w:szCs w:val="18"/>
        </w:rPr>
        <w:t>2018-2020</w:t>
      </w:r>
      <w:r>
        <w:rPr>
          <w:rFonts w:ascii="宋体" w:hAnsi="宋体" w:cs="宋体" w:eastAsia="宋体" w:hint="default"/>
          <w:spacing w:val="-3"/>
          <w:sz w:val="18"/>
          <w:szCs w:val="18"/>
        </w:rPr>
        <w:t>年度，根据容诚会计师事务所（特殊普通合伙）出具的《关于贵博新能</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年度业绩承诺实现情况说明的审核报告》（容诚专字</w:t>
      </w:r>
      <w:r>
        <w:rPr>
          <w:rFonts w:ascii="Times New Roman" w:hAnsi="Times New Roman" w:cs="Times New Roman" w:eastAsia="Times New Roman" w:hint="default"/>
          <w:spacing w:val="-1"/>
          <w:sz w:val="18"/>
          <w:szCs w:val="18"/>
        </w:rPr>
        <w:t>[2020]230Z0600</w:t>
      </w:r>
      <w:r>
        <w:rPr>
          <w:rFonts w:ascii="宋体" w:hAnsi="宋体" w:cs="宋体" w:eastAsia="宋体" w:hint="default"/>
          <w:spacing w:val="-1"/>
          <w:sz w:val="18"/>
          <w:szCs w:val="18"/>
        </w:rPr>
        <w:t>号），贵博新能</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年度的业绩承诺实现</w:t>
      </w:r>
      <w:r>
        <w:rPr>
          <w:rFonts w:ascii="Times New Roman" w:hAnsi="Times New Roman" w:cs="Times New Roman" w:eastAsia="Times New Roman" w:hint="default"/>
          <w:spacing w:val="-1"/>
          <w:sz w:val="18"/>
          <w:szCs w:val="18"/>
        </w:rPr>
        <w:t>4,493.94</w:t>
      </w:r>
      <w:r>
        <w:rPr>
          <w:rFonts w:ascii="宋体" w:hAnsi="宋体" w:cs="宋体" w:eastAsia="宋体" w:hint="default"/>
          <w:spacing w:val="-1"/>
          <w:sz w:val="18"/>
          <w:szCs w:val="18"/>
        </w:rPr>
        <w:t>万元，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完成当年业绩承诺的</w:t>
      </w:r>
      <w:r>
        <w:rPr>
          <w:rFonts w:ascii="Times New Roman" w:hAnsi="Times New Roman" w:cs="Times New Roman" w:eastAsia="Times New Roman" w:hint="default"/>
          <w:spacing w:val="4"/>
          <w:sz w:val="18"/>
          <w:szCs w:val="18"/>
        </w:rPr>
        <w:t>89.88%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年度和</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年度的业绩承诺累计实现</w:t>
      </w:r>
      <w:r>
        <w:rPr>
          <w:rFonts w:ascii="Times New Roman" w:hAnsi="Times New Roman" w:cs="Times New Roman" w:eastAsia="Times New Roman" w:hint="default"/>
          <w:spacing w:val="4"/>
          <w:sz w:val="18"/>
          <w:szCs w:val="18"/>
        </w:rPr>
        <w:t>8,645.83</w:t>
      </w:r>
      <w:r>
        <w:rPr>
          <w:rFonts w:ascii="宋体" w:hAnsi="宋体" w:cs="宋体" w:eastAsia="宋体" w:hint="default"/>
          <w:spacing w:val="4"/>
          <w:sz w:val="18"/>
          <w:szCs w:val="18"/>
        </w:rPr>
        <w:t>万元，较两年累计承诺数</w:t>
      </w:r>
      <w:r>
        <w:rPr>
          <w:rFonts w:ascii="Times New Roman" w:hAnsi="Times New Roman" w:cs="Times New Roman" w:eastAsia="Times New Roman" w:hint="default"/>
          <w:spacing w:val="4"/>
          <w:sz w:val="18"/>
          <w:szCs w:val="18"/>
        </w:rPr>
        <w:t>9,000</w:t>
      </w:r>
      <w:r>
        <w:rPr>
          <w:rFonts w:ascii="宋体" w:hAnsi="宋体" w:cs="宋体" w:eastAsia="宋体" w:hint="default"/>
          <w:spacing w:val="4"/>
          <w:sz w:val="18"/>
          <w:szCs w:val="18"/>
        </w:rPr>
        <w:t>万元相差</w:t>
      </w:r>
    </w:p>
    <w:p>
      <w:pPr>
        <w:spacing w:line="340" w:lineRule="auto" w:before="13"/>
        <w:ind w:left="513"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-354.17</w:t>
      </w:r>
      <w:r>
        <w:rPr>
          <w:rFonts w:ascii="宋体" w:hAnsi="宋体" w:cs="宋体" w:eastAsia="宋体" w:hint="default"/>
          <w:sz w:val="18"/>
          <w:szCs w:val="18"/>
        </w:rPr>
        <w:t>万元，差异率</w:t>
      </w:r>
      <w:r>
        <w:rPr>
          <w:rFonts w:ascii="Times New Roman" w:hAnsi="Times New Roman" w:cs="Times New Roman" w:eastAsia="Times New Roman" w:hint="default"/>
          <w:sz w:val="18"/>
          <w:szCs w:val="18"/>
        </w:rPr>
        <w:t>3.93%</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pacing w:val="-2"/>
          <w:w w:val="99"/>
          <w:sz w:val="18"/>
          <w:szCs w:val="18"/>
        </w:rPr>
        <w:t>根据中水致远资产评估有限公司出具的《科大国创软件股份有限公司并购安徽贵博新能科技有限公司所涉及的以财务报</w:t>
      </w:r>
      <w:r>
        <w:rPr>
          <w:rFonts w:ascii="宋体" w:hAnsi="宋体" w:cs="宋体" w:eastAsia="宋体" w:hint="default"/>
          <w:spacing w:val="-2"/>
          <w:sz w:val="18"/>
          <w:szCs w:val="18"/>
        </w:rPr>
      </w:r>
    </w:p>
    <w:p>
      <w:pPr>
        <w:spacing w:line="319" w:lineRule="auto" w:before="1"/>
        <w:ind w:left="153" w:right="1022" w:firstLine="0"/>
        <w:jc w:val="left"/>
        <w:rPr>
          <w:rFonts w:ascii="宋体" w:hAnsi="宋体" w:cs="宋体" w:eastAsia="宋体" w:hint="default"/>
          <w:sz w:val="18"/>
          <w:szCs w:val="18"/>
        </w:rPr>
      </w:pPr>
      <w:r>
        <w:rPr>
          <w:rFonts w:ascii="宋体" w:hAnsi="宋体" w:cs="宋体" w:eastAsia="宋体" w:hint="default"/>
          <w:sz w:val="18"/>
          <w:szCs w:val="18"/>
        </w:rPr>
        <w:t>告为目的的商誉减值测试项目资产评估报告》（中水致远评报字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020075</w:t>
      </w:r>
      <w:r>
        <w:rPr>
          <w:rFonts w:ascii="宋体" w:hAnsi="宋体" w:cs="宋体" w:eastAsia="宋体" w:hint="default"/>
          <w:sz w:val="18"/>
          <w:szCs w:val="18"/>
        </w:rPr>
        <w:t>号），于评估基准日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日，贵博 </w:t>
      </w:r>
      <w:r>
        <w:rPr>
          <w:rFonts w:ascii="宋体" w:hAnsi="宋体" w:cs="宋体" w:eastAsia="宋体" w:hint="default"/>
          <w:spacing w:val="-2"/>
          <w:sz w:val="18"/>
          <w:szCs w:val="18"/>
        </w:rPr>
        <w:t>新能包含商誉的资产组或资产组组合可收回金额为</w:t>
      </w:r>
      <w:r>
        <w:rPr>
          <w:rFonts w:ascii="Times New Roman" w:hAnsi="Times New Roman" w:cs="Times New Roman" w:eastAsia="Times New Roman" w:hint="default"/>
          <w:spacing w:val="-2"/>
          <w:sz w:val="18"/>
          <w:szCs w:val="18"/>
        </w:rPr>
        <w:t>771,400,000.00</w:t>
      </w:r>
      <w:r>
        <w:rPr>
          <w:rFonts w:ascii="宋体" w:hAnsi="宋体" w:cs="宋体" w:eastAsia="宋体" w:hint="default"/>
          <w:spacing w:val="-2"/>
          <w:sz w:val="18"/>
          <w:szCs w:val="18"/>
        </w:rPr>
        <w:t>元，高于账面价值</w:t>
      </w:r>
      <w:r>
        <w:rPr>
          <w:rFonts w:ascii="Times New Roman" w:hAnsi="Times New Roman" w:cs="Times New Roman" w:eastAsia="Times New Roman" w:hint="default"/>
          <w:spacing w:val="-2"/>
          <w:sz w:val="18"/>
          <w:szCs w:val="18"/>
        </w:rPr>
        <w:t>767,547,886.03</w:t>
      </w:r>
      <w:r>
        <w:rPr>
          <w:rFonts w:ascii="宋体" w:hAnsi="宋体" w:cs="宋体" w:eastAsia="宋体" w:hint="default"/>
          <w:spacing w:val="-2"/>
          <w:sz w:val="18"/>
          <w:szCs w:val="18"/>
        </w:rPr>
        <w:t>元，商誉未发生减值情况。</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其他说明</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691,154.56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1,504,030.74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737,698.69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1,457,486.61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691,154.56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1,504,030.74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737,698.69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1,457,486.61</w:t>
            </w:r>
          </w:p>
        </w:tc>
      </w:tr>
    </w:tbl>
    <w:p>
      <w:pPr>
        <w:spacing w:line="357" w:lineRule="auto" w:before="49"/>
        <w:ind w:left="153" w:right="3808" w:firstLine="0"/>
        <w:jc w:val="left"/>
        <w:rPr>
          <w:rFonts w:ascii="宋体" w:hAnsi="宋体" w:cs="宋体" w:eastAsia="宋体" w:hint="default"/>
          <w:sz w:val="18"/>
          <w:szCs w:val="18"/>
        </w:rPr>
      </w:pPr>
      <w:r>
        <w:rPr>
          <w:rFonts w:ascii="宋体" w:hAnsi="宋体" w:cs="宋体" w:eastAsia="宋体" w:hint="default"/>
          <w:sz w:val="18"/>
          <w:szCs w:val="18"/>
        </w:rPr>
        <w:t>其他说明 长期待摊费用期末余额较期初增长</w:t>
      </w:r>
      <w:r>
        <w:rPr>
          <w:rFonts w:ascii="Times New Roman" w:hAnsi="Times New Roman" w:cs="Times New Roman" w:eastAsia="Times New Roman" w:hint="default"/>
          <w:sz w:val="18"/>
          <w:szCs w:val="18"/>
        </w:rPr>
        <w:t>110.88%</w:t>
      </w:r>
      <w:r>
        <w:rPr>
          <w:rFonts w:ascii="宋体" w:hAnsi="宋体" w:cs="宋体" w:eastAsia="宋体" w:hint="default"/>
          <w:sz w:val="18"/>
          <w:szCs w:val="18"/>
        </w:rPr>
        <w:t>，主要系本期贵州大数据办公场所装修所致。</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2,004,846.21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300,726.93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46,003,519.61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6,933,171.20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30,673,249.02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4,600,987.35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23,385,034.99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3,662,782.72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65,590,936.52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10,042,525.86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39,667,630.65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5,950,144.60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39,533,390.63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5,930,008.59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4,923,762.86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738,564.43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4,118,431.88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617,764.78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142,860,425.26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21,632,949.17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113,040,377.11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17,143,727.29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22,082,400.00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3,312,360.00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27,612,555.17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4,141,883.28</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2,409,495.54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268,606.01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2,110,372.34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280,216.63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40,212,157.08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5,990,461.55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29,722,927.51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4,422,099.91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5"/>
        <w:gridCol w:w="1914"/>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3"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21,632,949.17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17,143,727.29</w:t>
            </w:r>
          </w:p>
        </w:tc>
      </w:tr>
    </w:tbl>
    <w:p>
      <w:pPr>
        <w:spacing w:after="0" w:line="24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5,990,461.55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4,422,099.91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798,293.73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176,377.48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13,907,984.56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4,725,322.22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14,706,278.29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4,901,699.70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386,730.17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4,338,592.05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386,730.17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4,338,592.05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9,182,662.34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13,907,984.56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4,725,322.22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954" w:space="6875"/>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预付工程款及设备款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281,232.28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10,497,004.46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281,232.28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10,497,004.46</w:t>
            </w:r>
          </w:p>
        </w:tc>
      </w:tr>
    </w:tbl>
    <w:p>
      <w:pPr>
        <w:spacing w:line="441" w:lineRule="auto" w:before="49"/>
        <w:ind w:left="153" w:right="3373" w:firstLine="0"/>
        <w:jc w:val="left"/>
        <w:rPr>
          <w:rFonts w:ascii="宋体" w:hAnsi="宋体" w:cs="宋体" w:eastAsia="宋体" w:hint="default"/>
          <w:sz w:val="18"/>
          <w:szCs w:val="18"/>
        </w:rPr>
      </w:pPr>
      <w:r>
        <w:rPr>
          <w:rFonts w:ascii="宋体" w:hAnsi="宋体" w:cs="宋体" w:eastAsia="宋体" w:hint="default"/>
          <w:sz w:val="18"/>
          <w:szCs w:val="18"/>
        </w:rPr>
        <w:t>其他说明： 其他非流动资产期末余额较期初大幅下降，主要系期初预付的工程款及设备款本期结转所致。</w:t>
      </w:r>
    </w:p>
    <w:p>
      <w:pPr>
        <w:spacing w:after="0" w:line="441" w:lineRule="auto"/>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应付及预付利息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-2,400,177.45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319,059,822.55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189,800,000.00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元，其中重要的已逾期未偿还的短期借款情况如下：</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441" w:lineRule="auto" w:before="50"/>
        <w:ind w:left="153" w:right="5158" w:firstLine="0"/>
        <w:jc w:val="left"/>
        <w:rPr>
          <w:rFonts w:ascii="宋体" w:hAnsi="宋体" w:cs="宋体" w:eastAsia="宋体" w:hint="default"/>
          <w:sz w:val="18"/>
          <w:szCs w:val="18"/>
        </w:rPr>
      </w:pPr>
      <w:r>
        <w:rPr>
          <w:rFonts w:ascii="宋体" w:hAnsi="宋体" w:cs="宋体" w:eastAsia="宋体" w:hint="default"/>
          <w:sz w:val="18"/>
          <w:szCs w:val="18"/>
        </w:rPr>
        <w:t>其他说明： 短期借款期末余额较期初余额增长</w:t>
      </w:r>
      <w:r>
        <w:rPr>
          <w:rFonts w:ascii="Times New Roman" w:hAnsi="Times New Roman" w:cs="Times New Roman" w:eastAsia="Times New Roman" w:hint="default"/>
          <w:sz w:val="18"/>
          <w:szCs w:val="18"/>
        </w:rPr>
        <w:t>68.10%</w:t>
      </w:r>
      <w:r>
        <w:rPr>
          <w:rFonts w:ascii="宋体" w:hAnsi="宋体" w:cs="宋体" w:eastAsia="宋体" w:hint="default"/>
          <w:sz w:val="18"/>
          <w:szCs w:val="18"/>
        </w:rPr>
        <w:t>，主要系本期新增借款所致。</w:t>
      </w:r>
    </w:p>
    <w:p>
      <w:pPr>
        <w:spacing w:line="240" w:lineRule="auto" w:before="2"/>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61,900,014.88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77,479,122.51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61,900,014.88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77,479,122.51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163,041,056.50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145,381,098.18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44,418,306.93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25,879,319.08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207,459,363.43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171,260,417.26</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439" w:lineRule="auto" w:before="49"/>
        <w:ind w:left="153" w:right="1258" w:firstLine="0"/>
        <w:jc w:val="left"/>
        <w:rPr>
          <w:rFonts w:ascii="宋体" w:hAnsi="宋体" w:cs="宋体" w:eastAsia="宋体" w:hint="default"/>
          <w:sz w:val="18"/>
          <w:szCs w:val="18"/>
        </w:rPr>
      </w:pPr>
      <w:r>
        <w:rPr>
          <w:rFonts w:ascii="宋体" w:hAnsi="宋体" w:cs="宋体" w:eastAsia="宋体" w:hint="default"/>
          <w:sz w:val="18"/>
          <w:szCs w:val="18"/>
        </w:rPr>
        <w:t>其他说明： 应付账款期末余额中账龄超过一年的应付账款金额为</w:t>
      </w:r>
      <w:r>
        <w:rPr>
          <w:rFonts w:ascii="Times New Roman" w:hAnsi="Times New Roman" w:cs="Times New Roman" w:eastAsia="Times New Roman" w:hint="default"/>
          <w:sz w:val="18"/>
          <w:szCs w:val="18"/>
        </w:rPr>
        <w:t>56,155,702.81</w:t>
      </w:r>
      <w:r>
        <w:rPr>
          <w:rFonts w:ascii="宋体" w:hAnsi="宋体" w:cs="宋体" w:eastAsia="宋体" w:hint="default"/>
          <w:sz w:val="18"/>
          <w:szCs w:val="18"/>
        </w:rPr>
        <w:t>元，主要系部分供应商的货款尚未达到结算条件所致。</w:t>
      </w:r>
    </w:p>
    <w:p>
      <w:pPr>
        <w:spacing w:line="240" w:lineRule="auto" w:before="7"/>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、预收款项</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55,865,168.19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49,954,982.22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55,865,168.19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49,954,982.22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预收账款期末余额中账龄超过一年的预收账款金额为</w:t>
      </w:r>
      <w:r>
        <w:rPr>
          <w:rFonts w:ascii="Times New Roman" w:hAnsi="Times New Roman" w:cs="Times New Roman" w:eastAsia="Times New Roman" w:hint="default"/>
          <w:sz w:val="18"/>
          <w:szCs w:val="18"/>
        </w:rPr>
        <w:t>1,266,868.28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元，主要系部分项目尚未达到收入确认条件所致。</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33,399,706.89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409,642,773.70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404,346,515.28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38,695,965.31</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23,032,465.42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23,002,788.30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29,842.98</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33,399,872.75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432,675,239.12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427,349,303.58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38,725,808.29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33,209,423.65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374,393,360.13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369,236,424.49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38,366,359.29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9,559,022.44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9,559,022.44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3,267.24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15,068,303.79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15,020,155.03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51,416.00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14,360,876.20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14,344,496.39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331,856.67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314,047.52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17,809.15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375,570.92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361,611.12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14,226.44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9,415,852.02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9,324,678.00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278,190.02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1,206,235.32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1,206,235.32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33,399,706.89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409,642,773.70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404,346,515.28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38,695,965.31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22,298,023.36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22,298,023.36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734,442.06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704,764.94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29,842.98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23,032,465.42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23,002,788.30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29,842.98</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10,062,831.42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10,832,462.29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5,919,747.08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5,552,772.31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1,156,519.48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353,933.13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382,613.62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374,144.75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1,125,124.23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1,320,696.80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18,646,835.83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18,434,009.28</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250,605,699.56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216,068,638.20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250,605,699.56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216,260,538.20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241,685,822.17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208,704,522.82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保证金等其他应付款项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8,919,877.39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7,364,115.38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250,605,699.56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216,068,638.20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预拨资金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尚未达到政府补助确认条件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1,520,000.00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line="307"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慧联运致力于智慧物流云平台业务，为高效打造物流云平台可信运力池规模，公司与安徽省高速公路联网运营有限公司合作，</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代理安徽省货车</w:t>
      </w:r>
      <w:r>
        <w:rPr>
          <w:rFonts w:ascii="Times New Roman" w:hAnsi="Times New Roman" w:cs="Times New Roman" w:eastAsia="Times New Roman" w:hint="default"/>
          <w:sz w:val="18"/>
          <w:szCs w:val="18"/>
        </w:rPr>
        <w:t>ETC</w:t>
      </w:r>
      <w:r>
        <w:rPr>
          <w:rFonts w:ascii="宋体" w:hAnsi="宋体" w:cs="宋体" w:eastAsia="宋体" w:hint="default"/>
          <w:sz w:val="18"/>
          <w:szCs w:val="18"/>
        </w:rPr>
        <w:t>交通卡全国推广发行业务，并根据相关约定定期结算公路通行费资金，期末交易结算款主要系上述业务 形成的临时性资金结余。</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441" w:lineRule="auto" w:before="49"/>
        <w:ind w:left="153" w:right="3733" w:firstLine="0"/>
        <w:jc w:val="left"/>
        <w:rPr>
          <w:rFonts w:ascii="宋体" w:hAnsi="宋体" w:cs="宋体" w:eastAsia="宋体" w:hint="default"/>
          <w:sz w:val="18"/>
          <w:szCs w:val="18"/>
        </w:rPr>
      </w:pPr>
      <w:r>
        <w:rPr>
          <w:rFonts w:ascii="宋体" w:hAnsi="宋体" w:cs="宋体" w:eastAsia="宋体" w:hint="default"/>
          <w:sz w:val="18"/>
          <w:szCs w:val="18"/>
        </w:rPr>
        <w:t>其他说明： 一年内到期的非流动负债期末较期初大幅增长，主要系一年内到期的长期借款增加所致。</w:t>
      </w:r>
    </w:p>
    <w:p>
      <w:pPr>
        <w:spacing w:line="240" w:lineRule="auto" w:before="6"/>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135,129.58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98,835,129.58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w:t>
            </w:r>
          </w:p>
        </w:tc>
      </w:tr>
    </w:tbl>
    <w:p>
      <w:pPr>
        <w:spacing w:line="360" w:lineRule="auto" w:before="49"/>
        <w:ind w:left="153" w:right="5533" w:firstLine="0"/>
        <w:jc w:val="left"/>
        <w:rPr>
          <w:rFonts w:ascii="宋体" w:hAnsi="宋体" w:cs="宋体" w:eastAsia="宋体" w:hint="default"/>
          <w:sz w:val="18"/>
          <w:szCs w:val="18"/>
        </w:rPr>
      </w:pPr>
      <w:r>
        <w:rPr>
          <w:rFonts w:ascii="宋体" w:hAnsi="宋体" w:cs="宋体" w:eastAsia="宋体" w:hint="default"/>
          <w:sz w:val="18"/>
          <w:szCs w:val="18"/>
        </w:rPr>
        <w:t>长期借款分类的说明： 长期借款期末余额较期初增长较大，主要本期长期借款新增所致。 其他说明，包括利率区间：</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7"/>
        <w:gridCol w:w="3191"/>
        <w:gridCol w:w="3191"/>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8,777,720.45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8,418,918.92</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8,777,720.45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8,418,918.92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分期支付货款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8,777,720.45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8,418,918.92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33</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94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4,923,762.86</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20" w:right="0"/>
              <w:jc w:val="left"/>
              <w:rPr>
                <w:rFonts w:ascii="Times New Roman" w:hAnsi="Times New Roman" w:cs="Times New Roman" w:eastAsia="Times New Roman" w:hint="default"/>
                <w:sz w:val="18"/>
                <w:szCs w:val="18"/>
              </w:rPr>
            </w:pPr>
            <w:r>
              <w:rPr>
                <w:rFonts w:ascii="Times New Roman"/>
                <w:sz w:val="18"/>
              </w:rPr>
              <w:t>4,118,431.88</w:t>
            </w:r>
          </w:p>
        </w:tc>
        <w:tc>
          <w:tcPr>
            <w:tcW w:w="2393"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贵博新能销售给客户的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产品，质量保证期内，产品在 最终使用过程中因质量问题 造成损失的，公司需要承担相 应的维修和更换的责任，公司 按照当年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产品销售收入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计提产品质量保证金。</w:t>
            </w:r>
          </w:p>
        </w:tc>
      </w:tr>
      <w:tr>
        <w:trPr>
          <w:trHeight w:val="394"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94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4,923,762.86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20" w:right="0"/>
              <w:jc w:val="left"/>
              <w:rPr>
                <w:rFonts w:ascii="Times New Roman" w:hAnsi="Times New Roman" w:cs="Times New Roman" w:eastAsia="Times New Roman" w:hint="default"/>
                <w:sz w:val="18"/>
                <w:szCs w:val="18"/>
              </w:rPr>
            </w:pPr>
            <w:r>
              <w:rPr>
                <w:rFonts w:ascii="Times New Roman"/>
                <w:sz w:val="18"/>
              </w:rPr>
              <w:t>4,118,431.88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34</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39,533,390.63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6,730,000.00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6,595,759.98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39,667,630.65</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39,533,390.63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6,730,000.00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6,595,759.98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39,667,630.65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277"/>
        <w:gridCol w:w="1275"/>
        <w:gridCol w:w="1135"/>
        <w:gridCol w:w="992"/>
        <w:gridCol w:w="1135"/>
        <w:gridCol w:w="850"/>
        <w:gridCol w:w="708"/>
        <w:gridCol w:w="1188"/>
        <w:gridCol w:w="1011"/>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58"/>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国家数字经济 试点重大工程 专项资金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23,883,333.94</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5,416,666.66</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18,466,667.28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年合肥高 新区智能语音 基地专项资金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省级汽车基地 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省战略性新兴 产业发展资金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3,366,666.69</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133,333.32</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3,233,333.37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汽车基地支持 项目资金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国家服务业发 展资金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年安徽省 科技重大专项 补助</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高新区科技局 关键技术重大 研发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省企业发展专 项资金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1,503,390.00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545,760.00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957,630.00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35</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239,233,684.00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11,151,078.00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11,151,078.00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250,384,762.00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7"/>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本期股本增减变动情况详见本报告三</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公司的基本情况</w:t>
      </w:r>
      <w:r>
        <w:rPr>
          <w:rFonts w:ascii="Times New Roman" w:hAnsi="Times New Roman" w:cs="Times New Roman" w:eastAsia="Times New Roman" w:hint="default"/>
          <w:sz w:val="18"/>
          <w:szCs w:val="18"/>
        </w:rPr>
        <w:t>”</w:t>
      </w:r>
      <w:r>
        <w:rPr>
          <w:rFonts w:ascii="宋体" w:hAnsi="宋体" w:cs="宋体" w:eastAsia="宋体" w:hint="default"/>
          <w:sz w:val="18"/>
          <w:szCs w:val="18"/>
        </w:rPr>
        <w:t>和七、</w:t>
      </w:r>
      <w:r>
        <w:rPr>
          <w:rFonts w:ascii="Times New Roman" w:hAnsi="Times New Roman" w:cs="Times New Roman" w:eastAsia="Times New Roman" w:hint="default"/>
          <w:sz w:val="18"/>
          <w:szCs w:val="18"/>
        </w:rPr>
        <w:t>36“</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779,934,540.87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154,904,420.90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934,838,961.77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34,621,099.21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21,742.43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34,642,841.64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814,555,640.08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154,926,163.33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969,481,803.41</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5"/>
          <w:szCs w:val="15"/>
        </w:rPr>
      </w:pPr>
    </w:p>
    <w:p>
      <w:pPr>
        <w:spacing w:line="304" w:lineRule="auto" w:before="0"/>
        <w:ind w:left="153" w:right="1128" w:firstLine="0"/>
        <w:jc w:val="both"/>
        <w:rPr>
          <w:rFonts w:ascii="宋体" w:hAnsi="宋体" w:cs="宋体" w:eastAsia="宋体" w:hint="default"/>
          <w:sz w:val="18"/>
          <w:szCs w:val="18"/>
        </w:rPr>
      </w:pPr>
      <w:r>
        <w:rPr>
          <w:rFonts w:ascii="宋体" w:hAnsi="宋体" w:cs="宋体" w:eastAsia="宋体" w:hint="default"/>
          <w:spacing w:val="-2"/>
          <w:sz w:val="18"/>
          <w:szCs w:val="18"/>
        </w:rPr>
        <w:t>资本溢价（股本溢价）本期增加系根据公司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年第一次临时股东大会决议、</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年第四次临时股东大会决议和修改后的章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程规定，并经中国证券监督管理委员会《关于核准科大国创软件股份有限公司向孙路等发行股份购买资产并募集配套资金的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批复》（证监许可</w:t>
      </w:r>
      <w:r>
        <w:rPr>
          <w:rFonts w:ascii="Times New Roman" w:hAnsi="Times New Roman" w:cs="Times New Roman" w:eastAsia="Times New Roman" w:hint="default"/>
          <w:spacing w:val="-2"/>
          <w:sz w:val="18"/>
          <w:szCs w:val="18"/>
        </w:rPr>
        <w:t>[2018]2063</w:t>
      </w:r>
      <w:r>
        <w:rPr>
          <w:rFonts w:ascii="宋体" w:hAnsi="宋体" w:cs="宋体" w:eastAsia="宋体" w:hint="default"/>
          <w:spacing w:val="-2"/>
          <w:sz w:val="18"/>
          <w:szCs w:val="18"/>
        </w:rPr>
        <w:t>号）的批准，公司非公开发行人民币普通股股票</w:t>
      </w:r>
      <w:r>
        <w:rPr>
          <w:rFonts w:ascii="Times New Roman" w:hAnsi="Times New Roman" w:cs="Times New Roman" w:eastAsia="Times New Roman" w:hint="default"/>
          <w:spacing w:val="-2"/>
          <w:sz w:val="18"/>
          <w:szCs w:val="18"/>
        </w:rPr>
        <w:t>11,151,078</w:t>
      </w:r>
      <w:r>
        <w:rPr>
          <w:rFonts w:ascii="宋体" w:hAnsi="宋体" w:cs="宋体" w:eastAsia="宋体" w:hint="default"/>
          <w:spacing w:val="-2"/>
          <w:sz w:val="18"/>
          <w:szCs w:val="18"/>
        </w:rPr>
        <w:t>股，每股面值</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元，每股发行价格</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
          <w:sz w:val="18"/>
          <w:szCs w:val="18"/>
        </w:rPr>
        <w:t>为人民币</w:t>
      </w:r>
      <w:r>
        <w:rPr>
          <w:rFonts w:ascii="Times New Roman" w:hAnsi="Times New Roman" w:cs="Times New Roman" w:eastAsia="Times New Roman" w:hint="default"/>
          <w:spacing w:val="-1"/>
          <w:sz w:val="18"/>
          <w:szCs w:val="18"/>
        </w:rPr>
        <w:t>16.68</w:t>
      </w:r>
      <w:r>
        <w:rPr>
          <w:rFonts w:ascii="宋体" w:hAnsi="宋体" w:cs="宋体" w:eastAsia="宋体" w:hint="default"/>
          <w:spacing w:val="-1"/>
          <w:sz w:val="18"/>
          <w:szCs w:val="18"/>
        </w:rPr>
        <w:t>元，募集资金总额为人民币</w:t>
      </w:r>
      <w:r>
        <w:rPr>
          <w:rFonts w:ascii="Times New Roman" w:hAnsi="Times New Roman" w:cs="Times New Roman" w:eastAsia="Times New Roman" w:hint="default"/>
          <w:spacing w:val="-1"/>
          <w:sz w:val="18"/>
          <w:szCs w:val="18"/>
        </w:rPr>
        <w:t>185,999,981.04</w:t>
      </w:r>
      <w:r>
        <w:rPr>
          <w:rFonts w:ascii="宋体" w:hAnsi="宋体" w:cs="宋体" w:eastAsia="宋体" w:hint="default"/>
          <w:spacing w:val="-1"/>
          <w:sz w:val="18"/>
          <w:szCs w:val="18"/>
        </w:rPr>
        <w:t>元，公司实际募集资金净额为人民币</w:t>
      </w:r>
      <w:r>
        <w:rPr>
          <w:rFonts w:ascii="Times New Roman" w:hAnsi="Times New Roman" w:cs="Times New Roman" w:eastAsia="Times New Roman" w:hint="default"/>
          <w:spacing w:val="-1"/>
          <w:sz w:val="18"/>
          <w:szCs w:val="18"/>
        </w:rPr>
        <w:t>166,055,498.90</w:t>
      </w:r>
      <w:r>
        <w:rPr>
          <w:rFonts w:ascii="宋体" w:hAnsi="宋体" w:cs="宋体" w:eastAsia="宋体" w:hint="default"/>
          <w:spacing w:val="-1"/>
          <w:sz w:val="18"/>
          <w:szCs w:val="18"/>
        </w:rPr>
        <w:t>元（含发行费用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的进项税），其中：计入股本人民币</w:t>
      </w:r>
      <w:r>
        <w:rPr>
          <w:rFonts w:ascii="Times New Roman" w:hAnsi="Times New Roman" w:cs="Times New Roman" w:eastAsia="Times New Roman" w:hint="default"/>
          <w:sz w:val="18"/>
          <w:szCs w:val="18"/>
        </w:rPr>
        <w:t>11,151,078.00</w:t>
      </w:r>
      <w:r>
        <w:rPr>
          <w:rFonts w:ascii="宋体" w:hAnsi="宋体" w:cs="宋体" w:eastAsia="宋体" w:hint="default"/>
          <w:sz w:val="18"/>
          <w:szCs w:val="18"/>
        </w:rPr>
        <w:t>元，计入资本公积人民币</w:t>
      </w:r>
      <w:r>
        <w:rPr>
          <w:rFonts w:ascii="Times New Roman" w:hAnsi="Times New Roman" w:cs="Times New Roman" w:eastAsia="Times New Roman" w:hint="default"/>
          <w:sz w:val="18"/>
          <w:szCs w:val="18"/>
        </w:rPr>
        <w:t>154,904,420.90</w:t>
      </w:r>
      <w:r>
        <w:rPr>
          <w:rFonts w:ascii="宋体" w:hAnsi="宋体" w:cs="宋体" w:eastAsia="宋体" w:hint="default"/>
          <w:sz w:val="18"/>
          <w:szCs w:val="18"/>
        </w:rPr>
        <w:t>元。</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37</w:t>
      </w:r>
      <w:r>
        <w:rPr/>
        <w:t>、库存股</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16,063,303.59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16,063,303.59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16,063,303.59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16,063,303.59</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5"/>
          <w:szCs w:val="15"/>
        </w:rPr>
      </w:pPr>
    </w:p>
    <w:p>
      <w:pPr>
        <w:spacing w:line="300" w:lineRule="auto" w:before="0"/>
        <w:ind w:left="153" w:right="1130" w:firstLine="0"/>
        <w:jc w:val="both"/>
        <w:rPr>
          <w:rFonts w:ascii="宋体" w:hAnsi="宋体" w:cs="宋体" w:eastAsia="宋体" w:hint="default"/>
          <w:sz w:val="18"/>
          <w:szCs w:val="18"/>
        </w:rPr>
      </w:pPr>
      <w:r>
        <w:rPr>
          <w:rFonts w:ascii="宋体" w:hAnsi="宋体" w:cs="宋体" w:eastAsia="宋体" w:hint="default"/>
          <w:sz w:val="18"/>
          <w:szCs w:val="18"/>
        </w:rPr>
        <w:t>根据贵博新能并购重组相关的业绩承诺和盈利补偿安排，贵博新能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年度的业绩承诺累计实现</w:t>
      </w:r>
      <w:r>
        <w:rPr>
          <w:rFonts w:ascii="Times New Roman" w:hAnsi="Times New Roman" w:cs="Times New Roman" w:eastAsia="Times New Roman" w:hint="default"/>
          <w:sz w:val="18"/>
          <w:szCs w:val="18"/>
        </w:rPr>
        <w:t>8,645.83</w:t>
      </w:r>
      <w:r>
        <w:rPr>
          <w:rFonts w:ascii="宋体" w:hAnsi="宋体" w:cs="宋体" w:eastAsia="宋体" w:hint="default"/>
          <w:sz w:val="18"/>
          <w:szCs w:val="18"/>
        </w:rPr>
        <w:t>万元， </w:t>
      </w:r>
      <w:r>
        <w:rPr>
          <w:rFonts w:ascii="宋体" w:hAnsi="宋体" w:cs="宋体" w:eastAsia="宋体" w:hint="default"/>
          <w:spacing w:val="-2"/>
          <w:sz w:val="18"/>
          <w:szCs w:val="18"/>
        </w:rPr>
        <w:t>较两年累计承诺数</w:t>
      </w:r>
      <w:r>
        <w:rPr>
          <w:rFonts w:ascii="Times New Roman" w:hAnsi="Times New Roman" w:cs="Times New Roman" w:eastAsia="Times New Roman" w:hint="default"/>
          <w:spacing w:val="-2"/>
          <w:sz w:val="18"/>
          <w:szCs w:val="18"/>
        </w:rPr>
        <w:t>9,000</w:t>
      </w:r>
      <w:r>
        <w:rPr>
          <w:rFonts w:ascii="宋体" w:hAnsi="宋体" w:cs="宋体" w:eastAsia="宋体" w:hint="default"/>
          <w:spacing w:val="-2"/>
          <w:sz w:val="18"/>
          <w:szCs w:val="18"/>
        </w:rPr>
        <w:t>万元相差</w:t>
      </w:r>
      <w:r>
        <w:rPr>
          <w:rFonts w:ascii="Times New Roman" w:hAnsi="Times New Roman" w:cs="Times New Roman" w:eastAsia="Times New Roman" w:hint="default"/>
          <w:spacing w:val="-2"/>
          <w:sz w:val="18"/>
          <w:szCs w:val="18"/>
        </w:rPr>
        <w:t>-354.17</w:t>
      </w:r>
      <w:r>
        <w:rPr>
          <w:rFonts w:ascii="宋体" w:hAnsi="宋体" w:cs="宋体" w:eastAsia="宋体" w:hint="default"/>
          <w:spacing w:val="-2"/>
          <w:sz w:val="18"/>
          <w:szCs w:val="18"/>
        </w:rPr>
        <w:t>万元，差异率为</w:t>
      </w:r>
      <w:r>
        <w:rPr>
          <w:rFonts w:ascii="Times New Roman" w:hAnsi="Times New Roman" w:cs="Times New Roman" w:eastAsia="Times New Roman" w:hint="default"/>
          <w:spacing w:val="-2"/>
          <w:sz w:val="18"/>
          <w:szCs w:val="18"/>
        </w:rPr>
        <w:t>3.93%</w:t>
      </w:r>
      <w:r>
        <w:rPr>
          <w:rFonts w:ascii="宋体" w:hAnsi="宋体" w:cs="宋体" w:eastAsia="宋体" w:hint="default"/>
          <w:spacing w:val="-2"/>
          <w:sz w:val="18"/>
          <w:szCs w:val="18"/>
        </w:rPr>
        <w:t>。库存股本期增加数系业绩承诺方依据并购重组相关协议承诺</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应补偿的金额。</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7"/>
        <w:gridCol w:w="974"/>
        <w:gridCol w:w="852"/>
        <w:gridCol w:w="1051"/>
        <w:gridCol w:w="852"/>
        <w:gridCol w:w="853"/>
        <w:gridCol w:w="852"/>
        <w:gridCol w:w="852"/>
        <w:gridCol w:w="727"/>
      </w:tblGrid>
      <w:tr>
        <w:trPr>
          <w:trHeight w:val="396" w:hRule="exact"/>
        </w:trPr>
        <w:tc>
          <w:tcPr>
            <w:tcW w:w="2557" w:type="dxa"/>
            <w:vMerge w:val="restart"/>
            <w:tcBorders>
              <w:top w:val="single" w:sz="4" w:space="0" w:color="000000"/>
              <w:left w:val="single" w:sz="4" w:space="0" w:color="000000"/>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
        </w:tc>
        <w:tc>
          <w:tcPr>
            <w:tcW w:w="531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7"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7"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57" w:type="dxa"/>
            <w:vMerge/>
            <w:tcBorders>
              <w:left w:val="single" w:sz="4" w:space="0" w:color="000000"/>
              <w:bottom w:val="nil" w:sz="6" w:space="0" w:color="auto"/>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8"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7" w:type="dxa"/>
            <w:vMerge w:val="restart"/>
            <w:tcBorders>
              <w:top w:val="nil" w:sz="6" w:space="0" w:color="auto"/>
              <w:left w:val="single" w:sz="4" w:space="0" w:color="000000"/>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57"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7"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7"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7"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4"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15,522,89</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3.72</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15,522,89</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3.72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15,522,8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93.72</w:t>
            </w:r>
          </w:p>
        </w:tc>
      </w:tr>
      <w:tr>
        <w:trPr>
          <w:trHeight w:val="715"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其他权益工具投资公允 价值变动</w:t>
            </w:r>
          </w:p>
        </w:tc>
        <w:tc>
          <w:tcPr>
            <w:tcW w:w="974"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15,522,89</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3.72</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15,522,89</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3.72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15,522,8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93.72</w:t>
            </w:r>
          </w:p>
        </w:tc>
      </w:tr>
      <w:tr>
        <w:trPr>
          <w:trHeight w:val="713"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391,851.61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528,980.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r>
      <w:tr>
        <w:trPr>
          <w:trHeight w:val="161"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391,851.61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528,980.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r>
      <w:tr>
        <w:trPr>
          <w:trHeight w:val="394"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974"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555"/>
        <w:gridCol w:w="974"/>
        <w:gridCol w:w="852"/>
        <w:gridCol w:w="1051"/>
        <w:gridCol w:w="852"/>
        <w:gridCol w:w="853"/>
        <w:gridCol w:w="852"/>
        <w:gridCol w:w="852"/>
        <w:gridCol w:w="727"/>
      </w:tblGrid>
      <w:tr>
        <w:trPr>
          <w:trHeight w:val="716"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391,851.61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15,660,02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2.21</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15,660,02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2.21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16,051,8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73.82</w:t>
            </w:r>
          </w:p>
        </w:tc>
      </w:tr>
    </w:tbl>
    <w:p>
      <w:pPr>
        <w:spacing w:line="357" w:lineRule="auto" w:before="49"/>
        <w:ind w:left="153" w:right="355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其他综合收益中其他权益工具投资公允价值变动本期增加数系公允价值变动收益结转所致。</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18,497,595.22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3,162,255.72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21,659,850.94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18,497,595.22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3,162,255.72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21,659,850.94</w:t>
            </w:r>
          </w:p>
        </w:tc>
      </w:tr>
    </w:tbl>
    <w:p>
      <w:pPr>
        <w:spacing w:line="439"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本期盈余公积增加系本公司按《公司法》及本公司章程有关规定，按本期母公司净利润</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p>
    <w:p>
      <w:pPr>
        <w:spacing w:line="240" w:lineRule="auto" w:before="7"/>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、未分配利润</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221,467,246.59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180,564,989.45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221,467,246.59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180,564,989.45</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118,846,143.80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48,860,741.98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3,162,255.72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2,898,484.84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5,980,842.10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5,060,000.00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331,170,292.57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221,467,246.59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10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103"/>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10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1,569,717,788.81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1,104,183,667.76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982,146,999.04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664,164,392.08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1,569,717,788.81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1,104,183,667.76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982,146,999.04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664,164,392.08</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4"/>
          <w:szCs w:val="1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7"/>
        <w:ind w:left="153"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3,179,240.79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1,587,083.52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2,270,333.75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1,138,708.64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733,753.59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593,036.47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1,451,377.11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832,053.51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7,634,705.24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4,150,882.14</w:t>
            </w:r>
          </w:p>
        </w:tc>
      </w:tr>
    </w:tbl>
    <w:p>
      <w:pPr>
        <w:spacing w:line="439" w:lineRule="auto" w:before="49"/>
        <w:ind w:left="153" w:right="4438" w:firstLine="0"/>
        <w:jc w:val="left"/>
        <w:rPr>
          <w:rFonts w:ascii="宋体" w:hAnsi="宋体" w:cs="宋体" w:eastAsia="宋体" w:hint="default"/>
          <w:sz w:val="18"/>
          <w:szCs w:val="18"/>
        </w:rPr>
      </w:pPr>
      <w:r>
        <w:rPr>
          <w:rFonts w:ascii="宋体" w:hAnsi="宋体" w:cs="宋体" w:eastAsia="宋体" w:hint="default"/>
          <w:sz w:val="18"/>
          <w:szCs w:val="18"/>
        </w:rPr>
        <w:t>其他说明： 税金及附加本期较上期增长</w:t>
      </w:r>
      <w:r>
        <w:rPr>
          <w:rFonts w:ascii="Times New Roman" w:hAnsi="Times New Roman" w:cs="Times New Roman" w:eastAsia="Times New Roman" w:hint="default"/>
          <w:sz w:val="18"/>
          <w:szCs w:val="18"/>
        </w:rPr>
        <w:t>83.93%</w:t>
      </w:r>
      <w:r>
        <w:rPr>
          <w:rFonts w:ascii="宋体" w:hAnsi="宋体" w:cs="宋体" w:eastAsia="宋体" w:hint="default"/>
          <w:sz w:val="18"/>
          <w:szCs w:val="18"/>
        </w:rPr>
        <w:t>，主要是收入增长较大对应的税金增长所致。</w:t>
      </w:r>
    </w:p>
    <w:p>
      <w:pPr>
        <w:spacing w:line="240" w:lineRule="auto" w:before="4"/>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38,008,593.02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31,996,113.19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16,073,605.19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13,299,417.27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12,005,708.94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12,843,714.83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10,718,057.34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10,499,802.50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11,598,677.39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5,706,750.57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88,404,641.88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74,345,798.36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44</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57,904,918.16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40,881,036.23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20,548,062.32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18,273,723.70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13,511,054.18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10,513,205.17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91,964,034.66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69,667,965.10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
        <w:rPr>
          <w:rFonts w:ascii="宋体" w:hAnsi="宋体" w:cs="宋体" w:eastAsia="宋体" w:hint="default"/>
          <w:sz w:val="15"/>
          <w:szCs w:val="15"/>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管理费用本期发生额较上期增长</w:t>
      </w:r>
      <w:r>
        <w:rPr>
          <w:rFonts w:ascii="Times New Roman" w:hAnsi="Times New Roman" w:cs="Times New Roman" w:eastAsia="Times New Roman" w:hint="default"/>
          <w:sz w:val="18"/>
          <w:szCs w:val="18"/>
        </w:rPr>
        <w:t>32.00%</w:t>
      </w:r>
      <w:r>
        <w:rPr>
          <w:rFonts w:ascii="宋体" w:hAnsi="宋体" w:cs="宋体" w:eastAsia="宋体" w:hint="default"/>
          <w:sz w:val="18"/>
          <w:szCs w:val="18"/>
        </w:rPr>
        <w:t>，主要系人力成本增长及贵博新能自报告期初并表所致。</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163,131,731.42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125,073,125.82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16,044,620.33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9,554,850.81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179,176,351.75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134,627,976.63</w:t>
            </w:r>
          </w:p>
        </w:tc>
      </w:tr>
    </w:tbl>
    <w:p>
      <w:pPr>
        <w:spacing w:line="360" w:lineRule="auto" w:before="49"/>
        <w:ind w:left="153" w:right="2278" w:firstLine="0"/>
        <w:jc w:val="left"/>
        <w:rPr>
          <w:rFonts w:ascii="宋体" w:hAnsi="宋体" w:cs="宋体" w:eastAsia="宋体" w:hint="default"/>
          <w:sz w:val="18"/>
          <w:szCs w:val="18"/>
        </w:rPr>
      </w:pPr>
      <w:r>
        <w:rPr>
          <w:rFonts w:ascii="宋体" w:hAnsi="宋体" w:cs="宋体" w:eastAsia="宋体" w:hint="default"/>
          <w:sz w:val="18"/>
          <w:szCs w:val="18"/>
        </w:rPr>
        <w:t>其他说明： 研发费用本期发生额较上期增长</w:t>
      </w:r>
      <w:r>
        <w:rPr>
          <w:rFonts w:ascii="Times New Roman" w:hAnsi="Times New Roman" w:cs="Times New Roman" w:eastAsia="Times New Roman" w:hint="default"/>
          <w:sz w:val="18"/>
          <w:szCs w:val="18"/>
        </w:rPr>
        <w:t>33.09%</w:t>
      </w:r>
      <w:r>
        <w:rPr>
          <w:rFonts w:ascii="宋体" w:hAnsi="宋体" w:cs="宋体" w:eastAsia="宋体" w:hint="default"/>
          <w:sz w:val="18"/>
          <w:szCs w:val="18"/>
        </w:rPr>
        <w:t>，主要系公司持续加大研发投入以及贵博新能自报告期初并表所致。</w:t>
      </w:r>
    </w:p>
    <w:p>
      <w:pPr>
        <w:spacing w:line="240" w:lineRule="auto" w:before="8"/>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46</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9,762,672.55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6,198,001.32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11,190,218.57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3,843,106.29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-478,015.12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-1,463,354.85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1,022,741.53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861,572.04</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-882,819.61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1,753,112.22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、利息资本化金额已计入在建工程。本期用于计算确定借款费用资本化金额的资本化率为</w:t>
      </w:r>
      <w:r>
        <w:rPr>
          <w:rFonts w:ascii="Times New Roman" w:hAnsi="Times New Roman" w:cs="Times New Roman" w:eastAsia="Times New Roman" w:hint="default"/>
          <w:sz w:val="18"/>
          <w:szCs w:val="18"/>
        </w:rPr>
        <w:t>4.45%</w:t>
      </w:r>
      <w:r>
        <w:rPr>
          <w:rFonts w:ascii="宋体" w:hAnsi="宋体" w:cs="宋体" w:eastAsia="宋体" w:hint="default"/>
          <w:sz w:val="18"/>
          <w:szCs w:val="18"/>
        </w:rPr>
        <w:t>，上期资本化率为</w:t>
      </w:r>
      <w:r>
        <w:rPr>
          <w:rFonts w:ascii="Times New Roman" w:hAnsi="Times New Roman" w:cs="Times New Roman" w:eastAsia="Times New Roman" w:hint="default"/>
          <w:sz w:val="18"/>
          <w:szCs w:val="18"/>
        </w:rPr>
        <w:t>4.71%</w:t>
      </w:r>
      <w:r>
        <w:rPr>
          <w:rFonts w:ascii="宋体" w:hAnsi="宋体" w:cs="宋体" w:eastAsia="宋体" w:hint="default"/>
          <w:sz w:val="18"/>
          <w:szCs w:val="18"/>
        </w:rPr>
        <w:t>。</w:t>
      </w:r>
    </w:p>
    <w:p>
      <w:pPr>
        <w:spacing w:line="240" w:lineRule="auto" w:before="13"/>
        <w:rPr>
          <w:rFonts w:ascii="宋体" w:hAnsi="宋体" w:cs="宋体" w:eastAsia="宋体" w:hint="default"/>
          <w:sz w:val="13"/>
          <w:szCs w:val="13"/>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、财务费用本期发生额较上期大幅下降，主要系未确认融资收益摊销所致。</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23,899,305.00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11,523,992.50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8,252,840.71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1,571,309.98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递延收益摊销转入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6,595,759.98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7,255,759.38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508,408.29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39,256,313.98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20,351,061.86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2,073,048.07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1,670,681.75</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-327,666.47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2,423,958.37</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1,800,413.62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4,094,640.12</w:t>
            </w:r>
          </w:p>
        </w:tc>
      </w:tr>
    </w:tbl>
    <w:p>
      <w:pPr>
        <w:spacing w:line="439" w:lineRule="auto" w:before="49"/>
        <w:ind w:left="153" w:right="4978" w:firstLine="0"/>
        <w:jc w:val="left"/>
        <w:rPr>
          <w:rFonts w:ascii="宋体" w:hAnsi="宋体" w:cs="宋体" w:eastAsia="宋体" w:hint="default"/>
          <w:sz w:val="18"/>
          <w:szCs w:val="18"/>
        </w:rPr>
      </w:pPr>
      <w:r>
        <w:rPr>
          <w:rFonts w:ascii="宋体" w:hAnsi="宋体" w:cs="宋体" w:eastAsia="宋体" w:hint="default"/>
          <w:sz w:val="18"/>
          <w:szCs w:val="18"/>
        </w:rPr>
        <w:t>其他说明： 投资收益本期发生额较上期下降</w:t>
      </w:r>
      <w:r>
        <w:rPr>
          <w:rFonts w:ascii="Times New Roman" w:hAnsi="Times New Roman" w:cs="Times New Roman" w:eastAsia="Times New Roman" w:hint="default"/>
          <w:sz w:val="18"/>
          <w:szCs w:val="18"/>
        </w:rPr>
        <w:t>56.03%</w:t>
      </w:r>
      <w:r>
        <w:rPr>
          <w:rFonts w:ascii="宋体" w:hAnsi="宋体" w:cs="宋体" w:eastAsia="宋体" w:hint="default"/>
          <w:sz w:val="18"/>
          <w:szCs w:val="18"/>
        </w:rPr>
        <w:t>，主要系理财产品收益减少所致。</w:t>
      </w:r>
    </w:p>
    <w:p>
      <w:pPr>
        <w:spacing w:line="240" w:lineRule="auto" w:before="4"/>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49</w:t>
      </w:r>
      <w:r>
        <w:rPr/>
        <w:t>、公允价值变动收益</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16,063,303.59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3" w:right="6793" w:firstLine="0"/>
        <w:jc w:val="left"/>
        <w:rPr>
          <w:rFonts w:ascii="宋体" w:hAnsi="宋体" w:cs="宋体" w:eastAsia="宋体" w:hint="default"/>
          <w:sz w:val="18"/>
          <w:szCs w:val="18"/>
        </w:rPr>
      </w:pPr>
      <w:r>
        <w:rPr>
          <w:rFonts w:ascii="宋体" w:hAnsi="宋体" w:cs="宋体" w:eastAsia="宋体" w:hint="default"/>
          <w:sz w:val="18"/>
          <w:szCs w:val="18"/>
        </w:rPr>
        <w:t>其他说明： 公允价值变动收益本期发生额详见七、</w:t>
      </w:r>
      <w:r>
        <w:rPr>
          <w:rFonts w:ascii="Times New Roman" w:hAnsi="Times New Roman" w:cs="Times New Roman" w:eastAsia="Times New Roman" w:hint="default"/>
          <w:sz w:val="18"/>
          <w:szCs w:val="18"/>
        </w:rPr>
        <w:t>37</w:t>
      </w:r>
      <w:r>
        <w:rPr>
          <w:rFonts w:ascii="宋体" w:hAnsi="宋体" w:cs="宋体" w:eastAsia="宋体" w:hint="default"/>
          <w:sz w:val="18"/>
          <w:szCs w:val="18"/>
        </w:rPr>
        <w:t>库存股。</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50</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-5,287,613.81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-6,220,824.56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-9,051,644.06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338,949.57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-20,221,132.86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5"/>
          <w:szCs w:val="15"/>
        </w:rPr>
      </w:pPr>
    </w:p>
    <w:p>
      <w:pPr>
        <w:spacing w:line="314"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信用减值损失本期发生额较上期增长较大，主要系本期执行新金融工具准则，应收账款坏账损失和其他应收款坏账损失等金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融资产减值准备所形成的预期信用损失由资产减值损失调整至信用减值损失核算所致。</w:t>
      </w:r>
    </w:p>
    <w:p>
      <w:pPr>
        <w:spacing w:line="240" w:lineRule="auto" w:before="1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51</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7" w:footer="979" w:top="12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-8,988,068.67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-2,004,846.21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-2,004,846.21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-8,988,068.67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line="297"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资产减值损失本期发生额失较上期下降</w:t>
      </w:r>
      <w:r>
        <w:rPr>
          <w:rFonts w:ascii="Times New Roman" w:hAnsi="Times New Roman" w:cs="Times New Roman" w:eastAsia="Times New Roman" w:hint="default"/>
          <w:sz w:val="18"/>
          <w:szCs w:val="18"/>
        </w:rPr>
        <w:t>77.69%</w:t>
      </w:r>
      <w:r>
        <w:rPr>
          <w:rFonts w:ascii="宋体" w:hAnsi="宋体" w:cs="宋体" w:eastAsia="宋体" w:hint="default"/>
          <w:sz w:val="18"/>
          <w:szCs w:val="18"/>
        </w:rPr>
        <w:t>，主要系本期执行新金融工具准则，应收账款坏账损失、其他应收款坏账损</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失调整至信用减值损失核算所致。</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、资产处置收益</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-187,373.89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2,854.36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2,854.36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4"/>
        <w:gridCol w:w="1063"/>
        <w:gridCol w:w="1061"/>
        <w:gridCol w:w="1063"/>
        <w:gridCol w:w="1065"/>
        <w:gridCol w:w="1062"/>
        <w:gridCol w:w="1064"/>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54</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5,062.28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936.64</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1,205,062.28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其他说明： 营业外支出本期发生额较上期大幅下降，主要系上期捐赠支出金额较大所致。</w:t>
      </w:r>
    </w:p>
    <w:p>
      <w:pPr>
        <w:spacing w:after="0" w:line="36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55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11,093,006.51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1,291,584.25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-2,920,860.24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-4,829,465.98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8,172,146.27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-3,537,881.73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133,942,948.72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20,091,442.31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-3,350,747.27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6,936.99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-261,807.24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2,498,886.81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2,328,365.22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-13,140,930.55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8,172,146.27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32,981,299.35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30,629,305.00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41,523,992.50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3,286,081.57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14,017,855.28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63,610,604.35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58,827,929.35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32,967,495.25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31,511,297.01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20,095,423.58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16,168,773.26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17,337,210.33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15,390,377.25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13,921,173.52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9,753,670.76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交易结算款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19,015,478.82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84,321,302.68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91,839,597.10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3,596,882.81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3,843,106.29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2,423,958.37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24,301,914.83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6,267,064.66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理财产品到期赎回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少数股东投资款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资产重组中介机构发行费用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3,944,482.14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622,641.51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3,944,482.14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622,641.51</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125,770,802.45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51,229,523.75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2,004,846.21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8,988,068.67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20,221,132.86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8,572,472.12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4,896,531.49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4,211,782.41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1,039,898.00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737,698.69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96,320.76</w:t>
            </w:r>
          </w:p>
        </w:tc>
      </w:tr>
      <w:tr>
        <w:trPr>
          <w:trHeight w:val="71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187,373.89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1,339.64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-16,063,303.59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6,038,884.73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3,818,249.88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-1,800,413.62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-4,094,640.12</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-4,489,221.88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-4,848,419.71</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1,568,361.64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18,953.73</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r>
        <w:rPr/>
        <w:pict>
          <v:group style="position:absolute;margin-left:223.369995pt;margin-top:71.935982pt;width:151.25pt;height:20.7pt;mso-position-horizontal-relative:page;mso-position-vertical-relative:page;z-index:-1157560" coordorigin="4467,1439" coordsize="3025,414">
            <v:group style="position:absolute;left:4478;top:1450;width:2;height:392" coordorigin="4478,1450" coordsize="2,392">
              <v:shape style="position:absolute;left:4478;top:1450;width:2;height:392" coordorigin="4478,1450" coordsize="0,392" path="m4478,1450l4478,1841e" filled="false" stroked="true" strokeweight="1.08pt" strokecolor="#ffffff">
                <v:path arrowok="t"/>
              </v:shape>
            </v:group>
            <v:group style="position:absolute;left:4489;top:1450;width:3003;height:392" coordorigin="4489,1450" coordsize="3003,392">
              <v:shape style="position:absolute;left:4489;top:1450;width:3003;height:392" coordorigin="4489,1450" coordsize="3003,392" path="m4489,1841l7492,1841,7492,1450,4489,1450,4489,184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39"/>
        <w:gridCol w:w="202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28,919,860.00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31,295,564.82</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-121,543,950.22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-110,972,612.11</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39,315,263.44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231,939.74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93,651,589.13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-18,299,281.46</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678,898,515.89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444,569,104.25</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02" w:right="0"/>
              <w:jc w:val="left"/>
              <w:rPr>
                <w:rFonts w:ascii="Times New Roman" w:hAnsi="Times New Roman" w:cs="Times New Roman" w:eastAsia="Times New Roman" w:hint="default"/>
                <w:sz w:val="18"/>
                <w:szCs w:val="18"/>
              </w:rPr>
            </w:pPr>
            <w:r>
              <w:rPr>
                <w:rFonts w:ascii="Times New Roman"/>
                <w:sz w:val="18"/>
              </w:rPr>
              <w:t>444,569,104.25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492,438,682.20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234,329,411.64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-47,869,577.95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678,898,515.89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444,569,104.25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248,814.16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380,728.06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678,649,701.73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444,188,376.19</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315"/>
        <w:gridCol w:w="3069"/>
        <w:gridCol w:w="3186"/>
      </w:tblGrid>
      <w:tr>
        <w:trPr>
          <w:trHeight w:val="404"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678,898,515.89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444,569,104.25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年末现金和现金等价物中已扣除其他货币资金中核算的银行保函保证金和银行承兑汇票保证金</w:t>
      </w:r>
      <w:r>
        <w:rPr>
          <w:rFonts w:ascii="Times New Roman" w:hAnsi="Times New Roman" w:cs="Times New Roman" w:eastAsia="Times New Roman" w:hint="default"/>
          <w:sz w:val="18"/>
          <w:szCs w:val="18"/>
        </w:rPr>
        <w:t>29,582,430.83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line="547" w:lineRule="auto" w:before="0"/>
        <w:ind w:left="153" w:right="53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29,582,430.83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用于开具银行承兑汇票和保函</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18,961,096.88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抵押用于取得银行贷款</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质押用于开具银行承兑汇票</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80,543,527.71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2304"/>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13,378.61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93,331.86</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日元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161,602,122.00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10,356,433.59</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304"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0"/>
              <w:jc w:val="center"/>
              <w:rPr>
                <w:rFonts w:ascii="宋体" w:hAnsi="宋体" w:cs="宋体" w:eastAsia="宋体" w:hint="default"/>
                <w:sz w:val="18"/>
                <w:szCs w:val="18"/>
              </w:rPr>
            </w:pPr>
            <w:r>
              <w:rPr>
                <w:rFonts w:ascii="宋体" w:hAnsi="宋体" w:cs="宋体" w:eastAsia="宋体" w:hint="default"/>
                <w:sz w:val="18"/>
                <w:szCs w:val="18"/>
              </w:rPr>
              <w:t>日元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117,336,940.00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7,519,655.14</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35,318,365.00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2,263,412.74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16,732,264.96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1,072,303.93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2,025,768.00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129,823.37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88"/>
        <w:gridCol w:w="3192"/>
        <w:gridCol w:w="3191"/>
      </w:tblGrid>
      <w:tr>
        <w:trPr>
          <w:trHeight w:val="329"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65"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5" w:right="0"/>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日元</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62</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129"/>
        <w:gridCol w:w="2213"/>
        <w:gridCol w:w="239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年合肥高新区智能语音基地专 项资金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年安徽省科技重大专项补助</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8,252,840.71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8,252,840.71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软件和集成电路企业重组合作补助</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5,206,300.00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5,206,300.00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年第一季度招商优惠政策奖励</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2,202,275.00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2,202,275.00</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促进企业加速成长</w:t>
            </w:r>
            <w:r>
              <w:rPr>
                <w:rFonts w:ascii="Times New Roman" w:hAnsi="Times New Roman" w:cs="Times New Roman" w:eastAsia="Times New Roman" w:hint="default"/>
                <w:sz w:val="18"/>
                <w:szCs w:val="18"/>
              </w:rPr>
              <w:t>-</w:t>
            </w:r>
            <w:r>
              <w:rPr>
                <w:rFonts w:ascii="宋体" w:hAnsi="宋体" w:cs="宋体" w:eastAsia="宋体" w:hint="default"/>
                <w:sz w:val="18"/>
                <w:szCs w:val="18"/>
              </w:rPr>
              <w:t>首次列入规划布 局重点企业奖励</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年第二季度招商优惠政策奖励</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1,692,856.00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1,692,856.00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年三重一创资金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促进服务业发展奖补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年三重一创建设引导资金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835"/>
        <w:gridCol w:w="2129"/>
        <w:gridCol w:w="2213"/>
        <w:gridCol w:w="2393"/>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经济和信息化局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年省支持数字 经济发展若干政策</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年合肥市促进服务业及自主创 新发展政策拟扶持项目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军民融合发展专项补助</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年技术出口业务补助奖励</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727,000.00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727,000.00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6,320,874.00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6,320,874.00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4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3" w:right="607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5"/>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3"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after="0" w:line="357" w:lineRule="auto"/>
        <w:jc w:val="both"/>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4"/>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1"/>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3" w:right="859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5;height:392" coordorigin="34,14" coordsize="3135,392">
              <v:shape style="position:absolute;left:34;top:14;width:3135;height:392" coordorigin="34,14" coordsize="3135,392" path="m34,406l3168,406,3168,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6;height:392" coordorigin="3224,14" coordsize="6326,392">
              <v:shape style="position:absolute;left:3224;top:14;width:6326;height:392" coordorigin="3224,14" coordsize="6326,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799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5;height:394" coordorigin="34,415" coordsize="3135,394">
              <v:shape style="position:absolute;left:34;top:415;width:3135;height:394" coordorigin="34,415" coordsize="3135,394" path="m34,809l3168,809,3168,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6;height:394" coordorigin="6414,415" coordsize="3136,394">
              <v:shape style="position:absolute;left:6414;top:415;width:3136;height:394" coordorigin="6414,415" coordsize="3136,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0,410e" filled="false" stroked="true" strokeweight=".48004pt" strokecolor="#000000">
                <v:path arrowok="t"/>
              </v:shape>
            </v:group>
            <v:group style="position:absolute;left:3200;top:410;width:3181;height:2" coordorigin="3200,410" coordsize="3181,2">
              <v:shape style="position:absolute;left:3200;top:410;width:3181;height:2" coordorigin="3200,410" coordsize="3181,0" path="m3200,410l6380,410e" filled="false" stroked="true" strokeweight=".48004pt" strokecolor="#000000">
                <v:path arrowok="t"/>
              </v:shape>
            </v:group>
            <v:group style="position:absolute;left:6390;top:410;width:3184;height:2" coordorigin="6390,410" coordsize="3184,2">
              <v:shape style="position:absolute;left:6390;top:410;width:3184;height:2" coordorigin="6390,410" coordsize="3184,0" path="m6390,410l9573,410e" filled="false" stroked="true" strokeweight=".48004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4;height:2" coordorigin="6390,814" coordsize="3184,2">
              <v:shape style="position:absolute;left:6390;top:814;width:3184;height:2" coordorigin="6390,814" coordsize="3184,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3" w:right="113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after="0" w:line="316" w:lineRule="auto"/>
        <w:jc w:val="left"/>
        <w:rPr>
          <w:rFonts w:ascii="宋体" w:hAnsi="宋体" w:cs="宋体" w:eastAsia="宋体" w:hint="default"/>
          <w:sz w:val="18"/>
          <w:szCs w:val="18"/>
        </w:rPr>
        <w:sectPr>
          <w:footerReference w:type="default" r:id="rId19"/>
          <w:pgSz w:w="11910" w:h="16840"/>
          <w:pgMar w:footer="979" w:header="887"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3"/>
        <w:rPr>
          <w:rFonts w:ascii="宋体" w:hAnsi="宋体" w:cs="宋体" w:eastAsia="宋体" w:hint="default"/>
          <w:sz w:val="15"/>
          <w:szCs w:val="15"/>
        </w:rPr>
      </w:pPr>
    </w:p>
    <w:p>
      <w:pPr>
        <w:spacing w:line="300" w:lineRule="auto" w:before="0"/>
        <w:ind w:left="153" w:right="1129" w:firstLine="0"/>
        <w:jc w:val="both"/>
        <w:rPr>
          <w:rFonts w:ascii="宋体" w:hAnsi="宋体" w:cs="宋体" w:eastAsia="宋体" w:hint="default"/>
          <w:sz w:val="18"/>
          <w:szCs w:val="18"/>
        </w:rPr>
      </w:pPr>
      <w:r>
        <w:rPr>
          <w:rFonts w:ascii="宋体" w:hAnsi="宋体" w:cs="宋体" w:eastAsia="宋体" w:hint="default"/>
          <w:spacing w:val="-2"/>
          <w:sz w:val="18"/>
          <w:szCs w:val="18"/>
        </w:rPr>
        <w:t>新设子公司：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月，公司新设全资子公司安徽科大国创数字科技有限公司，国创数字注册资本</w:t>
      </w:r>
      <w:r>
        <w:rPr>
          <w:rFonts w:ascii="Times New Roman" w:hAnsi="Times New Roman" w:cs="Times New Roman" w:eastAsia="Times New Roman" w:hint="default"/>
          <w:spacing w:val="-2"/>
          <w:sz w:val="18"/>
          <w:szCs w:val="18"/>
        </w:rPr>
        <w:t>5,000.00</w:t>
      </w:r>
      <w:r>
        <w:rPr>
          <w:rFonts w:ascii="宋体" w:hAnsi="宋体" w:cs="宋体" w:eastAsia="宋体" w:hint="default"/>
          <w:spacing w:val="-2"/>
          <w:sz w:val="18"/>
          <w:szCs w:val="18"/>
        </w:rPr>
        <w:t>万元。截止</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日，国创数字实缴资本</w:t>
      </w:r>
      <w:r>
        <w:rPr>
          <w:rFonts w:ascii="Times New Roman" w:hAnsi="Times New Roman" w:cs="Times New Roman" w:eastAsia="Times New Roman" w:hint="default"/>
          <w:spacing w:val="-2"/>
          <w:sz w:val="18"/>
          <w:szCs w:val="18"/>
        </w:rPr>
        <w:t>5,000.00</w:t>
      </w:r>
      <w:r>
        <w:rPr>
          <w:rFonts w:ascii="宋体" w:hAnsi="宋体" w:cs="宋体" w:eastAsia="宋体" w:hint="default"/>
          <w:spacing w:val="-2"/>
          <w:sz w:val="18"/>
          <w:szCs w:val="18"/>
        </w:rPr>
        <w:t>万元。国创数字自</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年成立之日起纳入合并范围。注销子公司：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注销了全资子公司国创恒星与国创智能。</w:t>
      </w:r>
    </w:p>
    <w:p>
      <w:pPr>
        <w:spacing w:line="240" w:lineRule="auto" w:before="10"/>
        <w:rPr>
          <w:rFonts w:ascii="宋体" w:hAnsi="宋体" w:cs="宋体" w:eastAsia="宋体" w:hint="default"/>
          <w:sz w:val="23"/>
          <w:szCs w:val="23"/>
        </w:rPr>
      </w:pPr>
    </w:p>
    <w:p>
      <w:pPr>
        <w:spacing w:line="487" w:lineRule="auto" w:before="0"/>
        <w:ind w:left="153"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568"/>
        <w:gridCol w:w="1275"/>
        <w:gridCol w:w="1260"/>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56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数据智能平台运营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慧通物流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数据智能平台运营</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智能软硬件产品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智能软硬件产品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国创数字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数据智能行业应用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before="29"/>
        <w:ind w:left="153" w:right="113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w:t>
      </w:r>
    </w:p>
    <w:p>
      <w:pPr>
        <w:spacing w:after="0"/>
        <w:jc w:val="left"/>
        <w:rPr>
          <w:rFonts w:ascii="宋体" w:hAnsi="宋体" w:cs="宋体" w:eastAsia="宋体" w:hint="default"/>
          <w:sz w:val="18"/>
          <w:szCs w:val="18"/>
        </w:rPr>
        <w:sectPr>
          <w:footerReference w:type="default" r:id="rId20"/>
          <w:pgSz w:w="11910" w:h="16840"/>
          <w:pgMar w:footer="979" w:header="887" w:top="1200" w:bottom="1160" w:left="980" w:right="0"/>
          <w:pgNumType w:start="201"/>
        </w:sectPr>
      </w:pPr>
    </w:p>
    <w:p>
      <w:pPr>
        <w:spacing w:line="240" w:lineRule="auto" w:before="12"/>
        <w:rPr>
          <w:rFonts w:ascii="宋体" w:hAnsi="宋体" w:cs="宋体" w:eastAsia="宋体" w:hint="default"/>
          <w:sz w:val="14"/>
          <w:szCs w:val="14"/>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4,946,303.33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9,663,387.04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3,127,798.88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9,903,569.52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-1,149,443.56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1,075,998.98</w:t>
            </w:r>
          </w:p>
        </w:tc>
      </w:tr>
    </w:tbl>
    <w:p>
      <w:pPr>
        <w:spacing w:line="360"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272,484,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704.68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4,239,91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276,724,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616.09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252,566,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148.51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252,566,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148.51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226,870,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925.35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4,412,69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231,283,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621.28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219,490,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912.02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219,490,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912.02</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国创软 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96,412,9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1,024,00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97,436,9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47,919,1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47,919,1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44,996,3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45,625,2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85.11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11,746,4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31.90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11,746,4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31.90</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中科国 创</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2,661,42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1,890,16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4,551,59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1,135,70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1,135,70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5,840,34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1,915,66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7,756,01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691,101.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691,101.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620,422,908.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12,365,758.3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12,365,758.3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22,479,537.0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249,656,325.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5,994,567.58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5,994,567.58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-23,910,112.9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164,532,151.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15,638,994.3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15,638,994.3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-6,546,380.81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37,681,283.6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3,878,853.21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3,878,853.21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-18,653,608.2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1,224,757.31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-3,649,027.18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-3,649,027.18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-3,070,076.44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124,271.85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-2,554,971.10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-2,554,971.10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-2,239,539.76</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11,715,652.59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10,255,812.13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1,854,811.93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1,670,681.75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1,854,811.93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1,670,681.75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、重要的共同经营</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0"/>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5"/>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6" w:firstLine="420"/>
        <w:jc w:val="both"/>
      </w:pPr>
      <w:r>
        <w:rPr>
          <w:spacing w:val="-2"/>
        </w:rPr>
        <w:t>本公司与金融工具相关的风险源于本公司在经营过程中所确认的各类金融资产和金融负债，包括：信</w:t>
      </w:r>
      <w:r>
        <w:rPr>
          <w:w w:val="100"/>
        </w:rPr>
        <w:t> </w:t>
      </w:r>
      <w:r>
        <w:rPr/>
        <w:t>用风险、流动性风险和市场风险。</w:t>
      </w:r>
    </w:p>
    <w:p>
      <w:pPr>
        <w:pStyle w:val="BodyText"/>
        <w:spacing w:line="273" w:lineRule="auto" w:before="127"/>
        <w:ind w:right="1126" w:firstLine="420"/>
        <w:jc w:val="both"/>
      </w:pPr>
      <w:r>
        <w:rPr>
          <w:spacing w:val="-2"/>
        </w:rPr>
        <w:t>本公司与金融工具相关的各类风险的管理目标和政策的制度由本公司管理层负责。经营管理层通过职</w:t>
      </w:r>
      <w:r>
        <w:rPr>
          <w:w w:val="100"/>
        </w:rPr>
        <w:t> </w:t>
      </w:r>
      <w:r>
        <w:rPr>
          <w:spacing w:val="2"/>
        </w:rPr>
        <w:t>能部门负责日常的风险管理。本公司内部审计部门对公司风险管理的政策和程序的执行情况进行日常监</w:t>
      </w:r>
      <w:r>
        <w:rPr>
          <w:spacing w:val="-30"/>
        </w:rPr>
        <w:t> </w:t>
      </w:r>
      <w:r>
        <w:rPr>
          <w:spacing w:val="-30"/>
        </w:rPr>
      </w:r>
      <w:r>
        <w:rPr/>
        <w:t>督，并且将有关发现及时报告给本公司审计委员会。</w:t>
      </w:r>
    </w:p>
    <w:p>
      <w:pPr>
        <w:pStyle w:val="BodyText"/>
        <w:spacing w:line="273" w:lineRule="auto" w:before="127"/>
        <w:ind w:right="1126" w:firstLine="420"/>
        <w:jc w:val="both"/>
      </w:pPr>
      <w:r>
        <w:rPr>
          <w:spacing w:val="-2"/>
        </w:rPr>
        <w:t>本公司风险管理的总体目标是在不过渡影响公司竞争力和应变力的情况下，制定尽可能降低各类与金</w:t>
      </w:r>
      <w:r>
        <w:rPr>
          <w:w w:val="100"/>
        </w:rPr>
        <w:t> </w:t>
      </w:r>
      <w:r>
        <w:rPr/>
        <w:t>融工具相关风险的风险管理政策。</w:t>
      </w:r>
    </w:p>
    <w:p>
      <w:pPr>
        <w:pStyle w:val="BodyText"/>
        <w:spacing w:line="357" w:lineRule="auto" w:before="127"/>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信用风险，是指金融工具的一方未能履行义务从而导致另一方发生财务损失的风险。本公司的信用风</w:t>
      </w:r>
    </w:p>
    <w:p>
      <w:pPr>
        <w:pStyle w:val="BodyText"/>
        <w:spacing w:line="209" w:lineRule="exact"/>
        <w:ind w:right="0"/>
        <w:jc w:val="both"/>
      </w:pPr>
      <w:r>
        <w:rPr/>
        <w:t>险主要产生于货币资金、应收票据、应收账款、其他应收款以及长期应收款等，这些金融资产的信用风险</w:t>
      </w:r>
    </w:p>
    <w:p>
      <w:pPr>
        <w:pStyle w:val="BodyText"/>
        <w:spacing w:line="240" w:lineRule="auto" w:before="37"/>
        <w:ind w:right="0"/>
        <w:jc w:val="both"/>
      </w:pPr>
      <w:r>
        <w:rPr/>
        <w:t>源自交易对手违约，最大的风险敞口等于这些工具的账面金额。</w:t>
      </w:r>
    </w:p>
    <w:p>
      <w:pPr>
        <w:pStyle w:val="BodyText"/>
        <w:spacing w:line="273" w:lineRule="auto" w:before="157"/>
        <w:ind w:right="1140" w:firstLine="420"/>
        <w:jc w:val="both"/>
      </w:pPr>
      <w:r>
        <w:rPr>
          <w:spacing w:val="2"/>
        </w:rPr>
        <w:t>本公司货币资金主要存放于商业银行等金融机构，本公司认为这些商业银行具备较高信誉和资产状</w:t>
      </w:r>
      <w:r>
        <w:rPr>
          <w:w w:val="100"/>
        </w:rPr>
        <w:t> </w:t>
      </w:r>
      <w:r>
        <w:rPr/>
        <w:t>况，存在较低的信用风险。</w:t>
      </w:r>
    </w:p>
    <w:p>
      <w:pPr>
        <w:pStyle w:val="BodyText"/>
        <w:spacing w:line="273" w:lineRule="auto" w:before="128"/>
        <w:ind w:right="1126" w:firstLine="420"/>
        <w:jc w:val="both"/>
      </w:pPr>
      <w:r>
        <w:rPr>
          <w:spacing w:val="-3"/>
        </w:rPr>
        <w:t>对于应收票据、应收账款、其他应收款及长期应收款，本公司设定相关政策以控制信用风险敞口。本</w:t>
      </w:r>
      <w:r>
        <w:rPr>
          <w:w w:val="100"/>
        </w:rPr>
        <w:t> </w:t>
      </w:r>
      <w:r>
        <w:rPr>
          <w:spacing w:val="-2"/>
        </w:rPr>
        <w:t>公司应收账款客户主要为国有大中型企业以及政府部门、事业单位，信用状况良好，信用风险低。本公司</w:t>
      </w:r>
      <w:r>
        <w:rPr>
          <w:spacing w:val="-44"/>
        </w:rPr>
        <w:t> </w:t>
      </w:r>
      <w:r>
        <w:rPr>
          <w:spacing w:val="-44"/>
        </w:rPr>
      </w:r>
      <w:r>
        <w:rPr>
          <w:spacing w:val="-2"/>
        </w:rPr>
        <w:t>基于对客户的财务状况、从第三方获取担保的可能性、信用记录及其他因素诸如目前市场状况等评估客户</w:t>
      </w:r>
      <w:r>
        <w:rPr>
          <w:spacing w:val="-43"/>
        </w:rPr>
        <w:t> </w:t>
      </w:r>
      <w:r>
        <w:rPr>
          <w:spacing w:val="-43"/>
        </w:rPr>
      </w:r>
      <w:r>
        <w:rPr>
          <w:spacing w:val="-2"/>
        </w:rPr>
        <w:t>的信用资质并设置相应信用期。本公司会定期对客户信用记录进行监控，对于信用记录不良的客户，本公</w:t>
      </w:r>
      <w:r>
        <w:rPr>
          <w:spacing w:val="-44"/>
        </w:rPr>
        <w:t> </w:t>
      </w:r>
      <w:r>
        <w:rPr>
          <w:spacing w:val="-44"/>
        </w:rPr>
      </w:r>
      <w:r>
        <w:rPr/>
        <w:t>司会采用书面催款、缩短信用期或取消信用期等方式，以确保本公司的整体信用风险在可控的范围内。</w:t>
      </w:r>
    </w:p>
    <w:p>
      <w:pPr>
        <w:pStyle w:val="BodyText"/>
        <w:spacing w:line="357" w:lineRule="auto" w:before="127"/>
        <w:ind w:left="573" w:right="1133"/>
        <w:jc w:val="left"/>
      </w:pPr>
      <w:r>
        <w:rPr/>
        <w:t>（</w:t>
      </w:r>
      <w:r>
        <w:rPr>
          <w:rFonts w:ascii="Times New Roman" w:hAnsi="Times New Roman" w:cs="Times New Roman" w:eastAsia="Times New Roman" w:hint="default"/>
        </w:rPr>
        <w:t>1</w:t>
      </w:r>
      <w:r>
        <w:rPr/>
        <w:t>）信用风险显著增加判断标准</w:t>
      </w:r>
      <w:r>
        <w:rPr>
          <w:w w:val="100"/>
        </w:rPr>
        <w:t> </w:t>
      </w:r>
      <w:r>
        <w:rPr>
          <w:spacing w:val="-2"/>
        </w:rPr>
        <w:t>本公司在每个资产负债表日评估相关金融工具的信用风险自初始确认后是否已显著增加。在确定信用</w:t>
      </w:r>
    </w:p>
    <w:p>
      <w:pPr>
        <w:pStyle w:val="BodyText"/>
        <w:spacing w:line="209" w:lineRule="exact"/>
        <w:ind w:right="0"/>
        <w:jc w:val="both"/>
      </w:pPr>
      <w:r>
        <w:rPr/>
        <w:t>风险自初始确认后是否显著增加时，本公司考虑在无须付出不必要的额外成本或努力即可获得合理且有依</w:t>
      </w:r>
    </w:p>
    <w:p>
      <w:pPr>
        <w:pStyle w:val="BodyText"/>
        <w:spacing w:line="273" w:lineRule="auto" w:before="37"/>
        <w:ind w:right="1126"/>
        <w:jc w:val="both"/>
      </w:pPr>
      <w:r>
        <w:rPr>
          <w:spacing w:val="-2"/>
        </w:rPr>
        <w:t>据的信息，包括基于本公司历史数据的定性和定量分析、外部信用风险评级以及前瞻性信息。本公司以单</w:t>
      </w:r>
      <w:r>
        <w:rPr>
          <w:spacing w:val="-45"/>
        </w:rPr>
        <w:t> </w:t>
      </w:r>
      <w:r>
        <w:rPr>
          <w:spacing w:val="-45"/>
        </w:rPr>
      </w:r>
      <w:r>
        <w:rPr>
          <w:spacing w:val="-2"/>
        </w:rPr>
        <w:t>项金融工具或者具有相似信用风险特征的金融工具组合为基础，通过比较金融工具在资产负债表日发生违</w:t>
      </w:r>
      <w:r>
        <w:rPr>
          <w:spacing w:val="-43"/>
        </w:rPr>
        <w:t> </w:t>
      </w:r>
      <w:r>
        <w:rPr>
          <w:spacing w:val="-43"/>
        </w:rPr>
      </w:r>
      <w:r>
        <w:rPr/>
        <w:t>约的风险与在初始确认日发生违约的风险，以确定金融工具预计存续期内发生违约风险的变化情况。</w:t>
      </w:r>
    </w:p>
    <w:p>
      <w:pPr>
        <w:pStyle w:val="BodyText"/>
        <w:spacing w:line="273" w:lineRule="auto" w:before="127"/>
        <w:ind w:right="1126" w:firstLine="420"/>
        <w:jc w:val="both"/>
      </w:pPr>
      <w:r>
        <w:rPr>
          <w:spacing w:val="-2"/>
        </w:rPr>
        <w:t>当触发以下一个或多个定量、定性标准时，本公司认为金融工具的信用风险已发生显著增加：定量标</w:t>
      </w:r>
      <w:r>
        <w:rPr>
          <w:w w:val="100"/>
        </w:rPr>
        <w:t> </w:t>
      </w:r>
      <w:r>
        <w:rPr>
          <w:spacing w:val="-2"/>
        </w:rPr>
        <w:t>准主要为报告日剩余存续期违约概率较初始确认时上升超过一定比例；定性标准为主要债务人经营或财务</w:t>
      </w:r>
      <w:r>
        <w:rPr>
          <w:spacing w:val="-43"/>
        </w:rPr>
        <w:t> </w:t>
      </w:r>
      <w:r>
        <w:rPr>
          <w:spacing w:val="-43"/>
        </w:rPr>
      </w:r>
      <w:r>
        <w:rPr/>
        <w:t>情况出现重大不利变化、预警客户清单等。</w:t>
      </w:r>
    </w:p>
    <w:p>
      <w:pPr>
        <w:pStyle w:val="BodyText"/>
        <w:spacing w:line="357" w:lineRule="auto" w:before="127"/>
        <w:ind w:left="573" w:right="1133"/>
        <w:jc w:val="left"/>
      </w:pPr>
      <w:r>
        <w:rPr/>
        <w:t>（</w:t>
      </w:r>
      <w:r>
        <w:rPr>
          <w:rFonts w:ascii="Times New Roman" w:hAnsi="Times New Roman" w:cs="Times New Roman" w:eastAsia="Times New Roman" w:hint="default"/>
        </w:rPr>
        <w:t>2</w:t>
      </w:r>
      <w:r>
        <w:rPr/>
        <w:t>）已发生信用减值资产的定义</w:t>
      </w:r>
      <w:r>
        <w:rPr>
          <w:w w:val="100"/>
        </w:rPr>
        <w:t> </w:t>
      </w:r>
      <w:r>
        <w:rPr>
          <w:spacing w:val="-2"/>
        </w:rPr>
        <w:t>为确定是否发生信用减值，本公司所采用的界定标准，与内部针对相关金融工具的信用风险管理目标</w:t>
      </w:r>
    </w:p>
    <w:p>
      <w:pPr>
        <w:pStyle w:val="BodyText"/>
        <w:spacing w:line="225" w:lineRule="exact"/>
        <w:ind w:right="0"/>
        <w:jc w:val="both"/>
      </w:pPr>
      <w:r>
        <w:rPr/>
        <w:t>保持一致</w:t>
      </w:r>
      <w:r>
        <w:rPr>
          <w:rFonts w:ascii="Times New Roman" w:hAnsi="Times New Roman" w:cs="Times New Roman" w:eastAsia="Times New Roman" w:hint="default"/>
        </w:rPr>
        <w:t>,</w:t>
      </w:r>
      <w:r>
        <w:rPr/>
        <w:t>同时考虑定量、定性指标。</w:t>
      </w:r>
    </w:p>
    <w:p>
      <w:pPr>
        <w:pStyle w:val="BodyText"/>
        <w:spacing w:line="273" w:lineRule="auto" w:before="141"/>
        <w:ind w:right="1104" w:firstLine="420"/>
        <w:jc w:val="both"/>
      </w:pPr>
      <w:r>
        <w:rPr>
          <w:spacing w:val="-2"/>
        </w:rPr>
        <w:t>本公司评估债务人是否发生信用减值时，主要考虑以下因素：发行方或债务人发生重大财务困难；债</w:t>
      </w:r>
      <w:r>
        <w:rPr>
          <w:w w:val="100"/>
        </w:rPr>
        <w:t> </w:t>
      </w:r>
      <w:r>
        <w:rPr>
          <w:spacing w:val="-2"/>
        </w:rPr>
        <w:t>务人违反合同，如偿付利息或本金违约或逾期等；债权人出于与债务人财务困难有关的经济或合同考虑，</w:t>
      </w:r>
    </w:p>
    <w:p>
      <w:pPr>
        <w:spacing w:after="0" w:line="273" w:lineRule="auto"/>
        <w:jc w:val="both"/>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73" w:lineRule="auto" w:before="36"/>
        <w:ind w:right="1126"/>
        <w:jc w:val="both"/>
      </w:pPr>
      <w:r>
        <w:rPr>
          <w:spacing w:val="-2"/>
        </w:rPr>
        <w:t>给予债务人在任何其他情况下都不会做出的让步；债务人很可能破产或进行其他财务重组；发行方或债务</w:t>
      </w:r>
      <w:r>
        <w:rPr>
          <w:spacing w:val="-42"/>
        </w:rPr>
        <w:t> </w:t>
      </w:r>
      <w:r>
        <w:rPr>
          <w:spacing w:val="-42"/>
        </w:rPr>
      </w:r>
      <w:r>
        <w:rPr>
          <w:spacing w:val="-2"/>
        </w:rPr>
        <w:t>人财务困难导致该金融资产的活跃市场消失；以大幅折扣购买或源生一项金融资产，该折扣反映了发生信</w:t>
      </w:r>
      <w:r>
        <w:rPr>
          <w:spacing w:val="-43"/>
        </w:rPr>
        <w:t> </w:t>
      </w:r>
      <w:r>
        <w:rPr>
          <w:spacing w:val="-43"/>
        </w:rPr>
      </w:r>
      <w:r>
        <w:rPr/>
        <w:t>用损失的事实。</w:t>
      </w:r>
    </w:p>
    <w:p>
      <w:pPr>
        <w:pStyle w:val="BodyText"/>
        <w:spacing w:line="240" w:lineRule="auto" w:before="127"/>
        <w:ind w:left="573" w:right="1133"/>
        <w:jc w:val="left"/>
      </w:pPr>
      <w:r>
        <w:rPr/>
        <w:t>金融资产发生信用减值，有可能是多个事件的共同作用所致，未必是可单独识别的事件所致。</w:t>
      </w:r>
    </w:p>
    <w:p>
      <w:pPr>
        <w:pStyle w:val="BodyText"/>
        <w:spacing w:line="430" w:lineRule="atLeast" w:before="18"/>
        <w:ind w:left="573" w:right="1115"/>
        <w:jc w:val="left"/>
      </w:pPr>
      <w:r>
        <w:rPr/>
        <w:t>（</w:t>
      </w:r>
      <w:r>
        <w:rPr>
          <w:rFonts w:ascii="Times New Roman" w:hAnsi="Times New Roman" w:cs="Times New Roman" w:eastAsia="Times New Roman" w:hint="default"/>
        </w:rPr>
        <w:t>3</w:t>
      </w:r>
      <w:r>
        <w:rPr/>
        <w:t>）预期信用损失计量的参数</w:t>
      </w:r>
      <w:r>
        <w:rPr>
          <w:w w:val="100"/>
        </w:rPr>
        <w:t> </w:t>
      </w:r>
      <w:r>
        <w:rPr/>
        <w:t>根据信用风险是否发生显著增加以及是否已发生信用减值，本公司对不同的资产分别以</w:t>
      </w:r>
      <w:r>
        <w:rPr>
          <w:rFonts w:ascii="Times New Roman" w:hAnsi="Times New Roman" w:cs="Times New Roman" w:eastAsia="Times New Roman" w:hint="default"/>
        </w:rPr>
        <w:t>12  </w:t>
      </w:r>
      <w:r>
        <w:rPr>
          <w:rFonts w:ascii="Times New Roman" w:hAnsi="Times New Roman" w:cs="Times New Roman" w:eastAsia="Times New Roman" w:hint="default"/>
          <w:spacing w:val="30"/>
        </w:rPr>
        <w:t> </w:t>
      </w:r>
      <w:r>
        <w:rPr/>
        <w:t>个月或整</w:t>
      </w:r>
    </w:p>
    <w:p>
      <w:pPr>
        <w:pStyle w:val="BodyText"/>
        <w:spacing w:line="264" w:lineRule="auto" w:before="21"/>
        <w:ind w:right="1126"/>
        <w:jc w:val="both"/>
      </w:pPr>
      <w:r>
        <w:rPr>
          <w:spacing w:val="-2"/>
        </w:rPr>
        <w:t>个存续期的预期信用损失计量减值准备。预期信用损失计量的关键参数包括违约概率、违约损失率和违约</w:t>
      </w:r>
      <w:r>
        <w:rPr>
          <w:spacing w:val="-42"/>
        </w:rPr>
        <w:t> </w:t>
      </w:r>
      <w:r>
        <w:rPr>
          <w:spacing w:val="-42"/>
        </w:rPr>
      </w:r>
      <w:r>
        <w:rPr/>
        <w:t>风险敞口。本公司考虑历史统计数据</w:t>
      </w:r>
      <w:r>
        <w:rPr>
          <w:rFonts w:ascii="Times New Roman" w:hAnsi="Times New Roman" w:cs="Times New Roman" w:eastAsia="Times New Roman" w:hint="default"/>
        </w:rPr>
        <w:t>(</w:t>
      </w:r>
      <w:r>
        <w:rPr/>
        <w:t>如交易对手评级、担保方式及抵质押物类别、还款方式等</w:t>
      </w:r>
      <w:r>
        <w:rPr>
          <w:rFonts w:ascii="Times New Roman" w:hAnsi="Times New Roman" w:cs="Times New Roman" w:eastAsia="Times New Roman" w:hint="default"/>
        </w:rPr>
        <w:t>)</w:t>
      </w:r>
      <w:r>
        <w:rPr/>
        <w:t>的定量分</w:t>
      </w:r>
      <w:r>
        <w:rPr>
          <w:spacing w:val="-59"/>
        </w:rPr>
        <w:t> </w:t>
      </w:r>
      <w:r>
        <w:rPr/>
        <w:t>析及前瞻性信息，建立违约概率、违约损失率及违约风险敞口模型。</w:t>
      </w:r>
    </w:p>
    <w:p>
      <w:pPr>
        <w:pStyle w:val="BodyText"/>
        <w:spacing w:line="240" w:lineRule="auto" w:before="136"/>
        <w:ind w:left="573" w:right="1133"/>
        <w:jc w:val="left"/>
      </w:pPr>
      <w:r>
        <w:rPr/>
        <w:t>相关定义如下：</w:t>
      </w:r>
    </w:p>
    <w:p>
      <w:pPr>
        <w:pStyle w:val="BodyText"/>
        <w:spacing w:line="357" w:lineRule="auto" w:before="157"/>
        <w:ind w:left="573" w:right="1133"/>
        <w:jc w:val="left"/>
      </w:pPr>
      <w:r>
        <w:rPr/>
        <w:t>违约概率是指债务人在未来</w:t>
      </w:r>
      <w:r>
        <w:rPr>
          <w:spacing w:val="-22"/>
        </w:rPr>
        <w:t> </w:t>
      </w:r>
      <w:r>
        <w:rPr>
          <w:rFonts w:ascii="Times New Roman" w:hAnsi="Times New Roman" w:cs="Times New Roman" w:eastAsia="Times New Roman" w:hint="default"/>
        </w:rPr>
        <w:t>12</w:t>
      </w:r>
      <w:r>
        <w:rPr/>
        <w:t>个月或在整个剩余存续期，无法履行其偿付义务的可能性。</w:t>
      </w:r>
      <w:r>
        <w:rPr>
          <w:w w:val="100"/>
        </w:rPr>
        <w:t> </w:t>
      </w:r>
      <w:r>
        <w:rPr>
          <w:spacing w:val="-2"/>
        </w:rPr>
        <w:t>违约损失率是指本公司对违约风险暴露发生损失程度作出的预期。根据交易对手的类型、追索的方式</w:t>
      </w:r>
    </w:p>
    <w:p>
      <w:pPr>
        <w:pStyle w:val="BodyText"/>
        <w:spacing w:line="209" w:lineRule="exact"/>
        <w:ind w:right="0"/>
        <w:jc w:val="both"/>
      </w:pPr>
      <w:r>
        <w:rPr>
          <w:spacing w:val="-5"/>
        </w:rPr>
        <w:t>和优先级，以及担保品的不同，违约损失率也有所不同。违约损失率为违约发生时风险敞口损失的百分比，</w:t>
      </w:r>
    </w:p>
    <w:p>
      <w:pPr>
        <w:pStyle w:val="BodyText"/>
        <w:spacing w:line="240" w:lineRule="auto" w:before="37"/>
        <w:ind w:right="0"/>
        <w:jc w:val="both"/>
      </w:pPr>
      <w:r>
        <w:rPr/>
        <w:t>以未来</w:t>
      </w:r>
      <w:r>
        <w:rPr>
          <w:rFonts w:ascii="Times New Roman" w:hAnsi="Times New Roman" w:cs="Times New Roman" w:eastAsia="Times New Roman" w:hint="default"/>
        </w:rPr>
        <w:t>12</w:t>
      </w:r>
      <w:r>
        <w:rPr/>
        <w:t>个月内或整个存续期为基准进行计算；</w:t>
      </w:r>
    </w:p>
    <w:p>
      <w:pPr>
        <w:pStyle w:val="BodyText"/>
        <w:spacing w:line="264" w:lineRule="auto" w:before="141"/>
        <w:ind w:right="0" w:firstLine="420"/>
        <w:jc w:val="left"/>
      </w:pPr>
      <w:r>
        <w:rPr>
          <w:spacing w:val="-4"/>
        </w:rPr>
        <w:t>违约风险敞口是指，在未来 </w:t>
      </w: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spacing w:val="-4"/>
        </w:rPr>
        <w:t>个月或在整个剩余存续期中，在违约发生时，本公司应被偿付的金额。</w:t>
      </w:r>
      <w:r>
        <w:rPr>
          <w:w w:val="100"/>
        </w:rPr>
        <w:t> </w:t>
      </w:r>
      <w:r>
        <w:rPr>
          <w:spacing w:val="-2"/>
        </w:rPr>
        <w:t>前瞻性信息信用风险显著增加的评估及预期信用损失的计算均涉及前瞻性信息。本公司通过进行历史数据</w:t>
      </w:r>
      <w:r>
        <w:rPr>
          <w:spacing w:val="-43"/>
        </w:rPr>
        <w:t> </w:t>
      </w:r>
      <w:r>
        <w:rPr>
          <w:spacing w:val="-43"/>
        </w:rPr>
      </w:r>
      <w:r>
        <w:rPr/>
        <w:t>分析，识别出影响各业务类型信用风险及预期信用损失的关键经济指标。</w:t>
      </w:r>
    </w:p>
    <w:p>
      <w:pPr>
        <w:pStyle w:val="BodyText"/>
        <w:spacing w:line="273" w:lineRule="auto" w:before="136"/>
        <w:ind w:right="1133" w:firstLine="420"/>
        <w:jc w:val="left"/>
      </w:pPr>
      <w:r>
        <w:rPr>
          <w:spacing w:val="-2"/>
        </w:rPr>
        <w:t>本公司所承受的最大信用风险敞口为资产负债表中每项金融资产的账面金额。本公司没有提供任何其</w:t>
      </w:r>
      <w:r>
        <w:rPr>
          <w:w w:val="100"/>
        </w:rPr>
        <w:t> </w:t>
      </w:r>
      <w:r>
        <w:rPr/>
        <w:t>他可能令本公司承受信用风险的担保。</w:t>
      </w:r>
    </w:p>
    <w:p>
      <w:pPr>
        <w:pStyle w:val="BodyText"/>
        <w:spacing w:line="256" w:lineRule="auto" w:before="127"/>
        <w:ind w:right="1133" w:firstLine="420"/>
        <w:jc w:val="left"/>
      </w:pPr>
      <w:r>
        <w:rPr>
          <w:spacing w:val="-3"/>
        </w:rPr>
        <w:t>本公司应收账款中，前五大客户的应收账款占本公司应收账款总额的</w:t>
      </w:r>
      <w:r>
        <w:rPr>
          <w:rFonts w:ascii="Times New Roman" w:hAnsi="Times New Roman" w:cs="Times New Roman" w:eastAsia="Times New Roman" w:hint="default"/>
          <w:spacing w:val="-3"/>
        </w:rPr>
        <w:t>20.96%</w:t>
      </w:r>
      <w:r>
        <w:rPr>
          <w:spacing w:val="-3"/>
        </w:rPr>
        <w:t>（上期：</w:t>
      </w:r>
      <w:r>
        <w:rPr>
          <w:rFonts w:ascii="Times New Roman" w:hAnsi="Times New Roman" w:cs="Times New Roman" w:eastAsia="Times New Roman" w:hint="default"/>
          <w:spacing w:val="-3"/>
        </w:rPr>
        <w:t>19.45%</w:t>
      </w:r>
      <w:r>
        <w:rPr>
          <w:spacing w:val="-3"/>
        </w:rPr>
        <w:t>）；本公</w:t>
      </w:r>
      <w:r>
        <w:rPr>
          <w:w w:val="100"/>
        </w:rPr>
        <w:t> </w:t>
      </w:r>
      <w:r>
        <w:rPr>
          <w:spacing w:val="-6"/>
        </w:rPr>
        <w:t>司其他应收款中，欠款金额前五大公司的其他应收款占本公司其他应收款总额的</w:t>
      </w:r>
      <w:r>
        <w:rPr>
          <w:rFonts w:ascii="Times New Roman" w:hAnsi="Times New Roman" w:cs="Times New Roman" w:eastAsia="Times New Roman" w:hint="default"/>
          <w:spacing w:val="-6"/>
        </w:rPr>
        <w:t>32.07%</w:t>
      </w:r>
      <w:r>
        <w:rPr>
          <w:spacing w:val="-6"/>
        </w:rPr>
        <w:t>（上期：</w:t>
      </w:r>
      <w:r>
        <w:rPr>
          <w:rFonts w:ascii="Times New Roman" w:hAnsi="Times New Roman" w:cs="Times New Roman" w:eastAsia="Times New Roman" w:hint="default"/>
          <w:spacing w:val="-6"/>
        </w:rPr>
        <w:t>24.60%</w:t>
      </w:r>
      <w:r>
        <w:rPr>
          <w:spacing w:val="-6"/>
        </w:rPr>
        <w:t>）。</w:t>
      </w:r>
      <w:r>
        <w:rPr/>
      </w:r>
    </w:p>
    <w:p>
      <w:pPr>
        <w:pStyle w:val="BodyText"/>
        <w:spacing w:line="357" w:lineRule="auto" w:before="125"/>
        <w:ind w:left="573" w:right="1133" w:firstLine="7"/>
        <w:jc w:val="left"/>
      </w:pP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100"/>
        </w:rPr>
        <w:t> </w:t>
      </w:r>
      <w:r>
        <w:rPr>
          <w:spacing w:val="-2"/>
        </w:rPr>
        <w:t>流动性风险，是指企业在履行以交付现金或其他金融资产的方式结算的义务时发生资金短缺的风险。</w:t>
      </w:r>
    </w:p>
    <w:p>
      <w:pPr>
        <w:pStyle w:val="BodyText"/>
        <w:spacing w:line="209" w:lineRule="exact"/>
        <w:ind w:right="0"/>
        <w:jc w:val="both"/>
      </w:pPr>
      <w:r>
        <w:rPr/>
        <w:t>本公司统筹负责公司内各子公司的现金管理工作，包括现金盈余的短期投资和筹措贷款以应付预计现金需</w:t>
      </w:r>
    </w:p>
    <w:p>
      <w:pPr>
        <w:pStyle w:val="BodyText"/>
        <w:spacing w:line="273" w:lineRule="auto" w:before="37"/>
        <w:ind w:right="1126"/>
        <w:jc w:val="both"/>
      </w:pPr>
      <w:r>
        <w:rPr>
          <w:spacing w:val="-2"/>
        </w:rPr>
        <w:t>求。本公司的政策是定期监控短期和长期的流动资金需求，以及是否符合借款协议的规定，以确保维持充</w:t>
      </w:r>
      <w:r>
        <w:rPr>
          <w:spacing w:val="-43"/>
        </w:rPr>
        <w:t> </w:t>
      </w:r>
      <w:r>
        <w:rPr>
          <w:spacing w:val="-43"/>
        </w:rPr>
      </w:r>
      <w:r>
        <w:rPr/>
        <w:t>裕的现金储备和可供随时变现的有价证券。</w:t>
      </w:r>
    </w:p>
    <w:p>
      <w:pPr>
        <w:pStyle w:val="BodyText"/>
        <w:spacing w:line="240" w:lineRule="auto" w:before="127"/>
        <w:ind w:left="57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日，本公司金融负债到期期限如下：</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837"/>
        <w:gridCol w:w="2276"/>
        <w:gridCol w:w="1556"/>
        <w:gridCol w:w="1553"/>
        <w:gridCol w:w="1438"/>
      </w:tblGrid>
      <w:tr>
        <w:trPr>
          <w:trHeight w:val="348" w:hRule="exact"/>
        </w:trPr>
        <w:tc>
          <w:tcPr>
            <w:tcW w:w="2837" w:type="dxa"/>
            <w:vMerge w:val="restart"/>
            <w:tcBorders>
              <w:top w:val="single" w:sz="6" w:space="0" w:color="000000"/>
              <w:left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6822" w:type="dxa"/>
            <w:gridSpan w:val="4"/>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6" w:hRule="exact"/>
        </w:trPr>
        <w:tc>
          <w:tcPr>
            <w:tcW w:w="2837" w:type="dxa"/>
            <w:vMerge/>
            <w:tcBorders>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319,059,822.55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61,900,014.88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207,459,363.43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250,605,699.56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60"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3"/>
                <w:sz w:val="21"/>
                <w:szCs w:val="21"/>
              </w:rPr>
              <w:t>长期借款（含一年内到期的非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流动负债）</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5,635,129.58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80,200,000.00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18,500,000.00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358,801.53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2,104,729.73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2,104,729.73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4,209,459.46</w:t>
            </w:r>
          </w:p>
        </w:tc>
      </w:tr>
      <w:tr>
        <w:trPr>
          <w:trHeight w:val="34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845,018,831.53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82,304,729.73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20,604,729.73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4,209,459.46</w:t>
            </w:r>
          </w:p>
        </w:tc>
      </w:tr>
    </w:tbl>
    <w:p>
      <w:pPr>
        <w:spacing w:line="240" w:lineRule="auto" w:before="6"/>
        <w:rPr>
          <w:rFonts w:ascii="宋体" w:hAnsi="宋体" w:cs="宋体" w:eastAsia="宋体" w:hint="default"/>
          <w:sz w:val="5"/>
          <w:szCs w:val="5"/>
        </w:rPr>
      </w:pPr>
    </w:p>
    <w:p>
      <w:pPr>
        <w:pStyle w:val="BodyText"/>
        <w:spacing w:line="240" w:lineRule="auto" w:before="36"/>
        <w:ind w:left="633" w:right="1133"/>
        <w:jc w:val="left"/>
      </w:pPr>
      <w:r>
        <w:rPr/>
        <w:t>（续上表）</w:t>
      </w:r>
    </w:p>
    <w:p>
      <w:pPr>
        <w:spacing w:after="0" w:line="240" w:lineRule="auto"/>
        <w:jc w:val="left"/>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32"/>
        <w:gridCol w:w="1930"/>
        <w:gridCol w:w="1932"/>
        <w:gridCol w:w="1933"/>
        <w:gridCol w:w="1932"/>
      </w:tblGrid>
      <w:tr>
        <w:trPr>
          <w:trHeight w:val="348" w:hRule="exact"/>
        </w:trPr>
        <w:tc>
          <w:tcPr>
            <w:tcW w:w="1932" w:type="dxa"/>
            <w:vMerge w:val="restart"/>
            <w:tcBorders>
              <w:top w:val="single" w:sz="6" w:space="0" w:color="000000"/>
              <w:left w:val="single" w:sz="6" w:space="0" w:color="000000"/>
              <w:right w:val="single" w:sz="6" w:space="0" w:color="000000"/>
            </w:tcBorders>
          </w:tcPr>
          <w:p>
            <w:pPr>
              <w:pStyle w:val="TableParagraph"/>
              <w:spacing w:line="272" w:lineRule="exact"/>
              <w:ind w:left="54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7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6" w:hRule="exact"/>
        </w:trPr>
        <w:tc>
          <w:tcPr>
            <w:tcW w:w="1932" w:type="dxa"/>
            <w:vMerge/>
            <w:tcBorders>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8"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189,800,000.00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77,479,122.51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171,260,417.26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191,900.00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216,068,638.20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4,500,000.00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2,104,729.73</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2,104,729.73</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2,104,729.73</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2,104,729.73</w:t>
            </w:r>
          </w:p>
        </w:tc>
      </w:tr>
      <w:tr>
        <w:trPr>
          <w:trHeight w:val="348"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656,904,807.70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6,604,729.73</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2,104,729.73</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2,104,729.73</w:t>
            </w:r>
          </w:p>
        </w:tc>
      </w:tr>
    </w:tbl>
    <w:p>
      <w:pPr>
        <w:spacing w:line="240" w:lineRule="auto" w:before="6"/>
        <w:rPr>
          <w:rFonts w:ascii="宋体" w:hAnsi="宋体" w:cs="宋体" w:eastAsia="宋体" w:hint="default"/>
          <w:sz w:val="5"/>
          <w:szCs w:val="5"/>
        </w:rPr>
      </w:pPr>
    </w:p>
    <w:p>
      <w:pPr>
        <w:pStyle w:val="Heading3"/>
        <w:spacing w:line="240" w:lineRule="auto" w:before="36"/>
        <w:ind w:left="580" w:right="1133"/>
        <w:jc w:val="left"/>
        <w:rPr>
          <w:b w:val="0"/>
          <w:bCs w:val="0"/>
        </w:rPr>
      </w:pPr>
      <w:r>
        <w:rPr>
          <w:rFonts w:ascii="Times New Roman" w:hAnsi="Times New Roman" w:cs="Times New Roman" w:eastAsia="Times New Roman" w:hint="default"/>
        </w:rPr>
        <w:t>3</w:t>
      </w:r>
      <w:r>
        <w:rPr/>
        <w:t>、市场风险</w:t>
      </w:r>
      <w:r>
        <w:rPr>
          <w:b w:val="0"/>
          <w:bCs w:val="0"/>
        </w:rPr>
      </w:r>
    </w:p>
    <w:p>
      <w:pPr>
        <w:pStyle w:val="BodyText"/>
        <w:spacing w:line="357" w:lineRule="auto" w:before="141"/>
        <w:ind w:left="573" w:right="1133"/>
        <w:jc w:val="left"/>
      </w:pPr>
      <w:r>
        <w:rPr/>
        <w:t>（</w:t>
      </w:r>
      <w:r>
        <w:rPr>
          <w:rFonts w:ascii="Times New Roman" w:hAnsi="Times New Roman" w:cs="Times New Roman" w:eastAsia="Times New Roman" w:hint="default"/>
        </w:rPr>
        <w:t>1</w:t>
      </w:r>
      <w:r>
        <w:rPr/>
        <w:t>）外汇风险</w:t>
      </w:r>
      <w:r>
        <w:rPr>
          <w:w w:val="100"/>
        </w:rPr>
        <w:t> </w:t>
      </w:r>
      <w:r>
        <w:rPr>
          <w:spacing w:val="-2"/>
        </w:rPr>
        <w:t>本公司的汇率风险主要来自本公司及下属子公司持有的不以其记账本位币计价的外币资产和负债。本</w:t>
      </w:r>
    </w:p>
    <w:p>
      <w:pPr>
        <w:pStyle w:val="BodyText"/>
        <w:spacing w:line="209" w:lineRule="exact"/>
        <w:ind w:right="0"/>
        <w:jc w:val="left"/>
      </w:pPr>
      <w:r>
        <w:rPr/>
        <w:t>公司承受汇率风险主要与以日元结算的国际软件业务收入以及日元存款有关，除本公司设立在日本的下属</w:t>
      </w:r>
    </w:p>
    <w:p>
      <w:pPr>
        <w:pStyle w:val="BodyText"/>
        <w:spacing w:line="240" w:lineRule="auto" w:before="37"/>
        <w:ind w:right="1133"/>
        <w:jc w:val="left"/>
      </w:pPr>
      <w:r>
        <w:rPr/>
        <w:t>子公司使用日元、美元计价结算外，本公司的其他主要业务以人民币计价结算。</w:t>
      </w:r>
    </w:p>
    <w:p>
      <w:pPr>
        <w:pStyle w:val="BodyText"/>
        <w:spacing w:line="256" w:lineRule="auto" w:before="157"/>
        <w:ind w:right="1133" w:firstLine="420"/>
        <w:jc w:val="left"/>
      </w:pPr>
      <w:r>
        <w:rPr>
          <w:spacing w:val="-2"/>
        </w:rPr>
        <w:t>①截止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日，本公司各外币资产负债项目的主要外汇风险敞口如下（出于列报考虑，风险</w:t>
      </w:r>
      <w:r>
        <w:rPr>
          <w:w w:val="100"/>
        </w:rPr>
        <w:t> </w:t>
      </w:r>
      <w:r>
        <w:rPr/>
        <w:t>敞口金额以人民币列示，以资产负债表日即期汇率折算）：</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99"/>
        <w:gridCol w:w="2566"/>
        <w:gridCol w:w="1378"/>
        <w:gridCol w:w="2616"/>
      </w:tblGrid>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tabs>
                <w:tab w:pos="553" w:val="left" w:leader="none"/>
              </w:tabs>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45"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61"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63" w:right="0"/>
              <w:jc w:val="left"/>
              <w:rPr>
                <w:rFonts w:ascii="宋体" w:hAnsi="宋体" w:cs="宋体" w:eastAsia="宋体" w:hint="default"/>
                <w:sz w:val="21"/>
                <w:szCs w:val="21"/>
              </w:rPr>
            </w:pPr>
            <w:r>
              <w:rPr>
                <w:rFonts w:ascii="宋体" w:hAnsi="宋体" w:cs="宋体" w:eastAsia="宋体" w:hint="default"/>
                <w:sz w:val="21"/>
                <w:szCs w:val="21"/>
              </w:rPr>
              <w:t>折算人民币余额</w:t>
            </w:r>
          </w:p>
        </w:tc>
      </w:tr>
      <w:tr>
        <w:trPr>
          <w:trHeight w:val="346"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66"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13,378.61</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6.9762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93,331.86</w:t>
            </w:r>
          </w:p>
        </w:tc>
      </w:tr>
      <w:tr>
        <w:trPr>
          <w:trHeight w:val="346"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3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161,602,122.00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0.064086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10,356,433.59</w:t>
            </w:r>
          </w:p>
        </w:tc>
      </w:tr>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66"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117,336,940.00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0.064086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7,519,655.14</w:t>
            </w:r>
          </w:p>
        </w:tc>
      </w:tr>
      <w:tr>
        <w:trPr>
          <w:trHeight w:val="346"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66"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35,318,365.00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0.064086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2,263,412.74</w:t>
            </w:r>
          </w:p>
        </w:tc>
      </w:tr>
      <w:tr>
        <w:trPr>
          <w:trHeight w:val="346"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66"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16,732,264.96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0.064086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1,072,303.93</w:t>
            </w:r>
          </w:p>
        </w:tc>
      </w:tr>
      <w:tr>
        <w:trPr>
          <w:trHeight w:val="346"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66"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2,025,768.00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0.064086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129,823.37</w:t>
            </w:r>
          </w:p>
        </w:tc>
      </w:tr>
    </w:tbl>
    <w:p>
      <w:pPr>
        <w:spacing w:line="240" w:lineRule="auto" w:before="6"/>
        <w:rPr>
          <w:rFonts w:ascii="宋体" w:hAnsi="宋体" w:cs="宋体" w:eastAsia="宋体" w:hint="default"/>
          <w:sz w:val="5"/>
          <w:szCs w:val="5"/>
        </w:rPr>
      </w:pPr>
    </w:p>
    <w:p>
      <w:pPr>
        <w:pStyle w:val="BodyText"/>
        <w:spacing w:line="240" w:lineRule="auto" w:before="36"/>
        <w:ind w:left="633" w:right="1133"/>
        <w:jc w:val="left"/>
      </w:pPr>
      <w:r>
        <w:rPr/>
        <w:t>（续上表）</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29"/>
        <w:gridCol w:w="3246"/>
        <w:gridCol w:w="1669"/>
        <w:gridCol w:w="2616"/>
      </w:tblGrid>
      <w:tr>
        <w:trPr>
          <w:trHeight w:val="34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tabs>
                <w:tab w:pos="1228" w:val="left" w:leader="none"/>
              </w:tabs>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日外币余额</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折算人民币余额</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46"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13,400.85</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6.8632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91,972.71</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3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194,324,255.11</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0.061887</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12,026,145.18</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6"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345,107,798.15</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0.061887</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21,357,686.30</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46"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213,306,250.00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0.061887</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13,200,883.89</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46"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129"/>
        <w:gridCol w:w="3246"/>
        <w:gridCol w:w="1669"/>
        <w:gridCol w:w="2616"/>
      </w:tblGrid>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34,218,089.12</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0.061887</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2,117,654.88</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46"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1,344,964.00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0.061887</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83,235.79</w:t>
            </w:r>
          </w:p>
        </w:tc>
      </w:tr>
    </w:tbl>
    <w:p>
      <w:pPr>
        <w:spacing w:line="240" w:lineRule="auto" w:before="6"/>
        <w:rPr>
          <w:rFonts w:ascii="宋体" w:hAnsi="宋体" w:cs="宋体" w:eastAsia="宋体" w:hint="default"/>
          <w:sz w:val="5"/>
          <w:szCs w:val="5"/>
        </w:rPr>
      </w:pPr>
    </w:p>
    <w:p>
      <w:pPr>
        <w:pStyle w:val="BodyText"/>
        <w:spacing w:line="273" w:lineRule="auto" w:before="36"/>
        <w:ind w:right="1126" w:firstLine="420"/>
        <w:jc w:val="both"/>
      </w:pPr>
      <w:r>
        <w:rPr>
          <w:spacing w:val="-2"/>
        </w:rPr>
        <w:t>本公司密切关注汇率变动对本公司汇率风险的影响。本公司目前并未采取任何措施规避汇率风险。但</w:t>
      </w:r>
      <w:r>
        <w:rPr>
          <w:w w:val="100"/>
        </w:rPr>
        <w:t> </w:t>
      </w:r>
      <w:r>
        <w:rPr/>
        <w:t>管理层负责监控汇率风险，并将于需要时考虑对冲重大汇率风险。</w:t>
      </w:r>
    </w:p>
    <w:p>
      <w:pPr>
        <w:pStyle w:val="BodyText"/>
        <w:spacing w:line="432" w:lineRule="exact" w:before="27"/>
        <w:ind w:left="573" w:right="1133"/>
        <w:jc w:val="left"/>
      </w:pPr>
      <w:r>
        <w:rPr/>
        <w:t>②敏感性分析</w:t>
      </w:r>
      <w:r>
        <w:rPr>
          <w:w w:val="100"/>
        </w:rPr>
        <w:t> </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日，在其他风险变量不变的情况下，如果当日人民币对于美元升值或贬值</w:t>
      </w:r>
      <w:r>
        <w:rPr>
          <w:rFonts w:ascii="Times New Roman" w:hAnsi="Times New Roman" w:cs="Times New Roman" w:eastAsia="Times New Roman" w:hint="default"/>
          <w:spacing w:val="-1"/>
        </w:rPr>
        <w:t>10%</w:t>
      </w:r>
      <w:r>
        <w:rPr>
          <w:spacing w:val="-1"/>
        </w:rPr>
        <w:t>，那么</w:t>
      </w:r>
    </w:p>
    <w:p>
      <w:pPr>
        <w:pStyle w:val="BodyText"/>
        <w:spacing w:line="271" w:lineRule="exact"/>
        <w:ind w:right="1133"/>
        <w:jc w:val="left"/>
      </w:pPr>
      <w:r>
        <w:rPr/>
        <w:t>本公司当年的净利润将增加或减少</w:t>
      </w:r>
      <w:r>
        <w:rPr>
          <w:rFonts w:ascii="Times New Roman" w:hAnsi="Times New Roman" w:cs="Times New Roman" w:eastAsia="Times New Roman" w:hint="default"/>
        </w:rPr>
        <w:t>0.09</w:t>
      </w:r>
      <w:r>
        <w:rPr/>
        <w:t>万元；如果当日人民币对于日元升值或贬值</w:t>
      </w:r>
      <w:r>
        <w:rPr>
          <w:rFonts w:ascii="Times New Roman" w:hAnsi="Times New Roman" w:cs="Times New Roman" w:eastAsia="Times New Roman" w:hint="default"/>
        </w:rPr>
        <w:t>10%</w:t>
      </w:r>
      <w:r>
        <w:rPr/>
        <w:t>，那么本公司当年</w:t>
      </w:r>
    </w:p>
    <w:p>
      <w:pPr>
        <w:pStyle w:val="BodyText"/>
        <w:spacing w:line="240" w:lineRule="auto" w:before="21"/>
        <w:ind w:right="1133"/>
        <w:jc w:val="left"/>
      </w:pPr>
      <w:r>
        <w:rPr/>
        <w:t>的净利润将增加或减少</w:t>
      </w:r>
      <w:r>
        <w:rPr>
          <w:rFonts w:ascii="Times New Roman" w:hAnsi="Times New Roman" w:cs="Times New Roman" w:eastAsia="Times New Roman" w:hint="default"/>
        </w:rPr>
        <w:t>21.34</w:t>
      </w:r>
      <w:r>
        <w:rPr/>
        <w:t>万元。</w:t>
      </w:r>
    </w:p>
    <w:p>
      <w:pPr>
        <w:pStyle w:val="BodyText"/>
        <w:spacing w:line="357" w:lineRule="auto" w:before="141"/>
        <w:ind w:left="573" w:right="1133"/>
        <w:jc w:val="left"/>
      </w:pPr>
      <w:r>
        <w:rPr/>
        <w:t>（</w:t>
      </w:r>
      <w:r>
        <w:rPr>
          <w:rFonts w:ascii="Times New Roman" w:hAnsi="Times New Roman" w:cs="Times New Roman" w:eastAsia="Times New Roman" w:hint="default"/>
        </w:rPr>
        <w:t>2</w:t>
      </w:r>
      <w:r>
        <w:rPr/>
        <w:t>）利率风险</w:t>
      </w:r>
      <w:r>
        <w:rPr>
          <w:w w:val="100"/>
        </w:rPr>
        <w:t> </w:t>
      </w:r>
      <w:r>
        <w:rPr>
          <w:spacing w:val="-2"/>
        </w:rPr>
        <w:t>本公司的利率风险主要产生于长期银行借款、长期应付款等长期带息债务。浮动利率的金融负债使本</w:t>
      </w:r>
    </w:p>
    <w:p>
      <w:pPr>
        <w:pStyle w:val="BodyText"/>
        <w:spacing w:line="209" w:lineRule="exact"/>
        <w:ind w:right="0"/>
        <w:jc w:val="left"/>
      </w:pPr>
      <w:r>
        <w:rPr/>
        <w:t>公司面临现金流量利率风险，固定利率的金融负债使本公司面临公允价值利率风险。本公司根据当时的市</w:t>
      </w:r>
    </w:p>
    <w:p>
      <w:pPr>
        <w:pStyle w:val="BodyText"/>
        <w:spacing w:line="240" w:lineRule="auto" w:before="37"/>
        <w:ind w:right="1133"/>
        <w:jc w:val="left"/>
      </w:pPr>
      <w:r>
        <w:rPr/>
        <w:t>场环境来决定固定利率及浮动利率合同的相对比例。</w:t>
      </w:r>
    </w:p>
    <w:p>
      <w:pPr>
        <w:pStyle w:val="BodyText"/>
        <w:spacing w:line="273" w:lineRule="auto" w:before="157"/>
        <w:ind w:right="1126" w:firstLine="420"/>
        <w:jc w:val="both"/>
      </w:pPr>
      <w:r>
        <w:rPr>
          <w:spacing w:val="-2"/>
        </w:rPr>
        <w:t>本公司总部财务部门持续监控集团利率水平。利率上升会增加新增带息债务的成本以及本公司尚未付</w:t>
      </w:r>
      <w:r>
        <w:rPr>
          <w:w w:val="100"/>
        </w:rPr>
        <w:t> </w:t>
      </w:r>
      <w:r>
        <w:rPr>
          <w:spacing w:val="-2"/>
        </w:rPr>
        <w:t>清的以浮动利率计息的带息债务的利息支出，并对本公司的财务业绩产生重大的不利影响，管理层会依据</w:t>
      </w:r>
      <w:r>
        <w:rPr>
          <w:spacing w:val="-42"/>
        </w:rPr>
        <w:t> </w:t>
      </w:r>
      <w:r>
        <w:rPr>
          <w:spacing w:val="-42"/>
        </w:rPr>
      </w:r>
      <w:r>
        <w:rPr/>
        <w:t>最新的市场状况及时做出调整。</w:t>
      </w:r>
    </w:p>
    <w:p>
      <w:pPr>
        <w:pStyle w:val="BodyText"/>
        <w:spacing w:line="256" w:lineRule="auto" w:before="127"/>
        <w:ind w:right="1126" w:firstLine="420"/>
        <w:jc w:val="both"/>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日，在其他风险变量保持不变的情况下，如果以浮动利率计算的借款利率上升或下</w:t>
      </w:r>
      <w:r>
        <w:rPr>
          <w:w w:val="100"/>
        </w:rPr>
        <w:t> </w:t>
      </w:r>
      <w:r>
        <w:rPr/>
        <w:t>降</w:t>
      </w:r>
      <w:r>
        <w:rPr>
          <w:rFonts w:ascii="Times New Roman" w:hAnsi="Times New Roman" w:cs="Times New Roman" w:eastAsia="Times New Roman" w:hint="default"/>
        </w:rPr>
        <w:t>10</w:t>
      </w:r>
      <w:r>
        <w:rPr/>
        <w:t>个基点，本公司当年的净利润就会下降或增加</w:t>
      </w:r>
      <w:r>
        <w:rPr>
          <w:rFonts w:ascii="Times New Roman" w:hAnsi="Times New Roman" w:cs="Times New Roman" w:eastAsia="Times New Roman" w:hint="default"/>
        </w:rPr>
        <w:t>10.20</w:t>
      </w:r>
      <w:r>
        <w:rPr/>
        <w:t>万元。</w:t>
      </w:r>
    </w:p>
    <w:p>
      <w:pPr>
        <w:pStyle w:val="BodyText"/>
        <w:spacing w:line="357" w:lineRule="auto" w:before="125"/>
        <w:ind w:left="573" w:right="4813"/>
        <w:jc w:val="left"/>
      </w:pPr>
      <w:r>
        <w:rPr/>
        <w:t>（</w:t>
      </w:r>
      <w:r>
        <w:rPr>
          <w:rFonts w:ascii="Times New Roman" w:hAnsi="Times New Roman" w:cs="Times New Roman" w:eastAsia="Times New Roman" w:hint="default"/>
        </w:rPr>
        <w:t>3</w:t>
      </w:r>
      <w:r>
        <w:rPr/>
        <w:t>）其他价格风险</w:t>
      </w:r>
      <w:r>
        <w:rPr>
          <w:w w:val="100"/>
        </w:rPr>
        <w:t> </w:t>
      </w:r>
      <w:r>
        <w:rPr>
          <w:spacing w:val="-2"/>
        </w:rPr>
        <w:t>其他价格风险包括股票价格风险、商品价格风险等。</w:t>
      </w:r>
    </w:p>
    <w:p>
      <w:pPr>
        <w:pStyle w:val="BodyText"/>
        <w:spacing w:line="273" w:lineRule="auto" w:before="54"/>
        <w:ind w:right="1126" w:firstLine="420"/>
        <w:jc w:val="both"/>
      </w:pPr>
      <w:r>
        <w:rPr>
          <w:spacing w:val="-2"/>
        </w:rPr>
        <w:t>本公司为规避股权投资风险，根据公司董事会的授权利用存量资金通过证券市场对国内部分具有一定</w:t>
      </w:r>
      <w:r>
        <w:rPr>
          <w:w w:val="100"/>
        </w:rPr>
        <w:t> </w:t>
      </w:r>
      <w:r>
        <w:rPr>
          <w:spacing w:val="-2"/>
        </w:rPr>
        <w:t>规模和竞争优势、发展潜力的上市公司进行投资。同时，合理控制投资规模，并根据股票市场和目标企业</w:t>
      </w:r>
      <w:r>
        <w:rPr>
          <w:spacing w:val="-50"/>
        </w:rPr>
        <w:t> </w:t>
      </w:r>
      <w:r>
        <w:rPr>
          <w:spacing w:val="-50"/>
        </w:rPr>
      </w:r>
      <w:r>
        <w:rPr>
          <w:spacing w:val="-2"/>
        </w:rPr>
        <w:t>管理的情况，集体研究具体投资策略。另一方面，本公司严格根据国家法律法规，结合公司投资安排，将</w:t>
      </w:r>
      <w:r>
        <w:rPr>
          <w:spacing w:val="-43"/>
        </w:rPr>
        <w:t> </w:t>
      </w:r>
      <w:r>
        <w:rPr>
          <w:spacing w:val="-43"/>
        </w:rPr>
      </w:r>
      <w:r>
        <w:rPr>
          <w:spacing w:val="-2"/>
        </w:rPr>
        <w:t>股票投资划分为其他权益工具投资，并进行有针对性的跟踪管理。对划分为其他权益工具的股票投资，关</w:t>
      </w:r>
      <w:r>
        <w:rPr>
          <w:spacing w:val="-44"/>
        </w:rPr>
        <w:t> </w:t>
      </w:r>
      <w:r>
        <w:rPr>
          <w:spacing w:val="-44"/>
        </w:rPr>
      </w:r>
      <w:r>
        <w:rPr/>
        <w:t>注标的公司的经营发展，通过参加其股东大会，了解公司的经营管理情况。</w:t>
      </w:r>
    </w:p>
    <w:p>
      <w:pPr>
        <w:pStyle w:val="BodyText"/>
        <w:spacing w:line="256" w:lineRule="auto" w:before="127"/>
        <w:ind w:right="0" w:firstLine="420"/>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日，本公司所持其他权益工具投资的价值为人民币</w:t>
      </w:r>
      <w:r>
        <w:rPr>
          <w:rFonts w:ascii="Times New Roman" w:hAnsi="Times New Roman" w:cs="Times New Roman" w:eastAsia="Times New Roman" w:hint="default"/>
          <w:spacing w:val="-2"/>
        </w:rPr>
        <w:t>188,019,662.92</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w w:val="100"/>
        </w:rPr>
        <w:t> </w:t>
      </w:r>
      <w:r>
        <w:rPr/>
        <w:t>本公司所持可供出售金融资产的价值为人民币</w:t>
      </w:r>
      <w:r>
        <w:rPr>
          <w:rFonts w:ascii="Times New Roman" w:hAnsi="Times New Roman" w:cs="Times New Roman" w:eastAsia="Times New Roman" w:hint="default"/>
        </w:rPr>
        <w:t>22,500,000.00</w:t>
      </w:r>
      <w:r>
        <w:rPr/>
        <w:t>元</w:t>
      </w:r>
      <w:r>
        <w:rPr>
          <w:rFonts w:ascii="Times New Roman" w:hAnsi="Times New Roman" w:cs="Times New Roman" w:eastAsia="Times New Roman" w:hint="default"/>
        </w:rPr>
        <w:t>) </w:t>
      </w:r>
      <w:r>
        <w:rPr/>
        <w:t>。假设于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日，本公司所持其</w:t>
      </w:r>
      <w:r>
        <w:rPr>
          <w:spacing w:val="-44"/>
        </w:rPr>
        <w:t> </w:t>
      </w:r>
      <w:r>
        <w:rPr>
          <w:spacing w:val="-44"/>
        </w:rPr>
      </w:r>
      <w:r>
        <w:rPr>
          <w:spacing w:val="9"/>
        </w:rPr>
        <w:t>他权益工具投资的股票价格上升或下降了</w:t>
      </w:r>
      <w:r>
        <w:rPr>
          <w:rFonts w:ascii="Times New Roman" w:hAnsi="Times New Roman" w:cs="Times New Roman" w:eastAsia="Times New Roman" w:hint="default"/>
          <w:spacing w:val="9"/>
        </w:rPr>
        <w:t>1%</w:t>
      </w:r>
      <w:r>
        <w:rPr>
          <w:spacing w:val="9"/>
        </w:rPr>
        <w:t>且其他变量不变，则相关股东权益将上升或下降人民币</w:t>
      </w:r>
      <w:r>
        <w:rPr>
          <w:spacing w:val="16"/>
        </w:rPr>
        <w:t> </w:t>
      </w:r>
      <w:r>
        <w:rPr>
          <w:spacing w:val="16"/>
        </w:rPr>
      </w:r>
      <w:r>
        <w:rPr>
          <w:rFonts w:ascii="Times New Roman" w:hAnsi="Times New Roman" w:cs="Times New Roman" w:eastAsia="Times New Roman" w:hint="default"/>
        </w:rPr>
        <w:t>155,228.94</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  </w:t>
      </w:r>
      <w:r>
        <w:rPr/>
        <w:t>，净利润无影响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w:t>
      </w:r>
    </w:p>
    <w:p>
      <w:pPr>
        <w:pStyle w:val="BodyText"/>
        <w:spacing w:line="273" w:lineRule="auto" w:before="125"/>
        <w:ind w:right="1125" w:firstLine="420"/>
        <w:jc w:val="both"/>
      </w:pPr>
      <w:r>
        <w:rPr>
          <w:spacing w:val="-2"/>
        </w:rPr>
        <w:t>上述敏感性分析是假设资产负债表日股票价格发生变动，以变动后的股票价格对资产负债表日本公司</w:t>
      </w:r>
      <w:r>
        <w:rPr>
          <w:w w:val="100"/>
        </w:rPr>
        <w:t> </w:t>
      </w:r>
      <w:r>
        <w:rPr>
          <w:spacing w:val="-2"/>
        </w:rPr>
        <w:t>持有的、面临股票价格风险的其他权益工具投资进行重新计量得出的。上述敏感性分析同时假设本公司所</w:t>
      </w:r>
      <w:r>
        <w:rPr>
          <w:spacing w:val="-43"/>
        </w:rPr>
        <w:t> </w:t>
      </w:r>
      <w:r>
        <w:rPr>
          <w:spacing w:val="-43"/>
        </w:rPr>
      </w:r>
      <w:r>
        <w:rPr>
          <w:spacing w:val="-2"/>
        </w:rPr>
        <w:t>持有的其他权益工具投资的公允价值将根据过往与有关股票价格之相关性而发生变动，且不会因短期股票</w:t>
      </w:r>
      <w:r>
        <w:rPr>
          <w:spacing w:val="-42"/>
        </w:rPr>
        <w:t> </w:t>
      </w:r>
      <w:r>
        <w:rPr>
          <w:spacing w:val="-42"/>
        </w:rPr>
      </w:r>
      <w:r>
        <w:rPr/>
        <w:t>价格的波动而导致减值。</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2"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44,708,875.00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44,708,875.00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50,519,662.92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188,019,662.92</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7"/>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95,228,537.92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232,728,537.92</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spacing w:line="439"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其他权益工具投资的公允价值按资产负债表日的市场报价确定的。</w:t>
      </w:r>
      <w:r>
        <w:rPr>
          <w:rFonts w:ascii="宋体" w:hAnsi="宋体" w:cs="宋体" w:eastAsia="宋体" w:hint="default"/>
          <w:sz w:val="18"/>
          <w:szCs w:val="18"/>
        </w:rPr>
        <w:t> </w:t>
      </w:r>
      <w:r>
        <w:rPr>
          <w:rFonts w:ascii="宋体" w:hAnsi="宋体" w:cs="宋体" w:eastAsia="宋体" w:hint="default"/>
          <w:sz w:val="18"/>
          <w:szCs w:val="18"/>
        </w:rPr>
        <w:t>应收款项融资因其剩余期限较短，账面价值与公允价值接近，采用票面金额作为公允价值。</w:t>
      </w:r>
    </w:p>
    <w:p>
      <w:pPr>
        <w:spacing w:line="240" w:lineRule="auto" w:before="10"/>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spacing w:line="316"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其他权益工具投资系本公司持有的非上市公司股权，被投资企业经营环境和经营情况、财务状况未发生重大变化，所以公司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按投资成本作为公允价值的合理估计进行计量。</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spacing w:line="316"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本公司以摊余成本计量的金融资产和金融负债主要包括：货币资金、应收票据、应收账款、其他应收款、短期借款、应付票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据、应付账款、其他应付款、一年内到期的长期借款、长期应付款、长期借款等。</w:t>
      </w:r>
    </w:p>
    <w:p>
      <w:pPr>
        <w:spacing w:before="139"/>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本期末，公司不以公允价值计量的金融资产和金融负债的账面价值与公允价值相差很小。</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合肥国创智能科技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27.49%</w:t>
            </w:r>
          </w:p>
        </w:tc>
      </w:tr>
    </w:tbl>
    <w:p>
      <w:pPr>
        <w:spacing w:line="357"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本企业最终控制方是董永东、杨杨、史兴领、许广德。 其他说明：</w:t>
      </w:r>
    </w:p>
    <w:p>
      <w:pPr>
        <w:spacing w:line="300" w:lineRule="auto" w:before="108"/>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董永东、杨杨、史兴领、许广德为本公司的实际控制人，截至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日，董永东、杨杨、史兴领、许广德通过合肥国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创间接控制公司</w:t>
      </w:r>
      <w:r>
        <w:rPr>
          <w:rFonts w:ascii="Times New Roman" w:hAnsi="Times New Roman" w:cs="Times New Roman" w:eastAsia="Times New Roman" w:hint="default"/>
          <w:spacing w:val="-1"/>
          <w:sz w:val="18"/>
          <w:szCs w:val="18"/>
        </w:rPr>
        <w:t>27.49%</w:t>
      </w:r>
      <w:r>
        <w:rPr>
          <w:rFonts w:ascii="宋体" w:hAnsi="宋体" w:cs="宋体" w:eastAsia="宋体" w:hint="default"/>
          <w:spacing w:val="-1"/>
          <w:sz w:val="18"/>
          <w:szCs w:val="18"/>
        </w:rPr>
        <w:t>的股权，董永东、杨杨、史兴领直接持有公司</w:t>
      </w:r>
      <w:r>
        <w:rPr>
          <w:rFonts w:ascii="Times New Roman" w:hAnsi="Times New Roman" w:cs="Times New Roman" w:eastAsia="Times New Roman" w:hint="default"/>
          <w:spacing w:val="-1"/>
          <w:sz w:val="18"/>
          <w:szCs w:val="18"/>
        </w:rPr>
        <w:t>7.04%</w:t>
      </w:r>
      <w:r>
        <w:rPr>
          <w:rFonts w:ascii="宋体" w:hAnsi="宋体" w:cs="宋体" w:eastAsia="宋体" w:hint="default"/>
          <w:spacing w:val="-1"/>
          <w:sz w:val="18"/>
          <w:szCs w:val="18"/>
        </w:rPr>
        <w:t>的股权，据此，实际控制人合计控制公司</w:t>
      </w:r>
      <w:r>
        <w:rPr>
          <w:rFonts w:ascii="Times New Roman" w:hAnsi="Times New Roman" w:cs="Times New Roman" w:eastAsia="Times New Roman" w:hint="default"/>
          <w:spacing w:val="-1"/>
          <w:sz w:val="18"/>
          <w:szCs w:val="18"/>
        </w:rPr>
        <w:t>34.53%</w:t>
      </w:r>
    </w:p>
    <w:p>
      <w:pPr>
        <w:spacing w:after="0" w:line="300" w:lineRule="auto"/>
        <w:jc w:val="lef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1"/>
        <w:rPr>
          <w:rFonts w:ascii="Times New Roman" w:hAnsi="Times New Roman" w:cs="Times New Roman" w:eastAsia="Times New Roman" w:hint="default"/>
          <w:sz w:val="16"/>
          <w:szCs w:val="16"/>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中电科公共设施运营管理有限公司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联营企业、公司董事许广德担任其董事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公司董事应勇担任其高级管理人员</w:t>
            </w:r>
          </w:p>
        </w:tc>
      </w:tr>
    </w:tbl>
    <w:p>
      <w:pPr>
        <w:spacing w:before="67"/>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公司董事应勇担任其高级管理人员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中电科公共设施运营管理有限公司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联营企业、公司董事许广德担任其董事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科大智能电气技术有限公司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公司董事应勇担任其母公司董事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以上股东孙路之配偶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孙志勇、陈国荣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以上股东孙路之父亲、母亲</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张珊红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实际控制人之一史兴领配偶</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中电科公共设施运 营管理有限公司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8,418,918.92</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55"/>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中电科公共设施运营管理有限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115,044.25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537,960.34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中科大资产经营有限责任公司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信息系统软件开发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科大智能电气技术有限公司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153,777.02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177,263.69</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560"/>
        <w:gridCol w:w="1774"/>
        <w:gridCol w:w="1915"/>
        <w:gridCol w:w="1917"/>
      </w:tblGrid>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560"/>
        <w:gridCol w:w="1774"/>
        <w:gridCol w:w="1913"/>
        <w:gridCol w:w="1916"/>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合肥国创智能科技有限公司、 董永东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孙路，王璐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410"/>
        <w:gridCol w:w="1560"/>
        <w:gridCol w:w="1774"/>
        <w:gridCol w:w="1913"/>
        <w:gridCol w:w="1916"/>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王璐、孙路、史兴领、张珊红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孙路，王璐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孙路，王璐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孙路，王璐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合肥国创智能科技有限公司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439" w:lineRule="auto" w:before="49"/>
        <w:ind w:left="153" w:right="3688" w:firstLine="0"/>
        <w:jc w:val="left"/>
        <w:rPr>
          <w:rFonts w:ascii="宋体" w:hAnsi="宋体" w:cs="宋体" w:eastAsia="宋体" w:hint="default"/>
          <w:sz w:val="18"/>
          <w:szCs w:val="18"/>
        </w:rPr>
      </w:pPr>
      <w:r>
        <w:rPr>
          <w:rFonts w:ascii="宋体" w:hAnsi="宋体" w:cs="宋体" w:eastAsia="宋体" w:hint="default"/>
          <w:sz w:val="18"/>
          <w:szCs w:val="18"/>
        </w:rPr>
        <w:t>关联担保情况说明 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日，合肥国创为本公司</w:t>
      </w:r>
      <w:r>
        <w:rPr>
          <w:rFonts w:ascii="Times New Roman" w:hAnsi="Times New Roman" w:cs="Times New Roman" w:eastAsia="Times New Roman" w:hint="default"/>
          <w:sz w:val="18"/>
          <w:szCs w:val="18"/>
        </w:rPr>
        <w:t>5,966,402.83</w:t>
      </w:r>
      <w:r>
        <w:rPr>
          <w:rFonts w:ascii="宋体" w:hAnsi="宋体" w:cs="宋体" w:eastAsia="宋体" w:hint="default"/>
          <w:sz w:val="18"/>
          <w:szCs w:val="18"/>
        </w:rPr>
        <w:t>元银行承兑汇票提供连带责任保证。</w:t>
      </w:r>
    </w:p>
    <w:p>
      <w:pPr>
        <w:spacing w:line="240" w:lineRule="auto" w:before="4"/>
        <w:rPr>
          <w:rFonts w:ascii="宋体" w:hAnsi="宋体" w:cs="宋体" w:eastAsia="宋体" w:hint="default"/>
          <w:sz w:val="13"/>
          <w:szCs w:val="1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4,401,322.00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2,672,200.00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）其他关联交易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中电科公共设施运 营管理有限公司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848,500.00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135,256.00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848,500.00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55,026.40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中电科公共设施运营管理有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8,777,720.45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8,418,918.92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中科大资产经营有限责任公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99" w:lineRule="auto" w:before="0"/>
        <w:ind w:left="153" w:right="834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spacing w:before="4"/>
        <w:ind w:left="153" w:right="113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日，本公司无需要披露的重大承诺事项。</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spacing w:before="0"/>
        <w:ind w:left="63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）为其他单位提供债务担保形成的或有负债及其财务影响</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190"/>
        <w:gridCol w:w="1484"/>
        <w:gridCol w:w="1572"/>
        <w:gridCol w:w="1681"/>
        <w:gridCol w:w="1733"/>
      </w:tblGrid>
      <w:tr>
        <w:trPr>
          <w:trHeight w:val="349"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9"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担保事项</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06"/>
              <w:jc w:val="righ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一、子公司</w:t>
            </w:r>
          </w:p>
        </w:tc>
        <w:tc>
          <w:tcPr>
            <w:tcW w:w="1484"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科大国创云网科技有限公司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11" w:right="-1"/>
              <w:jc w:val="left"/>
              <w:rPr>
                <w:rFonts w:ascii="Times New Roman" w:hAnsi="Times New Roman" w:cs="Times New Roman" w:eastAsia="Times New Roman" w:hint="default"/>
                <w:sz w:val="18"/>
                <w:szCs w:val="18"/>
              </w:rPr>
            </w:pPr>
            <w:r>
              <w:rPr>
                <w:rFonts w:ascii="Times New Roman"/>
                <w:sz w:val="18"/>
              </w:rPr>
              <w:t>2,000,000.00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2019/12/17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44"/>
              <w:jc w:val="right"/>
              <w:rPr>
                <w:rFonts w:ascii="Times New Roman" w:hAnsi="Times New Roman" w:cs="Times New Roman" w:eastAsia="Times New Roman" w:hint="default"/>
                <w:sz w:val="18"/>
                <w:szCs w:val="18"/>
              </w:rPr>
            </w:pPr>
            <w:r>
              <w:rPr>
                <w:rFonts w:ascii="Times New Roman"/>
                <w:w w:val="95"/>
                <w:sz w:val="18"/>
              </w:rPr>
              <w:t>2020/12/17</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1" w:right="-1"/>
              <w:jc w:val="left"/>
              <w:rPr>
                <w:rFonts w:ascii="Times New Roman" w:hAnsi="Times New Roman" w:cs="Times New Roman" w:eastAsia="Times New Roman" w:hint="default"/>
                <w:sz w:val="18"/>
                <w:szCs w:val="18"/>
              </w:rPr>
            </w:pPr>
            <w:r>
              <w:rPr>
                <w:rFonts w:ascii="Times New Roman"/>
                <w:sz w:val="18"/>
              </w:rPr>
              <w:t>9,500,000.00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2019/5/29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9"/>
              <w:jc w:val="right"/>
              <w:rPr>
                <w:rFonts w:ascii="Times New Roman" w:hAnsi="Times New Roman" w:cs="Times New Roman" w:eastAsia="Times New Roman" w:hint="default"/>
                <w:sz w:val="18"/>
                <w:szCs w:val="18"/>
              </w:rPr>
            </w:pPr>
            <w:r>
              <w:rPr>
                <w:rFonts w:ascii="Times New Roman"/>
                <w:spacing w:val="-1"/>
                <w:sz w:val="18"/>
              </w:rPr>
              <w:t>2020/5/28</w:t>
            </w:r>
          </w:p>
        </w:tc>
      </w:tr>
      <w:tr>
        <w:trPr>
          <w:trHeight w:val="346"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11" w:right="-1"/>
              <w:jc w:val="left"/>
              <w:rPr>
                <w:rFonts w:ascii="Times New Roman" w:hAnsi="Times New Roman" w:cs="Times New Roman" w:eastAsia="Times New Roman" w:hint="default"/>
                <w:sz w:val="18"/>
                <w:szCs w:val="18"/>
              </w:rPr>
            </w:pPr>
            <w:r>
              <w:rPr>
                <w:rFonts w:ascii="Times New Roman"/>
                <w:sz w:val="18"/>
              </w:rPr>
              <w:t>4,290,000.00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2019/7/22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9"/>
              <w:jc w:val="right"/>
              <w:rPr>
                <w:rFonts w:ascii="Times New Roman" w:hAnsi="Times New Roman" w:cs="Times New Roman" w:eastAsia="Times New Roman" w:hint="default"/>
                <w:sz w:val="18"/>
                <w:szCs w:val="18"/>
              </w:rPr>
            </w:pPr>
            <w:r>
              <w:rPr>
                <w:rFonts w:ascii="Times New Roman"/>
                <w:spacing w:val="-1"/>
                <w:sz w:val="18"/>
              </w:rPr>
              <w:t>2021/7/21</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1" w:right="-1"/>
              <w:jc w:val="left"/>
              <w:rPr>
                <w:rFonts w:ascii="Times New Roman" w:hAnsi="Times New Roman" w:cs="Times New Roman" w:eastAsia="Times New Roman" w:hint="default"/>
                <w:sz w:val="18"/>
                <w:szCs w:val="18"/>
              </w:rPr>
            </w:pPr>
            <w:r>
              <w:rPr>
                <w:rFonts w:ascii="Times New Roman"/>
                <w:sz w:val="18"/>
              </w:rPr>
              <w:t>5,910,000.00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2019/8/7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9" w:right="0"/>
              <w:jc w:val="left"/>
              <w:rPr>
                <w:rFonts w:ascii="Times New Roman" w:hAnsi="Times New Roman" w:cs="Times New Roman" w:eastAsia="Times New Roman" w:hint="default"/>
                <w:sz w:val="18"/>
                <w:szCs w:val="18"/>
              </w:rPr>
            </w:pPr>
            <w:r>
              <w:rPr>
                <w:rFonts w:ascii="Times New Roman"/>
                <w:sz w:val="18"/>
              </w:rPr>
              <w:t>2021/8/6</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11" w:right="-1"/>
              <w:jc w:val="left"/>
              <w:rPr>
                <w:rFonts w:ascii="Times New Roman" w:hAnsi="Times New Roman" w:cs="Times New Roman" w:eastAsia="Times New Roman" w:hint="default"/>
                <w:sz w:val="18"/>
                <w:szCs w:val="18"/>
              </w:rPr>
            </w:pPr>
            <w:r>
              <w:rPr>
                <w:rFonts w:ascii="Times New Roman"/>
                <w:sz w:val="18"/>
              </w:rPr>
              <w:t>2,000,000.00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2019/7/2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9"/>
              <w:jc w:val="right"/>
              <w:rPr>
                <w:rFonts w:ascii="Times New Roman" w:hAnsi="Times New Roman" w:cs="Times New Roman" w:eastAsia="Times New Roman" w:hint="default"/>
                <w:sz w:val="18"/>
                <w:szCs w:val="18"/>
              </w:rPr>
            </w:pPr>
            <w:r>
              <w:rPr>
                <w:rFonts w:ascii="Times New Roman"/>
                <w:spacing w:val="-1"/>
                <w:sz w:val="18"/>
              </w:rPr>
              <w:t>2020/6/30</w:t>
            </w:r>
          </w:p>
        </w:tc>
      </w:tr>
      <w:tr>
        <w:trPr>
          <w:trHeight w:val="346"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11" w:right="-1"/>
              <w:jc w:val="left"/>
              <w:rPr>
                <w:rFonts w:ascii="Times New Roman" w:hAnsi="Times New Roman" w:cs="Times New Roman" w:eastAsia="Times New Roman" w:hint="default"/>
                <w:sz w:val="18"/>
                <w:szCs w:val="18"/>
              </w:rPr>
            </w:pPr>
            <w:r>
              <w:rPr>
                <w:rFonts w:ascii="Times New Roman"/>
                <w:sz w:val="18"/>
              </w:rPr>
              <w:t>5,000,000.00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2019/11/1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44"/>
              <w:jc w:val="right"/>
              <w:rPr>
                <w:rFonts w:ascii="Times New Roman" w:hAnsi="Times New Roman" w:cs="Times New Roman" w:eastAsia="Times New Roman" w:hint="default"/>
                <w:sz w:val="18"/>
                <w:szCs w:val="18"/>
              </w:rPr>
            </w:pPr>
            <w:r>
              <w:rPr>
                <w:rFonts w:ascii="Times New Roman"/>
                <w:w w:val="95"/>
                <w:sz w:val="18"/>
              </w:rPr>
              <w:t>2020/10/31</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1" w:right="-1"/>
              <w:jc w:val="left"/>
              <w:rPr>
                <w:rFonts w:ascii="Times New Roman" w:hAnsi="Times New Roman" w:cs="Times New Roman" w:eastAsia="Times New Roman" w:hint="default"/>
                <w:sz w:val="18"/>
                <w:szCs w:val="18"/>
              </w:rPr>
            </w:pPr>
            <w:r>
              <w:rPr>
                <w:rFonts w:ascii="Times New Roman"/>
                <w:sz w:val="18"/>
              </w:rPr>
              <w:t>5,000,000.00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2019/5/21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9"/>
              <w:jc w:val="right"/>
              <w:rPr>
                <w:rFonts w:ascii="Times New Roman" w:hAnsi="Times New Roman" w:cs="Times New Roman" w:eastAsia="Times New Roman" w:hint="default"/>
                <w:sz w:val="18"/>
                <w:szCs w:val="18"/>
              </w:rPr>
            </w:pPr>
            <w:r>
              <w:rPr>
                <w:rFonts w:ascii="Times New Roman"/>
                <w:spacing w:val="-1"/>
                <w:sz w:val="18"/>
              </w:rPr>
              <w:t>2020/5/20</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1484"/>
        <w:gridCol w:w="1572"/>
        <w:gridCol w:w="1681"/>
        <w:gridCol w:w="1733"/>
      </w:tblGrid>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2019/11/1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2020/10/31</w:t>
            </w:r>
          </w:p>
        </w:tc>
      </w:tr>
      <w:tr>
        <w:trPr>
          <w:trHeight w:val="346"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2019/6/28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2020/6/28</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安徽贵博新能科技有限公司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2019/12/12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2020/12/11</w:t>
            </w:r>
          </w:p>
        </w:tc>
      </w:tr>
      <w:tr>
        <w:trPr>
          <w:trHeight w:val="346"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科大国创云网科技有限公司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2019/10/30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2020/10/23</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安徽慧联运科技有限公司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2019/5/16</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2020/5/6</w:t>
            </w:r>
          </w:p>
        </w:tc>
      </w:tr>
      <w:tr>
        <w:trPr>
          <w:trHeight w:val="34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211,900,000.00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5"/>
        <w:rPr>
          <w:rFonts w:ascii="宋体" w:hAnsi="宋体" w:cs="宋体" w:eastAsia="宋体" w:hint="default"/>
          <w:sz w:val="6"/>
          <w:szCs w:val="6"/>
        </w:rPr>
      </w:pPr>
    </w:p>
    <w:p>
      <w:pPr>
        <w:spacing w:before="44"/>
        <w:ind w:left="63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spacing w:line="240" w:lineRule="auto" w:before="13"/>
        <w:rPr>
          <w:rFonts w:ascii="宋体" w:hAnsi="宋体" w:cs="宋体" w:eastAsia="宋体" w:hint="default"/>
          <w:sz w:val="13"/>
          <w:szCs w:val="13"/>
        </w:rPr>
      </w:pPr>
    </w:p>
    <w:p>
      <w:pPr>
        <w:spacing w:line="300" w:lineRule="auto" w:before="0"/>
        <w:ind w:left="153" w:right="1133" w:firstLine="480"/>
        <w:jc w:val="left"/>
        <w:rPr>
          <w:rFonts w:ascii="宋体" w:hAnsi="宋体" w:cs="宋体" w:eastAsia="宋体" w:hint="default"/>
          <w:sz w:val="18"/>
          <w:szCs w:val="18"/>
        </w:rPr>
      </w:pP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日，本公司开立保函未结清余额人民币</w:t>
      </w:r>
      <w:r>
        <w:rPr>
          <w:rFonts w:ascii="Times New Roman" w:hAnsi="Times New Roman" w:cs="Times New Roman" w:eastAsia="Times New Roman" w:hint="default"/>
          <w:spacing w:val="-1"/>
          <w:sz w:val="18"/>
          <w:szCs w:val="18"/>
        </w:rPr>
        <w:t>17,042.66</w:t>
      </w:r>
      <w:r>
        <w:rPr>
          <w:rFonts w:ascii="宋体" w:hAnsi="宋体" w:cs="宋体" w:eastAsia="宋体" w:hint="default"/>
          <w:spacing w:val="-1"/>
          <w:sz w:val="18"/>
          <w:szCs w:val="18"/>
        </w:rPr>
        <w:t>万元。截至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日，除上述事项外，本公司</w:t>
      </w:r>
      <w:r>
        <w:rPr>
          <w:rFonts w:ascii="宋体" w:hAnsi="宋体" w:cs="宋体" w:eastAsia="宋体" w:hint="default"/>
          <w:sz w:val="18"/>
          <w:szCs w:val="18"/>
        </w:rPr>
        <w:t> 无需要披露的重大或有事项。</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3"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30,046,171.44</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30,046,171.44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pStyle w:val="BodyText"/>
        <w:spacing w:line="430" w:lineRule="atLeast" w:before="184"/>
        <w:ind w:left="633" w:right="1133" w:firstLine="2"/>
        <w:jc w:val="left"/>
      </w:pPr>
      <w:r>
        <w:rPr>
          <w:rFonts w:ascii="Times New Roman" w:hAnsi="Times New Roman" w:cs="Times New Roman" w:eastAsia="Times New Roman" w:hint="default"/>
          <w:b/>
          <w:bCs/>
        </w:rPr>
        <w:t>1</w:t>
      </w:r>
      <w:r>
        <w:rPr>
          <w:rFonts w:ascii="宋体" w:hAnsi="宋体" w:cs="宋体" w:eastAsia="宋体" w:hint="default"/>
          <w:b/>
          <w:bCs/>
        </w:rPr>
        <w:t>．股份回购</w:t>
      </w:r>
      <w:r>
        <w:rPr>
          <w:rFonts w:ascii="宋体" w:hAnsi="宋体" w:cs="宋体" w:eastAsia="宋体" w:hint="default"/>
          <w:b/>
          <w:bCs/>
          <w:w w:val="100"/>
        </w:rPr>
        <w:t> </w:t>
      </w:r>
      <w:r>
        <w:rPr>
          <w:spacing w:val="-3"/>
        </w:rPr>
        <w:t>根据贵博新能并购重组相关的业绩承诺和盈利补偿安排，贵博新能</w:t>
      </w:r>
      <w:r>
        <w:rPr>
          <w:rFonts w:ascii="Times New Roman" w:hAnsi="Times New Roman" w:cs="Times New Roman" w:eastAsia="Times New Roman" w:hint="default"/>
          <w:spacing w:val="-3"/>
        </w:rPr>
        <w:t>2018</w:t>
      </w:r>
      <w:r>
        <w:rPr>
          <w:spacing w:val="-3"/>
        </w:rPr>
        <w:t>年度和</w:t>
      </w:r>
      <w:r>
        <w:rPr>
          <w:rFonts w:ascii="Times New Roman" w:hAnsi="Times New Roman" w:cs="Times New Roman" w:eastAsia="Times New Roman" w:hint="default"/>
          <w:spacing w:val="-3"/>
        </w:rPr>
        <w:t>2019</w:t>
      </w:r>
      <w:r>
        <w:rPr>
          <w:spacing w:val="-3"/>
        </w:rPr>
        <w:t>年度的业绩承诺累</w:t>
      </w:r>
    </w:p>
    <w:p>
      <w:pPr>
        <w:pStyle w:val="BodyText"/>
        <w:spacing w:line="256" w:lineRule="auto" w:before="21"/>
        <w:ind w:right="1128"/>
        <w:jc w:val="both"/>
      </w:pPr>
      <w:r>
        <w:rPr>
          <w:spacing w:val="-3"/>
        </w:rPr>
        <w:t>计实现</w:t>
      </w:r>
      <w:r>
        <w:rPr>
          <w:rFonts w:ascii="Times New Roman" w:hAnsi="Times New Roman" w:cs="Times New Roman" w:eastAsia="Times New Roman" w:hint="default"/>
          <w:spacing w:val="-3"/>
        </w:rPr>
        <w:t>8,645.83</w:t>
      </w:r>
      <w:r>
        <w:rPr>
          <w:spacing w:val="-3"/>
        </w:rPr>
        <w:t>万元，较两年累计承诺数</w:t>
      </w:r>
      <w:r>
        <w:rPr>
          <w:rFonts w:ascii="Times New Roman" w:hAnsi="Times New Roman" w:cs="Times New Roman" w:eastAsia="Times New Roman" w:hint="default"/>
          <w:spacing w:val="-3"/>
        </w:rPr>
        <w:t>9,000</w:t>
      </w:r>
      <w:r>
        <w:rPr>
          <w:spacing w:val="-3"/>
        </w:rPr>
        <w:t>万元相差</w:t>
      </w:r>
      <w:r>
        <w:rPr>
          <w:rFonts w:ascii="Times New Roman" w:hAnsi="Times New Roman" w:cs="Times New Roman" w:eastAsia="Times New Roman" w:hint="default"/>
          <w:spacing w:val="-3"/>
        </w:rPr>
        <w:t>-354.17</w:t>
      </w:r>
      <w:r>
        <w:rPr>
          <w:spacing w:val="-3"/>
        </w:rPr>
        <w:t>万元，差异率为</w:t>
      </w:r>
      <w:r>
        <w:rPr>
          <w:rFonts w:ascii="Times New Roman" w:hAnsi="Times New Roman" w:cs="Times New Roman" w:eastAsia="Times New Roman" w:hint="default"/>
          <w:spacing w:val="-3"/>
        </w:rPr>
        <w:t>3.93%</w:t>
      </w:r>
      <w:r>
        <w:rPr>
          <w:spacing w:val="-3"/>
        </w:rPr>
        <w:t>。公司拟以</w:t>
      </w:r>
      <w:r>
        <w:rPr>
          <w:rFonts w:ascii="Times New Roman" w:hAnsi="Times New Roman" w:cs="Times New Roman" w:eastAsia="Times New Roman" w:hint="default"/>
          <w:spacing w:val="-3"/>
        </w:rPr>
        <w:t>1.00</w:t>
      </w:r>
      <w:r>
        <w:rPr>
          <w:spacing w:val="-3"/>
        </w:rPr>
        <w:t>元人民</w:t>
      </w:r>
      <w:r>
        <w:rPr>
          <w:spacing w:val="6"/>
        </w:rPr>
        <w:t> </w:t>
      </w:r>
      <w:r>
        <w:rPr>
          <w:spacing w:val="-3"/>
        </w:rPr>
        <w:t>币定向回购业绩承诺方应补偿股份</w:t>
      </w:r>
      <w:r>
        <w:rPr>
          <w:rFonts w:ascii="Times New Roman" w:hAnsi="Times New Roman" w:cs="Times New Roman" w:eastAsia="Times New Roman" w:hint="default"/>
          <w:spacing w:val="-3"/>
        </w:rPr>
        <w:t>869,697</w:t>
      </w:r>
      <w:r>
        <w:rPr>
          <w:spacing w:val="-3"/>
        </w:rPr>
        <w:t>股并注销，同时，业绩承诺方需将应补偿股份已获得的现金分红</w:t>
      </w:r>
      <w:r>
        <w:rPr>
          <w:spacing w:val="-41"/>
        </w:rPr>
        <w:t> </w:t>
      </w:r>
      <w:r>
        <w:rPr>
          <w:spacing w:val="-41"/>
        </w:rPr>
      </w:r>
      <w:r>
        <w:rPr/>
        <w:t>款</w:t>
      </w:r>
      <w:r>
        <w:rPr>
          <w:rFonts w:ascii="Times New Roman" w:hAnsi="Times New Roman" w:cs="Times New Roman" w:eastAsia="Times New Roman" w:hint="default"/>
        </w:rPr>
        <w:t>21,742.43</w:t>
      </w:r>
      <w:r>
        <w:rPr/>
        <w:t>元返还公司。</w:t>
      </w:r>
    </w:p>
    <w:p>
      <w:pPr>
        <w:pStyle w:val="BodyText"/>
        <w:spacing w:line="357" w:lineRule="auto" w:before="125"/>
        <w:ind w:left="633" w:right="1133" w:firstLine="2"/>
        <w:jc w:val="left"/>
      </w:pPr>
      <w:r>
        <w:rPr>
          <w:rFonts w:ascii="Times New Roman" w:hAnsi="Times New Roman" w:cs="Times New Roman" w:eastAsia="Times New Roman" w:hint="default"/>
          <w:b/>
          <w:bCs/>
        </w:rPr>
        <w:t>2</w:t>
      </w:r>
      <w:r>
        <w:rPr>
          <w:rFonts w:ascii="宋体" w:hAnsi="宋体" w:cs="宋体" w:eastAsia="宋体" w:hint="default"/>
          <w:b/>
          <w:bCs/>
        </w:rPr>
        <w:t>．股利分配方案</w:t>
      </w:r>
      <w:r>
        <w:rPr>
          <w:rFonts w:ascii="宋体" w:hAnsi="宋体" w:cs="宋体" w:eastAsia="宋体" w:hint="default"/>
          <w:b/>
          <w:bCs/>
          <w:w w:val="100"/>
        </w:rPr>
        <w:t> </w:t>
      </w:r>
      <w:r>
        <w:rPr/>
        <w:t>根据</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28</w:t>
      </w:r>
      <w:r>
        <w:rPr/>
        <w:t>日公司第三届董事会第十一次会议决议，公司拟以现有总股本</w:t>
      </w:r>
      <w:r>
        <w:rPr>
          <w:rFonts w:ascii="Times New Roman" w:hAnsi="Times New Roman" w:cs="Times New Roman" w:eastAsia="Times New Roman" w:hint="default"/>
        </w:rPr>
        <w:t>250,384,762</w:t>
      </w:r>
      <w:r>
        <w:rPr/>
        <w:t>股为基</w:t>
      </w:r>
    </w:p>
    <w:p>
      <w:pPr>
        <w:spacing w:after="0" w:line="357" w:lineRule="auto"/>
        <w:jc w:val="left"/>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BodyText"/>
        <w:spacing w:line="256" w:lineRule="auto" w:before="36"/>
        <w:ind w:right="1133"/>
        <w:jc w:val="left"/>
      </w:pPr>
      <w:r>
        <w:rPr>
          <w:spacing w:val="-2"/>
        </w:rPr>
        <w:t>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1.2</w:t>
      </w:r>
      <w:r>
        <w:rPr>
          <w:spacing w:val="-2"/>
        </w:rPr>
        <w:t>元（含税），总计派发现金股利</w:t>
      </w:r>
      <w:r>
        <w:rPr>
          <w:rFonts w:ascii="Times New Roman" w:hAnsi="Times New Roman" w:cs="Times New Roman" w:eastAsia="Times New Roman" w:hint="default"/>
          <w:spacing w:val="-2"/>
        </w:rPr>
        <w:t>30,046,171.44</w:t>
      </w:r>
      <w:r>
        <w:rPr>
          <w:spacing w:val="-2"/>
        </w:rPr>
        <w:t>元（含税）。剩余未</w:t>
      </w:r>
      <w:r>
        <w:rPr>
          <w:spacing w:val="-31"/>
        </w:rPr>
        <w:t> </w:t>
      </w:r>
      <w:r>
        <w:rPr>
          <w:spacing w:val="-31"/>
        </w:rPr>
      </w:r>
      <w:r>
        <w:rPr/>
        <w:t>分配利润结转以后年度分配。本年度不转增股本，不送红股。</w:t>
      </w:r>
    </w:p>
    <w:p>
      <w:pPr>
        <w:pStyle w:val="BodyText"/>
        <w:spacing w:line="357" w:lineRule="auto" w:before="142"/>
        <w:ind w:left="633" w:right="1133" w:firstLine="2"/>
        <w:jc w:val="left"/>
      </w:pPr>
      <w:r>
        <w:rPr>
          <w:rFonts w:ascii="Times New Roman" w:hAnsi="Times New Roman" w:cs="Times New Roman" w:eastAsia="Times New Roman" w:hint="default"/>
          <w:b/>
          <w:bCs/>
        </w:rPr>
        <w:t>3</w:t>
      </w:r>
      <w:r>
        <w:rPr>
          <w:rFonts w:ascii="宋体" w:hAnsi="宋体" w:cs="宋体" w:eastAsia="宋体" w:hint="default"/>
          <w:b/>
          <w:bCs/>
        </w:rPr>
        <w:t>．新型冠状病毒疫情</w:t>
      </w:r>
      <w:r>
        <w:rPr>
          <w:rFonts w:ascii="宋体" w:hAnsi="宋体" w:cs="宋体" w:eastAsia="宋体" w:hint="default"/>
          <w:b/>
          <w:bCs/>
          <w:w w:val="100"/>
        </w:rPr>
        <w:t> </w:t>
      </w:r>
      <w:r>
        <w:rPr>
          <w:spacing w:val="-4"/>
        </w:rPr>
        <w:t>受到新型冠状病毒疫情影响，全国大部分地区实行了较为严格的交通管制，公司正常的生产经营业务</w:t>
      </w:r>
    </w:p>
    <w:p>
      <w:pPr>
        <w:pStyle w:val="BodyText"/>
        <w:spacing w:line="209" w:lineRule="exact"/>
        <w:ind w:right="0"/>
        <w:jc w:val="left"/>
      </w:pPr>
      <w:r>
        <w:rPr>
          <w:spacing w:val="-5"/>
        </w:rPr>
        <w:t>受到了一定影响，本公司密切关注新型冠状病毒疫情发展情况，评估和积极应对其对本公司的的财务状况、</w:t>
      </w:r>
    </w:p>
    <w:p>
      <w:pPr>
        <w:pStyle w:val="BodyText"/>
        <w:spacing w:line="376" w:lineRule="auto" w:before="37"/>
        <w:ind w:left="633" w:right="1133" w:hanging="480"/>
        <w:jc w:val="left"/>
      </w:pPr>
      <w:r>
        <w:rPr/>
        <w:t>经营成果等方面的影响。</w:t>
      </w:r>
      <w:r>
        <w:rPr>
          <w:w w:val="100"/>
        </w:rPr>
        <w:t> </w:t>
      </w:r>
      <w:r>
        <w:rPr>
          <w:spacing w:val="-2"/>
        </w:rPr>
        <w:t>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日止，除上述事项外本公司无需要披露的其他重要资产负债表日后事项。</w:t>
      </w:r>
    </w:p>
    <w:p>
      <w:pPr>
        <w:pStyle w:val="Heading2"/>
        <w:spacing w:line="240" w:lineRule="auto" w:before="163"/>
        <w:ind w:right="1133"/>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7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590" w:lineRule="atLeast" w:before="25"/>
        <w:ind w:left="573" w:right="113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本公司以内部组织结构、管理要求、内部报告制度为依据确定经营分部，以经营分部为基础确定报告</w:t>
      </w:r>
    </w:p>
    <w:p>
      <w:pPr>
        <w:pStyle w:val="BodyText"/>
        <w:spacing w:line="240" w:lineRule="auto" w:before="37"/>
        <w:ind w:right="1133"/>
        <w:jc w:val="left"/>
      </w:pPr>
      <w:r>
        <w:rPr/>
        <w:t>分部。</w:t>
      </w:r>
    </w:p>
    <w:p>
      <w:pPr>
        <w:pStyle w:val="BodyText"/>
        <w:spacing w:line="240" w:lineRule="auto" w:before="157"/>
        <w:ind w:left="573" w:right="1133"/>
        <w:jc w:val="left"/>
      </w:pPr>
      <w:r>
        <w:rPr/>
        <w:t>经营分部，是指本公司内同时满足下列条件的组成部分：</w:t>
      </w:r>
    </w:p>
    <w:p>
      <w:pPr>
        <w:pStyle w:val="BodyText"/>
        <w:spacing w:line="240" w:lineRule="auto" w:before="157"/>
        <w:ind w:left="573" w:right="1133"/>
        <w:jc w:val="left"/>
      </w:pPr>
      <w:r>
        <w:rPr/>
        <w:t>（</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41"/>
        <w:ind w:left="573" w:right="1133"/>
        <w:jc w:val="left"/>
      </w:pPr>
      <w:r>
        <w:rPr/>
        <w:t>（</w:t>
      </w:r>
      <w:r>
        <w:rPr>
          <w:rFonts w:ascii="Times New Roman" w:hAnsi="Times New Roman" w:cs="Times New Roman" w:eastAsia="Times New Roman" w:hint="default"/>
        </w:rPr>
        <w:t>2</w:t>
      </w:r>
      <w:r>
        <w:rPr/>
        <w:t>）本公司管理层能够定期评价该组成部分的经营成果，以决定向其配置资源、评价其业绩；</w:t>
      </w:r>
    </w:p>
    <w:p>
      <w:pPr>
        <w:pStyle w:val="BodyText"/>
        <w:spacing w:line="357" w:lineRule="auto" w:before="141"/>
        <w:ind w:left="573" w:right="1133"/>
        <w:jc w:val="left"/>
      </w:pPr>
      <w:r>
        <w:rPr>
          <w:spacing w:val="-2"/>
        </w:rPr>
        <w:t>（</w:t>
      </w:r>
      <w:r>
        <w:rPr>
          <w:rFonts w:ascii="Times New Roman" w:hAnsi="Times New Roman" w:cs="Times New Roman" w:eastAsia="Times New Roman" w:hint="default"/>
          <w:spacing w:val="-2"/>
        </w:rPr>
        <w:t>3</w:t>
      </w:r>
      <w:r>
        <w:rPr>
          <w:spacing w:val="-2"/>
        </w:rPr>
        <w:t>）本公司能够取得该组成部分的财务状况、经营成果和现金流量等有关会计信息。</w:t>
      </w:r>
      <w:r>
        <w:rPr>
          <w:spacing w:val="-35"/>
        </w:rPr>
        <w:t> </w:t>
      </w:r>
      <w:r>
        <w:rPr>
          <w:spacing w:val="-35"/>
        </w:rPr>
      </w:r>
      <w:r>
        <w:rPr/>
        <w:t>本公司报告分部包括：</w:t>
      </w:r>
    </w:p>
    <w:p>
      <w:pPr>
        <w:pStyle w:val="BodyText"/>
        <w:spacing w:line="240" w:lineRule="auto" w:before="54"/>
        <w:ind w:left="573" w:right="1133"/>
        <w:jc w:val="left"/>
      </w:pPr>
      <w:r>
        <w:rPr/>
        <w:t>①管理总部；</w:t>
      </w:r>
    </w:p>
    <w:p>
      <w:pPr>
        <w:pStyle w:val="BodyText"/>
        <w:spacing w:line="240" w:lineRule="auto" w:before="157"/>
        <w:ind w:left="573" w:right="1133"/>
        <w:jc w:val="left"/>
      </w:pPr>
      <w:r>
        <w:rPr/>
        <w:t>②数据智能行业应用；</w:t>
      </w:r>
    </w:p>
    <w:p>
      <w:pPr>
        <w:pStyle w:val="BodyText"/>
        <w:spacing w:line="240" w:lineRule="auto" w:before="157"/>
        <w:ind w:left="573" w:right="1133"/>
        <w:jc w:val="left"/>
      </w:pPr>
      <w:r>
        <w:rPr/>
        <w:t>③数据智能平台运营；</w:t>
      </w:r>
    </w:p>
    <w:p>
      <w:pPr>
        <w:pStyle w:val="BodyText"/>
        <w:spacing w:line="376" w:lineRule="auto" w:before="157"/>
        <w:ind w:left="573" w:right="4813"/>
        <w:jc w:val="left"/>
      </w:pPr>
      <w:r>
        <w:rPr/>
        <w:t>④智能软硬件产品。</w:t>
      </w:r>
      <w:r>
        <w:rPr>
          <w:w w:val="100"/>
        </w:rPr>
        <w:t> </w:t>
      </w:r>
      <w:r>
        <w:rPr>
          <w:spacing w:val="-2"/>
        </w:rPr>
        <w:t>本公司经营分部的会计政策与本公司主要会计政策相同。</w:t>
      </w:r>
    </w:p>
    <w:p>
      <w:pPr>
        <w:spacing w:line="240" w:lineRule="auto" w:before="8"/>
        <w:rPr>
          <w:rFonts w:ascii="宋体" w:hAnsi="宋体" w:cs="宋体" w:eastAsia="宋体" w:hint="default"/>
          <w:sz w:val="16"/>
          <w:szCs w:val="1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9"/>
        <w:gridCol w:w="1368"/>
        <w:gridCol w:w="1366"/>
      </w:tblGrid>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数据智能行业应 用</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88" w:right="46" w:hanging="541"/>
              <w:jc w:val="left"/>
              <w:rPr>
                <w:rFonts w:ascii="宋体" w:hAnsi="宋体" w:cs="宋体" w:eastAsia="宋体" w:hint="default"/>
                <w:sz w:val="18"/>
                <w:szCs w:val="18"/>
              </w:rPr>
            </w:pPr>
            <w:r>
              <w:rPr>
                <w:rFonts w:ascii="宋体" w:hAnsi="宋体" w:cs="宋体" w:eastAsia="宋体" w:hint="default"/>
                <w:sz w:val="18"/>
                <w:szCs w:val="18"/>
              </w:rPr>
              <w:t>数据智能平台运 营</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管理总部</w:t>
            </w: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智能软硬件产品</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763,757,861.52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620,422,908.95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186,587,018.34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1,569,717,788.81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408,576,839.92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584,852,150.09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107,870,401.58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2,884,276.17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1,104,183,667.76</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1,621,946,437.68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775,305,727.93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276,724,616.09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488,612,294.84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-453,303,424.03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2,709,285,652.51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139,602,272.34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520,108,042.37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252,566,148.51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200,368,594.60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3,312,360.00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1,115,957,417.82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spacing w:line="516" w:lineRule="auto" w:before="0"/>
        <w:ind w:left="153" w:right="5803"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日止，公司股本中有</w:t>
      </w:r>
      <w:r>
        <w:rPr>
          <w:rFonts w:ascii="Times New Roman" w:hAnsi="Times New Roman" w:cs="Times New Roman" w:eastAsia="Times New Roman" w:hint="default"/>
          <w:sz w:val="18"/>
          <w:szCs w:val="18"/>
        </w:rPr>
        <w:t>44,177,905</w:t>
      </w:r>
      <w:r>
        <w:rPr>
          <w:rFonts w:ascii="宋体" w:hAnsi="宋体" w:cs="宋体" w:eastAsia="宋体" w:hint="default"/>
          <w:sz w:val="18"/>
          <w:szCs w:val="18"/>
        </w:rPr>
        <w:t>股对外质押。</w:t>
      </w:r>
    </w:p>
    <w:p>
      <w:pPr>
        <w:pStyle w:val="Heading3"/>
        <w:spacing w:line="240" w:lineRule="auto" w:before="113"/>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日，除上述其他重要事项外，本公司无需要披露的其他重要事项。</w:t>
      </w:r>
    </w:p>
    <w:p>
      <w:pPr>
        <w:spacing w:after="0"/>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0"/>
        <w:rPr>
          <w:rFonts w:ascii="宋体" w:hAnsi="宋体" w:cs="宋体" w:eastAsia="宋体" w:hint="default"/>
          <w:sz w:val="12"/>
          <w:szCs w:val="12"/>
        </w:rPr>
      </w:pPr>
    </w:p>
    <w:p>
      <w:pPr>
        <w:pStyle w:val="Heading2"/>
        <w:spacing w:line="240" w:lineRule="auto" w:before="26"/>
        <w:ind w:right="113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3"/>
        <w:gridCol w:w="761"/>
        <w:gridCol w:w="764"/>
        <w:gridCol w:w="790"/>
        <w:gridCol w:w="775"/>
        <w:gridCol w:w="797"/>
        <w:gridCol w:w="799"/>
        <w:gridCol w:w="790"/>
        <w:gridCol w:w="93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3"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6,457,16</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7.56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6,457,16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2,190,610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387,624,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874.54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36,899,4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350,725,3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93.73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364,830,0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29.27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35,061,82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329,768,20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2.75</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384,797,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721.54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36,899,4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347,898,2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40.73</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2,827,15</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2,827,153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394,082,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042.10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43,356,6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350,725,3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93.73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367,020,6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39.98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37,252,43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329,768,20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2.75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6,457,167.56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1,567,562.76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1,567,562.76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493,604.80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493,604.80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6,457,167.56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6,457,167.56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36,899,480.81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280,959,335.94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14,047,966.81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63,927,751.05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6,392,775.11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21,327,360.65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6,398,208.20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16,080,294.65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8,040,147.33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2,412,979.45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1,930,383.56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89,999.80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89,999.80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384,797,721.54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36,899,480.81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7" w:footer="979" w:top="1200" w:bottom="1160" w:left="980" w:right="0"/>
        </w:sectPr>
      </w:pPr>
    </w:p>
    <w:p>
      <w:pPr>
        <w:spacing w:line="357" w:lineRule="auto" w:before="49"/>
        <w:ind w:left="153" w:right="-1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应收客户款。 按组合计提坏账准备：</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2261" w:space="6568"/>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2,827,153.00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357"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应收合并范围内关联方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2134" w:space="66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283,848,988.94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64,115,251.05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24,479,060.65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21,638,741.46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17,791,049.45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3,757,692.21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89,999.80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1160" w:left="980" w:right="0"/>
        </w:sectPr>
      </w:pPr>
    </w:p>
    <w:p>
      <w:pPr>
        <w:spacing w:line="240" w:lineRule="auto" w:before="9"/>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394,082,042.10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37,252,437.23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6,320,211.14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216,000.00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43,356,648.37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37,252,437.23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6,320,211.14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216,000.00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43,356,648.37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216,000.00</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38,679,027.99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1,933,951.40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20,567,396.57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1,028,369.83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14,548,638.64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727,431.93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13,994,583.13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1,399,458.31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13,678,731.08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683,936.55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101,468,377.41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25.74%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21,830,106.64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20,647,969.72</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21,830,106.64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20,647,969.72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38"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24,048,607.15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21,350,191.45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2,024,781.26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1,710,073.32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26,073,388.41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23,060,264.77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63"/>
        <w:gridCol w:w="2098"/>
        <w:gridCol w:w="2101"/>
        <w:gridCol w:w="1805"/>
      </w:tblGrid>
      <w:tr>
        <w:trPr>
          <w:trHeight w:val="403"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2,412,295.05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2,412,295.05</w:t>
            </w:r>
          </w:p>
        </w:tc>
      </w:tr>
      <w:tr>
        <w:trPr>
          <w:trHeight w:val="161" w:hRule="exact"/>
        </w:trPr>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2"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2"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1,830,986.72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1,830,986.72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4,243,281.77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4,243,281.77</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3" w:right="1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20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11,929,938.77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6,592,726.21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5,476,968.03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2,073,755.40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1,088,608.40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925,147.00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26,073,388.41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after="0"/>
        <w:jc w:val="left"/>
        <w:rPr>
          <w:rFonts w:ascii="宋体" w:hAnsi="宋体" w:cs="宋体" w:eastAsia="宋体" w:hint="default"/>
          <w:sz w:val="18"/>
          <w:szCs w:val="18"/>
        </w:rPr>
        <w:sectPr>
          <w:type w:val="continuous"/>
          <w:pgSz w:w="11910" w:h="16840"/>
          <w:pgMar w:top="1200" w:bottom="1160" w:left="980" w:right="0"/>
        </w:sectPr>
      </w:pPr>
    </w:p>
    <w:p>
      <w:pPr>
        <w:spacing w:line="240" w:lineRule="auto" w:before="12"/>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79"/>
        <w:gridCol w:w="1088"/>
        <w:gridCol w:w="1332"/>
        <w:gridCol w:w="1452"/>
        <w:gridCol w:w="1198"/>
        <w:gridCol w:w="1346"/>
        <w:gridCol w:w="1575"/>
      </w:tblGrid>
      <w:tr>
        <w:trPr>
          <w:trHeight w:val="401" w:hRule="exact"/>
        </w:trPr>
        <w:tc>
          <w:tcPr>
            <w:tcW w:w="15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9"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43"/>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2,412,295.05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1,830,986.72</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4,243,281.77</w:t>
            </w: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2"/>
              <w:jc w:val="righ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2,412,295.05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1,830,986.72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4,243,281.77</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5,388,455.00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777,601.75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969,878.00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259,863.40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885,499.00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88,549.90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869,852.00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79,283.30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9,413,684.00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1,295,298.35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3"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1,054,200,038.05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1,054,200,038.05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851,266,733.61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851,266,733.61</w:t>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11,715,652.59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11,715,652.59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10,255,812.13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10,255,812.13</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1,065,915,690.64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1,065,915,690.64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861,522,545.74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861,522,545.74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285"/>
        <w:gridCol w:w="1277"/>
        <w:gridCol w:w="936"/>
        <w:gridCol w:w="1166"/>
        <w:gridCol w:w="1215"/>
        <w:gridCol w:w="1212"/>
        <w:gridCol w:w="1215"/>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427" w:right="65"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5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2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苏州国创</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17,314,077.87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17,314,077.87</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国创恒星</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7,066,695.56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-7,066,695.56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慧联运</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云网科技</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92,396,044.61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92,396,044.61</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日本国创</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3,617,305.57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3,617,305.57</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中科国创</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6,872,610.00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6,872,610.00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国创软件</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贵博新能</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国创数字</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851,266,733.61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-7,066,695.56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1,054,200,038.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92"/>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92"/>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4" w:right="35"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7" w:footer="979" w:top="1200" w:bottom="1160" w:left="980" w:right="0"/>
        </w:sectPr>
      </w:pPr>
    </w:p>
    <w:p>
      <w:pPr>
        <w:spacing w:line="240" w:lineRule="auto" w:before="9"/>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中电科公 共设施运 营管理有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1,854,811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285,541.1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11,715,65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云上神州 浪潮国创 大数据产 业发展有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11,715,65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10,255,81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11,715,65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669,072,484.68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548,067,027.83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672,749,444.99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542,398,381.25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669,072,484.68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548,067,027.83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672,749,444.99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542,398,381.25</w:t>
            </w:r>
          </w:p>
        </w:tc>
      </w:tr>
    </w:tbl>
    <w:p>
      <w:pPr>
        <w:spacing w:before="49"/>
        <w:ind w:left="153"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3"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2,073,048.07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1,670,681.75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-2,395,374.99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274,109.24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15,677,673.08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26,944,790.99</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-2,582,748.88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30,495,064.98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55,032.02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16,063,303.59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-936.64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3,667,344.81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1,522,008.13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38,840,362.13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3"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0.49</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r>
    </w:tbl>
    <w:p>
      <w:pPr>
        <w:spacing w:after="0" w:line="240" w:lineRule="auto"/>
        <w:jc w:val="right"/>
        <w:rPr>
          <w:rFonts w:ascii="Times New Roman" w:hAnsi="Times New Roman" w:cs="Times New Roman" w:eastAsia="Times New Roman" w:hint="default"/>
          <w:sz w:val="18"/>
          <w:szCs w:val="18"/>
        </w:rPr>
        <w:sectPr>
          <w:pgSz w:w="11910" w:h="16840"/>
          <w:pgMar w:header="887" w:footer="979" w:top="1200" w:bottom="1160" w:left="980" w:right="0"/>
        </w:sectPr>
      </w:pPr>
    </w:p>
    <w:p>
      <w:pPr>
        <w:spacing w:line="240" w:lineRule="auto" w:before="12"/>
        <w:rPr>
          <w:rFonts w:ascii="宋体" w:hAnsi="宋体" w:cs="宋体" w:eastAsia="宋体" w:hint="default"/>
          <w:b/>
          <w:bCs/>
          <w:sz w:val="13"/>
          <w:szCs w:val="13"/>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3"/>
        </w:rPr>
        <w:t> </w:t>
      </w:r>
      <w:r>
        <w:rPr>
          <w:spacing w:val="-63"/>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87" w:footer="979" w:top="1200" w:bottom="1160" w:left="980" w:right="0"/>
        </w:sectPr>
      </w:pPr>
    </w:p>
    <w:p>
      <w:pPr>
        <w:spacing w:line="240" w:lineRule="auto" w:before="6"/>
        <w:rPr>
          <w:rFonts w:ascii="宋体" w:hAnsi="宋体" w:cs="宋体" w:eastAsia="宋体" w:hint="default"/>
          <w:b/>
          <w:bCs/>
          <w:sz w:val="29"/>
          <w:szCs w:val="29"/>
        </w:rPr>
      </w:pPr>
    </w:p>
    <w:p>
      <w:pPr>
        <w:pStyle w:val="Heading1"/>
        <w:spacing w:line="240" w:lineRule="auto"/>
        <w:ind w:left="3365" w:right="1133"/>
        <w:jc w:val="left"/>
        <w:rPr>
          <w:b w:val="0"/>
          <w:bCs w:val="0"/>
        </w:rPr>
      </w:pPr>
      <w:bookmarkStart w:name="_bookmark12" w:id="13"/>
      <w:bookmarkEnd w:id="13"/>
      <w:r>
        <w:rPr>
          <w:b w:val="0"/>
          <w:bCs w:val="0"/>
        </w:rPr>
      </w:r>
      <w:r>
        <w:rPr/>
        <w:t>第十三节备查文件目录</w:t>
      </w:r>
      <w:r>
        <w:rPr>
          <w:b w:val="0"/>
          <w:bCs w:val="0"/>
        </w:rPr>
      </w:r>
    </w:p>
    <w:p>
      <w:pPr>
        <w:spacing w:line="240" w:lineRule="auto" w:before="12"/>
        <w:rPr>
          <w:rFonts w:ascii="宋体" w:hAnsi="宋体" w:cs="宋体" w:eastAsia="宋体" w:hint="default"/>
          <w:b/>
          <w:bCs/>
          <w:sz w:val="40"/>
          <w:szCs w:val="40"/>
        </w:rPr>
      </w:pPr>
    </w:p>
    <w:p>
      <w:pPr>
        <w:pStyle w:val="BodyText"/>
        <w:spacing w:line="537" w:lineRule="auto"/>
        <w:ind w:right="1133"/>
        <w:jc w:val="left"/>
      </w:pPr>
      <w:r>
        <w:rPr/>
        <w:t>一、载有法定代表人签名的</w:t>
      </w:r>
      <w:r>
        <w:rPr>
          <w:rFonts w:ascii="Times New Roman" w:hAnsi="Times New Roman" w:cs="Times New Roman" w:eastAsia="Times New Roman" w:hint="default"/>
        </w:rPr>
        <w:t>2019</w:t>
      </w:r>
      <w:r>
        <w:rPr/>
        <w:t>年年度报告文本；</w:t>
      </w:r>
      <w:r>
        <w:rPr>
          <w:w w:val="100"/>
        </w:rPr>
        <w:t> </w:t>
      </w:r>
      <w:r>
        <w:rPr>
          <w:spacing w:val="-2"/>
        </w:rPr>
        <w:t>二、载有单位负责人、主管会计工作负责人、会计机构负责人签名并盖章的财务报表文本；</w:t>
      </w:r>
      <w:r>
        <w:rPr>
          <w:spacing w:val="-28"/>
        </w:rPr>
        <w:t> </w:t>
      </w:r>
      <w:r>
        <w:rPr>
          <w:spacing w:val="-28"/>
        </w:rPr>
      </w:r>
      <w:r>
        <w:rPr/>
        <w:t>三、载有会计师事务所盖章、注册会计师签名并盖章的审计报告原件；</w:t>
      </w:r>
      <w:r>
        <w:rPr>
          <w:w w:val="100"/>
        </w:rPr>
        <w:t> </w:t>
      </w:r>
      <w:r>
        <w:rPr/>
        <w:t>四、报告期内在中国证监会指定网站上公开披露过的所有公司文件的正本及公告的原稿；</w:t>
      </w:r>
      <w:r>
        <w:rPr>
          <w:w w:val="100"/>
        </w:rPr>
        <w:t> </w:t>
      </w:r>
      <w:r>
        <w:rPr/>
        <w:t>五、其他相关资料；</w:t>
      </w:r>
    </w:p>
    <w:p>
      <w:pPr>
        <w:pStyle w:val="BodyText"/>
        <w:spacing w:line="240" w:lineRule="auto" w:before="88"/>
        <w:ind w:right="1133"/>
        <w:jc w:val="left"/>
      </w:pPr>
      <w:r>
        <w:rPr/>
        <w:t>以上备查文件的备置地点：公司证券投资部。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307" w:lineRule="auto"/>
        <w:ind w:left="7899" w:right="1130" w:hanging="629"/>
        <w:jc w:val="right"/>
      </w:pPr>
      <w:r>
        <w:rPr>
          <w:spacing w:val="-2"/>
        </w:rPr>
        <w:t>科大国创软件股份有限公司</w:t>
      </w:r>
      <w:r>
        <w:rPr>
          <w:spacing w:val="-93"/>
        </w:rPr>
        <w:t> </w:t>
      </w:r>
      <w:r>
        <w:rPr>
          <w:spacing w:val="-93"/>
        </w:rPr>
      </w:r>
      <w:r>
        <w:rPr>
          <w:spacing w:val="-1"/>
        </w:rPr>
        <w:t>法定代表人：董永东</w:t>
      </w:r>
      <w:r>
        <w:rPr>
          <w:w w:val="100"/>
        </w:rPr>
        <w:t> </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w:t>
      </w:r>
    </w:p>
    <w:sectPr>
      <w:pgSz w:w="11910" w:h="16840"/>
      <w:pgMar w:header="887" w:footer="979" w:top="12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808" type="#_x0000_t75" stroked="false">
          <v:imagedata r:id="rId1" o:title=""/>
        </v:shape>
      </w:pict>
    </w:r>
    <w:r>
      <w:rPr/>
      <w:pict>
        <v:shape style="position:absolute;margin-left:533.119995pt;margin-top:795.637939pt;width:6.5pt;height:11pt;mso-position-horizontal-relative:page;mso-position-vertical-relative:page;z-index:-1158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760" type="#_x0000_t75" stroked="false">
          <v:imagedata r:id="rId1" o:title=""/>
        </v:shape>
      </w:pict>
    </w:r>
    <w:r>
      <w:rPr/>
      <w:pict>
        <v:shape style="position:absolute;margin-left:527.679993pt;margin-top:781.957947pt;width:13.15pt;height:11pt;mso-position-horizontal-relative:page;mso-position-vertical-relative:page;z-index:-1158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712" type="#_x0000_t75" stroked="false">
          <v:imagedata r:id="rId1" o:title=""/>
        </v:shape>
      </w:pict>
    </w:r>
    <w:r>
      <w:rPr/>
      <w:pict>
        <v:shape style="position:absolute;margin-left:524.119995pt;margin-top:781.957947pt;width:15.7pt;height:11pt;mso-position-horizontal-relative:page;mso-position-vertical-relative:page;z-index:-1158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664" type="#_x0000_t75" stroked="false">
          <v:imagedata r:id="rId1" o:title=""/>
        </v:shape>
      </w:pict>
    </w:r>
    <w:r>
      <w:rPr/>
      <w:pict>
        <v:shape style="position:absolute;margin-left:523.119995pt;margin-top:781.957947pt;width:17.7pt;height:11pt;mso-position-horizontal-relative:page;mso-position-vertical-relative:page;z-index:-1158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616" type="#_x0000_t75" stroked="false">
          <v:imagedata r:id="rId1" o:title=""/>
        </v:shape>
      </w:pict>
    </w:r>
    <w:r>
      <w:rPr/>
      <w:pict>
        <v:shape style="position:absolute;margin-left:523.479980pt;margin-top:781.957947pt;width:17.3pt;height:11pt;mso-position-horizontal-relative:page;mso-position-vertical-relative:page;z-index:-1158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568" type="#_x0000_t75" stroked="false">
          <v:imagedata r:id="rId1" o:title=""/>
        </v:shape>
      </w:pict>
    </w:r>
    <w:r>
      <w:rPr/>
      <w:pict>
        <v:shape style="position:absolute;margin-left:523.119995pt;margin-top:781.957947pt;width:17.7pt;height:11pt;mso-position-horizontal-relative:page;mso-position-vertical-relative:page;z-index:-1158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520" type="#_x0000_t75" stroked="false">
          <v:imagedata r:id="rId1" o:title=""/>
        </v:shape>
      </w:pict>
    </w:r>
    <w:r>
      <w:rPr/>
      <w:pict>
        <v:shape style="position:absolute;margin-left:524.119995pt;margin-top:781.957947pt;width:15.7pt;height:11pt;mso-position-horizontal-relative:page;mso-position-vertical-relative:page;z-index:-1158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472" type="#_x0000_t75" stroked="false">
          <v:imagedata r:id="rId1" o:title=""/>
        </v:shape>
      </w:pict>
    </w:r>
    <w:r>
      <w:rPr/>
      <w:pict>
        <v:shape style="position:absolute;margin-left:523.119995pt;margin-top:781.957947pt;width:17.7pt;height:11pt;mso-position-horizontal-relative:page;mso-position-vertical-relative:page;z-index:-1158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7.149994pt;margin-top:43.345608pt;width:195.5pt;height:11.5pt;mso-position-horizontal-relative:page;mso-position-vertical-relative:page;z-index:-1158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科大国创软件股份有限公司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hyperlink" Target="http://www.kdgcsoft.com/" TargetMode="External"/><Relationship Id="rId11" Type="http://schemas.openxmlformats.org/officeDocument/2006/relationships/hyperlink" Target="mailto:zhengquanbu@ustcsoft.com" TargetMode="External"/><Relationship Id="rId12" Type="http://schemas.openxmlformats.org/officeDocument/2006/relationships/hyperlink" Target="http://www.cninfo.com.cn/"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yangt</dc:creator>
  <dcterms:created xsi:type="dcterms:W3CDTF">2020-05-19T01:58:29Z</dcterms:created>
  <dcterms:modified xsi:type="dcterms:W3CDTF">2020-05-19T01:58:29Z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